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0C9A75">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b w:val="0"/>
          <w:bCs w:val="0"/>
          <w:spacing w:val="9"/>
          <w:sz w:val="32"/>
          <w:szCs w:val="32"/>
          <w:lang w:val="en-US" w:eastAsia="zh-CN"/>
        </w:rPr>
      </w:pPr>
      <w:r>
        <w:rPr>
          <w:rFonts w:ascii="黑体" w:hAnsi="黑体" w:eastAsia="黑体" w:cs="黑体"/>
          <w:b w:val="0"/>
          <w:bCs w:val="0"/>
          <w:spacing w:val="9"/>
          <w:sz w:val="32"/>
          <w:szCs w:val="32"/>
        </w:rPr>
        <w:t>附件</w:t>
      </w:r>
      <w:r>
        <w:rPr>
          <w:rFonts w:hint="eastAsia" w:ascii="黑体" w:hAnsi="黑体" w:eastAsia="黑体" w:cs="黑体"/>
          <w:b w:val="0"/>
          <w:bCs w:val="0"/>
          <w:spacing w:val="9"/>
          <w:sz w:val="32"/>
          <w:szCs w:val="32"/>
          <w:lang w:val="en-US" w:eastAsia="zh-CN"/>
        </w:rPr>
        <w:t>5</w:t>
      </w:r>
    </w:p>
    <w:p w14:paraId="7C6CADD8">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b w:val="0"/>
          <w:bCs w:val="0"/>
          <w:spacing w:val="9"/>
          <w:sz w:val="32"/>
          <w:szCs w:val="32"/>
          <w:lang w:val="en-US" w:eastAsia="zh-CN"/>
        </w:rPr>
      </w:pPr>
    </w:p>
    <w:p w14:paraId="2F2D566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b w:val="0"/>
          <w:bCs w:val="0"/>
          <w:spacing w:val="9"/>
          <w:sz w:val="32"/>
          <w:szCs w:val="32"/>
          <w:lang w:val="en-US" w:eastAsia="zh-CN"/>
        </w:rPr>
      </w:pPr>
      <w:bookmarkStart w:id="0" w:name="_GoBack"/>
      <w:r>
        <w:rPr>
          <w:rFonts w:hint="eastAsia" w:ascii="方正小标宋简体" w:hAnsi="方正小标宋简体" w:eastAsia="方正小标宋简体" w:cs="方正小标宋简体"/>
          <w:b w:val="0"/>
          <w:bCs w:val="0"/>
          <w:spacing w:val="9"/>
          <w:sz w:val="44"/>
          <w:szCs w:val="44"/>
          <w:lang w:val="en-US" w:eastAsia="zh-CN"/>
        </w:rPr>
        <w:t>筛选赋予前黄镇人民政府行政处罚事项条款汇编</w:t>
      </w:r>
    </w:p>
    <w:bookmarkEnd w:id="0"/>
    <w:tbl>
      <w:tblPr>
        <w:tblStyle w:val="7"/>
        <w:tblpPr w:leftFromText="180" w:rightFromText="180" w:vertAnchor="text" w:horzAnchor="page" w:tblpX="1208" w:tblpY="492"/>
        <w:tblOverlap w:val="never"/>
        <w:tblW w:w="1448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24"/>
        <w:gridCol w:w="1201"/>
        <w:gridCol w:w="1367"/>
        <w:gridCol w:w="2898"/>
        <w:gridCol w:w="6730"/>
        <w:gridCol w:w="1569"/>
      </w:tblGrid>
      <w:tr w14:paraId="34D0FE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2" w:hRule="atLeast"/>
        </w:trPr>
        <w:tc>
          <w:tcPr>
            <w:tcW w:w="14489" w:type="dxa"/>
            <w:gridSpan w:val="6"/>
            <w:vAlign w:val="top"/>
          </w:tcPr>
          <w:p w14:paraId="13BB4163">
            <w:pPr>
              <w:pStyle w:val="6"/>
              <w:keepNext w:val="0"/>
              <w:keepLines w:val="0"/>
              <w:pageBreakBefore w:val="0"/>
              <w:widowControl w:val="0"/>
              <w:kinsoku/>
              <w:wordWrap/>
              <w:overflowPunct/>
              <w:topLinePunct w:val="0"/>
              <w:autoSpaceDE/>
              <w:autoSpaceDN/>
              <w:bidi w:val="0"/>
              <w:adjustRightInd/>
              <w:snapToGrid/>
              <w:spacing w:before="123" w:line="440" w:lineRule="exact"/>
              <w:jc w:val="center"/>
              <w:textAlignment w:val="auto"/>
              <w:rPr>
                <w:rFonts w:hint="eastAsia" w:ascii="仿宋_GB2312" w:hAnsi="仿宋_GB2312" w:eastAsia="仿宋_GB2312" w:cs="仿宋_GB2312"/>
                <w:sz w:val="30"/>
                <w:szCs w:val="30"/>
              </w:rPr>
            </w:pPr>
            <w:r>
              <w:rPr>
                <w:rFonts w:hint="eastAsia" w:ascii="仿宋_GB2312" w:hAnsi="仿宋_GB2312" w:eastAsia="仿宋_GB2312" w:cs="仿宋_GB2312"/>
                <w:b/>
                <w:bCs/>
                <w:spacing w:val="-4"/>
                <w:sz w:val="32"/>
                <w:szCs w:val="32"/>
              </w:rPr>
              <w:t>一、不予行政处罚事项清单</w:t>
            </w:r>
          </w:p>
        </w:tc>
      </w:tr>
      <w:tr w14:paraId="67AD73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9" w:hRule="atLeast"/>
        </w:trPr>
        <w:tc>
          <w:tcPr>
            <w:tcW w:w="14489" w:type="dxa"/>
            <w:gridSpan w:val="6"/>
            <w:vAlign w:val="top"/>
          </w:tcPr>
          <w:p w14:paraId="14D266BD">
            <w:pPr>
              <w:pStyle w:val="6"/>
              <w:keepNext w:val="0"/>
              <w:keepLines w:val="0"/>
              <w:pageBreakBefore w:val="0"/>
              <w:widowControl w:val="0"/>
              <w:kinsoku/>
              <w:wordWrap/>
              <w:overflowPunct/>
              <w:topLinePunct w:val="0"/>
              <w:autoSpaceDE/>
              <w:autoSpaceDN/>
              <w:bidi w:val="0"/>
              <w:adjustRightInd/>
              <w:snapToGrid/>
              <w:spacing w:before="40" w:line="440" w:lineRule="exact"/>
              <w:textAlignment w:val="auto"/>
              <w:rPr>
                <w:rFonts w:hint="eastAsia" w:ascii="仿宋_GB2312" w:hAnsi="仿宋_GB2312" w:eastAsia="仿宋_GB2312" w:cs="仿宋_GB2312"/>
                <w:sz w:val="36"/>
                <w:szCs w:val="36"/>
              </w:rPr>
            </w:pPr>
            <w:r>
              <w:rPr>
                <w:rFonts w:hint="eastAsia" w:ascii="仿宋_GB2312" w:hAnsi="仿宋_GB2312" w:eastAsia="仿宋_GB2312" w:cs="仿宋_GB2312"/>
                <w:b/>
                <w:bCs/>
                <w:spacing w:val="-5"/>
                <w:sz w:val="32"/>
                <w:szCs w:val="32"/>
                <w:lang w:eastAsia="zh-CN"/>
              </w:rPr>
              <w:t>（一）</w:t>
            </w:r>
            <w:r>
              <w:rPr>
                <w:rFonts w:hint="eastAsia" w:ascii="仿宋_GB2312" w:hAnsi="仿宋_GB2312" w:eastAsia="仿宋_GB2312" w:cs="仿宋_GB2312"/>
                <w:b/>
                <w:bCs/>
                <w:spacing w:val="-5"/>
                <w:sz w:val="32"/>
                <w:szCs w:val="32"/>
              </w:rPr>
              <w:t>轻微免罚事项清单违法行为轻微并及时改正，没有造成危害后果的，不予行政处罚</w:t>
            </w:r>
          </w:p>
        </w:tc>
      </w:tr>
      <w:tr w14:paraId="1BED50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6" w:hRule="atLeast"/>
        </w:trPr>
        <w:tc>
          <w:tcPr>
            <w:tcW w:w="724" w:type="dxa"/>
            <w:vAlign w:val="top"/>
          </w:tcPr>
          <w:p w14:paraId="10F6A4D7">
            <w:pPr>
              <w:pStyle w:val="6"/>
              <w:keepNext w:val="0"/>
              <w:keepLines w:val="0"/>
              <w:pageBreakBefore w:val="0"/>
              <w:widowControl w:val="0"/>
              <w:kinsoku/>
              <w:wordWrap/>
              <w:overflowPunct/>
              <w:topLinePunct w:val="0"/>
              <w:autoSpaceDE/>
              <w:autoSpaceDN/>
              <w:bidi w:val="0"/>
              <w:adjustRightInd/>
              <w:snapToGrid/>
              <w:spacing w:before="293" w:line="440" w:lineRule="exact"/>
              <w:ind w:left="114"/>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7"/>
                <w:sz w:val="24"/>
                <w:szCs w:val="24"/>
              </w:rPr>
              <w:t>序号</w:t>
            </w:r>
          </w:p>
        </w:tc>
        <w:tc>
          <w:tcPr>
            <w:tcW w:w="1201" w:type="dxa"/>
            <w:vAlign w:val="top"/>
          </w:tcPr>
          <w:p w14:paraId="4E8FA093">
            <w:pPr>
              <w:pStyle w:val="6"/>
              <w:keepNext w:val="0"/>
              <w:keepLines w:val="0"/>
              <w:pageBreakBefore w:val="0"/>
              <w:widowControl w:val="0"/>
              <w:kinsoku/>
              <w:wordWrap/>
              <w:overflowPunct/>
              <w:topLinePunct w:val="0"/>
              <w:autoSpaceDE/>
              <w:autoSpaceDN/>
              <w:bidi w:val="0"/>
              <w:adjustRightInd/>
              <w:snapToGrid/>
              <w:spacing w:before="71" w:line="440" w:lineRule="exact"/>
              <w:ind w:left="280" w:right="282"/>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5"/>
                <w:sz w:val="24"/>
                <w:szCs w:val="24"/>
              </w:rPr>
              <w:t>业务</w:t>
            </w:r>
            <w:r>
              <w:rPr>
                <w:rFonts w:hint="eastAsia" w:ascii="仿宋_GB2312" w:hAnsi="仿宋_GB2312" w:eastAsia="仿宋_GB2312" w:cs="仿宋_GB2312"/>
                <w:sz w:val="24"/>
                <w:szCs w:val="24"/>
              </w:rPr>
              <w:t xml:space="preserve"> </w:t>
            </w:r>
            <w:r>
              <w:rPr>
                <w:rFonts w:hint="eastAsia" w:ascii="仿宋_GB2312" w:hAnsi="仿宋_GB2312" w:eastAsia="仿宋_GB2312" w:cs="仿宋_GB2312"/>
                <w:spacing w:val="7"/>
                <w:sz w:val="24"/>
                <w:szCs w:val="24"/>
              </w:rPr>
              <w:t>类型</w:t>
            </w:r>
          </w:p>
        </w:tc>
        <w:tc>
          <w:tcPr>
            <w:tcW w:w="1367" w:type="dxa"/>
            <w:vAlign w:val="top"/>
          </w:tcPr>
          <w:p w14:paraId="2F75C705">
            <w:pPr>
              <w:pStyle w:val="6"/>
              <w:keepNext w:val="0"/>
              <w:keepLines w:val="0"/>
              <w:pageBreakBefore w:val="0"/>
              <w:widowControl w:val="0"/>
              <w:kinsoku/>
              <w:wordWrap/>
              <w:overflowPunct/>
              <w:topLinePunct w:val="0"/>
              <w:autoSpaceDE/>
              <w:autoSpaceDN/>
              <w:bidi w:val="0"/>
              <w:adjustRightInd/>
              <w:snapToGrid/>
              <w:spacing w:before="292" w:line="440" w:lineRule="exact"/>
              <w:ind w:left="261"/>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3"/>
                <w:sz w:val="24"/>
                <w:szCs w:val="24"/>
              </w:rPr>
              <w:t>违法行为</w:t>
            </w:r>
          </w:p>
        </w:tc>
        <w:tc>
          <w:tcPr>
            <w:tcW w:w="2898" w:type="dxa"/>
            <w:vAlign w:val="top"/>
          </w:tcPr>
          <w:p w14:paraId="7BF6503E">
            <w:pPr>
              <w:pStyle w:val="6"/>
              <w:keepNext w:val="0"/>
              <w:keepLines w:val="0"/>
              <w:pageBreakBefore w:val="0"/>
              <w:widowControl w:val="0"/>
              <w:kinsoku/>
              <w:wordWrap/>
              <w:overflowPunct/>
              <w:topLinePunct w:val="0"/>
              <w:autoSpaceDE/>
              <w:autoSpaceDN/>
              <w:bidi w:val="0"/>
              <w:adjustRightInd/>
              <w:snapToGrid/>
              <w:spacing w:before="71" w:line="440" w:lineRule="exact"/>
              <w:ind w:left="952"/>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2"/>
                <w:sz w:val="24"/>
                <w:szCs w:val="24"/>
              </w:rPr>
              <w:t>适用条件</w:t>
            </w:r>
          </w:p>
          <w:p w14:paraId="42179342">
            <w:pPr>
              <w:pStyle w:val="6"/>
              <w:keepNext w:val="0"/>
              <w:keepLines w:val="0"/>
              <w:pageBreakBefore w:val="0"/>
              <w:widowControl w:val="0"/>
              <w:kinsoku/>
              <w:wordWrap/>
              <w:overflowPunct/>
              <w:topLinePunct w:val="0"/>
              <w:autoSpaceDE/>
              <w:autoSpaceDN/>
              <w:bidi w:val="0"/>
              <w:adjustRightInd/>
              <w:snapToGrid/>
              <w:spacing w:before="125" w:line="440" w:lineRule="exact"/>
              <w:ind w:left="682"/>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7"/>
                <w:sz w:val="24"/>
                <w:szCs w:val="24"/>
                <w:lang w:eastAsia="zh-CN"/>
              </w:rPr>
              <w:t>（</w:t>
            </w:r>
            <w:r>
              <w:rPr>
                <w:rFonts w:hint="eastAsia" w:ascii="仿宋_GB2312" w:hAnsi="仿宋_GB2312" w:eastAsia="仿宋_GB2312" w:cs="仿宋_GB2312"/>
                <w:spacing w:val="7"/>
                <w:sz w:val="24"/>
                <w:szCs w:val="24"/>
              </w:rPr>
              <w:t>须全部满足</w:t>
            </w:r>
            <w:r>
              <w:rPr>
                <w:rFonts w:hint="eastAsia" w:ascii="仿宋_GB2312" w:hAnsi="仿宋_GB2312" w:eastAsia="仿宋_GB2312" w:cs="仿宋_GB2312"/>
                <w:spacing w:val="7"/>
                <w:sz w:val="24"/>
                <w:szCs w:val="24"/>
                <w:lang w:eastAsia="zh-CN"/>
              </w:rPr>
              <w:t>）</w:t>
            </w:r>
          </w:p>
        </w:tc>
        <w:tc>
          <w:tcPr>
            <w:tcW w:w="6730" w:type="dxa"/>
            <w:vAlign w:val="top"/>
          </w:tcPr>
          <w:p w14:paraId="189795B5">
            <w:pPr>
              <w:pStyle w:val="6"/>
              <w:keepNext w:val="0"/>
              <w:keepLines w:val="0"/>
              <w:pageBreakBefore w:val="0"/>
              <w:widowControl w:val="0"/>
              <w:kinsoku/>
              <w:wordWrap/>
              <w:overflowPunct/>
              <w:topLinePunct w:val="0"/>
              <w:autoSpaceDE/>
              <w:autoSpaceDN/>
              <w:bidi w:val="0"/>
              <w:adjustRightInd/>
              <w:snapToGrid/>
              <w:spacing w:before="290" w:line="440" w:lineRule="exact"/>
              <w:ind w:left="2875"/>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3"/>
                <w:sz w:val="24"/>
                <w:szCs w:val="24"/>
              </w:rPr>
              <w:t>法定依据</w:t>
            </w:r>
          </w:p>
        </w:tc>
        <w:tc>
          <w:tcPr>
            <w:tcW w:w="1569" w:type="dxa"/>
            <w:vAlign w:val="top"/>
          </w:tcPr>
          <w:p w14:paraId="7F62AA2C">
            <w:pPr>
              <w:pStyle w:val="6"/>
              <w:keepNext w:val="0"/>
              <w:keepLines w:val="0"/>
              <w:pageBreakBefore w:val="0"/>
              <w:widowControl w:val="0"/>
              <w:kinsoku/>
              <w:wordWrap/>
              <w:overflowPunct/>
              <w:topLinePunct w:val="0"/>
              <w:autoSpaceDE/>
              <w:autoSpaceDN/>
              <w:bidi w:val="0"/>
              <w:adjustRightInd/>
              <w:snapToGrid/>
              <w:spacing w:before="81" w:line="440" w:lineRule="exact"/>
              <w:ind w:left="308" w:right="181" w:hanging="119"/>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2"/>
                <w:sz w:val="24"/>
                <w:szCs w:val="24"/>
              </w:rPr>
              <w:t>备注：配套监管措施</w:t>
            </w:r>
          </w:p>
        </w:tc>
      </w:tr>
      <w:tr w14:paraId="659C63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2" w:hRule="atLeast"/>
        </w:trPr>
        <w:tc>
          <w:tcPr>
            <w:tcW w:w="724" w:type="dxa"/>
            <w:vAlign w:val="center"/>
          </w:tcPr>
          <w:p w14:paraId="2E0EDE7A">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1201" w:type="dxa"/>
            <w:vAlign w:val="center"/>
          </w:tcPr>
          <w:p w14:paraId="2E550023">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消防安全</w:t>
            </w:r>
          </w:p>
        </w:tc>
        <w:tc>
          <w:tcPr>
            <w:tcW w:w="1367" w:type="dxa"/>
            <w:vAlign w:val="center"/>
          </w:tcPr>
          <w:p w14:paraId="765DC932">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对消防设施、器材、消防安全标志未保持完好有效的处罚</w:t>
            </w:r>
          </w:p>
        </w:tc>
        <w:tc>
          <w:tcPr>
            <w:tcW w:w="2898" w:type="dxa"/>
            <w:vAlign w:val="center"/>
          </w:tcPr>
          <w:p w14:paraId="0D8E4F94">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1.违法情节轻微；</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2.当场改正或者在责令改正期限内改正；</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3.没有造成危害后果。</w:t>
            </w:r>
          </w:p>
        </w:tc>
        <w:tc>
          <w:tcPr>
            <w:tcW w:w="6730" w:type="dxa"/>
            <w:vAlign w:val="center"/>
          </w:tcPr>
          <w:p w14:paraId="481BD623">
            <w:pPr>
              <w:keepNext w:val="0"/>
              <w:keepLines w:val="0"/>
              <w:pageBreakBefore w:val="0"/>
              <w:widowControl/>
              <w:suppressLineNumbers w:val="0"/>
              <w:kinsoku/>
              <w:wordWrap/>
              <w:overflowPunct/>
              <w:topLinePunct w:val="0"/>
              <w:autoSpaceDE/>
              <w:autoSpaceDN/>
              <w:bidi w:val="0"/>
              <w:adjustRightInd/>
              <w:snapToGrid/>
              <w:spacing w:line="440" w:lineRule="exact"/>
              <w:ind w:firstLine="480" w:firstLineChars="200"/>
              <w:jc w:val="lef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1.《中华人民共和国消防法》第六十条第一款　单位违反本法规定，有下列行为之一的，责令改正，处五千元以上五万元以下罚款：（一）消防设施、器材或者消防安全标志的配置、设置不符合国家标准、行业标准，或者未保持完好有效的；</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 xml:space="preserve">    2.《福建省消防领域轻微违法行为不予处罚清单（2021年版）》</w:t>
            </w:r>
          </w:p>
        </w:tc>
        <w:tc>
          <w:tcPr>
            <w:tcW w:w="1569" w:type="dxa"/>
            <w:vAlign w:val="center"/>
          </w:tcPr>
          <w:p w14:paraId="2BA47630">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责令改正、普法教育</w:t>
            </w:r>
          </w:p>
        </w:tc>
      </w:tr>
      <w:tr w14:paraId="4137EB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92" w:hRule="atLeast"/>
        </w:trPr>
        <w:tc>
          <w:tcPr>
            <w:tcW w:w="724" w:type="dxa"/>
            <w:vAlign w:val="center"/>
          </w:tcPr>
          <w:p w14:paraId="4A095F17">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w:t>
            </w:r>
          </w:p>
        </w:tc>
        <w:tc>
          <w:tcPr>
            <w:tcW w:w="1201" w:type="dxa"/>
            <w:vAlign w:val="center"/>
          </w:tcPr>
          <w:p w14:paraId="43620002">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highlight w:val="none"/>
                <w:u w:val="none"/>
                <w:lang w:val="en-US" w:eastAsia="zh-CN" w:bidi="ar"/>
              </w:rPr>
              <w:t>森林防火</w:t>
            </w:r>
          </w:p>
        </w:tc>
        <w:tc>
          <w:tcPr>
            <w:tcW w:w="1367" w:type="dxa"/>
            <w:vAlign w:val="center"/>
          </w:tcPr>
          <w:p w14:paraId="49AAB266">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对拒不接受森林防火检查或者不消除森林火灾隐患行为的</w:t>
            </w:r>
          </w:p>
        </w:tc>
        <w:tc>
          <w:tcPr>
            <w:tcW w:w="2898" w:type="dxa"/>
            <w:vAlign w:val="center"/>
          </w:tcPr>
          <w:p w14:paraId="4EF4B6AB">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森林防火区内有关单位的森林防火组织建设、森林防火责任制落实、森林防火设施建设等情况发现森林火灾隐患，积极配合检查并按要求整改消除火灾隐患的。</w:t>
            </w:r>
          </w:p>
        </w:tc>
        <w:tc>
          <w:tcPr>
            <w:tcW w:w="6730" w:type="dxa"/>
            <w:vAlign w:val="center"/>
          </w:tcPr>
          <w:p w14:paraId="0A1BCB26">
            <w:pPr>
              <w:keepNext w:val="0"/>
              <w:keepLines w:val="0"/>
              <w:pageBreakBefore w:val="0"/>
              <w:widowControl/>
              <w:numPr>
                <w:ilvl w:val="0"/>
                <w:numId w:val="0"/>
              </w:numPr>
              <w:suppressLineNumbers w:val="0"/>
              <w:kinsoku/>
              <w:wordWrap/>
              <w:overflowPunct/>
              <w:topLinePunct w:val="0"/>
              <w:autoSpaceDE/>
              <w:autoSpaceDN/>
              <w:bidi w:val="0"/>
              <w:adjustRightInd/>
              <w:snapToGrid/>
              <w:spacing w:line="440" w:lineRule="exact"/>
              <w:ind w:leftChars="0" w:firstLine="480" w:firstLineChars="200"/>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1.《森林草原防灭火条例》（国务院令第822号，下同）第三十三条 县级以上人民政府应急管理部门、林业草原主管部门等有关部门应当按照职责分工对防火区内有关单位的森林草原防灭火组织建设、责任制落实、设施建设等情况进行检查。必要时，县级以上人民政府可以组织相关部门联合检查。检查中发现森林草原火灾隐患，应当及时下达森林草原火灾隐患整改通知书，责令限期消除隐患。被检查单位应当积极配合，不得阻挠、妨碍检查活动。</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 xml:space="preserve">    第五十三条 违反本条例规定，防火区内的有关单位或者个人拒绝接受森林草原防灭火检查，或者接到森林草原火灾隐患整改通知书逾期不消除火灾隐患的，由县级以上地方人民政府林业草原主管部门、应急管理部门按照职责分工责令改正，对单位处1万元以上2万元以下罚款，对个人处300元以上3000元以下罚款。</w:t>
            </w:r>
          </w:p>
          <w:p w14:paraId="227C3460">
            <w:pPr>
              <w:keepNext w:val="0"/>
              <w:keepLines w:val="0"/>
              <w:pageBreakBefore w:val="0"/>
              <w:widowControl/>
              <w:numPr>
                <w:ilvl w:val="0"/>
                <w:numId w:val="0"/>
              </w:numPr>
              <w:suppressLineNumbers w:val="0"/>
              <w:kinsoku/>
              <w:wordWrap/>
              <w:overflowPunct/>
              <w:topLinePunct w:val="0"/>
              <w:autoSpaceDE/>
              <w:autoSpaceDN/>
              <w:bidi w:val="0"/>
              <w:adjustRightInd/>
              <w:snapToGrid/>
              <w:spacing w:line="440" w:lineRule="exact"/>
              <w:ind w:leftChars="0" w:firstLine="480" w:firstLineChars="200"/>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2.《中华人民共和国行政处罚法》第三十三条第一款 违法行为轻微并及时纠正，没有造成危害后果的，不予行政处罚。</w:t>
            </w:r>
          </w:p>
        </w:tc>
        <w:tc>
          <w:tcPr>
            <w:tcW w:w="1569" w:type="dxa"/>
            <w:vAlign w:val="center"/>
          </w:tcPr>
          <w:p w14:paraId="3363E26A">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责令改正、普法教育</w:t>
            </w:r>
          </w:p>
        </w:tc>
      </w:tr>
    </w:tbl>
    <w:tbl>
      <w:tblPr>
        <w:tblStyle w:val="7"/>
        <w:tblpPr w:leftFromText="180" w:rightFromText="180" w:vertAnchor="text" w:horzAnchor="page" w:tblpX="1223" w:tblpY="1497"/>
        <w:tblOverlap w:val="never"/>
        <w:tblW w:w="1448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24"/>
        <w:gridCol w:w="1201"/>
        <w:gridCol w:w="1367"/>
        <w:gridCol w:w="2898"/>
        <w:gridCol w:w="6730"/>
        <w:gridCol w:w="1569"/>
      </w:tblGrid>
      <w:tr w14:paraId="7BF37F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9" w:hRule="atLeast"/>
        </w:trPr>
        <w:tc>
          <w:tcPr>
            <w:tcW w:w="14489" w:type="dxa"/>
            <w:gridSpan w:val="6"/>
            <w:vAlign w:val="top"/>
          </w:tcPr>
          <w:p w14:paraId="2ABEDB0E">
            <w:pPr>
              <w:pStyle w:val="6"/>
              <w:keepNext w:val="0"/>
              <w:keepLines w:val="0"/>
              <w:pageBreakBefore w:val="0"/>
              <w:widowControl w:val="0"/>
              <w:kinsoku/>
              <w:wordWrap/>
              <w:overflowPunct/>
              <w:topLinePunct w:val="0"/>
              <w:autoSpaceDE/>
              <w:autoSpaceDN/>
              <w:bidi w:val="0"/>
              <w:adjustRightInd/>
              <w:snapToGrid/>
              <w:spacing w:before="40" w:line="440" w:lineRule="exact"/>
              <w:textAlignment w:val="auto"/>
              <w:rPr>
                <w:rFonts w:hint="eastAsia" w:ascii="仿宋_GB2312" w:hAnsi="仿宋_GB2312" w:eastAsia="仿宋_GB2312" w:cs="仿宋_GB2312"/>
                <w:sz w:val="36"/>
                <w:szCs w:val="36"/>
              </w:rPr>
            </w:pPr>
            <w:r>
              <w:rPr>
                <w:rFonts w:hint="eastAsia" w:ascii="仿宋_GB2312" w:hAnsi="仿宋_GB2312" w:eastAsia="仿宋_GB2312" w:cs="仿宋_GB2312"/>
                <w:b/>
                <w:bCs/>
                <w:spacing w:val="-5"/>
                <w:sz w:val="32"/>
                <w:szCs w:val="32"/>
                <w:lang w:eastAsia="zh-CN"/>
              </w:rPr>
              <w:t>（</w:t>
            </w:r>
            <w:r>
              <w:rPr>
                <w:rFonts w:hint="eastAsia" w:ascii="仿宋_GB2312" w:hAnsi="仿宋_GB2312" w:eastAsia="仿宋_GB2312" w:cs="仿宋_GB2312"/>
                <w:b/>
                <w:bCs/>
                <w:spacing w:val="-5"/>
                <w:sz w:val="32"/>
                <w:szCs w:val="32"/>
              </w:rPr>
              <w:t>二</w:t>
            </w:r>
            <w:r>
              <w:rPr>
                <w:rFonts w:hint="eastAsia" w:ascii="仿宋_GB2312" w:hAnsi="仿宋_GB2312" w:eastAsia="仿宋_GB2312" w:cs="仿宋_GB2312"/>
                <w:b/>
                <w:bCs/>
                <w:spacing w:val="-5"/>
                <w:sz w:val="32"/>
                <w:szCs w:val="32"/>
                <w:lang w:eastAsia="zh-CN"/>
              </w:rPr>
              <w:t>）</w:t>
            </w:r>
            <w:r>
              <w:rPr>
                <w:rFonts w:hint="eastAsia" w:ascii="仿宋_GB2312" w:hAnsi="仿宋_GB2312" w:eastAsia="仿宋_GB2312" w:cs="仿宋_GB2312"/>
                <w:b/>
                <w:bCs/>
                <w:spacing w:val="-5"/>
                <w:sz w:val="32"/>
                <w:szCs w:val="32"/>
              </w:rPr>
              <w:t>首违免罚事项清单初次违法且危害后果轻微并及时改正的，可以不予行政处罚</w:t>
            </w:r>
          </w:p>
        </w:tc>
      </w:tr>
      <w:tr w14:paraId="7116ED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6" w:hRule="atLeast"/>
        </w:trPr>
        <w:tc>
          <w:tcPr>
            <w:tcW w:w="724" w:type="dxa"/>
            <w:vAlign w:val="top"/>
          </w:tcPr>
          <w:p w14:paraId="251D85E3">
            <w:pPr>
              <w:pStyle w:val="6"/>
              <w:keepNext w:val="0"/>
              <w:keepLines w:val="0"/>
              <w:pageBreakBefore w:val="0"/>
              <w:widowControl w:val="0"/>
              <w:kinsoku/>
              <w:wordWrap/>
              <w:overflowPunct/>
              <w:topLinePunct w:val="0"/>
              <w:autoSpaceDE/>
              <w:autoSpaceDN/>
              <w:bidi w:val="0"/>
              <w:adjustRightInd/>
              <w:snapToGrid/>
              <w:spacing w:before="293" w:line="440" w:lineRule="exact"/>
              <w:ind w:left="114"/>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7"/>
                <w:sz w:val="24"/>
                <w:szCs w:val="24"/>
              </w:rPr>
              <w:t>序号</w:t>
            </w:r>
          </w:p>
        </w:tc>
        <w:tc>
          <w:tcPr>
            <w:tcW w:w="1201" w:type="dxa"/>
            <w:vAlign w:val="top"/>
          </w:tcPr>
          <w:p w14:paraId="074E9E7E">
            <w:pPr>
              <w:pStyle w:val="6"/>
              <w:keepNext w:val="0"/>
              <w:keepLines w:val="0"/>
              <w:pageBreakBefore w:val="0"/>
              <w:widowControl w:val="0"/>
              <w:kinsoku/>
              <w:wordWrap/>
              <w:overflowPunct/>
              <w:topLinePunct w:val="0"/>
              <w:autoSpaceDE/>
              <w:autoSpaceDN/>
              <w:bidi w:val="0"/>
              <w:adjustRightInd/>
              <w:snapToGrid/>
              <w:spacing w:before="71" w:line="440" w:lineRule="exact"/>
              <w:ind w:left="280" w:right="282"/>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5"/>
                <w:sz w:val="24"/>
                <w:szCs w:val="24"/>
              </w:rPr>
              <w:t>业务</w:t>
            </w:r>
            <w:r>
              <w:rPr>
                <w:rFonts w:hint="eastAsia" w:ascii="仿宋_GB2312" w:hAnsi="仿宋_GB2312" w:eastAsia="仿宋_GB2312" w:cs="仿宋_GB2312"/>
                <w:sz w:val="24"/>
                <w:szCs w:val="24"/>
              </w:rPr>
              <w:t xml:space="preserve"> </w:t>
            </w:r>
            <w:r>
              <w:rPr>
                <w:rFonts w:hint="eastAsia" w:ascii="仿宋_GB2312" w:hAnsi="仿宋_GB2312" w:eastAsia="仿宋_GB2312" w:cs="仿宋_GB2312"/>
                <w:spacing w:val="7"/>
                <w:sz w:val="24"/>
                <w:szCs w:val="24"/>
              </w:rPr>
              <w:t>类型</w:t>
            </w:r>
          </w:p>
        </w:tc>
        <w:tc>
          <w:tcPr>
            <w:tcW w:w="1367" w:type="dxa"/>
            <w:vAlign w:val="top"/>
          </w:tcPr>
          <w:p w14:paraId="5271BF77">
            <w:pPr>
              <w:pStyle w:val="6"/>
              <w:keepNext w:val="0"/>
              <w:keepLines w:val="0"/>
              <w:pageBreakBefore w:val="0"/>
              <w:widowControl w:val="0"/>
              <w:kinsoku/>
              <w:wordWrap/>
              <w:overflowPunct/>
              <w:topLinePunct w:val="0"/>
              <w:autoSpaceDE/>
              <w:autoSpaceDN/>
              <w:bidi w:val="0"/>
              <w:adjustRightInd/>
              <w:snapToGrid/>
              <w:spacing w:before="292" w:line="440" w:lineRule="exact"/>
              <w:ind w:left="261"/>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3"/>
                <w:sz w:val="24"/>
                <w:szCs w:val="24"/>
              </w:rPr>
              <w:t>违法行为</w:t>
            </w:r>
          </w:p>
        </w:tc>
        <w:tc>
          <w:tcPr>
            <w:tcW w:w="2898" w:type="dxa"/>
            <w:vAlign w:val="top"/>
          </w:tcPr>
          <w:p w14:paraId="16F7FF71">
            <w:pPr>
              <w:pStyle w:val="6"/>
              <w:keepNext w:val="0"/>
              <w:keepLines w:val="0"/>
              <w:pageBreakBefore w:val="0"/>
              <w:widowControl w:val="0"/>
              <w:kinsoku/>
              <w:wordWrap/>
              <w:overflowPunct/>
              <w:topLinePunct w:val="0"/>
              <w:autoSpaceDE/>
              <w:autoSpaceDN/>
              <w:bidi w:val="0"/>
              <w:adjustRightInd/>
              <w:snapToGrid/>
              <w:spacing w:before="71" w:line="440" w:lineRule="exact"/>
              <w:ind w:left="952"/>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2"/>
                <w:sz w:val="24"/>
                <w:szCs w:val="24"/>
              </w:rPr>
              <w:t>适用条件</w:t>
            </w:r>
          </w:p>
          <w:p w14:paraId="50370821">
            <w:pPr>
              <w:pStyle w:val="6"/>
              <w:keepNext w:val="0"/>
              <w:keepLines w:val="0"/>
              <w:pageBreakBefore w:val="0"/>
              <w:widowControl w:val="0"/>
              <w:kinsoku/>
              <w:wordWrap/>
              <w:overflowPunct/>
              <w:topLinePunct w:val="0"/>
              <w:autoSpaceDE/>
              <w:autoSpaceDN/>
              <w:bidi w:val="0"/>
              <w:adjustRightInd/>
              <w:snapToGrid/>
              <w:spacing w:before="125" w:line="440" w:lineRule="exact"/>
              <w:ind w:left="682"/>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7"/>
                <w:sz w:val="24"/>
                <w:szCs w:val="24"/>
                <w:lang w:eastAsia="zh-CN"/>
              </w:rPr>
              <w:t>（</w:t>
            </w:r>
            <w:r>
              <w:rPr>
                <w:rFonts w:hint="eastAsia" w:ascii="仿宋_GB2312" w:hAnsi="仿宋_GB2312" w:eastAsia="仿宋_GB2312" w:cs="仿宋_GB2312"/>
                <w:spacing w:val="7"/>
                <w:sz w:val="24"/>
                <w:szCs w:val="24"/>
              </w:rPr>
              <w:t>须全部满足</w:t>
            </w:r>
            <w:r>
              <w:rPr>
                <w:rFonts w:hint="eastAsia" w:ascii="仿宋_GB2312" w:hAnsi="仿宋_GB2312" w:eastAsia="仿宋_GB2312" w:cs="仿宋_GB2312"/>
                <w:spacing w:val="7"/>
                <w:sz w:val="24"/>
                <w:szCs w:val="24"/>
                <w:lang w:eastAsia="zh-CN"/>
              </w:rPr>
              <w:t>）</w:t>
            </w:r>
          </w:p>
        </w:tc>
        <w:tc>
          <w:tcPr>
            <w:tcW w:w="6730" w:type="dxa"/>
            <w:vAlign w:val="top"/>
          </w:tcPr>
          <w:p w14:paraId="2D89C8A7">
            <w:pPr>
              <w:pStyle w:val="6"/>
              <w:keepNext w:val="0"/>
              <w:keepLines w:val="0"/>
              <w:pageBreakBefore w:val="0"/>
              <w:widowControl w:val="0"/>
              <w:kinsoku/>
              <w:wordWrap/>
              <w:overflowPunct/>
              <w:topLinePunct w:val="0"/>
              <w:autoSpaceDE/>
              <w:autoSpaceDN/>
              <w:bidi w:val="0"/>
              <w:adjustRightInd/>
              <w:snapToGrid/>
              <w:spacing w:before="290" w:line="440" w:lineRule="exact"/>
              <w:ind w:left="2875"/>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3"/>
                <w:sz w:val="24"/>
                <w:szCs w:val="24"/>
              </w:rPr>
              <w:t>法定依据</w:t>
            </w:r>
          </w:p>
        </w:tc>
        <w:tc>
          <w:tcPr>
            <w:tcW w:w="1569" w:type="dxa"/>
            <w:vAlign w:val="top"/>
          </w:tcPr>
          <w:p w14:paraId="165A375E">
            <w:pPr>
              <w:pStyle w:val="6"/>
              <w:keepNext w:val="0"/>
              <w:keepLines w:val="0"/>
              <w:pageBreakBefore w:val="0"/>
              <w:widowControl w:val="0"/>
              <w:kinsoku/>
              <w:wordWrap/>
              <w:overflowPunct/>
              <w:topLinePunct w:val="0"/>
              <w:autoSpaceDE/>
              <w:autoSpaceDN/>
              <w:bidi w:val="0"/>
              <w:adjustRightInd/>
              <w:snapToGrid/>
              <w:spacing w:before="81" w:line="440" w:lineRule="exact"/>
              <w:ind w:left="308" w:right="181" w:hanging="119"/>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2"/>
                <w:sz w:val="24"/>
                <w:szCs w:val="24"/>
              </w:rPr>
              <w:t>备注：配套监管措施</w:t>
            </w:r>
          </w:p>
        </w:tc>
      </w:tr>
      <w:tr w14:paraId="4FC4D4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32" w:hRule="atLeast"/>
        </w:trPr>
        <w:tc>
          <w:tcPr>
            <w:tcW w:w="724" w:type="dxa"/>
            <w:vAlign w:val="center"/>
          </w:tcPr>
          <w:p w14:paraId="483FAF5C">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1201" w:type="dxa"/>
            <w:vAlign w:val="center"/>
          </w:tcPr>
          <w:p w14:paraId="359EBC8D">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消防安全</w:t>
            </w:r>
          </w:p>
        </w:tc>
        <w:tc>
          <w:tcPr>
            <w:tcW w:w="1367" w:type="dxa"/>
            <w:vAlign w:val="center"/>
          </w:tcPr>
          <w:p w14:paraId="0FA9569F">
            <w:pPr>
              <w:keepNext w:val="0"/>
              <w:keepLines w:val="0"/>
              <w:pageBreakBefore w:val="0"/>
              <w:widowControl/>
              <w:suppressLineNumbers w:val="0"/>
              <w:kinsoku/>
              <w:wordWrap/>
              <w:overflowPunct/>
              <w:topLinePunct w:val="0"/>
              <w:autoSpaceDE/>
              <w:autoSpaceDN/>
              <w:bidi w:val="0"/>
              <w:adjustRightInd/>
              <w:snapToGrid/>
              <w:spacing w:line="440" w:lineRule="exact"/>
              <w:jc w:val="both"/>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占用、堵塞疏散通道、安全出口或者有其他妨碍安全疏散行为的</w:t>
            </w:r>
          </w:p>
        </w:tc>
        <w:tc>
          <w:tcPr>
            <w:tcW w:w="2898" w:type="dxa"/>
            <w:vAlign w:val="center"/>
          </w:tcPr>
          <w:p w14:paraId="673E7D68">
            <w:pPr>
              <w:keepNext w:val="0"/>
              <w:keepLines w:val="0"/>
              <w:pageBreakBefore w:val="0"/>
              <w:widowControl/>
              <w:suppressLineNumbers w:val="0"/>
              <w:kinsoku/>
              <w:wordWrap/>
              <w:overflowPunct/>
              <w:topLinePunct w:val="0"/>
              <w:autoSpaceDE/>
              <w:autoSpaceDN/>
              <w:bidi w:val="0"/>
              <w:adjustRightInd/>
              <w:snapToGrid/>
              <w:spacing w:line="440" w:lineRule="exact"/>
              <w:jc w:val="both"/>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1.属于一年内初次被发现实施违法行为；</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2.当场改正；</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3.危害后果轻微</w:t>
            </w:r>
          </w:p>
        </w:tc>
        <w:tc>
          <w:tcPr>
            <w:tcW w:w="6730" w:type="dxa"/>
            <w:vAlign w:val="center"/>
          </w:tcPr>
          <w:p w14:paraId="685A2631">
            <w:pPr>
              <w:keepNext w:val="0"/>
              <w:keepLines w:val="0"/>
              <w:pageBreakBefore w:val="0"/>
              <w:widowControl/>
              <w:suppressLineNumbers w:val="0"/>
              <w:kinsoku/>
              <w:wordWrap/>
              <w:overflowPunct/>
              <w:topLinePunct w:val="0"/>
              <w:autoSpaceDE/>
              <w:autoSpaceDN/>
              <w:bidi w:val="0"/>
              <w:adjustRightInd/>
              <w:snapToGrid/>
              <w:spacing w:line="440" w:lineRule="exact"/>
              <w:ind w:firstLine="480" w:firstLineChars="200"/>
              <w:jc w:val="both"/>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《中华人民共和国消防法》第六十条第一款　单位违反本法规定，有下列行为之一的，责令改正，处五千元以上五万元以下罚款：……（三）占用、堵塞、封闭疏散通道、安全出口或者有其他妨碍安全疏散行为的；</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 xml:space="preserve">    第六十条第二款  个人有前款第二项、第三项、第四项、第五项行为之一的，处警告或者五百元以下罚款。</w:t>
            </w:r>
          </w:p>
        </w:tc>
        <w:tc>
          <w:tcPr>
            <w:tcW w:w="1569" w:type="dxa"/>
            <w:vAlign w:val="center"/>
          </w:tcPr>
          <w:p w14:paraId="325CAFC1">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责令改正、普法教育</w:t>
            </w:r>
          </w:p>
        </w:tc>
      </w:tr>
      <w:tr w14:paraId="650CE7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32" w:hRule="atLeast"/>
        </w:trPr>
        <w:tc>
          <w:tcPr>
            <w:tcW w:w="724" w:type="dxa"/>
            <w:vAlign w:val="center"/>
          </w:tcPr>
          <w:p w14:paraId="6E4262C2">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w:t>
            </w:r>
          </w:p>
        </w:tc>
        <w:tc>
          <w:tcPr>
            <w:tcW w:w="1201" w:type="dxa"/>
            <w:vAlign w:val="center"/>
          </w:tcPr>
          <w:p w14:paraId="26CE4854">
            <w:pPr>
              <w:keepNext w:val="0"/>
              <w:keepLines w:val="0"/>
              <w:pageBreakBefore w:val="0"/>
              <w:widowControl/>
              <w:suppressLineNumbers w:val="0"/>
              <w:tabs>
                <w:tab w:val="left" w:pos="341"/>
              </w:tabs>
              <w:kinsoku/>
              <w:wordWrap/>
              <w:overflowPunct/>
              <w:topLinePunct w:val="0"/>
              <w:autoSpaceDE/>
              <w:autoSpaceDN/>
              <w:bidi w:val="0"/>
              <w:adjustRightInd/>
              <w:snapToGrid/>
              <w:spacing w:line="440" w:lineRule="exact"/>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消防安全</w:t>
            </w:r>
          </w:p>
        </w:tc>
        <w:tc>
          <w:tcPr>
            <w:tcW w:w="1367" w:type="dxa"/>
            <w:vAlign w:val="center"/>
          </w:tcPr>
          <w:p w14:paraId="2C95D4E8">
            <w:pPr>
              <w:keepNext w:val="0"/>
              <w:keepLines w:val="0"/>
              <w:pageBreakBefore w:val="0"/>
              <w:widowControl/>
              <w:suppressLineNumbers w:val="0"/>
              <w:kinsoku/>
              <w:wordWrap/>
              <w:overflowPunct/>
              <w:topLinePunct w:val="0"/>
              <w:autoSpaceDE/>
              <w:autoSpaceDN/>
              <w:bidi w:val="0"/>
              <w:adjustRightInd/>
              <w:snapToGrid/>
              <w:spacing w:line="440" w:lineRule="exact"/>
              <w:jc w:val="both"/>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对占用、堵塞、封闭消防车通道的处罚</w:t>
            </w:r>
          </w:p>
        </w:tc>
        <w:tc>
          <w:tcPr>
            <w:tcW w:w="2898" w:type="dxa"/>
            <w:vAlign w:val="center"/>
          </w:tcPr>
          <w:p w14:paraId="5F95483D">
            <w:pPr>
              <w:keepNext w:val="0"/>
              <w:keepLines w:val="0"/>
              <w:pageBreakBefore w:val="0"/>
              <w:widowControl/>
              <w:suppressLineNumbers w:val="0"/>
              <w:kinsoku/>
              <w:wordWrap/>
              <w:overflowPunct/>
              <w:topLinePunct w:val="0"/>
              <w:autoSpaceDE/>
              <w:autoSpaceDN/>
              <w:bidi w:val="0"/>
              <w:adjustRightInd/>
              <w:snapToGrid/>
              <w:spacing w:line="440" w:lineRule="exact"/>
              <w:jc w:val="both"/>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1.属于一年内初次被发现实施违法行为；</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2.当场改正；</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3.危害后果轻微。</w:t>
            </w:r>
          </w:p>
        </w:tc>
        <w:tc>
          <w:tcPr>
            <w:tcW w:w="6730" w:type="dxa"/>
            <w:vAlign w:val="center"/>
          </w:tcPr>
          <w:p w14:paraId="33AC5F73">
            <w:pPr>
              <w:keepNext w:val="0"/>
              <w:keepLines w:val="0"/>
              <w:pageBreakBefore w:val="0"/>
              <w:widowControl/>
              <w:suppressLineNumbers w:val="0"/>
              <w:kinsoku/>
              <w:wordWrap/>
              <w:overflowPunct/>
              <w:topLinePunct w:val="0"/>
              <w:autoSpaceDE/>
              <w:autoSpaceDN/>
              <w:bidi w:val="0"/>
              <w:adjustRightInd/>
              <w:snapToGrid/>
              <w:spacing w:line="440" w:lineRule="exact"/>
              <w:ind w:firstLine="480" w:firstLineChars="200"/>
              <w:jc w:val="both"/>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《中华人民共和国消防法》第六十条第一款 单位违反本法规定，有下列行为之一的，责令改正，处五千元以上五万元以下罚款：……（五）占用、堵塞、封闭消防车通道，妨碍消防车通行的；第六十条第二款  个人有前款第二项、第三项、第四项、第五项行为之一的，处警告或者五百元以下罚款。</w:t>
            </w:r>
          </w:p>
        </w:tc>
        <w:tc>
          <w:tcPr>
            <w:tcW w:w="1569" w:type="dxa"/>
            <w:vAlign w:val="center"/>
          </w:tcPr>
          <w:p w14:paraId="38E7CFDF">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责令改正、普法教育</w:t>
            </w:r>
          </w:p>
        </w:tc>
      </w:tr>
      <w:tr w14:paraId="18A654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76" w:hRule="atLeast"/>
        </w:trPr>
        <w:tc>
          <w:tcPr>
            <w:tcW w:w="724" w:type="dxa"/>
            <w:vAlign w:val="center"/>
          </w:tcPr>
          <w:p w14:paraId="071BCD77">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w:t>
            </w:r>
          </w:p>
        </w:tc>
        <w:tc>
          <w:tcPr>
            <w:tcW w:w="1201" w:type="dxa"/>
            <w:vAlign w:val="center"/>
          </w:tcPr>
          <w:p w14:paraId="37254A53">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市容和环境卫生</w:t>
            </w:r>
          </w:p>
        </w:tc>
        <w:tc>
          <w:tcPr>
            <w:tcW w:w="1367" w:type="dxa"/>
            <w:vAlign w:val="center"/>
          </w:tcPr>
          <w:p w14:paraId="2B44B028">
            <w:pPr>
              <w:keepNext w:val="0"/>
              <w:keepLines w:val="0"/>
              <w:pageBreakBefore w:val="0"/>
              <w:widowControl/>
              <w:suppressLineNumbers w:val="0"/>
              <w:kinsoku/>
              <w:wordWrap/>
              <w:overflowPunct/>
              <w:topLinePunct w:val="0"/>
              <w:autoSpaceDE/>
              <w:autoSpaceDN/>
              <w:bidi w:val="0"/>
              <w:adjustRightInd/>
              <w:snapToGrid/>
              <w:spacing w:line="440" w:lineRule="exact"/>
              <w:jc w:val="both"/>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乱倒垃圾、污水、粪便；随地便溺的处罚</w:t>
            </w:r>
          </w:p>
        </w:tc>
        <w:tc>
          <w:tcPr>
            <w:tcW w:w="2898" w:type="dxa"/>
            <w:vAlign w:val="center"/>
          </w:tcPr>
          <w:p w14:paraId="7E379EBF">
            <w:pPr>
              <w:keepNext w:val="0"/>
              <w:keepLines w:val="0"/>
              <w:pageBreakBefore w:val="0"/>
              <w:widowControl/>
              <w:suppressLineNumbers w:val="0"/>
              <w:kinsoku/>
              <w:wordWrap/>
              <w:overflowPunct/>
              <w:topLinePunct w:val="0"/>
              <w:autoSpaceDE/>
              <w:autoSpaceDN/>
              <w:bidi w:val="0"/>
              <w:adjustRightInd/>
              <w:snapToGrid/>
              <w:spacing w:line="440" w:lineRule="exact"/>
              <w:jc w:val="both"/>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初次违法，经执法队员纠正后立即清理干净垃圾、污水、粪便、便溺，未造成危害后果的。</w:t>
            </w:r>
          </w:p>
          <w:p w14:paraId="1EBB93F6">
            <w:pPr>
              <w:keepNext w:val="0"/>
              <w:keepLines w:val="0"/>
              <w:pageBreakBefore w:val="0"/>
              <w:widowControl/>
              <w:suppressLineNumbers w:val="0"/>
              <w:kinsoku/>
              <w:wordWrap/>
              <w:overflowPunct/>
              <w:topLinePunct w:val="0"/>
              <w:autoSpaceDE/>
              <w:autoSpaceDN/>
              <w:bidi w:val="0"/>
              <w:adjustRightInd/>
              <w:snapToGrid/>
              <w:spacing w:line="440" w:lineRule="exact"/>
              <w:jc w:val="both"/>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初次违法指的是：两年内未因实施同一违法行为被查处。</w:t>
            </w:r>
          </w:p>
        </w:tc>
        <w:tc>
          <w:tcPr>
            <w:tcW w:w="6730" w:type="dxa"/>
            <w:vAlign w:val="center"/>
          </w:tcPr>
          <w:p w14:paraId="3D4016CC">
            <w:pPr>
              <w:keepNext w:val="0"/>
              <w:keepLines w:val="0"/>
              <w:pageBreakBefore w:val="0"/>
              <w:widowControl/>
              <w:suppressLineNumbers w:val="0"/>
              <w:kinsoku/>
              <w:wordWrap/>
              <w:overflowPunct/>
              <w:topLinePunct w:val="0"/>
              <w:autoSpaceDE/>
              <w:autoSpaceDN/>
              <w:bidi w:val="0"/>
              <w:adjustRightInd/>
              <w:snapToGrid/>
              <w:spacing w:line="440" w:lineRule="exact"/>
              <w:ind w:firstLine="480" w:firstLineChars="200"/>
              <w:jc w:val="both"/>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《泉州市市容和环境卫生管理条例》第五十一条 违反第二项、第三项规定的，由城市管理主管部门责令清理，可以处一百元以上五百元以下罚款。</w:t>
            </w:r>
          </w:p>
        </w:tc>
        <w:tc>
          <w:tcPr>
            <w:tcW w:w="1569" w:type="dxa"/>
            <w:vAlign w:val="center"/>
          </w:tcPr>
          <w:p w14:paraId="14220B29">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责令改正、普法教育</w:t>
            </w:r>
          </w:p>
        </w:tc>
      </w:tr>
      <w:tr w14:paraId="7C9FF1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32" w:hRule="atLeast"/>
        </w:trPr>
        <w:tc>
          <w:tcPr>
            <w:tcW w:w="724" w:type="dxa"/>
            <w:vAlign w:val="center"/>
          </w:tcPr>
          <w:p w14:paraId="09365580">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4</w:t>
            </w:r>
          </w:p>
        </w:tc>
        <w:tc>
          <w:tcPr>
            <w:tcW w:w="1201" w:type="dxa"/>
            <w:vAlign w:val="center"/>
          </w:tcPr>
          <w:p w14:paraId="65365C80">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物业管理</w:t>
            </w:r>
          </w:p>
        </w:tc>
        <w:tc>
          <w:tcPr>
            <w:tcW w:w="1367" w:type="dxa"/>
            <w:vAlign w:val="center"/>
          </w:tcPr>
          <w:p w14:paraId="58683413">
            <w:pPr>
              <w:keepNext w:val="0"/>
              <w:keepLines w:val="0"/>
              <w:pageBreakBefore w:val="0"/>
              <w:widowControl/>
              <w:suppressLineNumbers w:val="0"/>
              <w:kinsoku/>
              <w:wordWrap/>
              <w:overflowPunct/>
              <w:topLinePunct w:val="0"/>
              <w:autoSpaceDE/>
              <w:autoSpaceDN/>
              <w:bidi w:val="0"/>
              <w:adjustRightInd/>
              <w:snapToGrid/>
              <w:spacing w:line="440" w:lineRule="exact"/>
              <w:jc w:val="both"/>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原业主委员会未按期移交有关文件资料、印章及其他财物的处罚</w:t>
            </w:r>
          </w:p>
        </w:tc>
        <w:tc>
          <w:tcPr>
            <w:tcW w:w="2898" w:type="dxa"/>
            <w:vAlign w:val="center"/>
          </w:tcPr>
          <w:p w14:paraId="4B1FE8DB">
            <w:pPr>
              <w:keepNext w:val="0"/>
              <w:keepLines w:val="0"/>
              <w:pageBreakBefore w:val="0"/>
              <w:widowControl/>
              <w:suppressLineNumbers w:val="0"/>
              <w:kinsoku/>
              <w:wordWrap/>
              <w:overflowPunct/>
              <w:topLinePunct w:val="0"/>
              <w:autoSpaceDE/>
              <w:autoSpaceDN/>
              <w:bidi w:val="0"/>
              <w:adjustRightInd/>
              <w:snapToGrid/>
              <w:spacing w:line="440" w:lineRule="exact"/>
              <w:jc w:val="both"/>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初次违法且危害后果轻微并及时改正的</w:t>
            </w:r>
          </w:p>
        </w:tc>
        <w:tc>
          <w:tcPr>
            <w:tcW w:w="6730" w:type="dxa"/>
            <w:vAlign w:val="center"/>
          </w:tcPr>
          <w:p w14:paraId="5A7B67F4">
            <w:pPr>
              <w:keepNext w:val="0"/>
              <w:keepLines w:val="0"/>
              <w:pageBreakBefore w:val="0"/>
              <w:widowControl/>
              <w:suppressLineNumbers w:val="0"/>
              <w:kinsoku/>
              <w:wordWrap/>
              <w:overflowPunct/>
              <w:topLinePunct w:val="0"/>
              <w:autoSpaceDE/>
              <w:autoSpaceDN/>
              <w:bidi w:val="0"/>
              <w:adjustRightInd/>
              <w:snapToGrid/>
              <w:spacing w:line="440" w:lineRule="exact"/>
              <w:jc w:val="both"/>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 xml:space="preserve">    1.《福建省物业管理条例》第七十八条 违反本条例第二十七条第四款、第二十九条第二款、第三十二条规定，未按期移交有关文件资料、印章及其他财物，或者未按规定公示资产清查结果的，由县级以上地方人民政府物业管理主管部门责令限期改正；逾期不改正的，对原业主委员会相关责任人或者终止资格的原业主委员会委员处三千元以上一万元以下罚款，造成财物损坏或者灭失的由相关责任人依法承担相应的赔偿责任。</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 xml:space="preserve">    2.《中华人民共和国行政处罚法》第三十三条第一款 违法行为轻微并及时改正，没有造成危害后果的，不予行政处罚。初次违法且危害后果轻微并及时改正的，可以不予行政处罚。</w:t>
            </w:r>
          </w:p>
        </w:tc>
        <w:tc>
          <w:tcPr>
            <w:tcW w:w="1569" w:type="dxa"/>
            <w:vAlign w:val="center"/>
          </w:tcPr>
          <w:p w14:paraId="1B051B3A">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责令改正、普法教育</w:t>
            </w:r>
          </w:p>
        </w:tc>
      </w:tr>
      <w:tr w14:paraId="3B4E70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32" w:hRule="atLeast"/>
        </w:trPr>
        <w:tc>
          <w:tcPr>
            <w:tcW w:w="724" w:type="dxa"/>
            <w:vAlign w:val="center"/>
          </w:tcPr>
          <w:p w14:paraId="7EFADB3B">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5</w:t>
            </w:r>
          </w:p>
        </w:tc>
        <w:tc>
          <w:tcPr>
            <w:tcW w:w="1201" w:type="dxa"/>
            <w:vAlign w:val="center"/>
          </w:tcPr>
          <w:p w14:paraId="0460C78D">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物业管理</w:t>
            </w:r>
          </w:p>
        </w:tc>
        <w:tc>
          <w:tcPr>
            <w:tcW w:w="1367" w:type="dxa"/>
            <w:vAlign w:val="center"/>
          </w:tcPr>
          <w:p w14:paraId="209C2EFC">
            <w:pPr>
              <w:keepNext w:val="0"/>
              <w:keepLines w:val="0"/>
              <w:pageBreakBefore w:val="0"/>
              <w:widowControl/>
              <w:suppressLineNumbers w:val="0"/>
              <w:kinsoku/>
              <w:wordWrap/>
              <w:overflowPunct/>
              <w:topLinePunct w:val="0"/>
              <w:autoSpaceDE/>
              <w:autoSpaceDN/>
              <w:bidi w:val="0"/>
              <w:adjustRightInd/>
              <w:snapToGrid/>
              <w:spacing w:line="440" w:lineRule="exact"/>
              <w:jc w:val="both"/>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业主委员会未按规定公示资产清查结果的处罚</w:t>
            </w:r>
          </w:p>
        </w:tc>
        <w:tc>
          <w:tcPr>
            <w:tcW w:w="2898" w:type="dxa"/>
            <w:vAlign w:val="center"/>
          </w:tcPr>
          <w:p w14:paraId="3FA30E48">
            <w:pPr>
              <w:keepNext w:val="0"/>
              <w:keepLines w:val="0"/>
              <w:pageBreakBefore w:val="0"/>
              <w:widowControl/>
              <w:suppressLineNumbers w:val="0"/>
              <w:kinsoku/>
              <w:wordWrap/>
              <w:overflowPunct/>
              <w:topLinePunct w:val="0"/>
              <w:autoSpaceDE/>
              <w:autoSpaceDN/>
              <w:bidi w:val="0"/>
              <w:adjustRightInd/>
              <w:snapToGrid/>
              <w:spacing w:line="440" w:lineRule="exact"/>
              <w:jc w:val="both"/>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初次违法且危害后果轻微并及时改正的</w:t>
            </w:r>
          </w:p>
        </w:tc>
        <w:tc>
          <w:tcPr>
            <w:tcW w:w="6730" w:type="dxa"/>
            <w:vAlign w:val="center"/>
          </w:tcPr>
          <w:p w14:paraId="118D54C1">
            <w:pPr>
              <w:keepNext w:val="0"/>
              <w:keepLines w:val="0"/>
              <w:pageBreakBefore w:val="0"/>
              <w:widowControl/>
              <w:suppressLineNumbers w:val="0"/>
              <w:kinsoku/>
              <w:wordWrap/>
              <w:overflowPunct/>
              <w:topLinePunct w:val="0"/>
              <w:autoSpaceDE/>
              <w:autoSpaceDN/>
              <w:bidi w:val="0"/>
              <w:adjustRightInd/>
              <w:snapToGrid/>
              <w:spacing w:line="440" w:lineRule="exact"/>
              <w:jc w:val="both"/>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 xml:space="preserve">    1.《福建省物业管理条例》</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 xml:space="preserve">    第七十八条 违反本条例第二十七条第四款、第二十九条第二款、第三十二条规定，未按期移交有关文件资料、印章及其他财物，或者未按规定公示资产清查结果的，由县级以上地方人民政府物业管理主管部门责令限期改正；逾期不改正的，对原业主委员会相关责任人或者终止资格的原业主委员会委员处三千元以上一万元以下罚款，造成财物损坏或者灭失的由相关责任人依法承担相应的赔偿责任。</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 xml:space="preserve">    2.《中华人民共和国行政处罚法》第三十三条第一款 违法行为轻微并及时改正，没有造成危害后果的，不予行政处罚。初次违法且危害后果轻微并及时改正的，可以不予行政处罚。</w:t>
            </w:r>
          </w:p>
        </w:tc>
        <w:tc>
          <w:tcPr>
            <w:tcW w:w="1569" w:type="dxa"/>
            <w:vAlign w:val="center"/>
          </w:tcPr>
          <w:p w14:paraId="7AE2B466">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责令改正、普法教育</w:t>
            </w:r>
          </w:p>
        </w:tc>
      </w:tr>
      <w:tr w14:paraId="4CE6AC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32" w:hRule="atLeast"/>
        </w:trPr>
        <w:tc>
          <w:tcPr>
            <w:tcW w:w="724" w:type="dxa"/>
            <w:vAlign w:val="center"/>
          </w:tcPr>
          <w:p w14:paraId="3897FC14">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6</w:t>
            </w:r>
          </w:p>
        </w:tc>
        <w:tc>
          <w:tcPr>
            <w:tcW w:w="1201" w:type="dxa"/>
            <w:vAlign w:val="center"/>
          </w:tcPr>
          <w:p w14:paraId="500AEAA8">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物业管理</w:t>
            </w:r>
          </w:p>
        </w:tc>
        <w:tc>
          <w:tcPr>
            <w:tcW w:w="1367" w:type="dxa"/>
            <w:vAlign w:val="center"/>
          </w:tcPr>
          <w:p w14:paraId="19E5E970">
            <w:pPr>
              <w:keepNext w:val="0"/>
              <w:keepLines w:val="0"/>
              <w:pageBreakBefore w:val="0"/>
              <w:widowControl/>
              <w:suppressLineNumbers w:val="0"/>
              <w:kinsoku/>
              <w:wordWrap/>
              <w:overflowPunct/>
              <w:topLinePunct w:val="0"/>
              <w:autoSpaceDE/>
              <w:autoSpaceDN/>
              <w:bidi w:val="0"/>
              <w:adjustRightInd/>
              <w:snapToGrid/>
              <w:spacing w:line="440" w:lineRule="exact"/>
              <w:jc w:val="both"/>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业主委员会委员资格终止后未按期移交有关文件资料、印章及其他财物的处罚</w:t>
            </w:r>
          </w:p>
        </w:tc>
        <w:tc>
          <w:tcPr>
            <w:tcW w:w="2898" w:type="dxa"/>
            <w:vAlign w:val="center"/>
          </w:tcPr>
          <w:p w14:paraId="059D301A">
            <w:pPr>
              <w:keepNext w:val="0"/>
              <w:keepLines w:val="0"/>
              <w:pageBreakBefore w:val="0"/>
              <w:widowControl/>
              <w:suppressLineNumbers w:val="0"/>
              <w:kinsoku/>
              <w:wordWrap/>
              <w:overflowPunct/>
              <w:topLinePunct w:val="0"/>
              <w:autoSpaceDE/>
              <w:autoSpaceDN/>
              <w:bidi w:val="0"/>
              <w:adjustRightInd/>
              <w:snapToGrid/>
              <w:spacing w:line="440" w:lineRule="exact"/>
              <w:jc w:val="both"/>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初次违法且危害后果轻微并及时改正的</w:t>
            </w:r>
          </w:p>
        </w:tc>
        <w:tc>
          <w:tcPr>
            <w:tcW w:w="6730" w:type="dxa"/>
            <w:vAlign w:val="center"/>
          </w:tcPr>
          <w:p w14:paraId="5A449AD7">
            <w:pPr>
              <w:keepNext w:val="0"/>
              <w:keepLines w:val="0"/>
              <w:pageBreakBefore w:val="0"/>
              <w:widowControl/>
              <w:suppressLineNumbers w:val="0"/>
              <w:kinsoku/>
              <w:wordWrap/>
              <w:overflowPunct/>
              <w:topLinePunct w:val="0"/>
              <w:autoSpaceDE/>
              <w:autoSpaceDN/>
              <w:bidi w:val="0"/>
              <w:adjustRightInd/>
              <w:snapToGrid/>
              <w:spacing w:line="440" w:lineRule="exact"/>
              <w:jc w:val="both"/>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 xml:space="preserve">   1.《福建省物业管理条例》</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 xml:space="preserve">   第七十八条 违反本条例第二十七条第四款、第二十九条第二款、第三十二条规定，未按期移交有关文件资料、印章及其他财物，或者未按规定公示资产清查结果的，由县级以上地方人民政府物业管理主管部门责令限期改正；逾期不改正的，对原业主委员会相关责任人或者终止资格的原业主委员会委员处三千元以上一万元以下罚款，造成财物损坏或者灭失的由相关责任人依法承担相应的赔偿责任。</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 xml:space="preserve">    2.《中华人民共和国行政处罚法》第三十三条第一款 违法行为轻微并及时改正，没有造成危害后果的，不予行政处罚。初次违法且危害后果轻微并及时改正的，可以不予行政处罚。</w:t>
            </w:r>
          </w:p>
        </w:tc>
        <w:tc>
          <w:tcPr>
            <w:tcW w:w="1569" w:type="dxa"/>
            <w:vAlign w:val="center"/>
          </w:tcPr>
          <w:p w14:paraId="1D703214">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责令改正、普法教育</w:t>
            </w:r>
          </w:p>
        </w:tc>
      </w:tr>
      <w:tr w14:paraId="7BCB79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32" w:hRule="atLeast"/>
        </w:trPr>
        <w:tc>
          <w:tcPr>
            <w:tcW w:w="724" w:type="dxa"/>
            <w:vAlign w:val="center"/>
          </w:tcPr>
          <w:p w14:paraId="47A5B961">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7</w:t>
            </w:r>
          </w:p>
        </w:tc>
        <w:tc>
          <w:tcPr>
            <w:tcW w:w="1201" w:type="dxa"/>
            <w:vAlign w:val="center"/>
          </w:tcPr>
          <w:p w14:paraId="197DE6C0">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highlight w:val="none"/>
                <w:u w:val="none"/>
                <w:lang w:val="en-US" w:eastAsia="zh-CN" w:bidi="ar"/>
              </w:rPr>
              <w:t>森林防火</w:t>
            </w:r>
          </w:p>
        </w:tc>
        <w:tc>
          <w:tcPr>
            <w:tcW w:w="1367" w:type="dxa"/>
            <w:vAlign w:val="center"/>
          </w:tcPr>
          <w:p w14:paraId="074A3469">
            <w:pPr>
              <w:keepNext w:val="0"/>
              <w:keepLines w:val="0"/>
              <w:pageBreakBefore w:val="0"/>
              <w:widowControl/>
              <w:suppressLineNumbers w:val="0"/>
              <w:kinsoku/>
              <w:wordWrap/>
              <w:overflowPunct/>
              <w:topLinePunct w:val="0"/>
              <w:autoSpaceDE/>
              <w:autoSpaceDN/>
              <w:bidi w:val="0"/>
              <w:adjustRightInd/>
              <w:snapToGrid/>
              <w:spacing w:line="440" w:lineRule="exact"/>
              <w:jc w:val="both"/>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对经营者未履行森林防火责任行为的处罚</w:t>
            </w:r>
          </w:p>
        </w:tc>
        <w:tc>
          <w:tcPr>
            <w:tcW w:w="2898" w:type="dxa"/>
            <w:vAlign w:val="center"/>
          </w:tcPr>
          <w:p w14:paraId="5B9C7625">
            <w:pPr>
              <w:keepNext w:val="0"/>
              <w:keepLines w:val="0"/>
              <w:pageBreakBefore w:val="0"/>
              <w:widowControl/>
              <w:suppressLineNumbers w:val="0"/>
              <w:kinsoku/>
              <w:wordWrap/>
              <w:overflowPunct/>
              <w:topLinePunct w:val="0"/>
              <w:autoSpaceDE/>
              <w:autoSpaceDN/>
              <w:bidi w:val="0"/>
              <w:adjustRightInd/>
              <w:snapToGrid/>
              <w:spacing w:line="440" w:lineRule="exact"/>
              <w:jc w:val="both"/>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违反规定未履行森林防火责任，属初次违法并在行政机关作出处罚决定前按规定要求改正且危害后果轻微的。</w:t>
            </w:r>
          </w:p>
        </w:tc>
        <w:tc>
          <w:tcPr>
            <w:tcW w:w="6730" w:type="dxa"/>
            <w:vAlign w:val="center"/>
          </w:tcPr>
          <w:p w14:paraId="2C3B7228">
            <w:pPr>
              <w:keepNext w:val="0"/>
              <w:keepLines w:val="0"/>
              <w:pageBreakBefore w:val="0"/>
              <w:widowControl/>
              <w:numPr>
                <w:ilvl w:val="0"/>
                <w:numId w:val="0"/>
              </w:numPr>
              <w:suppressLineNumbers w:val="0"/>
              <w:kinsoku/>
              <w:wordWrap/>
              <w:overflowPunct/>
              <w:topLinePunct w:val="0"/>
              <w:autoSpaceDE/>
              <w:autoSpaceDN/>
              <w:bidi w:val="0"/>
              <w:adjustRightInd/>
              <w:snapToGrid/>
              <w:spacing w:line="440" w:lineRule="exact"/>
              <w:ind w:firstLine="480" w:firstLineChars="200"/>
              <w:jc w:val="both"/>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1.《森林草原防灭火条例》（国务院令第822号，下同）第二十条 森林、林木、林地、草原经营单位和个人在其经营区域内承担森林草原防灭火责任，应当建立森林草原防灭火责任制，划定森林草原防灭火责任区，确定森林草原防灭火责任人，并配备森林草原防灭火设施设备，定期排查并及时消除火灾隐患。</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 xml:space="preserve">    第二十二条 专职或者兼职护林员、草管员负责巡护森林草原，发现火情应当及时处理并按照有关规定报告，做好防火宣传，并协助有关部门调查森林草原火灾案件。</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 xml:space="preserve">    第二十五条第二款 防火期内，县级以上地方人民政府及其有关部门和森林、林木、林地、草原经营单位和个人，应当根据森林草原火险气象等级预报和预警信息，在防火区内采取相应的火灾预防和应急准备措施。</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 xml:space="preserve">    第四十八条 违反本条例规定，森林、林木、林地、草原经营单位或者个人未履行森林草原防灭火责任的，由县级以上地方人民政府林业草原主管部门、应急管理部门按照职责分工责令改正，对单位处2万元以上10万元以下罚款，对个人处1000元以上1万元以下罚款；拒不改正的，对单位处5万元以上20万元以下罚款，对个人处2000元以上2万元以下罚款。    </w:t>
            </w:r>
          </w:p>
          <w:p w14:paraId="3F3FD6CA">
            <w:pPr>
              <w:keepNext w:val="0"/>
              <w:keepLines w:val="0"/>
              <w:pageBreakBefore w:val="0"/>
              <w:widowControl/>
              <w:numPr>
                <w:ilvl w:val="0"/>
                <w:numId w:val="0"/>
              </w:numPr>
              <w:suppressLineNumbers w:val="0"/>
              <w:kinsoku/>
              <w:wordWrap/>
              <w:overflowPunct/>
              <w:topLinePunct w:val="0"/>
              <w:autoSpaceDE/>
              <w:autoSpaceDN/>
              <w:bidi w:val="0"/>
              <w:adjustRightInd/>
              <w:snapToGrid/>
              <w:spacing w:line="440" w:lineRule="exact"/>
              <w:ind w:firstLine="480" w:firstLineChars="200"/>
              <w:jc w:val="both"/>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2.《中华人民共和国行政处罚法》第三十三条第一款违法行为轻微并及时纠正。没有造成危害后果的，不予行政处罚。</w:t>
            </w:r>
          </w:p>
        </w:tc>
        <w:tc>
          <w:tcPr>
            <w:tcW w:w="1569" w:type="dxa"/>
            <w:vAlign w:val="center"/>
          </w:tcPr>
          <w:p w14:paraId="7C665399">
            <w:pPr>
              <w:keepNext w:val="0"/>
              <w:keepLines w:val="0"/>
              <w:pageBreakBefore w:val="0"/>
              <w:kinsoku/>
              <w:wordWrap/>
              <w:overflowPunct/>
              <w:topLinePunct w:val="0"/>
              <w:autoSpaceDE/>
              <w:autoSpaceDN/>
              <w:bidi w:val="0"/>
              <w:adjustRightInd/>
              <w:snapToGrid/>
              <w:spacing w:line="440" w:lineRule="exact"/>
              <w:rPr>
                <w:rFonts w:hint="eastAsia" w:ascii="仿宋_GB2312" w:hAnsi="仿宋_GB2312" w:eastAsia="仿宋_GB2312" w:cs="仿宋_GB2312"/>
                <w:i w:val="0"/>
                <w:iCs w:val="0"/>
                <w:color w:val="000000"/>
                <w:kern w:val="0"/>
                <w:sz w:val="24"/>
                <w:szCs w:val="24"/>
                <w:u w:val="none"/>
                <w:lang w:val="en-US" w:eastAsia="zh-CN" w:bidi="ar"/>
              </w:rPr>
            </w:pPr>
          </w:p>
        </w:tc>
      </w:tr>
      <w:tr w14:paraId="1C71DA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32" w:hRule="atLeast"/>
        </w:trPr>
        <w:tc>
          <w:tcPr>
            <w:tcW w:w="724" w:type="dxa"/>
            <w:vAlign w:val="center"/>
          </w:tcPr>
          <w:p w14:paraId="4ACA6F0B">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仿宋_GB2312" w:hAnsi="仿宋_GB2312" w:eastAsia="仿宋_GB2312" w:cs="仿宋_GB2312"/>
                <w:i w:val="0"/>
                <w:iCs w:val="0"/>
                <w:color w:val="000000"/>
                <w:kern w:val="0"/>
                <w:sz w:val="24"/>
                <w:szCs w:val="24"/>
                <w:highlight w:val="none"/>
                <w:u w:val="none"/>
                <w:lang w:val="en-US" w:eastAsia="zh-CN" w:bidi="ar"/>
              </w:rPr>
            </w:pPr>
            <w:r>
              <w:rPr>
                <w:rFonts w:hint="eastAsia" w:ascii="仿宋_GB2312" w:hAnsi="仿宋_GB2312" w:eastAsia="仿宋_GB2312" w:cs="仿宋_GB2312"/>
                <w:i w:val="0"/>
                <w:iCs w:val="0"/>
                <w:color w:val="000000"/>
                <w:kern w:val="0"/>
                <w:sz w:val="24"/>
                <w:szCs w:val="24"/>
                <w:highlight w:val="none"/>
                <w:u w:val="none"/>
                <w:lang w:val="en-US" w:eastAsia="zh-CN" w:bidi="ar"/>
              </w:rPr>
              <w:t>8</w:t>
            </w:r>
          </w:p>
        </w:tc>
        <w:tc>
          <w:tcPr>
            <w:tcW w:w="1201" w:type="dxa"/>
            <w:vAlign w:val="center"/>
          </w:tcPr>
          <w:p w14:paraId="1BCCD02A">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仿宋_GB2312" w:hAnsi="仿宋_GB2312" w:eastAsia="仿宋_GB2312" w:cs="仿宋_GB2312"/>
                <w:i w:val="0"/>
                <w:iCs w:val="0"/>
                <w:color w:val="000000"/>
                <w:kern w:val="0"/>
                <w:sz w:val="24"/>
                <w:szCs w:val="24"/>
                <w:highlight w:val="none"/>
                <w:u w:val="none"/>
                <w:lang w:val="en-US" w:eastAsia="zh-CN" w:bidi="ar"/>
              </w:rPr>
            </w:pPr>
            <w:r>
              <w:rPr>
                <w:rFonts w:hint="eastAsia" w:ascii="仿宋_GB2312" w:hAnsi="仿宋_GB2312" w:eastAsia="仿宋_GB2312" w:cs="仿宋_GB2312"/>
                <w:i w:val="0"/>
                <w:iCs w:val="0"/>
                <w:color w:val="000000"/>
                <w:kern w:val="0"/>
                <w:sz w:val="24"/>
                <w:szCs w:val="24"/>
                <w:highlight w:val="none"/>
                <w:u w:val="none"/>
                <w:lang w:val="en-US" w:eastAsia="zh-CN" w:bidi="ar"/>
              </w:rPr>
              <w:t>森林防火</w:t>
            </w:r>
          </w:p>
        </w:tc>
        <w:tc>
          <w:tcPr>
            <w:tcW w:w="1367" w:type="dxa"/>
            <w:vAlign w:val="center"/>
          </w:tcPr>
          <w:p w14:paraId="71045B64">
            <w:pPr>
              <w:keepNext w:val="0"/>
              <w:keepLines w:val="0"/>
              <w:pageBreakBefore w:val="0"/>
              <w:widowControl/>
              <w:suppressLineNumbers w:val="0"/>
              <w:kinsoku/>
              <w:wordWrap/>
              <w:overflowPunct/>
              <w:topLinePunct w:val="0"/>
              <w:autoSpaceDE/>
              <w:autoSpaceDN/>
              <w:bidi w:val="0"/>
              <w:adjustRightInd/>
              <w:snapToGrid/>
              <w:spacing w:line="440" w:lineRule="exact"/>
              <w:jc w:val="both"/>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对未设置森林防火警示宣传标志行为的处罚</w:t>
            </w:r>
          </w:p>
        </w:tc>
        <w:tc>
          <w:tcPr>
            <w:tcW w:w="2898" w:type="dxa"/>
            <w:vAlign w:val="center"/>
          </w:tcPr>
          <w:p w14:paraId="336DAC5E">
            <w:pPr>
              <w:keepNext w:val="0"/>
              <w:keepLines w:val="0"/>
              <w:pageBreakBefore w:val="0"/>
              <w:widowControl/>
              <w:suppressLineNumbers w:val="0"/>
              <w:kinsoku/>
              <w:wordWrap/>
              <w:overflowPunct/>
              <w:topLinePunct w:val="0"/>
              <w:autoSpaceDE/>
              <w:autoSpaceDN/>
              <w:bidi w:val="0"/>
              <w:adjustRightInd/>
              <w:snapToGrid/>
              <w:spacing w:line="440" w:lineRule="exact"/>
              <w:jc w:val="both"/>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森林防火期内，林地面积500亩以下的森林、林木、林地经营单位，未设置森林防火警示宣传标志，属初次违法并在行政机关作出处罚决定前及时改正且危害后果轻微的。</w:t>
            </w:r>
          </w:p>
        </w:tc>
        <w:tc>
          <w:tcPr>
            <w:tcW w:w="6730" w:type="dxa"/>
            <w:vAlign w:val="center"/>
          </w:tcPr>
          <w:p w14:paraId="34BD28BA">
            <w:pPr>
              <w:keepNext w:val="0"/>
              <w:keepLines w:val="0"/>
              <w:pageBreakBefore w:val="0"/>
              <w:widowControl/>
              <w:suppressLineNumbers w:val="0"/>
              <w:kinsoku/>
              <w:wordWrap/>
              <w:overflowPunct/>
              <w:topLinePunct w:val="0"/>
              <w:autoSpaceDE/>
              <w:autoSpaceDN/>
              <w:bidi w:val="0"/>
              <w:adjustRightInd/>
              <w:snapToGrid/>
              <w:spacing w:line="440" w:lineRule="exact"/>
              <w:ind w:firstLine="480" w:firstLineChars="200"/>
              <w:jc w:val="both"/>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1.《森林草原防灭火条例》（国务院令第822号，下同）第二十六条第一款 防火期内，森林、林木、林地、草原经营单位和个人应当在防火区内设置防火警示宣传标志或者设备，并向进入其经营区域的人员告知防火注意事项。</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 xml:space="preserve">    第五十六条违反本条例规定，有下列行为之一的，由县级以上地方人民政府林业草原主管部门责令改正，对单位处5000元以上2万元以下罚款，对个人处300元以上3000元以下罚款：（一）防火期内，森林、林木、林地、草原经营单位和个人未在防火区内设置防火警示宣传标志或者设备，或者经批准的野外用火未按照要求采取防火措施。</w:t>
            </w:r>
          </w:p>
          <w:p w14:paraId="32D2D516">
            <w:pPr>
              <w:keepNext w:val="0"/>
              <w:keepLines w:val="0"/>
              <w:pageBreakBefore w:val="0"/>
              <w:widowControl/>
              <w:suppressLineNumbers w:val="0"/>
              <w:kinsoku/>
              <w:wordWrap/>
              <w:overflowPunct/>
              <w:topLinePunct w:val="0"/>
              <w:autoSpaceDE/>
              <w:autoSpaceDN/>
              <w:bidi w:val="0"/>
              <w:adjustRightInd/>
              <w:snapToGrid/>
              <w:spacing w:line="440" w:lineRule="exact"/>
              <w:ind w:firstLine="480" w:firstLineChars="200"/>
              <w:jc w:val="both"/>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2.《中华人民共和国行政处罚法》第三十三条第一款违法行为轻微并及时纠正。没有造成危害后果的，不予行政处罚。</w:t>
            </w:r>
          </w:p>
        </w:tc>
        <w:tc>
          <w:tcPr>
            <w:tcW w:w="1569" w:type="dxa"/>
            <w:vAlign w:val="center"/>
          </w:tcPr>
          <w:p w14:paraId="5836BD98">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14:paraId="433BD9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32" w:hRule="atLeast"/>
        </w:trPr>
        <w:tc>
          <w:tcPr>
            <w:tcW w:w="724" w:type="dxa"/>
            <w:vAlign w:val="center"/>
          </w:tcPr>
          <w:p w14:paraId="38AA540B">
            <w:pPr>
              <w:keepNext w:val="0"/>
              <w:keepLines w:val="0"/>
              <w:pageBreakBefore w:val="0"/>
              <w:widowControl/>
              <w:suppressLineNumbers w:val="0"/>
              <w:tabs>
                <w:tab w:val="left" w:pos="495"/>
              </w:tabs>
              <w:kinsoku/>
              <w:wordWrap/>
              <w:overflowPunct/>
              <w:topLinePunct w:val="0"/>
              <w:autoSpaceDE/>
              <w:autoSpaceDN/>
              <w:bidi w:val="0"/>
              <w:adjustRightInd/>
              <w:snapToGrid/>
              <w:spacing w:line="440" w:lineRule="exact"/>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9</w:t>
            </w:r>
          </w:p>
        </w:tc>
        <w:tc>
          <w:tcPr>
            <w:tcW w:w="1201" w:type="dxa"/>
            <w:vAlign w:val="center"/>
          </w:tcPr>
          <w:p w14:paraId="0B8E491C">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highlight w:val="none"/>
                <w:u w:val="none"/>
                <w:lang w:val="en-US" w:eastAsia="zh-CN" w:bidi="ar"/>
              </w:rPr>
              <w:t>森林防火</w:t>
            </w:r>
          </w:p>
        </w:tc>
        <w:tc>
          <w:tcPr>
            <w:tcW w:w="1367" w:type="dxa"/>
            <w:vAlign w:val="center"/>
          </w:tcPr>
          <w:p w14:paraId="2A3F81C3">
            <w:pPr>
              <w:keepNext w:val="0"/>
              <w:keepLines w:val="0"/>
              <w:pageBreakBefore w:val="0"/>
              <w:widowControl/>
              <w:suppressLineNumbers w:val="0"/>
              <w:kinsoku/>
              <w:wordWrap/>
              <w:overflowPunct/>
              <w:topLinePunct w:val="0"/>
              <w:autoSpaceDE/>
              <w:autoSpaceDN/>
              <w:bidi w:val="0"/>
              <w:adjustRightInd/>
              <w:snapToGrid/>
              <w:spacing w:line="440" w:lineRule="exact"/>
              <w:jc w:val="both"/>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对擅自进入森林高火险区活动行为的处罚</w:t>
            </w:r>
          </w:p>
        </w:tc>
        <w:tc>
          <w:tcPr>
            <w:tcW w:w="2898" w:type="dxa"/>
            <w:vAlign w:val="center"/>
          </w:tcPr>
          <w:p w14:paraId="7CEC061C">
            <w:pPr>
              <w:keepNext w:val="0"/>
              <w:keepLines w:val="0"/>
              <w:pageBreakBefore w:val="0"/>
              <w:widowControl/>
              <w:suppressLineNumbers w:val="0"/>
              <w:kinsoku/>
              <w:wordWrap/>
              <w:overflowPunct/>
              <w:topLinePunct w:val="0"/>
              <w:autoSpaceDE/>
              <w:autoSpaceDN/>
              <w:bidi w:val="0"/>
              <w:adjustRightInd/>
              <w:snapToGrid/>
              <w:spacing w:line="440" w:lineRule="exact"/>
              <w:jc w:val="both"/>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森林高火险期内，未经批准擅自进入森林高火险区活动，属初次违法并在行政机关作出处罚决定前及时改正或者离开森林高火险区的。</w:t>
            </w:r>
          </w:p>
        </w:tc>
        <w:tc>
          <w:tcPr>
            <w:tcW w:w="6730" w:type="dxa"/>
            <w:vAlign w:val="center"/>
          </w:tcPr>
          <w:p w14:paraId="6C730BE7">
            <w:pPr>
              <w:keepNext w:val="0"/>
              <w:keepLines w:val="0"/>
              <w:pageBreakBefore w:val="0"/>
              <w:widowControl/>
              <w:numPr>
                <w:ilvl w:val="0"/>
                <w:numId w:val="0"/>
              </w:numPr>
              <w:suppressLineNumbers w:val="0"/>
              <w:kinsoku/>
              <w:wordWrap/>
              <w:overflowPunct/>
              <w:topLinePunct w:val="0"/>
              <w:autoSpaceDE/>
              <w:autoSpaceDN/>
              <w:bidi w:val="0"/>
              <w:adjustRightInd/>
              <w:snapToGrid/>
              <w:spacing w:line="440" w:lineRule="exact"/>
              <w:ind w:firstLine="480" w:firstLineChars="200"/>
              <w:jc w:val="both"/>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1.《森林草原防灭火条例》（国务院令第822号，下同）第三十一条　高火险期内进入高火险区的，应当经县级以上地方人民政府批准，严格按照批准的时间、地点、范围活动，并接受县级以上地方人民政府林业草原主管部门和同级相关部门的监督管理。</w:t>
            </w:r>
          </w:p>
          <w:p w14:paraId="68E5080F">
            <w:pPr>
              <w:keepNext w:val="0"/>
              <w:keepLines w:val="0"/>
              <w:pageBreakBefore w:val="0"/>
              <w:widowControl/>
              <w:numPr>
                <w:ilvl w:val="0"/>
                <w:numId w:val="0"/>
              </w:numPr>
              <w:suppressLineNumbers w:val="0"/>
              <w:kinsoku/>
              <w:wordWrap/>
              <w:overflowPunct/>
              <w:topLinePunct w:val="0"/>
              <w:autoSpaceDE/>
              <w:autoSpaceDN/>
              <w:bidi w:val="0"/>
              <w:adjustRightInd/>
              <w:snapToGrid/>
              <w:spacing w:line="440" w:lineRule="exact"/>
              <w:ind w:firstLine="480" w:firstLineChars="200"/>
              <w:jc w:val="both"/>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第五十六条违反本条例规定，有下列行为之一的，由县级以上地方人民政府林业草原主管部门责令改正，对单位处5000元以上2万元以下罚款，对个人处300元以上3000元以下罚款：（五）高火险期内，未经批准擅自进入高火险区活动或者未严格按照批准的时间、地点、范围活动。</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 xml:space="preserve">   2.《中华人民共和国行政处罚法》第三十三条第一款 违法行为轻微并及时纠正。没有造成危害后果的，不予行政处罚。</w:t>
            </w:r>
          </w:p>
        </w:tc>
        <w:tc>
          <w:tcPr>
            <w:tcW w:w="1569" w:type="dxa"/>
            <w:vAlign w:val="center"/>
          </w:tcPr>
          <w:p w14:paraId="7026C2E3">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14:paraId="562277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32" w:hRule="atLeast"/>
        </w:trPr>
        <w:tc>
          <w:tcPr>
            <w:tcW w:w="724" w:type="dxa"/>
            <w:vAlign w:val="center"/>
          </w:tcPr>
          <w:p w14:paraId="5C8222D2">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10</w:t>
            </w:r>
          </w:p>
        </w:tc>
        <w:tc>
          <w:tcPr>
            <w:tcW w:w="1201" w:type="dxa"/>
            <w:vAlign w:val="center"/>
          </w:tcPr>
          <w:p w14:paraId="45313B36">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highlight w:val="none"/>
                <w:u w:val="none"/>
                <w:lang w:val="en-US" w:eastAsia="zh-CN" w:bidi="ar"/>
              </w:rPr>
              <w:t>森林防火</w:t>
            </w:r>
          </w:p>
        </w:tc>
        <w:tc>
          <w:tcPr>
            <w:tcW w:w="1367" w:type="dxa"/>
            <w:vAlign w:val="center"/>
          </w:tcPr>
          <w:p w14:paraId="542727B7">
            <w:pPr>
              <w:keepNext w:val="0"/>
              <w:keepLines w:val="0"/>
              <w:pageBreakBefore w:val="0"/>
              <w:widowControl/>
              <w:suppressLineNumbers w:val="0"/>
              <w:kinsoku/>
              <w:wordWrap/>
              <w:overflowPunct/>
              <w:topLinePunct w:val="0"/>
              <w:autoSpaceDE/>
              <w:autoSpaceDN/>
              <w:bidi w:val="0"/>
              <w:adjustRightInd/>
              <w:snapToGrid/>
              <w:spacing w:line="440" w:lineRule="exact"/>
              <w:jc w:val="both"/>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对在森林禁火期间进行野外用火行为的处罚</w:t>
            </w:r>
          </w:p>
        </w:tc>
        <w:tc>
          <w:tcPr>
            <w:tcW w:w="2898" w:type="dxa"/>
            <w:vAlign w:val="center"/>
          </w:tcPr>
          <w:p w14:paraId="357476AD">
            <w:pPr>
              <w:keepNext w:val="0"/>
              <w:keepLines w:val="0"/>
              <w:pageBreakBefore w:val="0"/>
              <w:widowControl/>
              <w:suppressLineNumbers w:val="0"/>
              <w:kinsoku/>
              <w:wordWrap/>
              <w:overflowPunct/>
              <w:topLinePunct w:val="0"/>
              <w:autoSpaceDE/>
              <w:autoSpaceDN/>
              <w:bidi w:val="0"/>
              <w:adjustRightInd/>
              <w:snapToGrid/>
              <w:spacing w:line="440" w:lineRule="exact"/>
              <w:jc w:val="both"/>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在禁止野外用火命令发布期间进行野外用火，属初次违法并在发现后立即改正，未造成森林火灾且危害后果轻微的。</w:t>
            </w:r>
          </w:p>
        </w:tc>
        <w:tc>
          <w:tcPr>
            <w:tcW w:w="6730" w:type="dxa"/>
            <w:vAlign w:val="center"/>
          </w:tcPr>
          <w:p w14:paraId="69F109CE">
            <w:pPr>
              <w:keepNext w:val="0"/>
              <w:keepLines w:val="0"/>
              <w:pageBreakBefore w:val="0"/>
              <w:widowControl/>
              <w:suppressLineNumbers w:val="0"/>
              <w:kinsoku/>
              <w:wordWrap/>
              <w:overflowPunct/>
              <w:topLinePunct w:val="0"/>
              <w:autoSpaceDE/>
              <w:autoSpaceDN/>
              <w:bidi w:val="0"/>
              <w:adjustRightInd/>
              <w:snapToGrid/>
              <w:spacing w:line="440" w:lineRule="exact"/>
              <w:ind w:firstLine="480" w:firstLineChars="200"/>
              <w:jc w:val="both"/>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《福建省森林防火条例》第十八条第一款 在高温、干旱、大风等高森林火险天气以及春节、元宵、清明、中秋、冬至、春耕备耕、秋收冬种等火灾高发时段，县级以上地方人民政府应当划定森林高火险区，规定森林高火险期。必要时，县级以上地方人民政府可以发布命令，禁止野外用火。</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 xml:space="preserve">    第四十二条 违反本条例第十八条规定。在禁止野外用火命令发布期间进行野外用火的，由县级以上地方人民政府林业主管部门责令停止违法行为，对个人处一千元以上一万元以下罚款，对单位处一万元以上五万元以下罚款。</w:t>
            </w:r>
          </w:p>
        </w:tc>
        <w:tc>
          <w:tcPr>
            <w:tcW w:w="1569" w:type="dxa"/>
            <w:vAlign w:val="center"/>
          </w:tcPr>
          <w:p w14:paraId="5E9CC77E">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bl>
    <w:tbl>
      <w:tblPr>
        <w:tblStyle w:val="4"/>
        <w:tblpPr w:leftFromText="180" w:rightFromText="180" w:vertAnchor="text" w:horzAnchor="page" w:tblpX="1327" w:tblpY="993"/>
        <w:tblOverlap w:val="never"/>
        <w:tblW w:w="1453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50"/>
        <w:gridCol w:w="1305"/>
        <w:gridCol w:w="1830"/>
        <w:gridCol w:w="2550"/>
        <w:gridCol w:w="3066"/>
        <w:gridCol w:w="3459"/>
        <w:gridCol w:w="1770"/>
      </w:tblGrid>
      <w:tr w14:paraId="1FFAA8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2" w:hRule="atLeast"/>
        </w:trPr>
        <w:tc>
          <w:tcPr>
            <w:tcW w:w="14530"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025C5188">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b/>
                <w:bCs/>
                <w:spacing w:val="-4"/>
                <w:kern w:val="2"/>
                <w:sz w:val="32"/>
                <w:szCs w:val="32"/>
                <w:lang w:val="en-US" w:eastAsia="zh-CN" w:bidi="ar-SA"/>
              </w:rPr>
              <w:t>二、从轻行政处罚事项清单</w:t>
            </w:r>
          </w:p>
        </w:tc>
      </w:tr>
      <w:tr w14:paraId="11D7FC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2" w:hRule="atLeast"/>
        </w:trPr>
        <w:tc>
          <w:tcPr>
            <w:tcW w:w="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E4FFF">
            <w:pPr>
              <w:keepNext w:val="0"/>
              <w:keepLines w:val="0"/>
              <w:pageBreakBefore w:val="0"/>
              <w:widowControl/>
              <w:suppressLineNumbers w:val="0"/>
              <w:kinsoku/>
              <w:wordWrap/>
              <w:overflowPunct/>
              <w:topLinePunct w:val="0"/>
              <w:autoSpaceDE/>
              <w:autoSpaceDN/>
              <w:bidi w:val="0"/>
              <w:adjustRightInd/>
              <w:snapToGrid/>
              <w:spacing w:line="440" w:lineRule="exact"/>
              <w:jc w:val="both"/>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序号</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622E6">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业务类型</w:t>
            </w: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903A0">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违法行为</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1A870">
            <w:pPr>
              <w:keepNext w:val="0"/>
              <w:keepLines w:val="0"/>
              <w:pageBreakBefore w:val="0"/>
              <w:widowControl/>
              <w:suppressLineNumbers w:val="0"/>
              <w:kinsoku/>
              <w:wordWrap/>
              <w:overflowPunct/>
              <w:topLinePunct w:val="0"/>
              <w:autoSpaceDE/>
              <w:autoSpaceDN/>
              <w:bidi w:val="0"/>
              <w:adjustRightInd/>
              <w:snapToGrid/>
              <w:spacing w:line="440" w:lineRule="exact"/>
              <w:jc w:val="both"/>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适用条件（须全部满足）</w:t>
            </w:r>
          </w:p>
        </w:tc>
        <w:tc>
          <w:tcPr>
            <w:tcW w:w="3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6196EC">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处罚标准</w:t>
            </w:r>
          </w:p>
        </w:tc>
        <w:tc>
          <w:tcPr>
            <w:tcW w:w="3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9D44BA">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法定依据</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51BFA">
            <w:pPr>
              <w:keepNext w:val="0"/>
              <w:keepLines w:val="0"/>
              <w:pageBreakBefore w:val="0"/>
              <w:widowControl/>
              <w:suppressLineNumbers w:val="0"/>
              <w:kinsoku/>
              <w:wordWrap/>
              <w:overflowPunct/>
              <w:topLinePunct w:val="0"/>
              <w:autoSpaceDE/>
              <w:autoSpaceDN/>
              <w:bidi w:val="0"/>
              <w:adjustRightInd/>
              <w:snapToGrid/>
              <w:spacing w:line="440" w:lineRule="exact"/>
              <w:jc w:val="both"/>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备注：配套监管措施</w:t>
            </w:r>
          </w:p>
        </w:tc>
      </w:tr>
      <w:tr w14:paraId="083529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58" w:hRule="atLeast"/>
        </w:trPr>
        <w:tc>
          <w:tcPr>
            <w:tcW w:w="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FADFE">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A84DE5">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市容和环境卫生</w:t>
            </w: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E5506">
            <w:pPr>
              <w:keepNext w:val="0"/>
              <w:keepLines w:val="0"/>
              <w:pageBreakBefore w:val="0"/>
              <w:widowControl/>
              <w:suppressLineNumbers w:val="0"/>
              <w:kinsoku/>
              <w:wordWrap/>
              <w:overflowPunct/>
              <w:topLinePunct w:val="0"/>
              <w:autoSpaceDE/>
              <w:autoSpaceDN/>
              <w:bidi w:val="0"/>
              <w:adjustRightInd/>
              <w:snapToGrid/>
              <w:spacing w:line="440" w:lineRule="exact"/>
              <w:jc w:val="both"/>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对乱倒垃圾、粪便、污水，随地便溺、焚烧树叶或垃圾的处罚</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F5BC1">
            <w:pPr>
              <w:keepNext w:val="0"/>
              <w:keepLines w:val="0"/>
              <w:pageBreakBefore w:val="0"/>
              <w:widowControl/>
              <w:suppressLineNumbers w:val="0"/>
              <w:kinsoku/>
              <w:wordWrap/>
              <w:overflowPunct/>
              <w:topLinePunct w:val="0"/>
              <w:autoSpaceDE/>
              <w:autoSpaceDN/>
              <w:bidi w:val="0"/>
              <w:adjustRightInd/>
              <w:snapToGrid/>
              <w:spacing w:line="440" w:lineRule="exact"/>
              <w:jc w:val="both"/>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造成少量垃圾撒落，或路面轻微污染，经执法队员纠正，主动配合消除或减轻危害后果的。</w:t>
            </w:r>
          </w:p>
        </w:tc>
        <w:tc>
          <w:tcPr>
            <w:tcW w:w="3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4EAC32">
            <w:pPr>
              <w:keepNext w:val="0"/>
              <w:keepLines w:val="0"/>
              <w:pageBreakBefore w:val="0"/>
              <w:widowControl/>
              <w:suppressLineNumbers w:val="0"/>
              <w:kinsoku/>
              <w:wordWrap/>
              <w:overflowPunct/>
              <w:topLinePunct w:val="0"/>
              <w:autoSpaceDE/>
              <w:autoSpaceDN/>
              <w:bidi w:val="0"/>
              <w:adjustRightInd/>
              <w:snapToGrid/>
              <w:spacing w:line="440" w:lineRule="exact"/>
              <w:ind w:firstLine="480" w:firstLineChars="200"/>
              <w:jc w:val="both"/>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1.造成轻微危害后果的，处10元至30元罚款；拒不改正的，处加倍罚款；</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 xml:space="preserve">    2.造成一般危害后果的，处30元至40元罚款；拒不改正的，处加倍罚款；</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 xml:space="preserve">    3.造成严重危害后果的，处40元至50元罚款；拒不改正的，处加倍罚款。</w:t>
            </w:r>
          </w:p>
        </w:tc>
        <w:tc>
          <w:tcPr>
            <w:tcW w:w="3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2382DC">
            <w:pPr>
              <w:keepNext w:val="0"/>
              <w:keepLines w:val="0"/>
              <w:pageBreakBefore w:val="0"/>
              <w:widowControl/>
              <w:suppressLineNumbers w:val="0"/>
              <w:kinsoku/>
              <w:wordWrap/>
              <w:overflowPunct/>
              <w:topLinePunct w:val="0"/>
              <w:autoSpaceDE/>
              <w:autoSpaceDN/>
              <w:bidi w:val="0"/>
              <w:adjustRightInd/>
              <w:snapToGrid/>
              <w:spacing w:line="440" w:lineRule="exact"/>
              <w:jc w:val="both"/>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《泉州市市容和环境卫生管理条例》第五十一条违反第二项、第三项规定的，由城市管理主管部门责令清理，可以处一百元以上五百元以下罚款。</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9C11CB">
            <w:pPr>
              <w:keepNext w:val="0"/>
              <w:keepLines w:val="0"/>
              <w:pageBreakBefore w:val="0"/>
              <w:widowControl/>
              <w:suppressLineNumbers w:val="0"/>
              <w:kinsoku/>
              <w:wordWrap/>
              <w:overflowPunct/>
              <w:topLinePunct w:val="0"/>
              <w:autoSpaceDE/>
              <w:autoSpaceDN/>
              <w:bidi w:val="0"/>
              <w:adjustRightInd/>
              <w:snapToGrid/>
              <w:spacing w:line="440" w:lineRule="exact"/>
              <w:ind w:firstLine="480" w:firstLineChars="200"/>
              <w:jc w:val="both"/>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bl>
    <w:p w14:paraId="397E50BC">
      <w:pPr>
        <w:pStyle w:val="3"/>
        <w:keepNext w:val="0"/>
        <w:keepLines w:val="0"/>
        <w:pageBreakBefore w:val="0"/>
        <w:widowControl w:val="0"/>
        <w:tabs>
          <w:tab w:val="left" w:pos="1260"/>
          <w:tab w:val="left" w:pos="1440"/>
        </w:tabs>
        <w:kinsoku/>
        <w:wordWrap/>
        <w:overflowPunct/>
        <w:topLinePunct w:val="0"/>
        <w:autoSpaceDE/>
        <w:autoSpaceDN/>
        <w:bidi w:val="0"/>
        <w:adjustRightInd/>
        <w:snapToGrid/>
        <w:spacing w:after="0" w:line="560" w:lineRule="exact"/>
        <w:ind w:right="0" w:rightChars="0"/>
        <w:jc w:val="left"/>
        <w:textAlignment w:val="auto"/>
        <w:rPr>
          <w:rFonts w:hint="eastAsia" w:ascii="仿宋_GB2312" w:eastAsia="仿宋_GB2312"/>
          <w:sz w:val="32"/>
          <w:szCs w:val="32"/>
          <w:lang w:val="en-US" w:eastAsia="zh-CN"/>
        </w:rPr>
      </w:pPr>
    </w:p>
    <w:p w14:paraId="2164246F"/>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0C63BA3-3B3B-44D1-A503-6AC0F242721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4DA5925F-B7DB-4540-A59B-414C582518B7}"/>
  </w:font>
  <w:font w:name="方正小标宋简体">
    <w:panose1 w:val="02000000000000000000"/>
    <w:charset w:val="86"/>
    <w:family w:val="auto"/>
    <w:pitch w:val="default"/>
    <w:sig w:usb0="A00002BF" w:usb1="184F6CFA" w:usb2="00000012" w:usb3="00000000" w:csb0="00040001" w:csb1="00000000"/>
    <w:embedRegular r:id="rId3" w:fontKey="{ACDBF1F0-68AD-437B-AD56-0AD464270317}"/>
  </w:font>
  <w:font w:name="仿宋_GB2312">
    <w:panose1 w:val="02010609030101010101"/>
    <w:charset w:val="86"/>
    <w:family w:val="auto"/>
    <w:pitch w:val="default"/>
    <w:sig w:usb0="00000001" w:usb1="080E0000" w:usb2="00000000" w:usb3="00000000" w:csb0="00040000" w:csb1="00000000"/>
    <w:embedRegular r:id="rId4" w:fontKey="{29BF9974-7ACD-443E-95B5-26865F9D90B8}"/>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FEF5F9B"/>
    <w:rsid w:val="4FEF5F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Plain Text"/>
    <w:basedOn w:val="1"/>
    <w:qFormat/>
    <w:uiPriority w:val="0"/>
    <w:rPr>
      <w:rFonts w:ascii="宋体" w:hAnsi="Courier New" w:cs="Courier New"/>
      <w:szCs w:val="21"/>
    </w:rPr>
  </w:style>
  <w:style w:type="paragraph" w:styleId="3">
    <w:name w:val="Body Text"/>
    <w:basedOn w:val="1"/>
    <w:qFormat/>
    <w:uiPriority w:val="0"/>
    <w:pPr>
      <w:spacing w:after="120"/>
    </w:pPr>
  </w:style>
  <w:style w:type="paragraph" w:customStyle="1" w:styleId="6">
    <w:name w:val="Table Text"/>
    <w:basedOn w:val="1"/>
    <w:semiHidden/>
    <w:qFormat/>
    <w:uiPriority w:val="0"/>
    <w:rPr>
      <w:rFonts w:ascii="宋体" w:hAnsi="宋体" w:eastAsia="宋体" w:cs="宋体"/>
      <w:sz w:val="23"/>
      <w:szCs w:val="23"/>
      <w:lang w:val="en-US" w:eastAsia="en-US" w:bidi="ar-SA"/>
    </w:rPr>
  </w:style>
  <w:style w:type="table" w:customStyle="1" w:styleId="7">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1fb53b31-e752-42b8-8af7-6ab42bf36d73</errorID>
      <errorWord>隐患的</errorWord>
      <group>L1_Grammar</group>
      <groupName>语法问题</groupName>
      <ability>L2_Confusion</ability>
      <abilityName>结构混乱</abilityName>
      <candidateList>
        <item>隐患</item>
      </candidateList>
      <explain>句子中可能存在两种以上的句法结构，导致结构混乱。</explain>
      <paraID>4EF4B6AB</paraID>
      <start>66</start>
      <end>69</end>
      <status>ignored</status>
      <modifiedWord/>
      <trackRevisions>false</trackRevisions>
    </reviewItem>
  </reviewItems>
  <config/>
</contractReview>
</file>

<file path=customXml/itemProps1.xml><?xml version="1.0" encoding="utf-8"?>
<ds:datastoreItem xmlns:ds="http://schemas.openxmlformats.org/officeDocument/2006/customXml" ds:itemID="{618ae874-acee-45f6-ade0-f0bd4193644c}">
  <ds:schemaRefs/>
</ds:datastoreItem>
</file>

<file path=docProps/app.xml><?xml version="1.0" encoding="utf-8"?>
<Properties xmlns="http://schemas.openxmlformats.org/officeDocument/2006/extended-properties" xmlns:vt="http://schemas.openxmlformats.org/officeDocument/2006/docPropsVTypes">
  <Template>Normal.dotm</Template>
  <Pages>9</Pages>
  <Words>0</Words>
  <Characters>0</Characters>
  <Lines>0</Lines>
  <Paragraphs>0</Paragraphs>
  <TotalTime>0</TotalTime>
  <ScaleCrop>false</ScaleCrop>
  <LinksUpToDate>false</LinksUpToDate>
  <CharactersWithSpaces>0</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2026-07-06T02:07:00Z</dcterms:created>
  <dc:creator>ω偽谁婷镏</dc:creator>
  <cp:lastModifiedBy>ω偽谁婷镏</cp:lastModifiedBy>
  <dcterms:modified xsi:type="dcterms:W3CDTF">2026-07-06T02:09:22Z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FB4B0DE3A1CD4337A64E448C8F7A8AE0_11</vt:lpwstr>
  </property>
  <property fmtid="{D5CDD505-2E9C-101B-9397-08002B2CF9AE}" pid="4" name="KSOTemplateDocerSaveRecord">
    <vt:lpwstr>eyJoZGlkIjoiY2QwNmY0NDU1M2MwM2Y4M2JmOTFjYzQzZjIzMGQ0NmIiLCJ1c2VySWQiOiIyNDE4OTgzMTYifQ==</vt:lpwstr>
  </property>
</Properties>
</file>