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E5065">
      <w:pPr>
        <w:autoSpaceDE w:val="0"/>
        <w:autoSpaceDN w:val="0"/>
        <w:adjustRightInd w:val="0"/>
        <w:ind w:left="0" w:leftChars="0" w:firstLine="0" w:firstLineChars="0"/>
        <w:jc w:val="left"/>
        <w:rPr>
          <w:rFonts w:hint="eastAsia" w:eastAsia="楷体"/>
          <w:b/>
          <w:bCs/>
          <w:color w:val="auto"/>
          <w:sz w:val="48"/>
          <w:szCs w:val="52"/>
          <w:highlight w:val="none"/>
          <w:lang w:val="zh-CN" w:eastAsia="zh-CN"/>
        </w:rPr>
      </w:pPr>
      <w:r>
        <w:rPr>
          <w:rFonts w:hint="eastAsia" w:ascii="黑体" w:hAnsi="黑体" w:eastAsia="黑体" w:cs="黑体"/>
          <w:b w:val="0"/>
          <w:bCs w:val="0"/>
          <w:sz w:val="32"/>
          <w:szCs w:val="32"/>
          <w:lang w:val="zh-CN" w:eastAsia="zh-CN"/>
        </w:rPr>
        <w:t>附件</w:t>
      </w:r>
      <w:r>
        <w:rPr>
          <w:rFonts w:hint="eastAsia" w:ascii="黑体" w:hAnsi="黑体" w:eastAsia="黑体" w:cs="黑体"/>
          <w:b w:val="0"/>
          <w:bCs w:val="0"/>
          <w:sz w:val="32"/>
          <w:szCs w:val="32"/>
          <w:lang w:val="en-US" w:eastAsia="zh-CN"/>
        </w:rPr>
        <w:t>5</w:t>
      </w:r>
    </w:p>
    <w:p w14:paraId="046D5065">
      <w:pPr>
        <w:autoSpaceDE w:val="0"/>
        <w:autoSpaceDN w:val="0"/>
        <w:adjustRightInd w:val="0"/>
        <w:jc w:val="center"/>
        <w:rPr>
          <w:rFonts w:eastAsia="楷体"/>
          <w:b/>
          <w:bCs/>
          <w:color w:val="auto"/>
          <w:sz w:val="48"/>
          <w:szCs w:val="52"/>
          <w:highlight w:val="none"/>
          <w:lang w:val="zh-CN"/>
        </w:rPr>
      </w:pPr>
    </w:p>
    <w:p w14:paraId="3D45C44D">
      <w:pPr>
        <w:spacing w:line="360" w:lineRule="auto"/>
        <w:jc w:val="center"/>
        <w:rPr>
          <w:rFonts w:eastAsia="楷体"/>
          <w:b/>
          <w:color w:val="auto"/>
          <w:kern w:val="0"/>
          <w:sz w:val="52"/>
          <w:szCs w:val="52"/>
          <w:highlight w:val="none"/>
        </w:rPr>
      </w:pPr>
      <w:r>
        <w:rPr>
          <w:rFonts w:hint="eastAsia" w:eastAsia="楷体"/>
          <w:b/>
          <w:color w:val="auto"/>
          <w:kern w:val="0"/>
          <w:sz w:val="52"/>
          <w:szCs w:val="52"/>
          <w:highlight w:val="none"/>
          <w:lang w:eastAsia="zh-CN"/>
        </w:rPr>
        <w:t>前黄镇</w:t>
      </w:r>
      <w:r>
        <w:rPr>
          <w:rFonts w:eastAsia="楷体"/>
          <w:b/>
          <w:color w:val="auto"/>
          <w:kern w:val="0"/>
          <w:sz w:val="52"/>
          <w:szCs w:val="52"/>
          <w:highlight w:val="none"/>
        </w:rPr>
        <w:t>四清水库</w:t>
      </w:r>
    </w:p>
    <w:p w14:paraId="163A9059">
      <w:pPr>
        <w:jc w:val="center"/>
        <w:rPr>
          <w:rFonts w:eastAsia="楷体"/>
          <w:b/>
          <w:color w:val="auto"/>
          <w:sz w:val="52"/>
          <w:szCs w:val="52"/>
          <w:highlight w:val="none"/>
        </w:rPr>
      </w:pPr>
      <w:r>
        <w:rPr>
          <w:rFonts w:eastAsia="楷体"/>
          <w:b/>
          <w:color w:val="auto"/>
          <w:sz w:val="52"/>
          <w:szCs w:val="52"/>
          <w:highlight w:val="none"/>
        </w:rPr>
        <w:t>20</w:t>
      </w:r>
      <w:r>
        <w:rPr>
          <w:rFonts w:hint="eastAsia" w:eastAsia="楷体"/>
          <w:b/>
          <w:color w:val="auto"/>
          <w:sz w:val="52"/>
          <w:szCs w:val="52"/>
          <w:highlight w:val="none"/>
          <w:lang w:val="en-US" w:eastAsia="zh-CN"/>
        </w:rPr>
        <w:t>26</w:t>
      </w:r>
      <w:r>
        <w:rPr>
          <w:rFonts w:eastAsia="楷体"/>
          <w:b/>
          <w:color w:val="auto"/>
          <w:sz w:val="52"/>
          <w:szCs w:val="52"/>
          <w:highlight w:val="none"/>
        </w:rPr>
        <w:t>年汛期防洪调度运用计划</w:t>
      </w:r>
    </w:p>
    <w:p w14:paraId="55BB4643">
      <w:pPr>
        <w:spacing w:line="360" w:lineRule="auto"/>
        <w:jc w:val="center"/>
        <w:rPr>
          <w:rFonts w:eastAsia="楷体"/>
          <w:b/>
          <w:color w:val="auto"/>
          <w:kern w:val="0"/>
          <w:sz w:val="44"/>
          <w:szCs w:val="44"/>
          <w:highlight w:val="none"/>
        </w:rPr>
      </w:pPr>
    </w:p>
    <w:p w14:paraId="457014F6">
      <w:pPr>
        <w:spacing w:line="360" w:lineRule="auto"/>
        <w:jc w:val="center"/>
        <w:rPr>
          <w:rFonts w:eastAsia="楷体"/>
          <w:b/>
          <w:color w:val="auto"/>
          <w:kern w:val="0"/>
          <w:sz w:val="52"/>
          <w:szCs w:val="52"/>
          <w:highlight w:val="none"/>
        </w:rPr>
      </w:pPr>
    </w:p>
    <w:p w14:paraId="076F86FA">
      <w:pPr>
        <w:spacing w:line="360" w:lineRule="auto"/>
        <w:jc w:val="center"/>
        <w:rPr>
          <w:rFonts w:eastAsia="楷体"/>
          <w:b/>
          <w:color w:val="auto"/>
          <w:kern w:val="0"/>
          <w:sz w:val="52"/>
          <w:szCs w:val="52"/>
          <w:highlight w:val="none"/>
        </w:rPr>
      </w:pPr>
    </w:p>
    <w:p w14:paraId="4C9FEB96">
      <w:pPr>
        <w:spacing w:line="360" w:lineRule="auto"/>
        <w:jc w:val="center"/>
        <w:rPr>
          <w:rFonts w:eastAsia="楷体"/>
          <w:b/>
          <w:color w:val="auto"/>
          <w:kern w:val="0"/>
          <w:sz w:val="52"/>
          <w:szCs w:val="52"/>
          <w:highlight w:val="none"/>
        </w:rPr>
      </w:pPr>
    </w:p>
    <w:p w14:paraId="33785B6F">
      <w:pPr>
        <w:spacing w:line="360" w:lineRule="auto"/>
        <w:jc w:val="center"/>
        <w:rPr>
          <w:rFonts w:eastAsia="楷体"/>
          <w:b/>
          <w:color w:val="auto"/>
          <w:kern w:val="0"/>
          <w:sz w:val="52"/>
          <w:szCs w:val="52"/>
          <w:highlight w:val="none"/>
        </w:rPr>
      </w:pPr>
    </w:p>
    <w:p w14:paraId="587B1580">
      <w:pPr>
        <w:spacing w:line="360" w:lineRule="auto"/>
        <w:jc w:val="center"/>
        <w:rPr>
          <w:rFonts w:eastAsia="楷体"/>
          <w:b/>
          <w:color w:val="auto"/>
          <w:kern w:val="0"/>
          <w:sz w:val="52"/>
          <w:szCs w:val="52"/>
          <w:highlight w:val="none"/>
        </w:rPr>
      </w:pPr>
    </w:p>
    <w:p w14:paraId="1BE57FFA">
      <w:pPr>
        <w:spacing w:line="360" w:lineRule="auto"/>
        <w:jc w:val="center"/>
        <w:rPr>
          <w:rFonts w:eastAsia="楷体"/>
          <w:b/>
          <w:color w:val="auto"/>
          <w:kern w:val="0"/>
          <w:sz w:val="52"/>
          <w:szCs w:val="52"/>
          <w:highlight w:val="none"/>
        </w:rPr>
      </w:pPr>
    </w:p>
    <w:p w14:paraId="157AD541">
      <w:pPr>
        <w:spacing w:line="360" w:lineRule="auto"/>
        <w:jc w:val="center"/>
        <w:rPr>
          <w:rFonts w:eastAsia="楷体"/>
          <w:b/>
          <w:color w:val="auto"/>
          <w:kern w:val="0"/>
          <w:sz w:val="52"/>
          <w:szCs w:val="52"/>
          <w:highlight w:val="none"/>
        </w:rPr>
      </w:pPr>
    </w:p>
    <w:p w14:paraId="33637A48">
      <w:pPr>
        <w:spacing w:line="360" w:lineRule="auto"/>
        <w:jc w:val="center"/>
        <w:rPr>
          <w:rFonts w:eastAsia="楷体"/>
          <w:b/>
          <w:color w:val="auto"/>
          <w:kern w:val="0"/>
          <w:sz w:val="52"/>
          <w:szCs w:val="52"/>
          <w:highlight w:val="none"/>
        </w:rPr>
      </w:pPr>
    </w:p>
    <w:p w14:paraId="6F83103D">
      <w:pPr>
        <w:spacing w:line="360" w:lineRule="auto"/>
        <w:jc w:val="center"/>
        <w:rPr>
          <w:rFonts w:eastAsia="楷体"/>
          <w:b/>
          <w:color w:val="auto"/>
          <w:kern w:val="0"/>
          <w:sz w:val="52"/>
          <w:szCs w:val="52"/>
          <w:highlight w:val="none"/>
        </w:rPr>
      </w:pPr>
    </w:p>
    <w:p w14:paraId="50176AC6">
      <w:pPr>
        <w:spacing w:line="360" w:lineRule="auto"/>
        <w:jc w:val="center"/>
        <w:rPr>
          <w:rFonts w:eastAsia="楷体"/>
          <w:b/>
          <w:color w:val="auto"/>
          <w:kern w:val="0"/>
          <w:sz w:val="52"/>
          <w:szCs w:val="52"/>
          <w:highlight w:val="none"/>
        </w:rPr>
      </w:pPr>
    </w:p>
    <w:p w14:paraId="0AAA485C">
      <w:pPr>
        <w:spacing w:line="360" w:lineRule="auto"/>
        <w:jc w:val="center"/>
        <w:rPr>
          <w:rFonts w:eastAsia="楷体"/>
          <w:b/>
          <w:color w:val="auto"/>
          <w:kern w:val="0"/>
          <w:sz w:val="52"/>
          <w:szCs w:val="52"/>
          <w:highlight w:val="none"/>
        </w:rPr>
      </w:pPr>
    </w:p>
    <w:p w14:paraId="1E09C4AD">
      <w:pPr>
        <w:spacing w:line="360" w:lineRule="auto"/>
        <w:jc w:val="center"/>
        <w:rPr>
          <w:rFonts w:eastAsia="楷体"/>
          <w:b/>
          <w:color w:val="auto"/>
          <w:kern w:val="0"/>
          <w:sz w:val="52"/>
          <w:szCs w:val="52"/>
          <w:highlight w:val="none"/>
        </w:rPr>
      </w:pPr>
    </w:p>
    <w:p w14:paraId="58C147C7">
      <w:pPr>
        <w:ind w:firstLine="960"/>
        <w:jc w:val="center"/>
        <w:rPr>
          <w:rFonts w:eastAsia="楷体"/>
          <w:color w:val="auto"/>
          <w:sz w:val="48"/>
          <w:szCs w:val="48"/>
          <w:highlight w:val="none"/>
        </w:rPr>
      </w:pPr>
    </w:p>
    <w:p w14:paraId="55BBDE45">
      <w:pPr>
        <w:spacing w:line="360" w:lineRule="auto"/>
        <w:jc w:val="center"/>
        <w:rPr>
          <w:rFonts w:hint="default" w:eastAsia="楷体"/>
          <w:b/>
          <w:color w:val="auto"/>
          <w:sz w:val="36"/>
          <w:szCs w:val="36"/>
          <w:highlight w:val="none"/>
          <w:lang w:val="en-US" w:eastAsia="zh-CN"/>
        </w:rPr>
      </w:pPr>
      <w:r>
        <w:rPr>
          <w:rFonts w:hint="eastAsia" w:eastAsia="楷体"/>
          <w:b/>
          <w:color w:val="auto"/>
          <w:sz w:val="36"/>
          <w:szCs w:val="36"/>
          <w:highlight w:val="none"/>
          <w:lang w:val="en-US" w:eastAsia="zh-CN"/>
        </w:rPr>
        <w:t>前黄镇人民政府</w:t>
      </w:r>
    </w:p>
    <w:p w14:paraId="490BB1FA">
      <w:pPr>
        <w:spacing w:line="360" w:lineRule="auto"/>
        <w:jc w:val="center"/>
        <w:rPr>
          <w:rFonts w:eastAsia="楷体"/>
          <w:b/>
          <w:color w:val="auto"/>
          <w:sz w:val="36"/>
          <w:szCs w:val="36"/>
          <w:highlight w:val="none"/>
        </w:rPr>
      </w:pPr>
      <w:r>
        <w:rPr>
          <w:rFonts w:eastAsia="楷体"/>
          <w:b/>
          <w:color w:val="auto"/>
          <w:sz w:val="36"/>
          <w:szCs w:val="36"/>
          <w:highlight w:val="none"/>
        </w:rPr>
        <w:t>20</w:t>
      </w:r>
      <w:r>
        <w:rPr>
          <w:rFonts w:hint="eastAsia" w:eastAsia="楷体"/>
          <w:b/>
          <w:color w:val="auto"/>
          <w:sz w:val="36"/>
          <w:szCs w:val="36"/>
          <w:highlight w:val="none"/>
          <w:lang w:val="en-US" w:eastAsia="zh-CN"/>
        </w:rPr>
        <w:t>26</w:t>
      </w:r>
      <w:r>
        <w:rPr>
          <w:rFonts w:eastAsia="楷体"/>
          <w:b/>
          <w:color w:val="auto"/>
          <w:sz w:val="36"/>
          <w:szCs w:val="36"/>
          <w:highlight w:val="none"/>
        </w:rPr>
        <w:t>年</w:t>
      </w:r>
      <w:r>
        <w:rPr>
          <w:rFonts w:hint="eastAsia" w:eastAsia="楷体"/>
          <w:b/>
          <w:color w:val="auto"/>
          <w:sz w:val="36"/>
          <w:szCs w:val="36"/>
          <w:highlight w:val="none"/>
          <w:lang w:val="en-US" w:eastAsia="zh-CN"/>
        </w:rPr>
        <w:t>4</w:t>
      </w:r>
      <w:r>
        <w:rPr>
          <w:rFonts w:eastAsia="楷体"/>
          <w:b/>
          <w:color w:val="auto"/>
          <w:sz w:val="36"/>
          <w:szCs w:val="36"/>
          <w:highlight w:val="none"/>
        </w:rPr>
        <w:t>月</w:t>
      </w:r>
    </w:p>
    <w:p w14:paraId="674CFAA5">
      <w:pPr>
        <w:spacing w:line="360" w:lineRule="auto"/>
        <w:jc w:val="center"/>
        <w:rPr>
          <w:rFonts w:eastAsia="楷体"/>
          <w:b/>
          <w:color w:val="auto"/>
          <w:kern w:val="0"/>
          <w:sz w:val="32"/>
          <w:szCs w:val="32"/>
          <w:highlight w:val="none"/>
        </w:rPr>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pPr>
    </w:p>
    <w:p w14:paraId="091B8B9A">
      <w:pPr>
        <w:jc w:val="center"/>
        <w:rPr>
          <w:rFonts w:eastAsia="楷体"/>
          <w:b/>
          <w:color w:val="auto"/>
          <w:kern w:val="0"/>
          <w:sz w:val="28"/>
          <w:szCs w:val="28"/>
          <w:highlight w:val="none"/>
        </w:rPr>
      </w:pPr>
      <w:r>
        <w:rPr>
          <w:rFonts w:eastAsia="楷体"/>
          <w:b/>
          <w:color w:val="auto"/>
          <w:kern w:val="0"/>
          <w:sz w:val="28"/>
          <w:szCs w:val="28"/>
          <w:highlight w:val="none"/>
        </w:rPr>
        <w:t>目  录</w:t>
      </w:r>
    </w:p>
    <w:p w14:paraId="6012DC43">
      <w:pPr>
        <w:pStyle w:val="15"/>
        <w:tabs>
          <w:tab w:val="right" w:leader="dot" w:pos="8306"/>
          <w:tab w:val="clear" w:pos="8296"/>
        </w:tabs>
      </w:pPr>
      <w:r>
        <w:rPr>
          <w:rFonts w:eastAsia="楷体"/>
          <w:b/>
          <w:color w:val="auto"/>
          <w:kern w:val="0"/>
          <w:sz w:val="28"/>
          <w:szCs w:val="28"/>
          <w:highlight w:val="none"/>
        </w:rPr>
        <w:fldChar w:fldCharType="begin"/>
      </w:r>
      <w:r>
        <w:rPr>
          <w:rFonts w:eastAsia="楷体"/>
          <w:b/>
          <w:color w:val="auto"/>
          <w:kern w:val="0"/>
          <w:sz w:val="28"/>
          <w:szCs w:val="28"/>
          <w:highlight w:val="none"/>
        </w:rPr>
        <w:instrText xml:space="preserve">TOC \o "1-3" \h \u </w:instrText>
      </w:r>
      <w:r>
        <w:rPr>
          <w:rFonts w:eastAsia="楷体"/>
          <w:b/>
          <w:color w:val="auto"/>
          <w:kern w:val="0"/>
          <w:sz w:val="28"/>
          <w:szCs w:val="28"/>
          <w:highlight w:val="none"/>
        </w:rPr>
        <w:fldChar w:fldCharType="separate"/>
      </w:r>
      <w:r>
        <w:rPr>
          <w:rFonts w:eastAsia="楷体"/>
          <w:color w:val="auto"/>
          <w:kern w:val="0"/>
          <w:szCs w:val="28"/>
          <w:highlight w:val="none"/>
        </w:rPr>
        <w:fldChar w:fldCharType="begin"/>
      </w:r>
      <w:r>
        <w:rPr>
          <w:rFonts w:eastAsia="楷体"/>
          <w:kern w:val="0"/>
          <w:szCs w:val="28"/>
          <w:highlight w:val="none"/>
        </w:rPr>
        <w:instrText xml:space="preserve"> HYPERLINK \l _Toc7664 </w:instrText>
      </w:r>
      <w:r>
        <w:rPr>
          <w:rFonts w:eastAsia="楷体"/>
          <w:kern w:val="0"/>
          <w:szCs w:val="28"/>
          <w:highlight w:val="none"/>
        </w:rPr>
        <w:fldChar w:fldCharType="separate"/>
      </w:r>
      <w:r>
        <w:rPr>
          <w:rFonts w:eastAsia="楷体"/>
          <w:kern w:val="0"/>
          <w:szCs w:val="32"/>
          <w:highlight w:val="none"/>
        </w:rPr>
        <w:t>1  水库基本情况</w:t>
      </w:r>
      <w:r>
        <w:tab/>
      </w:r>
      <w:r>
        <w:fldChar w:fldCharType="begin"/>
      </w:r>
      <w:r>
        <w:instrText xml:space="preserve"> PAGEREF _Toc7664 \h </w:instrText>
      </w:r>
      <w:r>
        <w:fldChar w:fldCharType="separate"/>
      </w:r>
      <w:r>
        <w:t>236</w:t>
      </w:r>
      <w:r>
        <w:fldChar w:fldCharType="end"/>
      </w:r>
      <w:r>
        <w:rPr>
          <w:rFonts w:eastAsia="楷体"/>
          <w:color w:val="auto"/>
          <w:kern w:val="0"/>
          <w:szCs w:val="28"/>
          <w:highlight w:val="none"/>
        </w:rPr>
        <w:fldChar w:fldCharType="end"/>
      </w:r>
    </w:p>
    <w:p w14:paraId="04DB2E9B">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_Toc15259 </w:instrText>
      </w:r>
      <w:r>
        <w:rPr>
          <w:rFonts w:eastAsia="楷体"/>
          <w:kern w:val="0"/>
          <w:szCs w:val="28"/>
          <w:highlight w:val="none"/>
        </w:rPr>
        <w:fldChar w:fldCharType="separate"/>
      </w:r>
      <w:r>
        <w:rPr>
          <w:rFonts w:ascii="Times New Roman" w:hAnsi="Times New Roman" w:eastAsia="楷体"/>
          <w:kern w:val="0"/>
          <w:szCs w:val="28"/>
          <w:highlight w:val="none"/>
        </w:rPr>
        <w:t>1.1 工程概况</w:t>
      </w:r>
      <w:r>
        <w:tab/>
      </w:r>
      <w:r>
        <w:fldChar w:fldCharType="begin"/>
      </w:r>
      <w:r>
        <w:instrText xml:space="preserve"> PAGEREF _Toc15259 \h </w:instrText>
      </w:r>
      <w:r>
        <w:fldChar w:fldCharType="separate"/>
      </w:r>
      <w:r>
        <w:t>236</w:t>
      </w:r>
      <w:r>
        <w:fldChar w:fldCharType="end"/>
      </w:r>
      <w:r>
        <w:rPr>
          <w:rFonts w:eastAsia="楷体"/>
          <w:color w:val="auto"/>
          <w:kern w:val="0"/>
          <w:szCs w:val="28"/>
          <w:highlight w:val="none"/>
        </w:rPr>
        <w:fldChar w:fldCharType="end"/>
      </w:r>
    </w:p>
    <w:p w14:paraId="7A421A9F">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_Toc22099 </w:instrText>
      </w:r>
      <w:r>
        <w:rPr>
          <w:rFonts w:eastAsia="楷体"/>
          <w:kern w:val="0"/>
          <w:szCs w:val="28"/>
          <w:highlight w:val="none"/>
        </w:rPr>
        <w:fldChar w:fldCharType="separate"/>
      </w:r>
      <w:r>
        <w:rPr>
          <w:rFonts w:ascii="Times New Roman" w:hAnsi="Times New Roman" w:eastAsia="楷体"/>
          <w:kern w:val="0"/>
          <w:szCs w:val="28"/>
          <w:highlight w:val="none"/>
        </w:rPr>
        <w:t>1.2 水文气象</w:t>
      </w:r>
      <w:r>
        <w:tab/>
      </w:r>
      <w:r>
        <w:fldChar w:fldCharType="begin"/>
      </w:r>
      <w:r>
        <w:instrText xml:space="preserve"> PAGEREF _Toc22099 \h </w:instrText>
      </w:r>
      <w:r>
        <w:fldChar w:fldCharType="separate"/>
      </w:r>
      <w:r>
        <w:t>237</w:t>
      </w:r>
      <w:r>
        <w:fldChar w:fldCharType="end"/>
      </w:r>
      <w:r>
        <w:rPr>
          <w:rFonts w:eastAsia="楷体"/>
          <w:color w:val="auto"/>
          <w:kern w:val="0"/>
          <w:szCs w:val="28"/>
          <w:highlight w:val="none"/>
        </w:rPr>
        <w:fldChar w:fldCharType="end"/>
      </w:r>
    </w:p>
    <w:p w14:paraId="55D76048">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_Toc27570 </w:instrText>
      </w:r>
      <w:r>
        <w:rPr>
          <w:rFonts w:eastAsia="楷体"/>
          <w:kern w:val="0"/>
          <w:szCs w:val="28"/>
          <w:highlight w:val="none"/>
        </w:rPr>
        <w:fldChar w:fldCharType="separate"/>
      </w:r>
      <w:r>
        <w:rPr>
          <w:rFonts w:ascii="Times New Roman" w:hAnsi="Times New Roman" w:eastAsia="楷体"/>
          <w:kern w:val="0"/>
          <w:szCs w:val="28"/>
          <w:highlight w:val="none"/>
        </w:rPr>
        <w:t>1.3 流域特性</w:t>
      </w:r>
      <w:r>
        <w:tab/>
      </w:r>
      <w:r>
        <w:fldChar w:fldCharType="begin"/>
      </w:r>
      <w:r>
        <w:instrText xml:space="preserve"> PAGEREF _Toc27570 \h </w:instrText>
      </w:r>
      <w:r>
        <w:fldChar w:fldCharType="separate"/>
      </w:r>
      <w:r>
        <w:t>238</w:t>
      </w:r>
      <w:r>
        <w:fldChar w:fldCharType="end"/>
      </w:r>
      <w:r>
        <w:rPr>
          <w:rFonts w:eastAsia="楷体"/>
          <w:color w:val="auto"/>
          <w:kern w:val="0"/>
          <w:szCs w:val="28"/>
          <w:highlight w:val="none"/>
        </w:rPr>
        <w:fldChar w:fldCharType="end"/>
      </w:r>
    </w:p>
    <w:p w14:paraId="46AD9F28">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_Toc30960 </w:instrText>
      </w:r>
      <w:r>
        <w:rPr>
          <w:rFonts w:eastAsia="楷体"/>
          <w:kern w:val="0"/>
          <w:szCs w:val="28"/>
          <w:highlight w:val="none"/>
        </w:rPr>
        <w:fldChar w:fldCharType="separate"/>
      </w:r>
      <w:r>
        <w:rPr>
          <w:rFonts w:eastAsia="楷体"/>
          <w:kern w:val="0"/>
          <w:szCs w:val="32"/>
          <w:highlight w:val="none"/>
        </w:rPr>
        <w:t>2  水库大坝安全运行状况</w:t>
      </w:r>
      <w:r>
        <w:tab/>
      </w:r>
      <w:r>
        <w:fldChar w:fldCharType="begin"/>
      </w:r>
      <w:r>
        <w:instrText xml:space="preserve"> PAGEREF _Toc30960 \h </w:instrText>
      </w:r>
      <w:r>
        <w:fldChar w:fldCharType="separate"/>
      </w:r>
      <w:r>
        <w:t>239</w:t>
      </w:r>
      <w:r>
        <w:fldChar w:fldCharType="end"/>
      </w:r>
      <w:r>
        <w:rPr>
          <w:rFonts w:eastAsia="楷体"/>
          <w:color w:val="auto"/>
          <w:kern w:val="0"/>
          <w:szCs w:val="28"/>
          <w:highlight w:val="none"/>
        </w:rPr>
        <w:fldChar w:fldCharType="end"/>
      </w:r>
    </w:p>
    <w:p w14:paraId="4BAB72D1">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_Toc12114 </w:instrText>
      </w:r>
      <w:r>
        <w:rPr>
          <w:rFonts w:eastAsia="楷体"/>
          <w:kern w:val="0"/>
          <w:szCs w:val="28"/>
          <w:highlight w:val="none"/>
        </w:rPr>
        <w:fldChar w:fldCharType="separate"/>
      </w:r>
      <w:r>
        <w:rPr>
          <w:rFonts w:ascii="Times New Roman" w:hAnsi="Times New Roman" w:eastAsia="楷体"/>
          <w:kern w:val="0"/>
          <w:szCs w:val="28"/>
          <w:highlight w:val="none"/>
        </w:rPr>
        <w:t>2.1 工程运行管理</w:t>
      </w:r>
      <w:r>
        <w:tab/>
      </w:r>
      <w:r>
        <w:fldChar w:fldCharType="begin"/>
      </w:r>
      <w:r>
        <w:instrText xml:space="preserve"> PAGEREF _Toc12114 \h </w:instrText>
      </w:r>
      <w:r>
        <w:fldChar w:fldCharType="separate"/>
      </w:r>
      <w:r>
        <w:t>239</w:t>
      </w:r>
      <w:r>
        <w:fldChar w:fldCharType="end"/>
      </w:r>
      <w:r>
        <w:rPr>
          <w:rFonts w:eastAsia="楷体"/>
          <w:color w:val="auto"/>
          <w:kern w:val="0"/>
          <w:szCs w:val="28"/>
          <w:highlight w:val="none"/>
        </w:rPr>
        <w:fldChar w:fldCharType="end"/>
      </w:r>
    </w:p>
    <w:p w14:paraId="741636B2">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_Toc24391 </w:instrText>
      </w:r>
      <w:r>
        <w:rPr>
          <w:rFonts w:eastAsia="楷体"/>
          <w:kern w:val="0"/>
          <w:szCs w:val="28"/>
          <w:highlight w:val="none"/>
        </w:rPr>
        <w:fldChar w:fldCharType="separate"/>
      </w:r>
      <w:r>
        <w:rPr>
          <w:rFonts w:ascii="Times New Roman" w:hAnsi="Times New Roman" w:eastAsia="楷体"/>
          <w:kern w:val="0"/>
          <w:szCs w:val="28"/>
          <w:highlight w:val="none"/>
        </w:rPr>
        <w:t>2.2 工程安全状况分析评价</w:t>
      </w:r>
      <w:r>
        <w:tab/>
      </w:r>
      <w:r>
        <w:fldChar w:fldCharType="begin"/>
      </w:r>
      <w:r>
        <w:instrText xml:space="preserve"> PAGEREF _Toc24391 \h </w:instrText>
      </w:r>
      <w:r>
        <w:fldChar w:fldCharType="separate"/>
      </w:r>
      <w:r>
        <w:t>240</w:t>
      </w:r>
      <w:r>
        <w:fldChar w:fldCharType="end"/>
      </w:r>
      <w:r>
        <w:rPr>
          <w:rFonts w:eastAsia="楷体"/>
          <w:color w:val="auto"/>
          <w:kern w:val="0"/>
          <w:szCs w:val="28"/>
          <w:highlight w:val="none"/>
        </w:rPr>
        <w:fldChar w:fldCharType="end"/>
      </w:r>
    </w:p>
    <w:p w14:paraId="37A4E23B">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_Toc19914 </w:instrText>
      </w:r>
      <w:r>
        <w:rPr>
          <w:rFonts w:eastAsia="楷体"/>
          <w:kern w:val="0"/>
          <w:szCs w:val="28"/>
          <w:highlight w:val="none"/>
        </w:rPr>
        <w:fldChar w:fldCharType="separate"/>
      </w:r>
      <w:r>
        <w:rPr>
          <w:rFonts w:ascii="Times New Roman" w:hAnsi="Times New Roman" w:eastAsia="楷体"/>
          <w:kern w:val="0"/>
          <w:szCs w:val="28"/>
          <w:highlight w:val="none"/>
        </w:rPr>
        <w:t>2.3</w:t>
      </w:r>
      <w:r>
        <w:rPr>
          <w:rFonts w:ascii="Times New Roman" w:hAnsi="Times New Roman" w:eastAsia="楷体"/>
          <w:highlight w:val="none"/>
        </w:rPr>
        <w:t>水情工情测报系统及观测资料整理</w:t>
      </w:r>
      <w:r>
        <w:tab/>
      </w:r>
      <w:r>
        <w:fldChar w:fldCharType="begin"/>
      </w:r>
      <w:r>
        <w:instrText xml:space="preserve"> PAGEREF _Toc19914 \h </w:instrText>
      </w:r>
      <w:r>
        <w:fldChar w:fldCharType="separate"/>
      </w:r>
      <w:r>
        <w:t>243</w:t>
      </w:r>
      <w:r>
        <w:fldChar w:fldCharType="end"/>
      </w:r>
      <w:r>
        <w:rPr>
          <w:rFonts w:eastAsia="楷体"/>
          <w:color w:val="auto"/>
          <w:kern w:val="0"/>
          <w:szCs w:val="28"/>
          <w:highlight w:val="none"/>
        </w:rPr>
        <w:fldChar w:fldCharType="end"/>
      </w:r>
    </w:p>
    <w:p w14:paraId="6860B434">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_Toc24588 </w:instrText>
      </w:r>
      <w:r>
        <w:rPr>
          <w:rFonts w:eastAsia="楷体"/>
          <w:kern w:val="0"/>
          <w:szCs w:val="28"/>
          <w:highlight w:val="none"/>
        </w:rPr>
        <w:fldChar w:fldCharType="separate"/>
      </w:r>
      <w:r>
        <w:rPr>
          <w:rFonts w:eastAsia="楷体"/>
          <w:kern w:val="0"/>
          <w:szCs w:val="32"/>
          <w:highlight w:val="none"/>
        </w:rPr>
        <w:t>3  水库大坝防洪情况</w:t>
      </w:r>
      <w:r>
        <w:tab/>
      </w:r>
      <w:r>
        <w:fldChar w:fldCharType="begin"/>
      </w:r>
      <w:r>
        <w:instrText xml:space="preserve"> PAGEREF _Toc24588 \h </w:instrText>
      </w:r>
      <w:r>
        <w:fldChar w:fldCharType="separate"/>
      </w:r>
      <w:r>
        <w:t>244</w:t>
      </w:r>
      <w:r>
        <w:fldChar w:fldCharType="end"/>
      </w:r>
      <w:r>
        <w:rPr>
          <w:rFonts w:eastAsia="楷体"/>
          <w:color w:val="auto"/>
          <w:kern w:val="0"/>
          <w:szCs w:val="28"/>
          <w:highlight w:val="none"/>
        </w:rPr>
        <w:fldChar w:fldCharType="end"/>
      </w:r>
    </w:p>
    <w:p w14:paraId="23F3B674">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_Toc17682 </w:instrText>
      </w:r>
      <w:r>
        <w:rPr>
          <w:rFonts w:eastAsia="楷体"/>
          <w:kern w:val="0"/>
          <w:szCs w:val="28"/>
          <w:highlight w:val="none"/>
        </w:rPr>
        <w:fldChar w:fldCharType="separate"/>
      </w:r>
      <w:r>
        <w:rPr>
          <w:rFonts w:ascii="Times New Roman" w:hAnsi="Times New Roman" w:eastAsia="楷体"/>
          <w:kern w:val="0"/>
          <w:szCs w:val="28"/>
          <w:highlight w:val="none"/>
        </w:rPr>
        <w:t>3.1 水库防洪标准</w:t>
      </w:r>
      <w:r>
        <w:tab/>
      </w:r>
      <w:r>
        <w:fldChar w:fldCharType="begin"/>
      </w:r>
      <w:r>
        <w:instrText xml:space="preserve"> PAGEREF _Toc17682 \h </w:instrText>
      </w:r>
      <w:r>
        <w:fldChar w:fldCharType="separate"/>
      </w:r>
      <w:r>
        <w:t>244</w:t>
      </w:r>
      <w:r>
        <w:fldChar w:fldCharType="end"/>
      </w:r>
      <w:r>
        <w:rPr>
          <w:rFonts w:eastAsia="楷体"/>
          <w:color w:val="auto"/>
          <w:kern w:val="0"/>
          <w:szCs w:val="28"/>
          <w:highlight w:val="none"/>
        </w:rPr>
        <w:fldChar w:fldCharType="end"/>
      </w:r>
    </w:p>
    <w:p w14:paraId="22BCC3C5">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_Toc25353 </w:instrText>
      </w:r>
      <w:r>
        <w:rPr>
          <w:rFonts w:eastAsia="楷体"/>
          <w:kern w:val="0"/>
          <w:szCs w:val="28"/>
          <w:highlight w:val="none"/>
        </w:rPr>
        <w:fldChar w:fldCharType="separate"/>
      </w:r>
      <w:r>
        <w:rPr>
          <w:rFonts w:ascii="Times New Roman" w:hAnsi="Times New Roman" w:eastAsia="楷体"/>
          <w:kern w:val="0"/>
          <w:szCs w:val="28"/>
          <w:highlight w:val="none"/>
        </w:rPr>
        <w:t>3.2 水库特征曲线</w:t>
      </w:r>
      <w:r>
        <w:tab/>
      </w:r>
      <w:r>
        <w:fldChar w:fldCharType="begin"/>
      </w:r>
      <w:r>
        <w:instrText xml:space="preserve"> PAGEREF _Toc25353 \h </w:instrText>
      </w:r>
      <w:r>
        <w:fldChar w:fldCharType="separate"/>
      </w:r>
      <w:r>
        <w:t>244</w:t>
      </w:r>
      <w:r>
        <w:fldChar w:fldCharType="end"/>
      </w:r>
      <w:r>
        <w:rPr>
          <w:rFonts w:eastAsia="楷体"/>
          <w:color w:val="auto"/>
          <w:kern w:val="0"/>
          <w:szCs w:val="28"/>
          <w:highlight w:val="none"/>
        </w:rPr>
        <w:fldChar w:fldCharType="end"/>
      </w:r>
    </w:p>
    <w:p w14:paraId="49D9F38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_Toc190 </w:instrText>
      </w:r>
      <w:r>
        <w:rPr>
          <w:rFonts w:eastAsia="楷体"/>
          <w:kern w:val="0"/>
          <w:szCs w:val="28"/>
          <w:highlight w:val="none"/>
        </w:rPr>
        <w:fldChar w:fldCharType="separate"/>
      </w:r>
      <w:r>
        <w:rPr>
          <w:rFonts w:ascii="Times New Roman" w:hAnsi="Times New Roman" w:eastAsia="楷体"/>
          <w:kern w:val="0"/>
          <w:szCs w:val="28"/>
          <w:highlight w:val="none"/>
        </w:rPr>
        <w:t>3.3 水库上、下游情况</w:t>
      </w:r>
      <w:r>
        <w:tab/>
      </w:r>
      <w:r>
        <w:fldChar w:fldCharType="begin"/>
      </w:r>
      <w:r>
        <w:instrText xml:space="preserve"> PAGEREF _Toc190 \h </w:instrText>
      </w:r>
      <w:r>
        <w:fldChar w:fldCharType="separate"/>
      </w:r>
      <w:r>
        <w:t>246</w:t>
      </w:r>
      <w:r>
        <w:fldChar w:fldCharType="end"/>
      </w:r>
      <w:r>
        <w:rPr>
          <w:rFonts w:eastAsia="楷体"/>
          <w:color w:val="auto"/>
          <w:kern w:val="0"/>
          <w:szCs w:val="28"/>
          <w:highlight w:val="none"/>
        </w:rPr>
        <w:fldChar w:fldCharType="end"/>
      </w:r>
    </w:p>
    <w:p w14:paraId="2C7F343F">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_Toc25797 </w:instrText>
      </w:r>
      <w:r>
        <w:rPr>
          <w:rFonts w:eastAsia="楷体"/>
          <w:kern w:val="0"/>
          <w:szCs w:val="28"/>
          <w:highlight w:val="none"/>
        </w:rPr>
        <w:fldChar w:fldCharType="separate"/>
      </w:r>
      <w:r>
        <w:rPr>
          <w:rFonts w:ascii="Times New Roman" w:hAnsi="Times New Roman" w:eastAsia="楷体"/>
          <w:kern w:val="0"/>
          <w:szCs w:val="28"/>
          <w:highlight w:val="none"/>
        </w:rPr>
        <w:t>3.4 上年度控制运用情况</w:t>
      </w:r>
      <w:r>
        <w:tab/>
      </w:r>
      <w:r>
        <w:fldChar w:fldCharType="begin"/>
      </w:r>
      <w:r>
        <w:instrText xml:space="preserve"> PAGEREF _Toc25797 \h </w:instrText>
      </w:r>
      <w:r>
        <w:fldChar w:fldCharType="separate"/>
      </w:r>
      <w:r>
        <w:t>246</w:t>
      </w:r>
      <w:r>
        <w:fldChar w:fldCharType="end"/>
      </w:r>
      <w:r>
        <w:rPr>
          <w:rFonts w:eastAsia="楷体"/>
          <w:color w:val="auto"/>
          <w:kern w:val="0"/>
          <w:szCs w:val="28"/>
          <w:highlight w:val="none"/>
        </w:rPr>
        <w:fldChar w:fldCharType="end"/>
      </w:r>
    </w:p>
    <w:p w14:paraId="72250B93">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_Toc21868 </w:instrText>
      </w:r>
      <w:r>
        <w:rPr>
          <w:rFonts w:eastAsia="楷体"/>
          <w:kern w:val="0"/>
          <w:szCs w:val="28"/>
          <w:highlight w:val="none"/>
        </w:rPr>
        <w:fldChar w:fldCharType="separate"/>
      </w:r>
      <w:r>
        <w:rPr>
          <w:rFonts w:eastAsia="楷体"/>
          <w:kern w:val="0"/>
          <w:szCs w:val="32"/>
          <w:highlight w:val="none"/>
        </w:rPr>
        <w:t>4  洪水调度原则</w:t>
      </w:r>
      <w:r>
        <w:tab/>
      </w:r>
      <w:r>
        <w:fldChar w:fldCharType="begin"/>
      </w:r>
      <w:r>
        <w:instrText xml:space="preserve"> PAGEREF _Toc21868 \h </w:instrText>
      </w:r>
      <w:r>
        <w:fldChar w:fldCharType="separate"/>
      </w:r>
      <w:r>
        <w:t>247</w:t>
      </w:r>
      <w:r>
        <w:fldChar w:fldCharType="end"/>
      </w:r>
      <w:r>
        <w:rPr>
          <w:rFonts w:eastAsia="楷体"/>
          <w:color w:val="auto"/>
          <w:kern w:val="0"/>
          <w:szCs w:val="28"/>
          <w:highlight w:val="none"/>
        </w:rPr>
        <w:fldChar w:fldCharType="end"/>
      </w:r>
    </w:p>
    <w:p w14:paraId="77CAB558">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_Toc28856 </w:instrText>
      </w:r>
      <w:r>
        <w:rPr>
          <w:rFonts w:eastAsia="楷体"/>
          <w:kern w:val="0"/>
          <w:szCs w:val="28"/>
          <w:highlight w:val="none"/>
        </w:rPr>
        <w:fldChar w:fldCharType="separate"/>
      </w:r>
      <w:r>
        <w:rPr>
          <w:rFonts w:ascii="Times New Roman" w:hAnsi="Times New Roman" w:eastAsia="楷体"/>
          <w:kern w:val="0"/>
          <w:szCs w:val="28"/>
          <w:highlight w:val="none"/>
        </w:rPr>
        <w:t>4.1 汛期划分</w:t>
      </w:r>
      <w:r>
        <w:tab/>
      </w:r>
      <w:r>
        <w:fldChar w:fldCharType="begin"/>
      </w:r>
      <w:r>
        <w:instrText xml:space="preserve"> PAGEREF _Toc28856 \h </w:instrText>
      </w:r>
      <w:r>
        <w:fldChar w:fldCharType="separate"/>
      </w:r>
      <w:r>
        <w:t>247</w:t>
      </w:r>
      <w:r>
        <w:fldChar w:fldCharType="end"/>
      </w:r>
      <w:r>
        <w:rPr>
          <w:rFonts w:eastAsia="楷体"/>
          <w:color w:val="auto"/>
          <w:kern w:val="0"/>
          <w:szCs w:val="28"/>
          <w:highlight w:val="none"/>
        </w:rPr>
        <w:fldChar w:fldCharType="end"/>
      </w:r>
    </w:p>
    <w:p w14:paraId="2621262F">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_Toc19646 </w:instrText>
      </w:r>
      <w:r>
        <w:rPr>
          <w:rFonts w:eastAsia="楷体"/>
          <w:kern w:val="0"/>
          <w:szCs w:val="28"/>
          <w:highlight w:val="none"/>
        </w:rPr>
        <w:fldChar w:fldCharType="separate"/>
      </w:r>
      <w:r>
        <w:rPr>
          <w:rFonts w:ascii="Times New Roman" w:hAnsi="Times New Roman" w:eastAsia="楷体"/>
          <w:kern w:val="0"/>
          <w:szCs w:val="28"/>
          <w:highlight w:val="none"/>
        </w:rPr>
        <w:t>4.2 洪水调度原则</w:t>
      </w:r>
      <w:r>
        <w:tab/>
      </w:r>
      <w:r>
        <w:fldChar w:fldCharType="begin"/>
      </w:r>
      <w:r>
        <w:instrText xml:space="preserve"> PAGEREF _Toc19646 \h </w:instrText>
      </w:r>
      <w:r>
        <w:fldChar w:fldCharType="separate"/>
      </w:r>
      <w:r>
        <w:t>247</w:t>
      </w:r>
      <w:r>
        <w:fldChar w:fldCharType="end"/>
      </w:r>
      <w:r>
        <w:rPr>
          <w:rFonts w:eastAsia="楷体"/>
          <w:color w:val="auto"/>
          <w:kern w:val="0"/>
          <w:szCs w:val="28"/>
          <w:highlight w:val="none"/>
        </w:rPr>
        <w:fldChar w:fldCharType="end"/>
      </w:r>
    </w:p>
    <w:p w14:paraId="5F550654">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_Toc3546 </w:instrText>
      </w:r>
      <w:r>
        <w:rPr>
          <w:rFonts w:eastAsia="楷体"/>
          <w:kern w:val="0"/>
          <w:szCs w:val="28"/>
          <w:highlight w:val="none"/>
        </w:rPr>
        <w:fldChar w:fldCharType="separate"/>
      </w:r>
      <w:r>
        <w:rPr>
          <w:rFonts w:ascii="Times New Roman" w:hAnsi="Times New Roman" w:eastAsia="楷体"/>
          <w:kern w:val="0"/>
          <w:szCs w:val="28"/>
          <w:highlight w:val="none"/>
        </w:rPr>
        <w:t>4.3 汛限水位的确定</w:t>
      </w:r>
      <w:r>
        <w:tab/>
      </w:r>
      <w:r>
        <w:fldChar w:fldCharType="begin"/>
      </w:r>
      <w:r>
        <w:instrText xml:space="preserve"> PAGEREF _Toc3546 \h </w:instrText>
      </w:r>
      <w:r>
        <w:fldChar w:fldCharType="separate"/>
      </w:r>
      <w:r>
        <w:t>248</w:t>
      </w:r>
      <w:r>
        <w:fldChar w:fldCharType="end"/>
      </w:r>
      <w:r>
        <w:rPr>
          <w:rFonts w:eastAsia="楷体"/>
          <w:color w:val="auto"/>
          <w:kern w:val="0"/>
          <w:szCs w:val="28"/>
          <w:highlight w:val="none"/>
        </w:rPr>
        <w:fldChar w:fldCharType="end"/>
      </w:r>
    </w:p>
    <w:p w14:paraId="0FD3FC5D">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_Toc28202 </w:instrText>
      </w:r>
      <w:r>
        <w:rPr>
          <w:rFonts w:eastAsia="楷体"/>
          <w:kern w:val="0"/>
          <w:szCs w:val="28"/>
          <w:highlight w:val="none"/>
        </w:rPr>
        <w:fldChar w:fldCharType="separate"/>
      </w:r>
      <w:r>
        <w:rPr>
          <w:rFonts w:ascii="Times New Roman" w:hAnsi="Times New Roman" w:eastAsia="楷体"/>
          <w:kern w:val="0"/>
          <w:szCs w:val="28"/>
          <w:highlight w:val="none"/>
        </w:rPr>
        <w:t>4.4 汛期防洪调度方式</w:t>
      </w:r>
      <w:r>
        <w:tab/>
      </w:r>
      <w:r>
        <w:fldChar w:fldCharType="begin"/>
      </w:r>
      <w:r>
        <w:instrText xml:space="preserve"> PAGEREF _Toc28202 \h </w:instrText>
      </w:r>
      <w:r>
        <w:fldChar w:fldCharType="separate"/>
      </w:r>
      <w:r>
        <w:t xml:space="preserve"> 248</w:t>
      </w:r>
      <w:r>
        <w:fldChar w:fldCharType="end"/>
      </w:r>
      <w:r>
        <w:rPr>
          <w:rFonts w:eastAsia="楷体"/>
          <w:color w:val="auto"/>
          <w:kern w:val="0"/>
          <w:szCs w:val="28"/>
          <w:highlight w:val="none"/>
        </w:rPr>
        <w:fldChar w:fldCharType="end"/>
      </w:r>
    </w:p>
    <w:p w14:paraId="5B7FF085">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_Toc14528 </w:instrText>
      </w:r>
      <w:r>
        <w:rPr>
          <w:rFonts w:eastAsia="楷体"/>
          <w:kern w:val="0"/>
          <w:szCs w:val="28"/>
          <w:highlight w:val="none"/>
        </w:rPr>
        <w:fldChar w:fldCharType="separate"/>
      </w:r>
      <w:r>
        <w:rPr>
          <w:rFonts w:ascii="Times New Roman" w:hAnsi="Times New Roman" w:eastAsia="楷体"/>
          <w:szCs w:val="28"/>
          <w:highlight w:val="none"/>
        </w:rPr>
        <w:t>4.5汛期水库的管理工作</w:t>
      </w:r>
      <w:r>
        <w:tab/>
      </w:r>
      <w:r>
        <w:fldChar w:fldCharType="begin"/>
      </w:r>
      <w:r>
        <w:instrText xml:space="preserve"> PAGEREF _Toc14528 \h </w:instrText>
      </w:r>
      <w:r>
        <w:fldChar w:fldCharType="separate"/>
      </w:r>
      <w:r>
        <w:t>252</w:t>
      </w:r>
      <w:r>
        <w:fldChar w:fldCharType="end"/>
      </w:r>
      <w:r>
        <w:rPr>
          <w:rFonts w:eastAsia="楷体"/>
          <w:color w:val="auto"/>
          <w:kern w:val="0"/>
          <w:szCs w:val="28"/>
          <w:highlight w:val="none"/>
        </w:rPr>
        <w:fldChar w:fldCharType="end"/>
      </w:r>
    </w:p>
    <w:p w14:paraId="7D6C01F0">
      <w:pPr>
        <w:spacing w:line="520" w:lineRule="exact"/>
        <w:ind w:firstLine="102" w:firstLineChars="49"/>
        <w:rPr>
          <w:rFonts w:eastAsia="楷体"/>
          <w:b/>
          <w:color w:val="auto"/>
          <w:kern w:val="0"/>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eastAsia="楷体"/>
          <w:color w:val="auto"/>
          <w:kern w:val="0"/>
          <w:szCs w:val="28"/>
          <w:highlight w:val="none"/>
        </w:rPr>
        <w:fldChar w:fldCharType="end"/>
      </w:r>
    </w:p>
    <w:p w14:paraId="7BB2777E">
      <w:pPr>
        <w:spacing w:line="520" w:lineRule="exact"/>
        <w:jc w:val="center"/>
        <w:rPr>
          <w:rFonts w:eastAsia="楷体"/>
          <w:b/>
          <w:color w:val="auto"/>
          <w:sz w:val="28"/>
          <w:szCs w:val="28"/>
          <w:highlight w:val="none"/>
        </w:rPr>
      </w:pPr>
      <w:r>
        <w:rPr>
          <w:rFonts w:eastAsia="楷体"/>
          <w:b/>
          <w:color w:val="auto"/>
          <w:sz w:val="28"/>
          <w:szCs w:val="28"/>
          <w:highlight w:val="none"/>
        </w:rPr>
        <w:t>四清水库工程特性表</w:t>
      </w:r>
    </w:p>
    <w:tbl>
      <w:tblPr>
        <w:tblStyle w:val="19"/>
        <w:tblW w:w="8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3"/>
        <w:gridCol w:w="344"/>
        <w:gridCol w:w="974"/>
        <w:gridCol w:w="1549"/>
        <w:gridCol w:w="809"/>
        <w:gridCol w:w="1772"/>
        <w:gridCol w:w="578"/>
        <w:gridCol w:w="409"/>
        <w:gridCol w:w="1320"/>
      </w:tblGrid>
      <w:tr w14:paraId="59D6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12" w:space="0"/>
              <w:left w:val="single" w:color="000000" w:sz="12" w:space="0"/>
              <w:bottom w:val="single" w:color="000000" w:sz="4" w:space="0"/>
              <w:right w:val="single" w:color="000000" w:sz="4" w:space="0"/>
            </w:tcBorders>
            <w:vAlign w:val="center"/>
          </w:tcPr>
          <w:p w14:paraId="4F80473F">
            <w:pPr>
              <w:widowControl/>
              <w:jc w:val="center"/>
              <w:textAlignment w:val="center"/>
              <w:rPr>
                <w:rFonts w:eastAsia="楷体"/>
                <w:color w:val="auto"/>
                <w:sz w:val="18"/>
                <w:szCs w:val="18"/>
                <w:highlight w:val="none"/>
              </w:rPr>
            </w:pPr>
            <w:bookmarkStart w:id="0" w:name="_Toc11427"/>
            <w:r>
              <w:rPr>
                <w:rFonts w:eastAsia="楷体"/>
                <w:color w:val="auto"/>
                <w:kern w:val="0"/>
                <w:sz w:val="18"/>
                <w:szCs w:val="18"/>
                <w:highlight w:val="none"/>
              </w:rPr>
              <w:t>水库名称</w:t>
            </w:r>
          </w:p>
        </w:tc>
        <w:tc>
          <w:tcPr>
            <w:tcW w:w="1549" w:type="dxa"/>
            <w:tcBorders>
              <w:top w:val="single" w:color="000000" w:sz="12" w:space="0"/>
              <w:left w:val="single" w:color="000000" w:sz="4" w:space="0"/>
              <w:bottom w:val="single" w:color="000000" w:sz="4" w:space="0"/>
              <w:right w:val="single" w:color="000000" w:sz="4" w:space="0"/>
            </w:tcBorders>
            <w:vAlign w:val="center"/>
          </w:tcPr>
          <w:p w14:paraId="4CDE3D5E">
            <w:pPr>
              <w:widowControl/>
              <w:jc w:val="center"/>
              <w:textAlignment w:val="center"/>
              <w:rPr>
                <w:rFonts w:eastAsia="楷体"/>
                <w:color w:val="auto"/>
                <w:sz w:val="18"/>
                <w:szCs w:val="18"/>
                <w:highlight w:val="none"/>
              </w:rPr>
            </w:pPr>
            <w:r>
              <w:rPr>
                <w:rFonts w:eastAsia="楷体"/>
                <w:color w:val="auto"/>
                <w:kern w:val="0"/>
                <w:sz w:val="18"/>
                <w:szCs w:val="18"/>
                <w:highlight w:val="none"/>
              </w:rPr>
              <w:t>四清水库</w:t>
            </w:r>
          </w:p>
        </w:tc>
        <w:tc>
          <w:tcPr>
            <w:tcW w:w="3159" w:type="dxa"/>
            <w:gridSpan w:val="3"/>
            <w:tcBorders>
              <w:top w:val="single" w:color="000000" w:sz="12" w:space="0"/>
              <w:left w:val="single" w:color="000000" w:sz="4" w:space="0"/>
              <w:bottom w:val="single" w:color="000000" w:sz="4" w:space="0"/>
              <w:right w:val="single" w:color="000000" w:sz="4" w:space="0"/>
            </w:tcBorders>
            <w:vAlign w:val="center"/>
          </w:tcPr>
          <w:p w14:paraId="0DE162E9">
            <w:pPr>
              <w:widowControl/>
              <w:jc w:val="center"/>
              <w:textAlignment w:val="center"/>
              <w:rPr>
                <w:rFonts w:eastAsia="楷体"/>
                <w:color w:val="auto"/>
                <w:sz w:val="18"/>
                <w:szCs w:val="18"/>
                <w:highlight w:val="none"/>
              </w:rPr>
            </w:pPr>
            <w:r>
              <w:rPr>
                <w:rFonts w:eastAsia="楷体"/>
                <w:color w:val="auto"/>
                <w:kern w:val="0"/>
                <w:sz w:val="18"/>
                <w:szCs w:val="18"/>
                <w:highlight w:val="none"/>
              </w:rPr>
              <w:t>主管部门</w:t>
            </w:r>
          </w:p>
        </w:tc>
        <w:tc>
          <w:tcPr>
            <w:tcW w:w="1729" w:type="dxa"/>
            <w:gridSpan w:val="2"/>
            <w:tcBorders>
              <w:top w:val="single" w:color="000000" w:sz="12" w:space="0"/>
              <w:left w:val="single" w:color="000000" w:sz="4" w:space="0"/>
              <w:bottom w:val="single" w:color="000000" w:sz="4" w:space="0"/>
              <w:right w:val="single" w:color="000000" w:sz="12" w:space="0"/>
            </w:tcBorders>
            <w:vAlign w:val="center"/>
          </w:tcPr>
          <w:p w14:paraId="1F0C74B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泉港</w:t>
            </w:r>
            <w:r>
              <w:rPr>
                <w:rFonts w:eastAsia="楷体"/>
                <w:color w:val="auto"/>
                <w:kern w:val="0"/>
                <w:sz w:val="18"/>
                <w:szCs w:val="18"/>
                <w:highlight w:val="none"/>
              </w:rPr>
              <w:t>区农水局</w:t>
            </w:r>
          </w:p>
        </w:tc>
      </w:tr>
      <w:tr w14:paraId="15E9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9547345">
            <w:pPr>
              <w:widowControl/>
              <w:jc w:val="center"/>
              <w:textAlignment w:val="center"/>
              <w:rPr>
                <w:rFonts w:eastAsia="楷体"/>
                <w:color w:val="auto"/>
                <w:sz w:val="18"/>
                <w:szCs w:val="18"/>
                <w:highlight w:val="none"/>
              </w:rPr>
            </w:pPr>
            <w:r>
              <w:rPr>
                <w:rFonts w:eastAsia="楷体"/>
                <w:color w:val="auto"/>
                <w:kern w:val="0"/>
                <w:sz w:val="18"/>
                <w:szCs w:val="18"/>
                <w:highlight w:val="none"/>
              </w:rPr>
              <w:t>管理机构名称</w:t>
            </w:r>
          </w:p>
        </w:tc>
        <w:tc>
          <w:tcPr>
            <w:tcW w:w="1549" w:type="dxa"/>
            <w:tcBorders>
              <w:top w:val="single" w:color="000000" w:sz="4" w:space="0"/>
              <w:left w:val="single" w:color="000000" w:sz="4" w:space="0"/>
              <w:bottom w:val="single" w:color="000000" w:sz="4" w:space="0"/>
              <w:right w:val="single" w:color="000000" w:sz="4" w:space="0"/>
            </w:tcBorders>
            <w:vAlign w:val="center"/>
          </w:tcPr>
          <w:p w14:paraId="7296789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前黄镇人民政府</w:t>
            </w:r>
          </w:p>
        </w:tc>
        <w:tc>
          <w:tcPr>
            <w:tcW w:w="3159" w:type="dxa"/>
            <w:gridSpan w:val="3"/>
            <w:tcBorders>
              <w:top w:val="single" w:color="000000" w:sz="4" w:space="0"/>
              <w:left w:val="single" w:color="000000" w:sz="4" w:space="0"/>
              <w:bottom w:val="single" w:color="000000" w:sz="4" w:space="0"/>
              <w:right w:val="single" w:color="000000" w:sz="4" w:space="0"/>
            </w:tcBorders>
            <w:vAlign w:val="center"/>
          </w:tcPr>
          <w:p w14:paraId="5B89B00E">
            <w:pPr>
              <w:widowControl/>
              <w:jc w:val="center"/>
              <w:textAlignment w:val="center"/>
              <w:rPr>
                <w:rFonts w:eastAsia="楷体"/>
                <w:color w:val="auto"/>
                <w:sz w:val="18"/>
                <w:szCs w:val="18"/>
                <w:highlight w:val="none"/>
              </w:rPr>
            </w:pPr>
            <w:r>
              <w:rPr>
                <w:rFonts w:eastAsia="楷体"/>
                <w:color w:val="auto"/>
                <w:kern w:val="0"/>
                <w:sz w:val="18"/>
                <w:szCs w:val="18"/>
                <w:highlight w:val="none"/>
              </w:rPr>
              <w:t>所在地点</w:t>
            </w:r>
          </w:p>
        </w:tc>
        <w:tc>
          <w:tcPr>
            <w:tcW w:w="1729" w:type="dxa"/>
            <w:gridSpan w:val="2"/>
            <w:tcBorders>
              <w:top w:val="single" w:color="000000" w:sz="4" w:space="0"/>
              <w:left w:val="single" w:color="000000" w:sz="4" w:space="0"/>
              <w:bottom w:val="single" w:color="000000" w:sz="4" w:space="0"/>
              <w:right w:val="single" w:color="000000" w:sz="12" w:space="0"/>
            </w:tcBorders>
            <w:vAlign w:val="center"/>
          </w:tcPr>
          <w:p w14:paraId="3AA8E0D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前黄镇坑内村</w:t>
            </w:r>
          </w:p>
        </w:tc>
      </w:tr>
      <w:tr w14:paraId="1CDF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6CF7F6B3">
            <w:pPr>
              <w:widowControl/>
              <w:jc w:val="center"/>
              <w:textAlignment w:val="center"/>
              <w:rPr>
                <w:rFonts w:eastAsia="楷体"/>
                <w:color w:val="auto"/>
                <w:sz w:val="18"/>
                <w:szCs w:val="18"/>
                <w:highlight w:val="none"/>
              </w:rPr>
            </w:pPr>
            <w:r>
              <w:rPr>
                <w:rFonts w:eastAsia="楷体"/>
                <w:color w:val="auto"/>
                <w:kern w:val="0"/>
                <w:sz w:val="18"/>
                <w:szCs w:val="18"/>
                <w:highlight w:val="none"/>
              </w:rPr>
              <w:t>地理</w:t>
            </w:r>
          </w:p>
        </w:tc>
        <w:tc>
          <w:tcPr>
            <w:tcW w:w="974" w:type="dxa"/>
            <w:tcBorders>
              <w:top w:val="single" w:color="000000" w:sz="4" w:space="0"/>
              <w:left w:val="single" w:color="000000" w:sz="4" w:space="0"/>
              <w:bottom w:val="single" w:color="000000" w:sz="4" w:space="0"/>
              <w:right w:val="single" w:color="000000" w:sz="4" w:space="0"/>
            </w:tcBorders>
            <w:vAlign w:val="center"/>
          </w:tcPr>
          <w:p w14:paraId="0F57B34D">
            <w:pPr>
              <w:widowControl/>
              <w:jc w:val="center"/>
              <w:textAlignment w:val="center"/>
              <w:rPr>
                <w:rFonts w:eastAsia="楷体"/>
                <w:color w:val="auto"/>
                <w:sz w:val="18"/>
                <w:szCs w:val="18"/>
                <w:highlight w:val="none"/>
              </w:rPr>
            </w:pPr>
            <w:r>
              <w:rPr>
                <w:rFonts w:eastAsia="楷体"/>
                <w:color w:val="auto"/>
                <w:kern w:val="0"/>
                <w:sz w:val="18"/>
                <w:szCs w:val="18"/>
                <w:highlight w:val="none"/>
              </w:rPr>
              <w:t>东经</w:t>
            </w:r>
          </w:p>
        </w:tc>
        <w:tc>
          <w:tcPr>
            <w:tcW w:w="1549" w:type="dxa"/>
            <w:tcBorders>
              <w:top w:val="single" w:color="000000" w:sz="4" w:space="0"/>
              <w:left w:val="single" w:color="000000" w:sz="4" w:space="0"/>
              <w:bottom w:val="single" w:color="000000" w:sz="4" w:space="0"/>
              <w:right w:val="single" w:color="000000" w:sz="4" w:space="0"/>
            </w:tcBorders>
            <w:vAlign w:val="center"/>
          </w:tcPr>
          <w:p w14:paraId="0C4E5913">
            <w:pPr>
              <w:widowControl/>
              <w:jc w:val="center"/>
              <w:textAlignment w:val="center"/>
              <w:rPr>
                <w:rFonts w:eastAsia="楷体"/>
                <w:color w:val="auto"/>
                <w:sz w:val="18"/>
                <w:szCs w:val="18"/>
                <w:highlight w:val="none"/>
              </w:rPr>
            </w:pPr>
            <w:r>
              <w:rPr>
                <w:rFonts w:eastAsia="楷体"/>
                <w:color w:val="auto"/>
                <w:kern w:val="0"/>
                <w:sz w:val="18"/>
                <w:szCs w:val="18"/>
                <w:highlight w:val="none"/>
              </w:rPr>
              <w:t>118°</w:t>
            </w:r>
            <w:r>
              <w:rPr>
                <w:rFonts w:hint="eastAsia" w:eastAsia="楷体"/>
                <w:color w:val="auto"/>
                <w:kern w:val="0"/>
                <w:sz w:val="18"/>
                <w:szCs w:val="18"/>
                <w:highlight w:val="none"/>
              </w:rPr>
              <w:t>53</w:t>
            </w:r>
            <w:r>
              <w:rPr>
                <w:rFonts w:eastAsia="楷体"/>
                <w:color w:val="auto"/>
                <w:kern w:val="0"/>
                <w:sz w:val="18"/>
                <w:szCs w:val="18"/>
                <w:highlight w:val="none"/>
              </w:rPr>
              <w:t>′22″</w:t>
            </w:r>
          </w:p>
        </w:tc>
        <w:tc>
          <w:tcPr>
            <w:tcW w:w="809" w:type="dxa"/>
            <w:tcBorders>
              <w:top w:val="single" w:color="000000" w:sz="4" w:space="0"/>
              <w:left w:val="single" w:color="000000" w:sz="4" w:space="0"/>
              <w:bottom w:val="single" w:color="000000" w:sz="4" w:space="0"/>
              <w:right w:val="single" w:color="000000" w:sz="4" w:space="0"/>
            </w:tcBorders>
            <w:vAlign w:val="center"/>
          </w:tcPr>
          <w:p w14:paraId="18F5506D">
            <w:pPr>
              <w:widowControl/>
              <w:jc w:val="center"/>
              <w:textAlignment w:val="center"/>
              <w:rPr>
                <w:rFonts w:eastAsia="楷体"/>
                <w:color w:val="auto"/>
                <w:sz w:val="18"/>
                <w:szCs w:val="18"/>
                <w:highlight w:val="none"/>
              </w:rPr>
            </w:pPr>
            <w:r>
              <w:rPr>
                <w:rFonts w:eastAsia="楷体"/>
                <w:color w:val="auto"/>
                <w:kern w:val="0"/>
                <w:sz w:val="18"/>
                <w:szCs w:val="18"/>
                <w:highlight w:val="none"/>
              </w:rPr>
              <w:t>开工日期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519DE86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1964</w:t>
            </w:r>
            <w:r>
              <w:rPr>
                <w:rFonts w:eastAsia="楷体"/>
                <w:color w:val="auto"/>
                <w:kern w:val="0"/>
                <w:sz w:val="18"/>
                <w:szCs w:val="18"/>
                <w:highlight w:val="none"/>
              </w:rPr>
              <w:t>年</w:t>
            </w:r>
            <w:r>
              <w:rPr>
                <w:rFonts w:hint="eastAsia" w:eastAsia="楷体"/>
                <w:color w:val="auto"/>
                <w:kern w:val="0"/>
                <w:sz w:val="18"/>
                <w:szCs w:val="18"/>
                <w:highlight w:val="none"/>
              </w:rPr>
              <w:t>2</w:t>
            </w:r>
            <w:r>
              <w:rPr>
                <w:rFonts w:eastAsia="楷体"/>
                <w:color w:val="auto"/>
                <w:kern w:val="0"/>
                <w:sz w:val="18"/>
                <w:szCs w:val="18"/>
                <w:highlight w:val="none"/>
              </w:rPr>
              <w:t>月</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1E9EC4B2">
            <w:pPr>
              <w:widowControl/>
              <w:jc w:val="center"/>
              <w:textAlignment w:val="center"/>
              <w:rPr>
                <w:rFonts w:eastAsia="楷体"/>
                <w:color w:val="auto"/>
                <w:sz w:val="18"/>
                <w:szCs w:val="18"/>
                <w:highlight w:val="none"/>
              </w:rPr>
            </w:pPr>
            <w:r>
              <w:rPr>
                <w:rFonts w:eastAsia="楷体"/>
                <w:color w:val="auto"/>
                <w:kern w:val="0"/>
                <w:sz w:val="18"/>
                <w:szCs w:val="18"/>
                <w:highlight w:val="none"/>
              </w:rPr>
              <w:t>所在河流</w:t>
            </w:r>
          </w:p>
        </w:tc>
        <w:tc>
          <w:tcPr>
            <w:tcW w:w="1320" w:type="dxa"/>
            <w:tcBorders>
              <w:top w:val="single" w:color="000000" w:sz="4" w:space="0"/>
              <w:left w:val="single" w:color="000000" w:sz="4" w:space="0"/>
              <w:bottom w:val="single" w:color="000000" w:sz="4" w:space="0"/>
              <w:right w:val="single" w:color="000000" w:sz="12" w:space="0"/>
            </w:tcBorders>
            <w:vAlign w:val="center"/>
          </w:tcPr>
          <w:p w14:paraId="78E1302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坝头溪流域</w:t>
            </w:r>
          </w:p>
        </w:tc>
      </w:tr>
      <w:tr w14:paraId="2F46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7BB42381">
            <w:pPr>
              <w:widowControl/>
              <w:jc w:val="center"/>
              <w:textAlignment w:val="center"/>
              <w:rPr>
                <w:rFonts w:eastAsia="楷体"/>
                <w:color w:val="auto"/>
                <w:sz w:val="18"/>
                <w:szCs w:val="18"/>
                <w:highlight w:val="none"/>
              </w:rPr>
            </w:pPr>
            <w:r>
              <w:rPr>
                <w:rFonts w:eastAsia="楷体"/>
                <w:color w:val="auto"/>
                <w:kern w:val="0"/>
                <w:sz w:val="18"/>
                <w:szCs w:val="18"/>
                <w:highlight w:val="none"/>
              </w:rPr>
              <w:t>位置</w:t>
            </w:r>
          </w:p>
        </w:tc>
        <w:tc>
          <w:tcPr>
            <w:tcW w:w="974" w:type="dxa"/>
            <w:tcBorders>
              <w:top w:val="single" w:color="000000" w:sz="4" w:space="0"/>
              <w:left w:val="single" w:color="000000" w:sz="4" w:space="0"/>
              <w:bottom w:val="single" w:color="000000" w:sz="4" w:space="0"/>
              <w:right w:val="single" w:color="000000" w:sz="4" w:space="0"/>
            </w:tcBorders>
            <w:vAlign w:val="center"/>
          </w:tcPr>
          <w:p w14:paraId="7AA70399">
            <w:pPr>
              <w:widowControl/>
              <w:jc w:val="center"/>
              <w:textAlignment w:val="center"/>
              <w:rPr>
                <w:rFonts w:eastAsia="楷体"/>
                <w:color w:val="auto"/>
                <w:sz w:val="18"/>
                <w:szCs w:val="18"/>
                <w:highlight w:val="none"/>
              </w:rPr>
            </w:pPr>
            <w:r>
              <w:rPr>
                <w:rFonts w:eastAsia="楷体"/>
                <w:color w:val="auto"/>
                <w:kern w:val="0"/>
                <w:sz w:val="18"/>
                <w:szCs w:val="18"/>
                <w:highlight w:val="none"/>
              </w:rPr>
              <w:t>北纬</w:t>
            </w:r>
          </w:p>
        </w:tc>
        <w:tc>
          <w:tcPr>
            <w:tcW w:w="1549" w:type="dxa"/>
            <w:tcBorders>
              <w:top w:val="single" w:color="000000" w:sz="4" w:space="0"/>
              <w:left w:val="single" w:color="000000" w:sz="4" w:space="0"/>
              <w:bottom w:val="single" w:color="000000" w:sz="4" w:space="0"/>
              <w:right w:val="single" w:color="000000" w:sz="4" w:space="0"/>
            </w:tcBorders>
            <w:vAlign w:val="center"/>
          </w:tcPr>
          <w:p w14:paraId="60DED9D7">
            <w:pPr>
              <w:widowControl/>
              <w:jc w:val="center"/>
              <w:textAlignment w:val="center"/>
              <w:rPr>
                <w:rFonts w:eastAsia="楷体"/>
                <w:color w:val="auto"/>
                <w:sz w:val="18"/>
                <w:szCs w:val="18"/>
                <w:highlight w:val="none"/>
              </w:rPr>
            </w:pPr>
            <w:r>
              <w:rPr>
                <w:rFonts w:eastAsia="楷体"/>
                <w:color w:val="auto"/>
                <w:kern w:val="0"/>
                <w:sz w:val="18"/>
                <w:szCs w:val="18"/>
                <w:highlight w:val="none"/>
              </w:rPr>
              <w:t>25°</w:t>
            </w:r>
            <w:r>
              <w:rPr>
                <w:rFonts w:hint="eastAsia" w:eastAsia="楷体"/>
                <w:color w:val="auto"/>
                <w:kern w:val="0"/>
                <w:sz w:val="18"/>
                <w:szCs w:val="18"/>
                <w:highlight w:val="none"/>
              </w:rPr>
              <w:t>10</w:t>
            </w:r>
            <w:r>
              <w:rPr>
                <w:rFonts w:eastAsia="楷体"/>
                <w:color w:val="auto"/>
                <w:kern w:val="0"/>
                <w:sz w:val="18"/>
                <w:szCs w:val="18"/>
                <w:highlight w:val="none"/>
              </w:rPr>
              <w:t>′03″</w:t>
            </w:r>
          </w:p>
        </w:tc>
        <w:tc>
          <w:tcPr>
            <w:tcW w:w="809" w:type="dxa"/>
            <w:tcBorders>
              <w:top w:val="single" w:color="000000" w:sz="4" w:space="0"/>
              <w:left w:val="single" w:color="000000" w:sz="4" w:space="0"/>
              <w:bottom w:val="single" w:color="000000" w:sz="4" w:space="0"/>
              <w:right w:val="single" w:color="000000" w:sz="4" w:space="0"/>
            </w:tcBorders>
            <w:vAlign w:val="center"/>
          </w:tcPr>
          <w:p w14:paraId="01485450">
            <w:pPr>
              <w:widowControl/>
              <w:jc w:val="center"/>
              <w:textAlignment w:val="center"/>
              <w:rPr>
                <w:rFonts w:eastAsia="楷体"/>
                <w:color w:val="auto"/>
                <w:sz w:val="18"/>
                <w:szCs w:val="18"/>
                <w:highlight w:val="none"/>
              </w:rPr>
            </w:pPr>
            <w:r>
              <w:rPr>
                <w:rFonts w:eastAsia="楷体"/>
                <w:color w:val="auto"/>
                <w:kern w:val="0"/>
                <w:sz w:val="18"/>
                <w:szCs w:val="18"/>
                <w:highlight w:val="none"/>
              </w:rPr>
              <w:t>竣工日期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02B70AC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1966</w:t>
            </w:r>
            <w:r>
              <w:rPr>
                <w:rFonts w:eastAsia="楷体"/>
                <w:color w:val="auto"/>
                <w:kern w:val="0"/>
                <w:sz w:val="18"/>
                <w:szCs w:val="18"/>
                <w:highlight w:val="none"/>
              </w:rPr>
              <w:t>年</w:t>
            </w:r>
            <w:r>
              <w:rPr>
                <w:rFonts w:hint="eastAsia" w:eastAsia="楷体"/>
                <w:color w:val="auto"/>
                <w:kern w:val="0"/>
                <w:sz w:val="18"/>
                <w:szCs w:val="18"/>
                <w:highlight w:val="none"/>
              </w:rPr>
              <w:t>8月</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25298EC9">
            <w:pPr>
              <w:widowControl/>
              <w:jc w:val="center"/>
              <w:textAlignment w:val="center"/>
              <w:rPr>
                <w:rFonts w:eastAsia="楷体"/>
                <w:color w:val="auto"/>
                <w:sz w:val="18"/>
                <w:szCs w:val="18"/>
                <w:highlight w:val="none"/>
              </w:rPr>
            </w:pPr>
            <w:r>
              <w:rPr>
                <w:rFonts w:eastAsia="楷体"/>
                <w:color w:val="auto"/>
                <w:kern w:val="0"/>
                <w:sz w:val="18"/>
                <w:szCs w:val="18"/>
                <w:highlight w:val="none"/>
              </w:rPr>
              <w:t>高程基准</w:t>
            </w:r>
          </w:p>
        </w:tc>
        <w:tc>
          <w:tcPr>
            <w:tcW w:w="1320" w:type="dxa"/>
            <w:tcBorders>
              <w:top w:val="single" w:color="000000" w:sz="4" w:space="0"/>
              <w:left w:val="single" w:color="000000" w:sz="4" w:space="0"/>
              <w:bottom w:val="single" w:color="000000" w:sz="4" w:space="0"/>
              <w:right w:val="single" w:color="000000" w:sz="12" w:space="0"/>
            </w:tcBorders>
            <w:vAlign w:val="center"/>
          </w:tcPr>
          <w:p w14:paraId="7C79730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1985国家高程基准</w:t>
            </w:r>
          </w:p>
        </w:tc>
      </w:tr>
      <w:tr w14:paraId="25EF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2912ADB8">
            <w:pPr>
              <w:widowControl/>
              <w:jc w:val="center"/>
              <w:textAlignment w:val="center"/>
              <w:rPr>
                <w:rFonts w:eastAsia="楷体"/>
                <w:color w:val="auto"/>
                <w:sz w:val="18"/>
                <w:szCs w:val="18"/>
                <w:highlight w:val="none"/>
              </w:rPr>
            </w:pPr>
            <w:r>
              <w:rPr>
                <w:rFonts w:eastAsia="楷体"/>
                <w:color w:val="auto"/>
                <w:kern w:val="0"/>
                <w:sz w:val="18"/>
                <w:szCs w:val="18"/>
                <w:highlight w:val="none"/>
              </w:rPr>
              <w:t>集雨面积(km</w:t>
            </w:r>
            <w:r>
              <w:rPr>
                <w:rStyle w:val="33"/>
                <w:rFonts w:hint="default" w:eastAsia="楷体"/>
                <w:color w:val="auto"/>
                <w:sz w:val="18"/>
                <w:szCs w:val="18"/>
                <w:highlight w:val="none"/>
              </w:rPr>
              <w:t>2</w:t>
            </w:r>
            <w:r>
              <w:rPr>
                <w:rStyle w:val="38"/>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7839887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0.47</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30A429AA">
            <w:pPr>
              <w:widowControl/>
              <w:jc w:val="center"/>
              <w:textAlignment w:val="center"/>
              <w:rPr>
                <w:rFonts w:eastAsia="楷体"/>
                <w:color w:val="auto"/>
                <w:sz w:val="18"/>
                <w:szCs w:val="18"/>
                <w:highlight w:val="none"/>
              </w:rPr>
            </w:pPr>
            <w:r>
              <w:rPr>
                <w:rFonts w:eastAsia="楷体"/>
                <w:color w:val="auto"/>
                <w:kern w:val="0"/>
                <w:sz w:val="18"/>
                <w:szCs w:val="18"/>
                <w:highlight w:val="none"/>
              </w:rPr>
              <w:t>主坝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2C2CA3D3">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421399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均质土坝</w:t>
            </w:r>
          </w:p>
        </w:tc>
      </w:tr>
      <w:tr w14:paraId="7900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26CF6B78">
            <w:pPr>
              <w:widowControl/>
              <w:jc w:val="center"/>
              <w:textAlignment w:val="center"/>
              <w:rPr>
                <w:rFonts w:eastAsia="楷体"/>
                <w:color w:val="auto"/>
                <w:sz w:val="18"/>
                <w:szCs w:val="18"/>
                <w:highlight w:val="none"/>
              </w:rPr>
            </w:pPr>
            <w:r>
              <w:rPr>
                <w:rFonts w:eastAsia="楷体"/>
                <w:color w:val="auto"/>
                <w:kern w:val="0"/>
                <w:sz w:val="18"/>
                <w:szCs w:val="18"/>
                <w:highlight w:val="none"/>
              </w:rPr>
              <w:t>河流比降(‰)</w:t>
            </w:r>
          </w:p>
        </w:tc>
        <w:tc>
          <w:tcPr>
            <w:tcW w:w="1549" w:type="dxa"/>
            <w:tcBorders>
              <w:top w:val="single" w:color="000000" w:sz="4" w:space="0"/>
              <w:left w:val="single" w:color="000000" w:sz="4" w:space="0"/>
              <w:bottom w:val="single" w:color="000000" w:sz="4" w:space="0"/>
              <w:right w:val="single" w:color="000000" w:sz="4" w:space="0"/>
            </w:tcBorders>
            <w:vAlign w:val="center"/>
          </w:tcPr>
          <w:p w14:paraId="2BBE0E0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39.89</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7B2BF9B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AC2B982">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6BB06F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30.58</w:t>
            </w:r>
          </w:p>
        </w:tc>
      </w:tr>
      <w:tr w14:paraId="2818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6DC98B2A">
            <w:pPr>
              <w:widowControl/>
              <w:jc w:val="center"/>
              <w:textAlignment w:val="center"/>
              <w:rPr>
                <w:rFonts w:eastAsia="楷体"/>
                <w:color w:val="auto"/>
                <w:sz w:val="18"/>
                <w:szCs w:val="18"/>
                <w:highlight w:val="none"/>
              </w:rPr>
            </w:pPr>
            <w:r>
              <w:rPr>
                <w:rFonts w:eastAsia="楷体"/>
                <w:color w:val="auto"/>
                <w:kern w:val="0"/>
                <w:sz w:val="18"/>
                <w:szCs w:val="18"/>
                <w:highlight w:val="none"/>
              </w:rPr>
              <w:t>主河道长度(km)</w:t>
            </w:r>
          </w:p>
        </w:tc>
        <w:tc>
          <w:tcPr>
            <w:tcW w:w="1549" w:type="dxa"/>
            <w:tcBorders>
              <w:top w:val="single" w:color="000000" w:sz="4" w:space="0"/>
              <w:left w:val="single" w:color="000000" w:sz="4" w:space="0"/>
              <w:bottom w:val="single" w:color="000000" w:sz="4" w:space="0"/>
              <w:right w:val="single" w:color="000000" w:sz="4" w:space="0"/>
            </w:tcBorders>
            <w:vAlign w:val="center"/>
          </w:tcPr>
          <w:p w14:paraId="6D86649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0.9</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2E065D19">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6A0E07E2">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B84AA9E">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r>
      <w:tr w14:paraId="2C59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A670E21">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多年平均降水量(mm)</w:t>
            </w:r>
          </w:p>
        </w:tc>
        <w:tc>
          <w:tcPr>
            <w:tcW w:w="1549" w:type="dxa"/>
            <w:tcBorders>
              <w:top w:val="single" w:color="000000" w:sz="4" w:space="0"/>
              <w:left w:val="single" w:color="000000" w:sz="4" w:space="0"/>
              <w:bottom w:val="single" w:color="000000" w:sz="4" w:space="0"/>
              <w:right w:val="single" w:color="000000" w:sz="4" w:space="0"/>
            </w:tcBorders>
            <w:vAlign w:val="center"/>
          </w:tcPr>
          <w:p w14:paraId="4779C70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1350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C9993CE">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C817F8B">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4A5D07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17.49</w:t>
            </w:r>
          </w:p>
        </w:tc>
      </w:tr>
      <w:tr w14:paraId="74C4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6CA8A980">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多年平均径流量(万m</w:t>
            </w:r>
            <w:r>
              <w:rPr>
                <w:rStyle w:val="33"/>
                <w:rFonts w:hint="default" w:eastAsia="楷体"/>
                <w:color w:val="auto"/>
                <w:sz w:val="18"/>
                <w:szCs w:val="18"/>
                <w:highlight w:val="none"/>
              </w:rPr>
              <w:t>3</w:t>
            </w:r>
            <w:r>
              <w:rPr>
                <w:rStyle w:val="38"/>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32842CE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38.07</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A663919">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7468D35">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6E781BC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200</w:t>
            </w:r>
          </w:p>
        </w:tc>
      </w:tr>
      <w:tr w14:paraId="1D3F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1784D67">
            <w:pPr>
              <w:widowControl/>
              <w:jc w:val="center"/>
              <w:textAlignment w:val="center"/>
              <w:rPr>
                <w:rFonts w:eastAsia="楷体"/>
                <w:color w:val="auto"/>
                <w:sz w:val="18"/>
                <w:szCs w:val="18"/>
                <w:highlight w:val="none"/>
              </w:rPr>
            </w:pPr>
            <w:r>
              <w:rPr>
                <w:rFonts w:eastAsia="楷体"/>
                <w:color w:val="auto"/>
                <w:kern w:val="0"/>
                <w:sz w:val="18"/>
                <w:szCs w:val="18"/>
                <w:highlight w:val="none"/>
              </w:rPr>
              <w:t>正常蓄水位(m)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45A59D8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28.04</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27BD5400">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612D6FC9">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87D986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4.0～9.0</w:t>
            </w:r>
          </w:p>
        </w:tc>
      </w:tr>
      <w:tr w14:paraId="67CA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5096104">
            <w:pPr>
              <w:widowControl/>
              <w:jc w:val="center"/>
              <w:textAlignment w:val="center"/>
              <w:rPr>
                <w:rFonts w:eastAsia="楷体"/>
                <w:color w:val="auto"/>
                <w:sz w:val="18"/>
                <w:szCs w:val="18"/>
                <w:highlight w:val="none"/>
              </w:rPr>
            </w:pPr>
            <w:r>
              <w:rPr>
                <w:rFonts w:eastAsia="楷体"/>
                <w:color w:val="auto"/>
                <w:kern w:val="0"/>
                <w:sz w:val="18"/>
                <w:szCs w:val="18"/>
                <w:highlight w:val="none"/>
              </w:rPr>
              <w:t>死水位(m)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7BB01D1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21.70</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111F15AA">
            <w:pPr>
              <w:widowControl/>
              <w:jc w:val="center"/>
              <w:textAlignment w:val="center"/>
              <w:rPr>
                <w:rFonts w:eastAsia="楷体"/>
                <w:color w:val="auto"/>
                <w:sz w:val="18"/>
                <w:szCs w:val="18"/>
                <w:highlight w:val="none"/>
              </w:rPr>
            </w:pPr>
            <w:r>
              <w:rPr>
                <w:rFonts w:eastAsia="楷体"/>
                <w:color w:val="auto"/>
                <w:kern w:val="0"/>
                <w:sz w:val="18"/>
                <w:szCs w:val="18"/>
                <w:highlight w:val="none"/>
              </w:rPr>
              <w:t>副坝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7EDDD338">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vMerge w:val="restart"/>
            <w:tcBorders>
              <w:top w:val="single" w:color="000000" w:sz="4" w:space="0"/>
              <w:left w:val="single" w:color="000000" w:sz="4" w:space="0"/>
              <w:bottom w:val="single" w:color="000000" w:sz="4" w:space="0"/>
              <w:right w:val="single" w:color="000000" w:sz="12" w:space="0"/>
            </w:tcBorders>
            <w:vAlign w:val="center"/>
          </w:tcPr>
          <w:p w14:paraId="7505EE2A">
            <w:pPr>
              <w:widowControl/>
              <w:jc w:val="center"/>
              <w:textAlignment w:val="center"/>
              <w:rPr>
                <w:rFonts w:eastAsia="楷体"/>
                <w:color w:val="auto"/>
                <w:sz w:val="18"/>
                <w:szCs w:val="18"/>
                <w:highlight w:val="none"/>
              </w:rPr>
            </w:pPr>
            <w:r>
              <w:rPr>
                <w:rFonts w:eastAsia="楷体"/>
                <w:color w:val="auto"/>
                <w:kern w:val="0"/>
                <w:sz w:val="18"/>
                <w:szCs w:val="18"/>
                <w:highlight w:val="none"/>
              </w:rPr>
              <w:t>无</w:t>
            </w:r>
          </w:p>
        </w:tc>
      </w:tr>
      <w:tr w14:paraId="0EAE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6D00866">
            <w:pPr>
              <w:widowControl/>
              <w:jc w:val="center"/>
              <w:textAlignment w:val="center"/>
              <w:rPr>
                <w:rFonts w:eastAsia="楷体"/>
                <w:color w:val="auto"/>
                <w:sz w:val="18"/>
                <w:szCs w:val="18"/>
                <w:highlight w:val="none"/>
              </w:rPr>
            </w:pPr>
            <w:r>
              <w:rPr>
                <w:rFonts w:eastAsia="楷体"/>
                <w:color w:val="auto"/>
                <w:kern w:val="0"/>
                <w:sz w:val="18"/>
                <w:szCs w:val="18"/>
                <w:highlight w:val="none"/>
              </w:rPr>
              <w:t>设计重现期(年)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1D4D9CA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767CC3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FB83342">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65A8867B">
            <w:pPr>
              <w:jc w:val="center"/>
              <w:rPr>
                <w:rFonts w:eastAsia="楷体"/>
                <w:color w:val="auto"/>
                <w:sz w:val="18"/>
                <w:szCs w:val="18"/>
                <w:highlight w:val="none"/>
              </w:rPr>
            </w:pPr>
          </w:p>
        </w:tc>
      </w:tr>
      <w:tr w14:paraId="4E23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3C433D6">
            <w:pPr>
              <w:widowControl/>
              <w:jc w:val="center"/>
              <w:textAlignment w:val="center"/>
              <w:rPr>
                <w:rFonts w:eastAsia="楷体"/>
                <w:color w:val="auto"/>
                <w:sz w:val="18"/>
                <w:szCs w:val="18"/>
                <w:highlight w:val="none"/>
              </w:rPr>
            </w:pPr>
            <w:r>
              <w:rPr>
                <w:rFonts w:eastAsia="楷体"/>
                <w:color w:val="auto"/>
                <w:kern w:val="0"/>
                <w:sz w:val="18"/>
                <w:szCs w:val="18"/>
                <w:highlight w:val="none"/>
              </w:rPr>
              <w:t>校核重现期(年)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13014AA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w:t>
            </w:r>
            <w:r>
              <w:rPr>
                <w:rFonts w:eastAsia="楷体"/>
                <w:color w:val="auto"/>
                <w:kern w:val="0"/>
                <w:sz w:val="18"/>
                <w:szCs w:val="18"/>
                <w:highlight w:val="none"/>
              </w:rPr>
              <w:t>00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7F7D3F97">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61A35C4D">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41606712">
            <w:pPr>
              <w:jc w:val="center"/>
              <w:rPr>
                <w:rFonts w:eastAsia="楷体"/>
                <w:color w:val="auto"/>
                <w:sz w:val="18"/>
                <w:szCs w:val="18"/>
                <w:highlight w:val="none"/>
              </w:rPr>
            </w:pPr>
          </w:p>
        </w:tc>
      </w:tr>
      <w:tr w14:paraId="60A3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9612F76">
            <w:pPr>
              <w:widowControl/>
              <w:jc w:val="center"/>
              <w:textAlignment w:val="center"/>
              <w:rPr>
                <w:rFonts w:eastAsia="楷体"/>
                <w:color w:val="auto"/>
                <w:sz w:val="18"/>
                <w:szCs w:val="18"/>
                <w:highlight w:val="none"/>
              </w:rPr>
            </w:pPr>
            <w:r>
              <w:rPr>
                <w:rFonts w:eastAsia="楷体"/>
                <w:color w:val="auto"/>
                <w:kern w:val="0"/>
                <w:sz w:val="18"/>
                <w:szCs w:val="18"/>
                <w:highlight w:val="none"/>
              </w:rPr>
              <w:t>设计洪水位(m)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2D429AF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28.56</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5CEF8F1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F5133A8">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7FACBB22">
            <w:pPr>
              <w:jc w:val="center"/>
              <w:rPr>
                <w:rFonts w:eastAsia="楷体"/>
                <w:color w:val="auto"/>
                <w:sz w:val="18"/>
                <w:szCs w:val="18"/>
                <w:highlight w:val="none"/>
              </w:rPr>
            </w:pPr>
          </w:p>
        </w:tc>
      </w:tr>
      <w:tr w14:paraId="76DE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5308847">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33"/>
                <w:rFonts w:hint="default" w:eastAsia="楷体"/>
                <w:color w:val="auto"/>
                <w:sz w:val="18"/>
                <w:szCs w:val="18"/>
                <w:highlight w:val="none"/>
              </w:rPr>
              <w:t>3</w:t>
            </w:r>
            <w:r>
              <w:rPr>
                <w:rStyle w:val="38"/>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08B27ED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12.35</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5FE8009F">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7C827D3">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7BE8BE43">
            <w:pPr>
              <w:jc w:val="center"/>
              <w:rPr>
                <w:rFonts w:eastAsia="楷体"/>
                <w:color w:val="auto"/>
                <w:sz w:val="18"/>
                <w:szCs w:val="18"/>
                <w:highlight w:val="none"/>
              </w:rPr>
            </w:pPr>
          </w:p>
        </w:tc>
      </w:tr>
      <w:tr w14:paraId="16D6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57318F3">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33"/>
                <w:rFonts w:hint="default" w:eastAsia="楷体"/>
                <w:color w:val="auto"/>
                <w:sz w:val="18"/>
                <w:szCs w:val="18"/>
                <w:highlight w:val="none"/>
              </w:rPr>
              <w:t>3</w:t>
            </w:r>
            <w:r>
              <w:rPr>
                <w:rStyle w:val="38"/>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3E4C444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12.61</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2A6E8597">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FB16596">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04227862">
            <w:pPr>
              <w:jc w:val="center"/>
              <w:rPr>
                <w:rFonts w:eastAsia="楷体"/>
                <w:color w:val="auto"/>
                <w:sz w:val="18"/>
                <w:szCs w:val="18"/>
                <w:highlight w:val="none"/>
              </w:rPr>
            </w:pPr>
          </w:p>
        </w:tc>
      </w:tr>
      <w:tr w14:paraId="23C7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D4FDE7C">
            <w:pPr>
              <w:widowControl/>
              <w:jc w:val="center"/>
              <w:textAlignment w:val="center"/>
              <w:rPr>
                <w:rFonts w:eastAsia="楷体"/>
                <w:color w:val="auto"/>
                <w:sz w:val="18"/>
                <w:szCs w:val="18"/>
                <w:highlight w:val="none"/>
              </w:rPr>
            </w:pPr>
            <w:r>
              <w:rPr>
                <w:rFonts w:eastAsia="楷体"/>
                <w:color w:val="auto"/>
                <w:kern w:val="0"/>
                <w:sz w:val="18"/>
                <w:szCs w:val="18"/>
                <w:highlight w:val="none"/>
              </w:rPr>
              <w:t>校核洪水位(m)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0D873D4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28.81</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7A2FE1BA">
            <w:pPr>
              <w:widowControl/>
              <w:jc w:val="center"/>
              <w:textAlignment w:val="center"/>
              <w:rPr>
                <w:rFonts w:eastAsia="楷体"/>
                <w:color w:val="auto"/>
                <w:sz w:val="18"/>
                <w:szCs w:val="18"/>
                <w:highlight w:val="none"/>
              </w:rPr>
            </w:pPr>
            <w:r>
              <w:rPr>
                <w:rFonts w:eastAsia="楷体"/>
                <w:color w:val="auto"/>
                <w:kern w:val="0"/>
                <w:sz w:val="18"/>
                <w:szCs w:val="18"/>
                <w:highlight w:val="none"/>
              </w:rPr>
              <w:t>溢洪道</w:t>
            </w:r>
          </w:p>
        </w:tc>
        <w:tc>
          <w:tcPr>
            <w:tcW w:w="1772" w:type="dxa"/>
            <w:tcBorders>
              <w:top w:val="single" w:color="000000" w:sz="4" w:space="0"/>
              <w:left w:val="single" w:color="000000" w:sz="4" w:space="0"/>
              <w:bottom w:val="single" w:color="000000" w:sz="4" w:space="0"/>
              <w:right w:val="single" w:color="000000" w:sz="4" w:space="0"/>
            </w:tcBorders>
            <w:vAlign w:val="center"/>
          </w:tcPr>
          <w:p w14:paraId="0B10EDF9">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70EDB81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开敞式宽顶堰</w:t>
            </w:r>
          </w:p>
        </w:tc>
      </w:tr>
      <w:tr w14:paraId="6EA7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5EAC1F6">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33"/>
                <w:rFonts w:hint="default" w:eastAsia="楷体"/>
                <w:color w:val="auto"/>
                <w:sz w:val="18"/>
                <w:szCs w:val="18"/>
                <w:highlight w:val="none"/>
              </w:rPr>
              <w:t>3</w:t>
            </w:r>
            <w:r>
              <w:rPr>
                <w:rStyle w:val="38"/>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15255DD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20.64</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659A384">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48244BB2">
            <w:pPr>
              <w:widowControl/>
              <w:jc w:val="center"/>
              <w:textAlignment w:val="center"/>
              <w:rPr>
                <w:rFonts w:eastAsia="楷体"/>
                <w:color w:val="auto"/>
                <w:sz w:val="18"/>
                <w:szCs w:val="18"/>
                <w:highlight w:val="none"/>
              </w:rPr>
            </w:pPr>
            <w:r>
              <w:rPr>
                <w:rFonts w:eastAsia="楷体"/>
                <w:color w:val="auto"/>
                <w:kern w:val="0"/>
                <w:sz w:val="18"/>
                <w:szCs w:val="18"/>
                <w:highlight w:val="none"/>
              </w:rPr>
              <w:t>堰顶高程(m)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1775E9A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28.04</w:t>
            </w:r>
          </w:p>
        </w:tc>
      </w:tr>
      <w:tr w14:paraId="0B7C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D081CB4">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33"/>
                <w:rFonts w:hint="default" w:eastAsia="楷体"/>
                <w:color w:val="auto"/>
                <w:sz w:val="18"/>
                <w:szCs w:val="18"/>
                <w:highlight w:val="none"/>
              </w:rPr>
              <w:t>3</w:t>
            </w:r>
            <w:r>
              <w:rPr>
                <w:rStyle w:val="38"/>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51E45E8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20.01</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43F31954">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760960A">
            <w:pPr>
              <w:widowControl/>
              <w:jc w:val="center"/>
              <w:textAlignment w:val="center"/>
              <w:rPr>
                <w:rFonts w:eastAsia="楷体"/>
                <w:color w:val="auto"/>
                <w:sz w:val="18"/>
                <w:szCs w:val="18"/>
                <w:highlight w:val="none"/>
              </w:rPr>
            </w:pPr>
            <w:r>
              <w:rPr>
                <w:rFonts w:eastAsia="楷体"/>
                <w:color w:val="auto"/>
                <w:kern w:val="0"/>
                <w:sz w:val="18"/>
                <w:szCs w:val="18"/>
                <w:highlight w:val="none"/>
              </w:rPr>
              <w:t>净宽(m)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7C509C3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5.0</w:t>
            </w:r>
          </w:p>
        </w:tc>
      </w:tr>
      <w:tr w14:paraId="0F67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693D016">
            <w:pPr>
              <w:widowControl/>
              <w:jc w:val="center"/>
              <w:textAlignment w:val="center"/>
              <w:rPr>
                <w:rFonts w:eastAsia="楷体"/>
                <w:color w:val="auto"/>
                <w:sz w:val="18"/>
                <w:szCs w:val="18"/>
                <w:highlight w:val="none"/>
              </w:rPr>
            </w:pPr>
            <w:r>
              <w:rPr>
                <w:rFonts w:eastAsia="楷体"/>
                <w:color w:val="auto"/>
                <w:kern w:val="0"/>
                <w:sz w:val="18"/>
                <w:szCs w:val="18"/>
                <w:highlight w:val="none"/>
              </w:rPr>
              <w:t>地震基本烈度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1EC80FE9">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A13467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1561540">
            <w:pPr>
              <w:widowControl/>
              <w:jc w:val="center"/>
              <w:textAlignment w:val="center"/>
              <w:rPr>
                <w:rFonts w:eastAsia="楷体"/>
                <w:color w:val="auto"/>
                <w:sz w:val="18"/>
                <w:szCs w:val="18"/>
                <w:highlight w:val="none"/>
              </w:rPr>
            </w:pPr>
            <w:r>
              <w:rPr>
                <w:rFonts w:eastAsia="楷体"/>
                <w:color w:val="auto"/>
                <w:kern w:val="0"/>
                <w:sz w:val="18"/>
                <w:szCs w:val="18"/>
                <w:highlight w:val="none"/>
              </w:rPr>
              <w:t>最大下泄流量(m</w:t>
            </w:r>
            <w:r>
              <w:rPr>
                <w:rStyle w:val="33"/>
                <w:rFonts w:hint="default" w:eastAsia="楷体"/>
                <w:color w:val="auto"/>
                <w:sz w:val="18"/>
                <w:szCs w:val="18"/>
                <w:highlight w:val="none"/>
              </w:rPr>
              <w:t>3</w:t>
            </w:r>
            <w:r>
              <w:rPr>
                <w:rStyle w:val="38"/>
                <w:rFonts w:eastAsia="楷体"/>
                <w:color w:val="auto"/>
                <w:sz w:val="18"/>
                <w:szCs w:val="18"/>
                <w:highlight w:val="none"/>
              </w:rPr>
              <w:t>/s)</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CA18A2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10.61</w:t>
            </w:r>
          </w:p>
        </w:tc>
      </w:tr>
      <w:tr w14:paraId="4DD5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6A7980C">
            <w:pPr>
              <w:widowControl/>
              <w:jc w:val="center"/>
              <w:textAlignment w:val="center"/>
              <w:rPr>
                <w:rFonts w:eastAsia="楷体"/>
                <w:color w:val="auto"/>
                <w:sz w:val="18"/>
                <w:szCs w:val="18"/>
                <w:highlight w:val="none"/>
              </w:rPr>
            </w:pPr>
            <w:r>
              <w:rPr>
                <w:rFonts w:eastAsia="楷体"/>
                <w:color w:val="auto"/>
                <w:kern w:val="0"/>
                <w:sz w:val="18"/>
                <w:szCs w:val="18"/>
                <w:highlight w:val="none"/>
              </w:rPr>
              <w:t>设计抗震烈度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6FDBE1BD">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2CBE6858">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1AD5756E">
            <w:pPr>
              <w:widowControl/>
              <w:jc w:val="center"/>
              <w:textAlignment w:val="center"/>
              <w:rPr>
                <w:rFonts w:eastAsia="楷体"/>
                <w:color w:val="auto"/>
                <w:sz w:val="18"/>
                <w:szCs w:val="18"/>
                <w:highlight w:val="none"/>
              </w:rPr>
            </w:pPr>
            <w:r>
              <w:rPr>
                <w:rFonts w:eastAsia="楷体"/>
                <w:color w:val="auto"/>
                <w:kern w:val="0"/>
                <w:sz w:val="18"/>
                <w:szCs w:val="18"/>
                <w:highlight w:val="none"/>
              </w:rPr>
              <w:t>最大单宽流量(m</w:t>
            </w:r>
            <w:r>
              <w:rPr>
                <w:rStyle w:val="33"/>
                <w:rFonts w:hint="default" w:eastAsia="楷体"/>
                <w:color w:val="auto"/>
                <w:sz w:val="18"/>
                <w:szCs w:val="18"/>
                <w:highlight w:val="none"/>
              </w:rPr>
              <w:t>3</w:t>
            </w:r>
            <w:r>
              <w:rPr>
                <w:rStyle w:val="38"/>
                <w:rFonts w:eastAsia="楷体"/>
                <w:color w:val="auto"/>
                <w:sz w:val="18"/>
                <w:szCs w:val="18"/>
                <w:highlight w:val="none"/>
              </w:rPr>
              <w:t>/s.m)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654EF46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2.12</w:t>
            </w:r>
          </w:p>
        </w:tc>
      </w:tr>
      <w:tr w14:paraId="0D6A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4" w:space="0"/>
              <w:right w:val="single" w:color="000000" w:sz="4" w:space="0"/>
            </w:tcBorders>
            <w:vAlign w:val="center"/>
          </w:tcPr>
          <w:p w14:paraId="6BF46E38">
            <w:pPr>
              <w:widowControl/>
              <w:jc w:val="center"/>
              <w:textAlignment w:val="center"/>
              <w:rPr>
                <w:rFonts w:eastAsia="楷体"/>
                <w:color w:val="auto"/>
                <w:sz w:val="18"/>
                <w:szCs w:val="18"/>
                <w:highlight w:val="none"/>
              </w:rPr>
            </w:pPr>
            <w:r>
              <w:rPr>
                <w:rFonts w:eastAsia="楷体"/>
                <w:color w:val="auto"/>
                <w:kern w:val="0"/>
                <w:sz w:val="18"/>
                <w:szCs w:val="18"/>
                <w:highlight w:val="none"/>
              </w:rPr>
              <w:t>库容特性</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2361C23A">
            <w:pPr>
              <w:widowControl/>
              <w:jc w:val="center"/>
              <w:textAlignment w:val="center"/>
              <w:rPr>
                <w:rFonts w:eastAsia="楷体"/>
                <w:color w:val="auto"/>
                <w:sz w:val="18"/>
                <w:szCs w:val="18"/>
                <w:highlight w:val="none"/>
              </w:rPr>
            </w:pPr>
            <w:r>
              <w:rPr>
                <w:rFonts w:eastAsia="楷体"/>
                <w:color w:val="auto"/>
                <w:kern w:val="0"/>
                <w:sz w:val="18"/>
                <w:szCs w:val="18"/>
                <w:highlight w:val="none"/>
              </w:rPr>
              <w:t>总库容(万m</w:t>
            </w:r>
            <w:r>
              <w:rPr>
                <w:rStyle w:val="33"/>
                <w:rFonts w:hint="default" w:eastAsia="楷体"/>
                <w:color w:val="auto"/>
                <w:sz w:val="18"/>
                <w:szCs w:val="18"/>
                <w:highlight w:val="none"/>
              </w:rPr>
              <w:t>3</w:t>
            </w:r>
            <w:r>
              <w:rPr>
                <w:rStyle w:val="38"/>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0E491F3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30.87</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4C74174">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574A003">
            <w:pPr>
              <w:widowControl/>
              <w:jc w:val="center"/>
              <w:textAlignment w:val="center"/>
              <w:rPr>
                <w:rFonts w:eastAsia="楷体"/>
                <w:color w:val="auto"/>
                <w:sz w:val="18"/>
                <w:szCs w:val="18"/>
                <w:highlight w:val="none"/>
              </w:rPr>
            </w:pPr>
            <w:r>
              <w:rPr>
                <w:rFonts w:eastAsia="楷体"/>
                <w:color w:val="auto"/>
                <w:kern w:val="0"/>
                <w:sz w:val="18"/>
                <w:szCs w:val="18"/>
                <w:highlight w:val="none"/>
              </w:rPr>
              <w:t>消能型式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53AA73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w:t>
            </w:r>
          </w:p>
        </w:tc>
      </w:tr>
      <w:tr w14:paraId="2B4E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31654552">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4D37F9EA">
            <w:pPr>
              <w:widowControl/>
              <w:jc w:val="center"/>
              <w:textAlignment w:val="center"/>
              <w:rPr>
                <w:rFonts w:eastAsia="楷体"/>
                <w:color w:val="auto"/>
                <w:sz w:val="18"/>
                <w:szCs w:val="18"/>
                <w:highlight w:val="none"/>
              </w:rPr>
            </w:pPr>
            <w:r>
              <w:rPr>
                <w:rFonts w:eastAsia="楷体"/>
                <w:color w:val="auto"/>
                <w:kern w:val="0"/>
                <w:sz w:val="18"/>
                <w:szCs w:val="18"/>
                <w:highlight w:val="none"/>
              </w:rPr>
              <w:t>调洪库容(万m</w:t>
            </w:r>
            <w:r>
              <w:rPr>
                <w:rStyle w:val="33"/>
                <w:rFonts w:hint="default" w:eastAsia="楷体"/>
                <w:color w:val="auto"/>
                <w:sz w:val="18"/>
                <w:szCs w:val="18"/>
                <w:highlight w:val="none"/>
              </w:rPr>
              <w:t>3</w:t>
            </w:r>
            <w:r>
              <w:rPr>
                <w:rStyle w:val="38"/>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114E1C3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3.95</w:t>
            </w:r>
          </w:p>
        </w:tc>
        <w:tc>
          <w:tcPr>
            <w:tcW w:w="809" w:type="dxa"/>
            <w:vMerge w:val="restart"/>
            <w:tcBorders>
              <w:top w:val="single" w:color="000000" w:sz="4" w:space="0"/>
              <w:left w:val="single" w:color="000000" w:sz="4" w:space="0"/>
              <w:bottom w:val="single" w:color="000000" w:sz="12" w:space="0"/>
              <w:right w:val="single" w:color="000000" w:sz="4" w:space="0"/>
            </w:tcBorders>
            <w:vAlign w:val="center"/>
          </w:tcPr>
          <w:p w14:paraId="55866349">
            <w:pPr>
              <w:widowControl/>
              <w:jc w:val="center"/>
              <w:textAlignment w:val="center"/>
              <w:rPr>
                <w:rFonts w:eastAsia="楷体"/>
                <w:color w:val="auto"/>
                <w:sz w:val="18"/>
                <w:szCs w:val="18"/>
                <w:highlight w:val="none"/>
              </w:rPr>
            </w:pPr>
            <w:r>
              <w:rPr>
                <w:rFonts w:eastAsia="楷体"/>
                <w:color w:val="auto"/>
                <w:kern w:val="0"/>
                <w:sz w:val="18"/>
                <w:szCs w:val="18"/>
                <w:highlight w:val="none"/>
              </w:rPr>
              <w:t>取水建筑物</w:t>
            </w:r>
          </w:p>
        </w:tc>
        <w:tc>
          <w:tcPr>
            <w:tcW w:w="1772" w:type="dxa"/>
            <w:tcBorders>
              <w:top w:val="single" w:color="000000" w:sz="4" w:space="0"/>
              <w:left w:val="single" w:color="000000" w:sz="4" w:space="0"/>
              <w:bottom w:val="single" w:color="000000" w:sz="4" w:space="0"/>
              <w:right w:val="single" w:color="000000" w:sz="4" w:space="0"/>
            </w:tcBorders>
            <w:vAlign w:val="center"/>
          </w:tcPr>
          <w:p w14:paraId="278DDF9F">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7127217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无压箱涵</w:t>
            </w:r>
          </w:p>
        </w:tc>
      </w:tr>
      <w:tr w14:paraId="0C11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1D400E78">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14C184A3">
            <w:pPr>
              <w:widowControl/>
              <w:jc w:val="center"/>
              <w:textAlignment w:val="center"/>
              <w:rPr>
                <w:rFonts w:eastAsia="楷体"/>
                <w:color w:val="auto"/>
                <w:sz w:val="18"/>
                <w:szCs w:val="18"/>
                <w:highlight w:val="none"/>
              </w:rPr>
            </w:pPr>
            <w:r>
              <w:rPr>
                <w:rFonts w:eastAsia="楷体"/>
                <w:color w:val="auto"/>
                <w:kern w:val="0"/>
                <w:sz w:val="18"/>
                <w:szCs w:val="18"/>
                <w:highlight w:val="none"/>
              </w:rPr>
              <w:t>兴利库容(万m</w:t>
            </w:r>
            <w:r>
              <w:rPr>
                <w:rStyle w:val="33"/>
                <w:rFonts w:hint="default" w:eastAsia="楷体"/>
                <w:color w:val="auto"/>
                <w:sz w:val="18"/>
                <w:szCs w:val="18"/>
                <w:highlight w:val="none"/>
              </w:rPr>
              <w:t>3</w:t>
            </w:r>
            <w:r>
              <w:rPr>
                <w:rStyle w:val="38"/>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1A56EE5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22.82</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2B6F980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C9CD82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长度</w:t>
            </w:r>
            <w:r>
              <w:rPr>
                <w:rFonts w:eastAsia="楷体"/>
                <w:color w:val="auto"/>
                <w:kern w:val="0"/>
                <w:sz w:val="18"/>
                <w:szCs w:val="18"/>
                <w:highlight w:val="none"/>
              </w:rPr>
              <w:t>(m)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178F366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35</w:t>
            </w:r>
          </w:p>
        </w:tc>
      </w:tr>
      <w:tr w14:paraId="20ED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39641B98">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4E9BACE0">
            <w:pPr>
              <w:widowControl/>
              <w:jc w:val="center"/>
              <w:textAlignment w:val="center"/>
              <w:rPr>
                <w:rFonts w:eastAsia="楷体"/>
                <w:color w:val="auto"/>
                <w:sz w:val="18"/>
                <w:szCs w:val="18"/>
                <w:highlight w:val="none"/>
              </w:rPr>
            </w:pPr>
            <w:r>
              <w:rPr>
                <w:rFonts w:eastAsia="楷体"/>
                <w:color w:val="auto"/>
                <w:kern w:val="0"/>
                <w:sz w:val="18"/>
                <w:szCs w:val="18"/>
                <w:highlight w:val="none"/>
              </w:rPr>
              <w:t>死库容(万m</w:t>
            </w:r>
            <w:r>
              <w:rPr>
                <w:rStyle w:val="33"/>
                <w:rFonts w:hint="default" w:eastAsia="楷体"/>
                <w:color w:val="auto"/>
                <w:sz w:val="18"/>
                <w:szCs w:val="18"/>
                <w:highlight w:val="none"/>
              </w:rPr>
              <w:t>3</w:t>
            </w:r>
            <w:r>
              <w:rPr>
                <w:rStyle w:val="38"/>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10AFF4E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4.10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65CCF6BB">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E39BB5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断面尺寸</w:t>
            </w:r>
            <w:r>
              <w:rPr>
                <w:rFonts w:eastAsia="楷体"/>
                <w:color w:val="auto"/>
                <w:kern w:val="0"/>
                <w:sz w:val="18"/>
                <w:szCs w:val="18"/>
                <w:highlight w:val="none"/>
              </w:rPr>
              <w:t>(m)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15BC63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0.5×0.8</w:t>
            </w:r>
          </w:p>
        </w:tc>
      </w:tr>
      <w:tr w14:paraId="10BC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12" w:space="0"/>
              <w:right w:val="single" w:color="000000" w:sz="4" w:space="0"/>
            </w:tcBorders>
            <w:vAlign w:val="center"/>
          </w:tcPr>
          <w:p w14:paraId="37ADAF81">
            <w:pPr>
              <w:widowControl/>
              <w:jc w:val="center"/>
              <w:textAlignment w:val="center"/>
              <w:rPr>
                <w:rFonts w:eastAsia="楷体"/>
                <w:color w:val="auto"/>
                <w:sz w:val="18"/>
                <w:szCs w:val="18"/>
                <w:highlight w:val="none"/>
              </w:rPr>
            </w:pPr>
            <w:r>
              <w:rPr>
                <w:rFonts w:eastAsia="楷体"/>
                <w:color w:val="auto"/>
                <w:kern w:val="0"/>
                <w:sz w:val="18"/>
                <w:szCs w:val="18"/>
                <w:highlight w:val="none"/>
              </w:rPr>
              <w:t>工程效益</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590E8F81">
            <w:pPr>
              <w:widowControl/>
              <w:jc w:val="center"/>
              <w:textAlignment w:val="center"/>
              <w:rPr>
                <w:rFonts w:eastAsia="楷体"/>
                <w:color w:val="auto"/>
                <w:sz w:val="18"/>
                <w:szCs w:val="18"/>
                <w:highlight w:val="none"/>
              </w:rPr>
            </w:pPr>
            <w:r>
              <w:rPr>
                <w:rFonts w:eastAsia="楷体"/>
                <w:color w:val="auto"/>
                <w:kern w:val="0"/>
                <w:sz w:val="18"/>
                <w:szCs w:val="18"/>
                <w:highlight w:val="none"/>
              </w:rPr>
              <w:t>有效灌溉面积（亩）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3102E05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700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185CBE4E">
            <w:pPr>
              <w:jc w:val="center"/>
              <w:rPr>
                <w:rFonts w:eastAsia="楷体"/>
                <w:color w:val="auto"/>
                <w:sz w:val="18"/>
                <w:szCs w:val="18"/>
                <w:highlight w:val="none"/>
              </w:rPr>
            </w:pPr>
          </w:p>
        </w:tc>
        <w:tc>
          <w:tcPr>
            <w:tcW w:w="1772" w:type="dxa"/>
            <w:tcBorders>
              <w:top w:val="single" w:color="000000" w:sz="4" w:space="0"/>
              <w:left w:val="single" w:color="000000" w:sz="4" w:space="0"/>
              <w:bottom w:val="single" w:color="auto" w:sz="4" w:space="0"/>
              <w:right w:val="single" w:color="000000" w:sz="4" w:space="0"/>
            </w:tcBorders>
            <w:vAlign w:val="center"/>
          </w:tcPr>
          <w:p w14:paraId="2389EE02">
            <w:pPr>
              <w:widowControl/>
              <w:jc w:val="center"/>
              <w:textAlignment w:val="center"/>
              <w:rPr>
                <w:rFonts w:eastAsia="楷体"/>
                <w:color w:val="auto"/>
                <w:sz w:val="18"/>
                <w:szCs w:val="18"/>
                <w:highlight w:val="none"/>
              </w:rPr>
            </w:pPr>
            <w:r>
              <w:rPr>
                <w:rFonts w:hint="eastAsia" w:eastAsia="楷体"/>
                <w:color w:val="auto"/>
                <w:sz w:val="18"/>
                <w:szCs w:val="18"/>
                <w:highlight w:val="none"/>
              </w:rPr>
              <w:t>进口底高程(m)</w:t>
            </w:r>
          </w:p>
        </w:tc>
        <w:tc>
          <w:tcPr>
            <w:tcW w:w="2307" w:type="dxa"/>
            <w:gridSpan w:val="3"/>
            <w:tcBorders>
              <w:top w:val="single" w:color="000000" w:sz="4" w:space="0"/>
              <w:left w:val="single" w:color="000000" w:sz="4" w:space="0"/>
              <w:bottom w:val="single" w:color="auto" w:sz="4" w:space="0"/>
              <w:right w:val="single" w:color="000000" w:sz="12" w:space="0"/>
            </w:tcBorders>
            <w:vAlign w:val="center"/>
          </w:tcPr>
          <w:p w14:paraId="5196D50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21.70</w:t>
            </w:r>
          </w:p>
        </w:tc>
      </w:tr>
      <w:tr w14:paraId="3936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06B1FB17">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61986DB3">
            <w:pPr>
              <w:widowControl/>
              <w:jc w:val="center"/>
              <w:textAlignment w:val="center"/>
              <w:rPr>
                <w:rFonts w:eastAsia="楷体"/>
                <w:color w:val="auto"/>
                <w:sz w:val="18"/>
                <w:szCs w:val="18"/>
                <w:highlight w:val="none"/>
              </w:rPr>
            </w:pPr>
            <w:r>
              <w:rPr>
                <w:rFonts w:eastAsia="楷体"/>
                <w:color w:val="auto"/>
                <w:kern w:val="0"/>
                <w:sz w:val="18"/>
                <w:szCs w:val="18"/>
                <w:highlight w:val="none"/>
              </w:rPr>
              <w:t>设计灌溉面积（亩）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65479B2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700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5A65B2A9">
            <w:pPr>
              <w:jc w:val="center"/>
              <w:rPr>
                <w:rFonts w:eastAsia="楷体"/>
                <w:color w:val="auto"/>
                <w:sz w:val="18"/>
                <w:szCs w:val="18"/>
                <w:highlight w:val="none"/>
              </w:rPr>
            </w:pPr>
          </w:p>
        </w:tc>
        <w:tc>
          <w:tcPr>
            <w:tcW w:w="1772" w:type="dxa"/>
            <w:tcBorders>
              <w:top w:val="single" w:color="auto" w:sz="4" w:space="0"/>
              <w:left w:val="single" w:color="000000" w:sz="4" w:space="0"/>
              <w:bottom w:val="single" w:color="auto" w:sz="4" w:space="0"/>
              <w:right w:val="single" w:color="000000" w:sz="4" w:space="0"/>
            </w:tcBorders>
            <w:vAlign w:val="center"/>
          </w:tcPr>
          <w:p w14:paraId="7179B3D8">
            <w:pPr>
              <w:jc w:val="center"/>
              <w:rPr>
                <w:rFonts w:eastAsia="楷体"/>
                <w:color w:val="auto"/>
                <w:sz w:val="18"/>
                <w:szCs w:val="18"/>
                <w:highlight w:val="none"/>
              </w:rPr>
            </w:pPr>
            <w:r>
              <w:rPr>
                <w:rFonts w:hint="eastAsia" w:eastAsia="楷体"/>
                <w:color w:val="auto"/>
                <w:sz w:val="18"/>
                <w:szCs w:val="18"/>
                <w:highlight w:val="none"/>
              </w:rPr>
              <w:t>出口底高程(m)</w:t>
            </w:r>
          </w:p>
        </w:tc>
        <w:tc>
          <w:tcPr>
            <w:tcW w:w="2307" w:type="dxa"/>
            <w:gridSpan w:val="3"/>
            <w:tcBorders>
              <w:top w:val="single" w:color="auto" w:sz="4" w:space="0"/>
              <w:left w:val="single" w:color="000000" w:sz="4" w:space="0"/>
              <w:bottom w:val="single" w:color="auto" w:sz="4" w:space="0"/>
              <w:right w:val="single" w:color="000000" w:sz="12" w:space="0"/>
            </w:tcBorders>
            <w:vAlign w:val="center"/>
          </w:tcPr>
          <w:p w14:paraId="10B9BDF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21.69</w:t>
            </w:r>
          </w:p>
        </w:tc>
      </w:tr>
      <w:tr w14:paraId="4D82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31941880">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6CF9E2B0">
            <w:pPr>
              <w:widowControl/>
              <w:jc w:val="center"/>
              <w:textAlignment w:val="center"/>
              <w:rPr>
                <w:rFonts w:eastAsia="楷体"/>
                <w:color w:val="auto"/>
                <w:sz w:val="18"/>
                <w:szCs w:val="18"/>
                <w:highlight w:val="none"/>
              </w:rPr>
            </w:pPr>
            <w:r>
              <w:rPr>
                <w:rFonts w:eastAsia="楷体"/>
                <w:color w:val="auto"/>
                <w:kern w:val="0"/>
                <w:sz w:val="18"/>
                <w:szCs w:val="18"/>
                <w:highlight w:val="none"/>
              </w:rPr>
              <w:t>保护人口（人）</w:t>
            </w:r>
          </w:p>
        </w:tc>
        <w:tc>
          <w:tcPr>
            <w:tcW w:w="1549" w:type="dxa"/>
            <w:tcBorders>
              <w:top w:val="single" w:color="000000" w:sz="4" w:space="0"/>
              <w:left w:val="single" w:color="000000" w:sz="4" w:space="0"/>
              <w:bottom w:val="single" w:color="000000" w:sz="4" w:space="0"/>
              <w:right w:val="single" w:color="000000" w:sz="4" w:space="0"/>
            </w:tcBorders>
            <w:vAlign w:val="center"/>
          </w:tcPr>
          <w:p w14:paraId="43E33EC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2500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6265E8C9">
            <w:pPr>
              <w:jc w:val="center"/>
              <w:rPr>
                <w:rFonts w:eastAsia="楷体"/>
                <w:color w:val="auto"/>
                <w:sz w:val="18"/>
                <w:szCs w:val="18"/>
                <w:highlight w:val="none"/>
              </w:rPr>
            </w:pPr>
          </w:p>
        </w:tc>
        <w:tc>
          <w:tcPr>
            <w:tcW w:w="1772" w:type="dxa"/>
            <w:tcBorders>
              <w:top w:val="single" w:color="auto" w:sz="4" w:space="0"/>
              <w:left w:val="single" w:color="000000" w:sz="4" w:space="0"/>
              <w:bottom w:val="single" w:color="000000" w:sz="4" w:space="0"/>
              <w:right w:val="single" w:color="000000" w:sz="4" w:space="0"/>
            </w:tcBorders>
            <w:vAlign w:val="center"/>
          </w:tcPr>
          <w:p w14:paraId="0DE6CBDD">
            <w:pPr>
              <w:jc w:val="center"/>
              <w:rPr>
                <w:rFonts w:eastAsia="楷体"/>
                <w:color w:val="auto"/>
                <w:sz w:val="18"/>
                <w:szCs w:val="18"/>
                <w:highlight w:val="none"/>
              </w:rPr>
            </w:pPr>
            <w:r>
              <w:rPr>
                <w:rFonts w:hint="eastAsia" w:eastAsia="楷体"/>
                <w:color w:val="auto"/>
                <w:sz w:val="18"/>
                <w:szCs w:val="18"/>
                <w:highlight w:val="none"/>
              </w:rPr>
              <w:t>最大输水流量（m</w:t>
            </w:r>
            <w:r>
              <w:rPr>
                <w:rFonts w:hint="eastAsia" w:eastAsia="楷体"/>
                <w:color w:val="auto"/>
                <w:sz w:val="18"/>
                <w:szCs w:val="18"/>
                <w:highlight w:val="none"/>
                <w:vertAlign w:val="superscript"/>
              </w:rPr>
              <w:t>3</w:t>
            </w:r>
            <w:r>
              <w:rPr>
                <w:rFonts w:hint="eastAsia" w:eastAsia="楷体"/>
                <w:color w:val="auto"/>
                <w:sz w:val="18"/>
                <w:szCs w:val="18"/>
                <w:highlight w:val="none"/>
              </w:rPr>
              <w:t>/s）</w:t>
            </w:r>
          </w:p>
        </w:tc>
        <w:tc>
          <w:tcPr>
            <w:tcW w:w="2307" w:type="dxa"/>
            <w:gridSpan w:val="3"/>
            <w:tcBorders>
              <w:top w:val="single" w:color="auto" w:sz="4" w:space="0"/>
              <w:left w:val="single" w:color="000000" w:sz="4" w:space="0"/>
              <w:bottom w:val="single" w:color="000000" w:sz="4" w:space="0"/>
              <w:right w:val="single" w:color="000000" w:sz="12" w:space="0"/>
            </w:tcBorders>
            <w:vAlign w:val="center"/>
          </w:tcPr>
          <w:p w14:paraId="5C1CA3A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0.2</w:t>
            </w:r>
          </w:p>
        </w:tc>
      </w:tr>
      <w:tr w14:paraId="208E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16792F61">
            <w:pPr>
              <w:jc w:val="center"/>
              <w:rPr>
                <w:rFonts w:eastAsia="楷体"/>
                <w:color w:val="auto"/>
                <w:sz w:val="18"/>
                <w:szCs w:val="18"/>
                <w:highlight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081665C">
            <w:pPr>
              <w:widowControl/>
              <w:jc w:val="center"/>
              <w:textAlignment w:val="center"/>
              <w:rPr>
                <w:rFonts w:eastAsia="楷体"/>
                <w:color w:val="auto"/>
                <w:sz w:val="18"/>
                <w:szCs w:val="18"/>
                <w:highlight w:val="none"/>
              </w:rPr>
            </w:pPr>
            <w:r>
              <w:rPr>
                <w:rFonts w:eastAsia="楷体"/>
                <w:color w:val="auto"/>
                <w:kern w:val="0"/>
                <w:sz w:val="18"/>
                <w:szCs w:val="18"/>
                <w:highlight w:val="none"/>
              </w:rPr>
              <w:t>保护耕地（亩）</w:t>
            </w:r>
          </w:p>
        </w:tc>
        <w:tc>
          <w:tcPr>
            <w:tcW w:w="1549" w:type="dxa"/>
            <w:vMerge w:val="restart"/>
            <w:tcBorders>
              <w:top w:val="single" w:color="000000" w:sz="4" w:space="0"/>
              <w:left w:val="single" w:color="000000" w:sz="4" w:space="0"/>
              <w:bottom w:val="single" w:color="000000" w:sz="4" w:space="0"/>
              <w:right w:val="single" w:color="000000" w:sz="4" w:space="0"/>
            </w:tcBorders>
            <w:vAlign w:val="center"/>
          </w:tcPr>
          <w:p w14:paraId="310D8B2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700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3FBB506D">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371CEF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放水型式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6DEE0E5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转动门盖</w:t>
            </w:r>
          </w:p>
        </w:tc>
      </w:tr>
      <w:tr w14:paraId="5E2E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4E02A091">
            <w:pPr>
              <w:jc w:val="center"/>
              <w:rPr>
                <w:rFonts w:eastAsia="楷体"/>
                <w:color w:val="auto"/>
                <w:sz w:val="18"/>
                <w:szCs w:val="18"/>
                <w:highlight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B392C6">
            <w:pPr>
              <w:jc w:val="center"/>
              <w:rPr>
                <w:rFonts w:eastAsia="楷体"/>
                <w:color w:val="auto"/>
                <w:sz w:val="18"/>
                <w:szCs w:val="18"/>
                <w:highlight w:val="none"/>
              </w:rPr>
            </w:pPr>
          </w:p>
        </w:tc>
        <w:tc>
          <w:tcPr>
            <w:tcW w:w="1549" w:type="dxa"/>
            <w:vMerge w:val="continue"/>
            <w:tcBorders>
              <w:top w:val="single" w:color="000000" w:sz="4" w:space="0"/>
              <w:left w:val="single" w:color="000000" w:sz="4" w:space="0"/>
              <w:bottom w:val="single" w:color="000000" w:sz="4" w:space="0"/>
              <w:right w:val="single" w:color="000000" w:sz="4" w:space="0"/>
            </w:tcBorders>
            <w:vAlign w:val="center"/>
          </w:tcPr>
          <w:p w14:paraId="5FF929A2">
            <w:pPr>
              <w:jc w:val="center"/>
              <w:rPr>
                <w:rFonts w:eastAsia="楷体"/>
                <w:color w:val="auto"/>
                <w:sz w:val="18"/>
                <w:szCs w:val="18"/>
                <w:highlight w:val="none"/>
              </w:rPr>
            </w:pP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11F97469">
            <w:pPr>
              <w:jc w:val="center"/>
              <w:rPr>
                <w:rFonts w:eastAsia="楷体"/>
                <w:color w:val="auto"/>
                <w:sz w:val="18"/>
                <w:szCs w:val="18"/>
                <w:highlight w:val="none"/>
              </w:rPr>
            </w:pPr>
          </w:p>
        </w:tc>
        <w:tc>
          <w:tcPr>
            <w:tcW w:w="1772" w:type="dxa"/>
            <w:vMerge w:val="restart"/>
            <w:tcBorders>
              <w:top w:val="single" w:color="000000" w:sz="4" w:space="0"/>
              <w:left w:val="single" w:color="000000" w:sz="4" w:space="0"/>
              <w:bottom w:val="single" w:color="000000" w:sz="12" w:space="0"/>
              <w:right w:val="single" w:color="000000" w:sz="4" w:space="0"/>
            </w:tcBorders>
            <w:vAlign w:val="center"/>
          </w:tcPr>
          <w:p w14:paraId="121E2B8A">
            <w:pPr>
              <w:widowControl/>
              <w:jc w:val="center"/>
              <w:textAlignment w:val="center"/>
              <w:rPr>
                <w:rFonts w:eastAsia="楷体"/>
                <w:color w:val="auto"/>
                <w:sz w:val="18"/>
                <w:szCs w:val="18"/>
                <w:highlight w:val="none"/>
              </w:rPr>
            </w:pPr>
            <w:r>
              <w:rPr>
                <w:rFonts w:eastAsia="楷体"/>
                <w:color w:val="auto"/>
                <w:kern w:val="0"/>
                <w:sz w:val="18"/>
                <w:szCs w:val="18"/>
                <w:highlight w:val="none"/>
              </w:rPr>
              <w:t>启闭设备</w:t>
            </w:r>
          </w:p>
        </w:tc>
        <w:tc>
          <w:tcPr>
            <w:tcW w:w="2307" w:type="dxa"/>
            <w:gridSpan w:val="3"/>
            <w:vMerge w:val="restart"/>
            <w:tcBorders>
              <w:top w:val="single" w:color="000000" w:sz="4" w:space="0"/>
              <w:left w:val="single" w:color="000000" w:sz="4" w:space="0"/>
              <w:bottom w:val="single" w:color="000000" w:sz="12" w:space="0"/>
              <w:right w:val="single" w:color="000000" w:sz="12" w:space="0"/>
            </w:tcBorders>
            <w:vAlign w:val="center"/>
          </w:tcPr>
          <w:p w14:paraId="27610CF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卷扬式启闭机</w:t>
            </w:r>
          </w:p>
        </w:tc>
      </w:tr>
      <w:tr w14:paraId="6CD7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6D8BCD15">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12" w:space="0"/>
              <w:right w:val="single" w:color="000000" w:sz="4" w:space="0"/>
            </w:tcBorders>
            <w:vAlign w:val="center"/>
          </w:tcPr>
          <w:p w14:paraId="5E62CADB">
            <w:pPr>
              <w:widowControl/>
              <w:jc w:val="center"/>
              <w:textAlignment w:val="center"/>
              <w:rPr>
                <w:rFonts w:eastAsia="楷体"/>
                <w:color w:val="auto"/>
                <w:sz w:val="18"/>
                <w:szCs w:val="18"/>
                <w:highlight w:val="none"/>
              </w:rPr>
            </w:pPr>
            <w:r>
              <w:rPr>
                <w:rFonts w:eastAsia="楷体"/>
                <w:color w:val="auto"/>
                <w:kern w:val="0"/>
                <w:sz w:val="18"/>
                <w:szCs w:val="18"/>
                <w:highlight w:val="none"/>
              </w:rPr>
              <w:t>总装机功率（kw）</w:t>
            </w:r>
          </w:p>
        </w:tc>
        <w:tc>
          <w:tcPr>
            <w:tcW w:w="1549" w:type="dxa"/>
            <w:tcBorders>
              <w:top w:val="single" w:color="000000" w:sz="4" w:space="0"/>
              <w:left w:val="single" w:color="000000" w:sz="4" w:space="0"/>
              <w:bottom w:val="single" w:color="000000" w:sz="12" w:space="0"/>
              <w:right w:val="single" w:color="000000" w:sz="4" w:space="0"/>
            </w:tcBorders>
            <w:vAlign w:val="center"/>
          </w:tcPr>
          <w:p w14:paraId="1FEFAE00">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19C99AB2">
            <w:pPr>
              <w:jc w:val="center"/>
              <w:rPr>
                <w:rFonts w:eastAsia="楷体"/>
                <w:color w:val="auto"/>
                <w:sz w:val="18"/>
                <w:szCs w:val="18"/>
                <w:highlight w:val="none"/>
              </w:rPr>
            </w:pPr>
          </w:p>
        </w:tc>
        <w:tc>
          <w:tcPr>
            <w:tcW w:w="1772" w:type="dxa"/>
            <w:vMerge w:val="continue"/>
            <w:tcBorders>
              <w:top w:val="single" w:color="000000" w:sz="4" w:space="0"/>
              <w:left w:val="single" w:color="000000" w:sz="4" w:space="0"/>
              <w:bottom w:val="single" w:color="000000" w:sz="12" w:space="0"/>
              <w:right w:val="single" w:color="000000" w:sz="4" w:space="0"/>
            </w:tcBorders>
            <w:vAlign w:val="center"/>
          </w:tcPr>
          <w:p w14:paraId="082AD8F1">
            <w:pPr>
              <w:jc w:val="center"/>
              <w:rPr>
                <w:rFonts w:eastAsia="楷体"/>
                <w:color w:val="auto"/>
                <w:sz w:val="18"/>
                <w:szCs w:val="18"/>
                <w:highlight w:val="none"/>
              </w:rPr>
            </w:pPr>
          </w:p>
        </w:tc>
        <w:tc>
          <w:tcPr>
            <w:tcW w:w="2307" w:type="dxa"/>
            <w:gridSpan w:val="3"/>
            <w:vMerge w:val="continue"/>
            <w:tcBorders>
              <w:top w:val="single" w:color="000000" w:sz="4" w:space="0"/>
              <w:left w:val="single" w:color="000000" w:sz="4" w:space="0"/>
              <w:bottom w:val="single" w:color="000000" w:sz="12" w:space="0"/>
              <w:right w:val="single" w:color="000000" w:sz="12" w:space="0"/>
            </w:tcBorders>
            <w:vAlign w:val="center"/>
          </w:tcPr>
          <w:p w14:paraId="14FC8BE3">
            <w:pPr>
              <w:jc w:val="center"/>
              <w:rPr>
                <w:rFonts w:eastAsia="楷体"/>
                <w:color w:val="auto"/>
                <w:sz w:val="18"/>
                <w:szCs w:val="18"/>
                <w:highlight w:val="none"/>
              </w:rPr>
            </w:pPr>
          </w:p>
        </w:tc>
      </w:tr>
    </w:tbl>
    <w:p w14:paraId="751B74DE">
      <w:pPr>
        <w:pStyle w:val="2"/>
        <w:spacing w:beforeLines="100" w:afterLines="100" w:line="360" w:lineRule="auto"/>
        <w:jc w:val="center"/>
        <w:rPr>
          <w:rFonts w:eastAsia="楷体"/>
          <w:color w:val="auto"/>
          <w:kern w:val="0"/>
          <w:sz w:val="32"/>
          <w:szCs w:val="32"/>
          <w:highlight w:val="none"/>
        </w:rPr>
        <w:sectPr>
          <w:footerReference r:id="rId5" w:type="default"/>
          <w:pgSz w:w="11906" w:h="16838"/>
          <w:pgMar w:top="1440" w:right="1800" w:bottom="1440" w:left="1800" w:header="851" w:footer="992" w:gutter="0"/>
          <w:pgNumType w:fmt="numberInDash"/>
          <w:cols w:space="720" w:num="1"/>
          <w:docGrid w:type="lines" w:linePitch="312" w:charSpace="0"/>
        </w:sectPr>
      </w:pPr>
    </w:p>
    <w:p w14:paraId="798143A1">
      <w:pPr>
        <w:pStyle w:val="2"/>
        <w:spacing w:beforeLines="100" w:afterLines="100" w:line="360" w:lineRule="auto"/>
        <w:jc w:val="center"/>
        <w:rPr>
          <w:rFonts w:eastAsia="楷体"/>
          <w:color w:val="auto"/>
          <w:kern w:val="0"/>
          <w:sz w:val="32"/>
          <w:szCs w:val="32"/>
          <w:highlight w:val="none"/>
        </w:rPr>
      </w:pPr>
      <w:bookmarkStart w:id="1" w:name="_Toc7664"/>
      <w:r>
        <w:rPr>
          <w:rFonts w:eastAsia="楷体"/>
          <w:color w:val="auto"/>
          <w:kern w:val="0"/>
          <w:sz w:val="32"/>
          <w:szCs w:val="32"/>
          <w:highlight w:val="none"/>
        </w:rPr>
        <w:t>1  水库基本情况</w:t>
      </w:r>
      <w:bookmarkEnd w:id="0"/>
      <w:bookmarkEnd w:id="1"/>
    </w:p>
    <w:p w14:paraId="6AE5BDFB">
      <w:pPr>
        <w:pStyle w:val="3"/>
        <w:spacing w:beforeLines="50" w:afterLines="50" w:line="360" w:lineRule="auto"/>
        <w:contextualSpacing/>
        <w:rPr>
          <w:rFonts w:ascii="Times New Roman" w:hAnsi="Times New Roman" w:eastAsia="楷体"/>
          <w:color w:val="auto"/>
          <w:kern w:val="0"/>
          <w:sz w:val="28"/>
          <w:szCs w:val="28"/>
          <w:highlight w:val="none"/>
        </w:rPr>
      </w:pPr>
      <w:bookmarkStart w:id="2" w:name="_Toc15259"/>
      <w:bookmarkStart w:id="3" w:name="_Toc18976"/>
      <w:r>
        <w:rPr>
          <w:rFonts w:ascii="Times New Roman" w:hAnsi="Times New Roman" w:eastAsia="楷体"/>
          <w:color w:val="auto"/>
          <w:kern w:val="0"/>
          <w:sz w:val="28"/>
          <w:szCs w:val="28"/>
          <w:highlight w:val="none"/>
        </w:rPr>
        <w:t>1.1 工程概况</w:t>
      </w:r>
      <w:bookmarkEnd w:id="2"/>
      <w:bookmarkEnd w:id="3"/>
    </w:p>
    <w:p w14:paraId="16B13D64">
      <w:pPr>
        <w:spacing w:line="520" w:lineRule="exact"/>
        <w:ind w:firstLine="560" w:firstLineChars="200"/>
        <w:rPr>
          <w:rFonts w:eastAsia="楷体"/>
          <w:color w:val="auto"/>
          <w:sz w:val="28"/>
          <w:szCs w:val="28"/>
          <w:highlight w:val="none"/>
        </w:rPr>
      </w:pPr>
      <w:bookmarkStart w:id="4" w:name="OLE_LINK9"/>
      <w:r>
        <w:rPr>
          <w:rFonts w:eastAsia="楷体"/>
          <w:color w:val="auto"/>
          <w:sz w:val="28"/>
          <w:szCs w:val="28"/>
          <w:highlight w:val="none"/>
        </w:rPr>
        <w:t>四清水库位于泉港区前黄镇坑内村，系属坝头溪支流，是一座以农业灌溉为主，结合防洪、养殖等综合利用的小（2）型水库。四清水库始建于1964年2月，1966年8月竣工并投入运行。</w:t>
      </w:r>
    </w:p>
    <w:p w14:paraId="41C6B2DE">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大坝坝址以上控制流域面积为0.47km</w:t>
      </w:r>
      <w:r>
        <w:rPr>
          <w:rFonts w:eastAsia="楷体"/>
          <w:color w:val="auto"/>
          <w:sz w:val="28"/>
          <w:szCs w:val="28"/>
          <w:highlight w:val="none"/>
          <w:vertAlign w:val="superscript"/>
        </w:rPr>
        <w:t>2</w:t>
      </w:r>
      <w:r>
        <w:rPr>
          <w:rFonts w:eastAsia="楷体"/>
          <w:color w:val="auto"/>
          <w:sz w:val="28"/>
          <w:szCs w:val="28"/>
          <w:highlight w:val="none"/>
        </w:rPr>
        <w:t>，</w:t>
      </w:r>
      <w:r>
        <w:rPr>
          <w:rFonts w:hint="eastAsia" w:eastAsia="楷体"/>
          <w:color w:val="auto"/>
          <w:sz w:val="28"/>
          <w:szCs w:val="28"/>
          <w:highlight w:val="none"/>
        </w:rPr>
        <w:t>主河道河长</w:t>
      </w:r>
      <w:r>
        <w:rPr>
          <w:rFonts w:eastAsia="楷体"/>
          <w:color w:val="auto"/>
          <w:sz w:val="28"/>
          <w:szCs w:val="28"/>
          <w:highlight w:val="none"/>
        </w:rPr>
        <w:t>0.9km，</w:t>
      </w:r>
      <w:r>
        <w:rPr>
          <w:rFonts w:hint="eastAsia" w:eastAsia="楷体"/>
          <w:color w:val="auto"/>
          <w:sz w:val="28"/>
          <w:szCs w:val="28"/>
          <w:highlight w:val="none"/>
        </w:rPr>
        <w:t>主河道平均坡降39.89</w:t>
      </w:r>
      <w:r>
        <w:rPr>
          <w:rFonts w:eastAsia="楷体"/>
          <w:color w:val="auto"/>
          <w:sz w:val="28"/>
          <w:szCs w:val="28"/>
          <w:highlight w:val="none"/>
        </w:rPr>
        <w:t>‰，</w:t>
      </w:r>
      <w:r>
        <w:rPr>
          <w:rFonts w:hint="eastAsia" w:eastAsia="楷体"/>
          <w:color w:val="auto"/>
          <w:sz w:val="28"/>
          <w:szCs w:val="28"/>
          <w:highlight w:val="none"/>
        </w:rPr>
        <w:t>最大坝高17.49m，坝项宽4.0m，坝顶长200m。正常蓄水位28.040m，死水位21.70m，设计洪水位（P=5.0%）28.560m，校核洪水位（P=0.33%）28.810m，水库总库容30.87万m</w:t>
      </w:r>
      <w:r>
        <w:rPr>
          <w:rFonts w:hint="eastAsia" w:eastAsia="楷体"/>
          <w:color w:val="auto"/>
          <w:sz w:val="28"/>
          <w:szCs w:val="28"/>
          <w:highlight w:val="none"/>
          <w:vertAlign w:val="superscript"/>
        </w:rPr>
        <w:t>3</w:t>
      </w:r>
      <w:r>
        <w:rPr>
          <w:rFonts w:hint="eastAsia" w:eastAsia="楷体"/>
          <w:color w:val="auto"/>
          <w:sz w:val="28"/>
          <w:szCs w:val="28"/>
          <w:highlight w:val="none"/>
        </w:rPr>
        <w:t>，兴利库容22.82万m</w:t>
      </w:r>
      <w:r>
        <w:rPr>
          <w:rFonts w:hint="eastAsia" w:eastAsia="楷体"/>
          <w:color w:val="auto"/>
          <w:sz w:val="28"/>
          <w:szCs w:val="28"/>
          <w:highlight w:val="none"/>
          <w:vertAlign w:val="superscript"/>
        </w:rPr>
        <w:t>3</w:t>
      </w:r>
      <w:r>
        <w:rPr>
          <w:rFonts w:hint="eastAsia" w:eastAsia="楷体"/>
          <w:color w:val="auto"/>
          <w:sz w:val="28"/>
          <w:szCs w:val="28"/>
          <w:highlight w:val="none"/>
        </w:rPr>
        <w:t>，调洪库容3.95万m</w:t>
      </w:r>
      <w:r>
        <w:rPr>
          <w:rFonts w:hint="eastAsia" w:eastAsia="楷体"/>
          <w:color w:val="auto"/>
          <w:sz w:val="28"/>
          <w:szCs w:val="28"/>
          <w:highlight w:val="none"/>
          <w:vertAlign w:val="superscript"/>
        </w:rPr>
        <w:t>3</w:t>
      </w:r>
      <w:r>
        <w:rPr>
          <w:rFonts w:hint="eastAsia" w:eastAsia="楷体"/>
          <w:color w:val="auto"/>
          <w:sz w:val="28"/>
          <w:szCs w:val="28"/>
          <w:highlight w:val="none"/>
        </w:rPr>
        <w:t>，死库容4.10万m</w:t>
      </w:r>
      <w:r>
        <w:rPr>
          <w:rFonts w:hint="eastAsia" w:eastAsia="楷体"/>
          <w:color w:val="auto"/>
          <w:sz w:val="28"/>
          <w:szCs w:val="28"/>
          <w:highlight w:val="none"/>
          <w:vertAlign w:val="superscript"/>
        </w:rPr>
        <w:t>3</w:t>
      </w:r>
      <w:r>
        <w:rPr>
          <w:rFonts w:hint="eastAsia" w:eastAsia="楷体"/>
          <w:color w:val="auto"/>
          <w:sz w:val="28"/>
          <w:szCs w:val="28"/>
          <w:highlight w:val="none"/>
        </w:rPr>
        <w:t>。</w:t>
      </w:r>
    </w:p>
    <w:p w14:paraId="49BF5297">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水库枢纽主要由大坝、溢洪道、输水涵洞组成，具体如下：</w:t>
      </w:r>
    </w:p>
    <w:p w14:paraId="2FAB255A">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（1）大坝</w:t>
      </w:r>
    </w:p>
    <w:p w14:paraId="23456047">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四清水库大坝为均质土坝，根据2014年2月实测，大坝最大坝高17.49m，坝顶高程30.58m，坝顶总长度200m，坝项宽度4.0m（含防浪墙宽0.2m）。大坝迎水坡为干砌块石护坡，水泥砂浆勾缝，高程22.84m设有一道宽为0.8m的平台，平台以上坝坡坡比为1:1.9，平台以下坝坡坡比为1:1.8；背水坡坡比1:1.5，采用草皮护坡。</w:t>
      </w:r>
    </w:p>
    <w:p w14:paraId="294FDCC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（2）溢洪道</w:t>
      </w:r>
    </w:p>
    <w:p w14:paraId="67835CCA">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溢洪道位于大坝左坝肩，溢流堰型式为宽顶堰，堰顶高程为28.040m，堰顶净宽5.0m。溢洪道全长117.5m，由进口段、控制段、泄槽段组成，溢洪道进口段（Y0+000.0~Y0+035.1）长35.1m，宽5.0m；控制段（Y0+035.1~Y0+038.4）长3.3m，净宽5.0m；泄槽段（Y0+038.4~Y0+117.5）长61.6m，净宽3.9m~5.0m，底坡0.004~0.2171。最大下泄流量10.61m</w:t>
      </w:r>
      <w:r>
        <w:rPr>
          <w:rFonts w:hint="eastAsia" w:eastAsia="楷体"/>
          <w:color w:val="auto"/>
          <w:sz w:val="28"/>
          <w:szCs w:val="28"/>
          <w:highlight w:val="none"/>
          <w:vertAlign w:val="superscript"/>
        </w:rPr>
        <w:t>3</w:t>
      </w:r>
      <w:r>
        <w:rPr>
          <w:rFonts w:hint="eastAsia" w:eastAsia="楷体"/>
          <w:color w:val="auto"/>
          <w:sz w:val="28"/>
          <w:szCs w:val="28"/>
          <w:highlight w:val="none"/>
        </w:rPr>
        <w:t>/s。溢洪道左侧墙与右侧墙均采用浆砌块石砌筑。进口段底板采用砼板护底，控制段与泄槽段采用浆砌块石护底。</w:t>
      </w:r>
    </w:p>
    <w:p w14:paraId="2D994A40">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（3）输水涵洞</w:t>
      </w:r>
    </w:p>
    <w:p w14:paraId="0C680260">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四清水库的输水涵洞位于大坝左侧，为条石无压箱涵，断面净尺寸为0.5×0.8m（宽×高）。进口底高程为21.70m，出口底高程为21.69m，全长约为35.0m。启闭设备为卷扬式启闭机，进水设施为转动门盖。</w:t>
      </w:r>
    </w:p>
    <w:bookmarkEnd w:id="4"/>
    <w:p w14:paraId="6EB566D8">
      <w:pPr>
        <w:spacing w:line="520" w:lineRule="exact"/>
        <w:ind w:firstLine="601"/>
        <w:rPr>
          <w:rFonts w:eastAsia="楷体"/>
          <w:color w:val="auto"/>
          <w:sz w:val="28"/>
          <w:szCs w:val="28"/>
          <w:highlight w:val="none"/>
        </w:rPr>
      </w:pPr>
      <w:r>
        <w:rPr>
          <w:rFonts w:eastAsia="楷体"/>
          <w:color w:val="auto"/>
          <w:sz w:val="28"/>
          <w:szCs w:val="28"/>
          <w:highlight w:val="none"/>
        </w:rPr>
        <w:t>该工程自建成投效以来，以农业灌溉为主，结合防洪、养殖等多方面中充分发挥了本工程的效益。水库</w:t>
      </w:r>
      <w:r>
        <w:rPr>
          <w:rFonts w:hint="eastAsia" w:eastAsia="楷体"/>
          <w:color w:val="auto"/>
          <w:sz w:val="28"/>
          <w:szCs w:val="28"/>
          <w:highlight w:val="none"/>
        </w:rPr>
        <w:t>有效</w:t>
      </w:r>
      <w:r>
        <w:rPr>
          <w:rFonts w:eastAsia="楷体"/>
          <w:color w:val="auto"/>
          <w:sz w:val="28"/>
          <w:szCs w:val="28"/>
          <w:highlight w:val="none"/>
        </w:rPr>
        <w:t>灌溉面积</w:t>
      </w:r>
      <w:r>
        <w:rPr>
          <w:rFonts w:hint="eastAsia" w:eastAsia="楷体"/>
          <w:color w:val="auto"/>
          <w:sz w:val="28"/>
          <w:szCs w:val="28"/>
          <w:highlight w:val="none"/>
        </w:rPr>
        <w:t>7</w:t>
      </w:r>
      <w:r>
        <w:rPr>
          <w:rFonts w:eastAsia="楷体"/>
          <w:color w:val="auto"/>
          <w:sz w:val="28"/>
          <w:szCs w:val="28"/>
          <w:highlight w:val="none"/>
        </w:rPr>
        <w:t>00亩</w:t>
      </w:r>
      <w:r>
        <w:rPr>
          <w:rFonts w:hint="eastAsia" w:eastAsia="楷体"/>
          <w:color w:val="auto"/>
          <w:sz w:val="28"/>
          <w:szCs w:val="28"/>
          <w:highlight w:val="none"/>
        </w:rPr>
        <w:t>，最大实灌面积700亩，</w:t>
      </w:r>
      <w:r>
        <w:rPr>
          <w:rFonts w:eastAsia="楷体"/>
          <w:color w:val="auto"/>
          <w:sz w:val="28"/>
          <w:szCs w:val="28"/>
          <w:highlight w:val="none"/>
        </w:rPr>
        <w:t>下游涉及保护人口2</w:t>
      </w:r>
      <w:r>
        <w:rPr>
          <w:rFonts w:hint="eastAsia" w:eastAsia="楷体"/>
          <w:color w:val="auto"/>
          <w:sz w:val="28"/>
          <w:szCs w:val="28"/>
          <w:highlight w:val="none"/>
        </w:rPr>
        <w:t>5</w:t>
      </w:r>
      <w:r>
        <w:rPr>
          <w:rFonts w:eastAsia="楷体"/>
          <w:color w:val="auto"/>
          <w:sz w:val="28"/>
          <w:szCs w:val="28"/>
          <w:highlight w:val="none"/>
        </w:rPr>
        <w:t>00人，为当地农业生产和保证人民生命财产安全发挥了重要的作用。</w:t>
      </w:r>
    </w:p>
    <w:p w14:paraId="059C402F">
      <w:pPr>
        <w:pStyle w:val="3"/>
        <w:spacing w:beforeLines="50" w:afterLines="50" w:line="360" w:lineRule="auto"/>
        <w:contextualSpacing/>
        <w:rPr>
          <w:rFonts w:ascii="Times New Roman" w:hAnsi="Times New Roman" w:eastAsia="楷体"/>
          <w:color w:val="auto"/>
          <w:kern w:val="0"/>
          <w:sz w:val="28"/>
          <w:szCs w:val="28"/>
          <w:highlight w:val="none"/>
        </w:rPr>
      </w:pPr>
      <w:bookmarkStart w:id="5" w:name="_Toc22099"/>
      <w:bookmarkStart w:id="6" w:name="_Toc13357"/>
      <w:r>
        <w:rPr>
          <w:rFonts w:ascii="Times New Roman" w:hAnsi="Times New Roman" w:eastAsia="楷体"/>
          <w:color w:val="auto"/>
          <w:kern w:val="0"/>
          <w:sz w:val="28"/>
          <w:szCs w:val="28"/>
          <w:highlight w:val="none"/>
        </w:rPr>
        <w:t>1.2 水文气象</w:t>
      </w:r>
      <w:bookmarkEnd w:id="5"/>
      <w:bookmarkEnd w:id="6"/>
    </w:p>
    <w:p w14:paraId="4BF90424">
      <w:pPr>
        <w:spacing w:line="520" w:lineRule="exact"/>
        <w:ind w:firstLine="560" w:firstLineChars="200"/>
        <w:rPr>
          <w:rFonts w:hint="eastAsia" w:eastAsia="楷体"/>
          <w:color w:val="auto"/>
          <w:sz w:val="28"/>
          <w:szCs w:val="28"/>
          <w:highlight w:val="none"/>
        </w:rPr>
      </w:pPr>
      <w:bookmarkStart w:id="7" w:name="_Toc2603"/>
      <w:r>
        <w:rPr>
          <w:rFonts w:hint="eastAsia" w:eastAsia="楷体"/>
          <w:color w:val="auto"/>
          <w:sz w:val="28"/>
          <w:szCs w:val="28"/>
          <w:highlight w:val="none"/>
        </w:rPr>
        <w:t>本地区属亚热带海洋性季风气候区，夏无酷暑，冬短无严寒，暖热湿润，温度日差较小，降雨量集中，季风明显，日照充足，蒸发量大，台风活动频繁。流域多年平均气温20.5℃，最热七月平均气温27.2℃，最冷一月份平均气温11.4℃，极端最高气温39℃（1996年8月），极端最低气温0.3℃（1957年2月），全年基本无霜。多年平均风速5.45m/s。年平均相对湿度77％，平均水气压19.9hPa；日照时数2150h，日照率48％；雾多发生于春季和秋季月份的下半夜到清晨，年平均雾日数约为6～7天。</w:t>
      </w:r>
    </w:p>
    <w:p w14:paraId="26F75742">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本地区属亚热带海洋性季风气候区，季风明显，气候温热，气温日差小，蒸发量大，降雨量集中在夏秋之间。</w:t>
      </w:r>
    </w:p>
    <w:p w14:paraId="22B8FD8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本流域受南亚热带海洋性季风影响，降水充沛，但存在明显的季节性变化。降水年际及年内变化大，最丰年份和最枯年份之比各站均在3倍左右。主要降水为3～4月的春雨、5～6月的锋面雨和8～9月的台风雨，平均每年有3～5次台风登陆或影响本流域。流域多年平均降水量1400mm，最大年降雨量1942.1mm（1973年），年降水日数158.7天，年内分配不均，全年降水的75%集中在汛期（4～9月），其中5～7月占全年总水量的60%。而10～2月干旱少雨，仅占年降水量的15.5%。</w:t>
      </w:r>
    </w:p>
    <w:p w14:paraId="7A6EAF5F">
      <w:pPr>
        <w:pStyle w:val="3"/>
        <w:spacing w:beforeLines="50" w:afterLines="50" w:line="360" w:lineRule="auto"/>
        <w:contextualSpacing/>
        <w:rPr>
          <w:rFonts w:ascii="Times New Roman" w:hAnsi="Times New Roman" w:eastAsia="楷体"/>
          <w:color w:val="auto"/>
          <w:kern w:val="0"/>
          <w:sz w:val="28"/>
          <w:szCs w:val="28"/>
          <w:highlight w:val="none"/>
        </w:rPr>
      </w:pPr>
      <w:bookmarkStart w:id="8" w:name="_Toc27570"/>
      <w:r>
        <w:rPr>
          <w:rFonts w:ascii="Times New Roman" w:hAnsi="Times New Roman" w:eastAsia="楷体"/>
          <w:color w:val="auto"/>
          <w:kern w:val="0"/>
          <w:sz w:val="28"/>
          <w:szCs w:val="28"/>
          <w:highlight w:val="none"/>
        </w:rPr>
        <w:t>1.3 流域特性</w:t>
      </w:r>
      <w:bookmarkEnd w:id="7"/>
      <w:bookmarkEnd w:id="8"/>
    </w:p>
    <w:p w14:paraId="5FA2C64D">
      <w:pPr>
        <w:spacing w:line="520" w:lineRule="exact"/>
        <w:ind w:firstLine="601"/>
        <w:rPr>
          <w:rFonts w:hint="eastAsia" w:hAnsi="楷体" w:eastAsia="楷体"/>
          <w:color w:val="auto"/>
          <w:sz w:val="28"/>
          <w:szCs w:val="28"/>
          <w:highlight w:val="none"/>
        </w:rPr>
      </w:pPr>
      <w:r>
        <w:rPr>
          <w:rFonts w:hint="eastAsia" w:hAnsi="楷体" w:eastAsia="楷体"/>
          <w:color w:val="auto"/>
          <w:sz w:val="28"/>
          <w:szCs w:val="28"/>
          <w:highlight w:val="none"/>
        </w:rPr>
        <w:t>四清水库位于泉港区前黄镇坑内村，所属河流发源于南埔镇天湖村东南部的天湖岩山（海拔121.3m），自北向南经天湖村、坑内村、凤</w:t>
      </w:r>
      <w:r>
        <w:rPr>
          <w:rFonts w:hint="eastAsia" w:hAnsi="楷体" w:eastAsia="楷体"/>
          <w:color w:val="auto"/>
          <w:sz w:val="28"/>
          <w:szCs w:val="28"/>
          <w:highlight w:val="none"/>
          <w:lang w:eastAsia="zh-CN"/>
        </w:rPr>
        <w:t>翔</w:t>
      </w:r>
      <w:r>
        <w:rPr>
          <w:rFonts w:hint="eastAsia" w:hAnsi="楷体" w:eastAsia="楷体"/>
          <w:color w:val="auto"/>
          <w:sz w:val="28"/>
          <w:szCs w:val="28"/>
          <w:highlight w:val="none"/>
        </w:rPr>
        <w:t>村后，于风山村西部汇入坝头溪。大坝位于东经118°53'29.10"，北纬25°10'10.96"，是一座以灌溉为主，结合防洪、养殖等综合利用的小（2）型水库。四清水库坝址以上集水面积为0.47km</w:t>
      </w:r>
      <w:r>
        <w:rPr>
          <w:rFonts w:hint="eastAsia" w:hAnsi="楷体" w:eastAsia="楷体"/>
          <w:color w:val="auto"/>
          <w:sz w:val="28"/>
          <w:szCs w:val="28"/>
          <w:highlight w:val="none"/>
          <w:vertAlign w:val="superscript"/>
        </w:rPr>
        <w:t>2</w:t>
      </w:r>
      <w:r>
        <w:rPr>
          <w:rFonts w:hint="eastAsia" w:hAnsi="楷体" w:eastAsia="楷体"/>
          <w:color w:val="auto"/>
          <w:sz w:val="28"/>
          <w:szCs w:val="28"/>
          <w:highlight w:val="none"/>
        </w:rPr>
        <w:t>，主河道河长0.9km，主河道平均坡降39.89‰，所在流域为扇形水系。</w:t>
      </w:r>
    </w:p>
    <w:p w14:paraId="26415CB0">
      <w:pPr>
        <w:spacing w:line="520" w:lineRule="exact"/>
        <w:ind w:firstLine="601"/>
        <w:rPr>
          <w:rFonts w:hint="eastAsia" w:hAnsi="楷体" w:eastAsia="楷体"/>
          <w:color w:val="auto"/>
          <w:sz w:val="28"/>
          <w:szCs w:val="28"/>
          <w:highlight w:val="none"/>
        </w:rPr>
      </w:pPr>
    </w:p>
    <w:p w14:paraId="259A4E48">
      <w:pPr>
        <w:spacing w:line="520" w:lineRule="exact"/>
        <w:ind w:firstLine="601"/>
        <w:rPr>
          <w:rFonts w:hint="eastAsia" w:hAnsi="楷体" w:eastAsia="楷体"/>
          <w:color w:val="auto"/>
          <w:sz w:val="28"/>
          <w:szCs w:val="28"/>
          <w:highlight w:val="none"/>
        </w:rPr>
      </w:pPr>
    </w:p>
    <w:p w14:paraId="64E74834">
      <w:pPr>
        <w:pStyle w:val="2"/>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br w:type="page"/>
      </w:r>
      <w:bookmarkStart w:id="9" w:name="_Toc30960"/>
      <w:bookmarkStart w:id="10" w:name="_Toc30894"/>
      <w:r>
        <w:rPr>
          <w:rFonts w:eastAsia="楷体"/>
          <w:color w:val="auto"/>
          <w:kern w:val="0"/>
          <w:sz w:val="32"/>
          <w:szCs w:val="32"/>
          <w:highlight w:val="none"/>
        </w:rPr>
        <w:t>2  水库大坝安全运行状况</w:t>
      </w:r>
      <w:bookmarkEnd w:id="9"/>
      <w:bookmarkEnd w:id="10"/>
    </w:p>
    <w:p w14:paraId="3E325F7B">
      <w:pPr>
        <w:pStyle w:val="3"/>
        <w:spacing w:beforeLines="50" w:afterLines="50" w:line="360" w:lineRule="auto"/>
        <w:contextualSpacing/>
        <w:rPr>
          <w:rFonts w:ascii="Times New Roman" w:hAnsi="Times New Roman" w:eastAsia="楷体"/>
          <w:color w:val="auto"/>
          <w:kern w:val="0"/>
          <w:sz w:val="28"/>
          <w:szCs w:val="28"/>
          <w:highlight w:val="none"/>
        </w:rPr>
      </w:pPr>
      <w:bookmarkStart w:id="11" w:name="_Toc5344"/>
      <w:bookmarkStart w:id="12" w:name="_Toc12114"/>
      <w:r>
        <w:rPr>
          <w:rFonts w:ascii="Times New Roman" w:hAnsi="Times New Roman" w:eastAsia="楷体"/>
          <w:color w:val="auto"/>
          <w:kern w:val="0"/>
          <w:sz w:val="28"/>
          <w:szCs w:val="28"/>
          <w:highlight w:val="none"/>
        </w:rPr>
        <w:t>2.1 工程运行管理</w:t>
      </w:r>
      <w:bookmarkEnd w:id="11"/>
      <w:bookmarkEnd w:id="12"/>
    </w:p>
    <w:p w14:paraId="3BA31B4A">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2.1.1 水库的管理机构</w:t>
      </w:r>
    </w:p>
    <w:p w14:paraId="6EBE5C1E">
      <w:pPr>
        <w:widowControl/>
        <w:spacing w:line="520" w:lineRule="exact"/>
        <w:ind w:firstLine="560" w:firstLineChars="200"/>
        <w:contextualSpacing/>
        <w:rPr>
          <w:rFonts w:eastAsia="楷体"/>
          <w:color w:val="FF0000"/>
          <w:kern w:val="0"/>
          <w:sz w:val="28"/>
          <w:szCs w:val="28"/>
          <w:highlight w:val="none"/>
        </w:rPr>
      </w:pPr>
      <w:r>
        <w:rPr>
          <w:rFonts w:eastAsia="楷体"/>
          <w:color w:val="auto"/>
          <w:kern w:val="0"/>
          <w:sz w:val="28"/>
          <w:szCs w:val="28"/>
          <w:highlight w:val="none"/>
        </w:rPr>
        <w:t>四清水库的主管部门为</w:t>
      </w:r>
      <w:r>
        <w:rPr>
          <w:rFonts w:hint="eastAsia" w:eastAsia="楷体"/>
          <w:color w:val="auto"/>
          <w:kern w:val="0"/>
          <w:sz w:val="28"/>
          <w:szCs w:val="28"/>
          <w:highlight w:val="none"/>
          <w:lang w:eastAsia="zh-CN"/>
        </w:rPr>
        <w:t>前黄镇人民政府</w:t>
      </w:r>
      <w:r>
        <w:rPr>
          <w:rFonts w:eastAsia="楷体"/>
          <w:color w:val="auto"/>
          <w:kern w:val="0"/>
          <w:sz w:val="28"/>
          <w:szCs w:val="28"/>
          <w:highlight w:val="none"/>
        </w:rPr>
        <w:t>，管理机构为</w:t>
      </w:r>
      <w:r>
        <w:rPr>
          <w:rFonts w:hint="eastAsia" w:eastAsia="楷体"/>
          <w:color w:val="auto"/>
          <w:kern w:val="0"/>
          <w:sz w:val="28"/>
          <w:szCs w:val="28"/>
          <w:highlight w:val="none"/>
          <w:lang w:eastAsia="zh-CN"/>
        </w:rPr>
        <w:t>坑内村委会</w:t>
      </w:r>
      <w:r>
        <w:rPr>
          <w:rFonts w:eastAsia="楷体"/>
          <w:color w:val="auto"/>
          <w:kern w:val="0"/>
          <w:sz w:val="28"/>
          <w:szCs w:val="28"/>
          <w:highlight w:val="none"/>
        </w:rPr>
        <w:t>。</w:t>
      </w:r>
    </w:p>
    <w:p w14:paraId="3F4AAF27">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2.1.2 水库大坝管理规章制度</w:t>
      </w:r>
    </w:p>
    <w:p w14:paraId="7D14D51A">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四清水库管理处根据《中华人民共和国水法》、《水库大坝安全管理条例》、《水库工程管理通则》、《福建省防洪条例》、《福建省水法实施办法》、《土石坝安全监测技术规范》、《土石坝安全监测资料整编规程》等管理法规，结合本水库的具体情况，制度了大坝运行管理工作的各项相应的规章制度。</w:t>
      </w:r>
    </w:p>
    <w:p w14:paraId="4C062119">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2.1.3 大坝运行管理</w:t>
      </w:r>
    </w:p>
    <w:p w14:paraId="201D121C">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重点对象有6项：（1）枢纽工程范围内的3大建筑物（大坝、溢洪道和输水涵洞）；（2）各类监测设施和观测标志；（3）各类型防洪报汛的设施和设备；（4）坝区的防汛公路；（5）灌区农业灌溉、乡镇生活、工业供水等水量调度运用；（6）水雨情观测和防洪调度。</w:t>
      </w:r>
    </w:p>
    <w:p w14:paraId="1F54A151">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工作内容主要有：（1）遵照水利各项方针、政策、法律、法规和有关上级部门的指示，严格执行，认真完成各项任务；（2）按规范进行巡视检查，位移、渗流观测，大坝维修养护等，随时掌握工程运行动态，及时消除工程一般性和特殊性缺陷；（3）认真做好水文（特别是洪水期）预报，及时掌握水情、雨情、旱情，了解气象预报。做好水库调度运用和度汛计划，上报审批后严格执行。每场大洪水后，水库都能及时分析雨情、水情、调度方案等，总结经验，找出不足，不断提高调度水平。</w:t>
      </w:r>
    </w:p>
    <w:p w14:paraId="563BA5D7">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从大坝近几年的运行情况看，四清水库管理处基本能按照根据《中华人民共和国水法》、《水库大坝安全管理条例》、《水库工程管理通则》等水管理法规，结合水库自身具体情况，制定大坝运行管理工作的各项规章制度，开展大坝安全检查与维护制度，防汛值班制度，严格执行工程运行管理制度，对水库进行运行调度，整体运行管理状况良好。</w:t>
      </w:r>
    </w:p>
    <w:p w14:paraId="54BFA7FC">
      <w:pPr>
        <w:pStyle w:val="3"/>
        <w:spacing w:beforeLines="50" w:afterLines="50" w:line="360" w:lineRule="auto"/>
        <w:contextualSpacing/>
        <w:rPr>
          <w:rFonts w:ascii="Times New Roman" w:hAnsi="Times New Roman" w:eastAsia="楷体"/>
          <w:color w:val="auto"/>
          <w:kern w:val="0"/>
          <w:sz w:val="28"/>
          <w:szCs w:val="28"/>
          <w:highlight w:val="none"/>
        </w:rPr>
      </w:pPr>
      <w:bookmarkStart w:id="13" w:name="_Toc7561"/>
      <w:bookmarkStart w:id="14" w:name="_Toc24391"/>
      <w:r>
        <w:rPr>
          <w:rFonts w:ascii="Times New Roman" w:hAnsi="Times New Roman" w:eastAsia="楷体"/>
          <w:color w:val="auto"/>
          <w:kern w:val="0"/>
          <w:sz w:val="28"/>
          <w:szCs w:val="28"/>
          <w:highlight w:val="none"/>
        </w:rPr>
        <w:t>2.2 工程安全状况分析评价</w:t>
      </w:r>
      <w:bookmarkEnd w:id="13"/>
      <w:bookmarkEnd w:id="14"/>
    </w:p>
    <w:p w14:paraId="5FAAB6E6">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2.2.1 安全鉴定情况</w:t>
      </w:r>
    </w:p>
    <w:p w14:paraId="306DFF0B">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2.2.2 水库除险加固情况</w:t>
      </w:r>
    </w:p>
    <w:p w14:paraId="4F01B51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2014年12月～2015年10月进行水库除险加固施工，主要工程措施：</w:t>
      </w:r>
    </w:p>
    <w:p w14:paraId="62C3F6F9">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（1）大坝</w:t>
      </w:r>
    </w:p>
    <w:p w14:paraId="7909B9F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坝体防渗加固：坝体采用全断而充填灌浆防渗（桩号范围B0+000.0~B0+200.0），在坝顶布置双排灌浆孔，灌浆孔距3.0m，排距3.0m，两排孔呈梅花形布置，灌浆顶高程28.810m，钻孔深至坝基接触面以下2m范围，共布136孔，分两序施工。</w:t>
      </w:r>
    </w:p>
    <w:p w14:paraId="7E6FCA88">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2）坝坡加固</w:t>
      </w:r>
    </w:p>
    <w:p w14:paraId="117A85BB">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迎水坡：正常蓄水位（28. 040m）以上坝坡清除杂草并勾缝。</w:t>
      </w:r>
    </w:p>
    <w:p w14:paraId="7005C369">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背水坡：按1:2.0坡比进行修整；桩号B0+050.0~B0+095.0高程21.500m以下新建贴坡排水；岸坡结合部位及坝脚设纵、横向排水沟，在坝坡中间位置设置水库名称字体；桩号B0+100.0新建下坝台阶；坡面均采用草皮护坡。</w:t>
      </w:r>
    </w:p>
    <w:p w14:paraId="2D22FF30">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3）坝顶</w:t>
      </w:r>
    </w:p>
    <w:p w14:paraId="092C47CD">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拆除防浪墙，修整坝顶路面，统一高程至30.580m，上游侧新建防护栏杆，下游侧新建路肩，采用混凝土硬化路面；左、右两端设车辆限行墩。</w:t>
      </w:r>
    </w:p>
    <w:p w14:paraId="1C23D9C5">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溢洪道：重建交通桥；清除桩号Y0+038.4~Y0+117.5淤积的砂土及灌木、乔木，对已建成的浆砌石挡墙及底板重新勾缝；修复桩号Y0+100.0~Y0+117.5左侧、Y0+098.0~Y0+117.5右侧已损坏的侧墙；开挖被填堵的（桩号渠0+000.0～渠0+045.0）排洪渠，在桩号渠0+000.0~渠0+011.0新建消力池，桩号渠0+011.0~渠0+045.0新建盖板涵与下游已建明渠衔接。</w:t>
      </w:r>
    </w:p>
    <w:p w14:paraId="0ECD58DF">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（3）输水涵洞及金属结构</w:t>
      </w:r>
    </w:p>
    <w:p w14:paraId="4215D65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拆除原进水口，新建消力井，配套相应的转动门盖、拦污栅、拉杆及3t手动卷扬机；涵洞清淤；涵洞出口引水渠衬砌。</w:t>
      </w:r>
    </w:p>
    <w:p w14:paraId="23BAC652">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（4）其它</w:t>
      </w:r>
    </w:p>
    <w:p w14:paraId="1854606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在迎水坡台阶旁设置一组搪瓷水位观测尺；硬化防汛道路；白蚂蚁防治；拆除坝顶右端废弃房子。</w:t>
      </w:r>
    </w:p>
    <w:p w14:paraId="45E8CC6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泉港区前黄镇</w:t>
      </w:r>
      <w:r>
        <w:rPr>
          <w:rFonts w:eastAsia="楷体"/>
          <w:color w:val="auto"/>
          <w:sz w:val="28"/>
          <w:szCs w:val="28"/>
          <w:highlight w:val="none"/>
        </w:rPr>
        <w:t>四清水库</w:t>
      </w:r>
      <w:r>
        <w:rPr>
          <w:rFonts w:hint="eastAsia" w:eastAsia="楷体"/>
          <w:color w:val="auto"/>
          <w:sz w:val="28"/>
          <w:szCs w:val="28"/>
          <w:highlight w:val="none"/>
        </w:rPr>
        <w:t>除险加固</w:t>
      </w:r>
      <w:r>
        <w:rPr>
          <w:rFonts w:eastAsia="楷体"/>
          <w:color w:val="auto"/>
          <w:sz w:val="28"/>
          <w:szCs w:val="28"/>
          <w:highlight w:val="none"/>
        </w:rPr>
        <w:t>工程于201</w:t>
      </w:r>
      <w:r>
        <w:rPr>
          <w:rFonts w:hint="eastAsia" w:eastAsia="楷体"/>
          <w:color w:val="auto"/>
          <w:sz w:val="28"/>
          <w:szCs w:val="28"/>
          <w:highlight w:val="none"/>
        </w:rPr>
        <w:t>5</w:t>
      </w:r>
      <w:r>
        <w:rPr>
          <w:rFonts w:eastAsia="楷体"/>
          <w:color w:val="auto"/>
          <w:sz w:val="28"/>
          <w:szCs w:val="28"/>
          <w:highlight w:val="none"/>
        </w:rPr>
        <w:t>年</w:t>
      </w:r>
      <w:r>
        <w:rPr>
          <w:rFonts w:hint="eastAsia" w:eastAsia="楷体"/>
          <w:color w:val="auto"/>
          <w:sz w:val="28"/>
          <w:szCs w:val="28"/>
          <w:highlight w:val="none"/>
        </w:rPr>
        <w:t>12</w:t>
      </w:r>
      <w:r>
        <w:rPr>
          <w:rFonts w:eastAsia="楷体"/>
          <w:color w:val="auto"/>
          <w:sz w:val="28"/>
          <w:szCs w:val="28"/>
          <w:highlight w:val="none"/>
        </w:rPr>
        <w:t>月通过了法人主持的完工验收。</w:t>
      </w:r>
    </w:p>
    <w:p w14:paraId="200ED4A0">
      <w:pPr>
        <w:spacing w:line="520" w:lineRule="exact"/>
        <w:ind w:firstLine="560" w:firstLineChars="200"/>
        <w:rPr>
          <w:rFonts w:eastAsia="楷体"/>
          <w:color w:val="auto"/>
          <w:sz w:val="28"/>
          <w:szCs w:val="28"/>
          <w:highlight w:val="none"/>
        </w:rPr>
      </w:pPr>
      <w:r>
        <w:rPr>
          <w:rFonts w:eastAsia="楷体"/>
          <w:color w:val="auto"/>
          <w:sz w:val="28"/>
          <w:szCs w:val="28"/>
          <w:highlight w:val="none"/>
        </w:rPr>
        <w:t>2.2.3 水库安全运行状况评价</w:t>
      </w:r>
    </w:p>
    <w:p w14:paraId="7CCF3C64">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rPr>
        <w:t>四清水库大坝安全鉴定报告书</w:t>
      </w:r>
      <w:r>
        <w:rPr>
          <w:rFonts w:eastAsia="楷体"/>
          <w:color w:val="auto"/>
          <w:sz w:val="28"/>
          <w:szCs w:val="28"/>
          <w:highlight w:val="none"/>
        </w:rPr>
        <w:t>》（</w:t>
      </w:r>
      <w:r>
        <w:rPr>
          <w:rFonts w:hint="eastAsia" w:eastAsia="楷体"/>
          <w:color w:val="auto"/>
          <w:sz w:val="28"/>
          <w:szCs w:val="28"/>
          <w:highlight w:val="none"/>
        </w:rPr>
        <w:t>泉港区农水局，2014年8月12日</w:t>
      </w:r>
      <w:r>
        <w:rPr>
          <w:rFonts w:eastAsia="楷体"/>
          <w:color w:val="auto"/>
          <w:sz w:val="28"/>
          <w:szCs w:val="28"/>
          <w:highlight w:val="none"/>
        </w:rPr>
        <w:t>）中的设计内容可知，对于水库安全运行状况主要有以下建议：</w:t>
      </w:r>
    </w:p>
    <w:p w14:paraId="740FB26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加强水库的运行管理工作，遇到异常情况及时上报主管部门，并及时积极采取相应的加固措施，确保大坝运行安全。</w:t>
      </w:r>
    </w:p>
    <w:p w14:paraId="19D88B1F">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20</w:t>
      </w:r>
      <w:r>
        <w:rPr>
          <w:rFonts w:hint="eastAsia" w:eastAsia="楷体"/>
          <w:color w:val="auto"/>
          <w:kern w:val="0"/>
          <w:sz w:val="28"/>
          <w:szCs w:val="28"/>
          <w:highlight w:val="none"/>
          <w:lang w:val="en-US" w:eastAsia="zh-CN"/>
        </w:rPr>
        <w:t>22</w:t>
      </w:r>
      <w:r>
        <w:rPr>
          <w:rFonts w:eastAsia="楷体"/>
          <w:color w:val="auto"/>
          <w:kern w:val="0"/>
          <w:sz w:val="28"/>
          <w:szCs w:val="28"/>
          <w:highlight w:val="none"/>
        </w:rPr>
        <w:t>年</w:t>
      </w:r>
      <w:r>
        <w:rPr>
          <w:rFonts w:hint="eastAsia" w:eastAsia="楷体"/>
          <w:color w:val="auto"/>
          <w:kern w:val="0"/>
          <w:sz w:val="28"/>
          <w:szCs w:val="28"/>
          <w:highlight w:val="none"/>
          <w:lang w:val="en-US" w:eastAsia="zh-CN"/>
        </w:rPr>
        <w:t>12</w:t>
      </w:r>
      <w:r>
        <w:rPr>
          <w:rFonts w:eastAsia="楷体"/>
          <w:color w:val="auto"/>
          <w:kern w:val="0"/>
          <w:sz w:val="28"/>
          <w:szCs w:val="28"/>
          <w:highlight w:val="none"/>
        </w:rPr>
        <w:t>月，</w:t>
      </w:r>
      <w:r>
        <w:rPr>
          <w:rFonts w:hint="eastAsia" w:eastAsia="楷体"/>
          <w:color w:val="auto"/>
          <w:sz w:val="28"/>
          <w:szCs w:val="28"/>
          <w:highlight w:val="none"/>
        </w:rPr>
        <w:t>泉港区农水局组织对四清水库进行安全鉴定</w:t>
      </w:r>
      <w:r>
        <w:rPr>
          <w:rFonts w:eastAsia="楷体"/>
          <w:color w:val="auto"/>
          <w:kern w:val="0"/>
          <w:sz w:val="28"/>
          <w:szCs w:val="28"/>
          <w:highlight w:val="none"/>
        </w:rPr>
        <w:t>，安全鉴定主要结论如下：</w:t>
      </w:r>
    </w:p>
    <w:p w14:paraId="4844AF8D">
      <w:pPr>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int="eastAsia" w:eastAsia="楷体"/>
          <w:color w:val="auto"/>
          <w:sz w:val="28"/>
          <w:szCs w:val="28"/>
          <w:highlight w:val="none"/>
        </w:rPr>
        <w:t>工程</w:t>
      </w:r>
      <w:r>
        <w:rPr>
          <w:rFonts w:hint="eastAsia" w:eastAsia="楷体"/>
          <w:color w:val="auto"/>
          <w:sz w:val="28"/>
          <w:szCs w:val="28"/>
          <w:highlight w:val="none"/>
          <w:lang w:eastAsia="zh-CN"/>
        </w:rPr>
        <w:t>检查情况如下</w:t>
      </w:r>
      <w:r>
        <w:rPr>
          <w:rFonts w:hint="eastAsia" w:eastAsia="楷体"/>
          <w:color w:val="auto"/>
          <w:sz w:val="28"/>
          <w:szCs w:val="28"/>
          <w:highlight w:val="none"/>
        </w:rPr>
        <w:t>：</w:t>
      </w:r>
    </w:p>
    <w:p w14:paraId="66F5BE7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大坝：迎水坡为干砌块石护坡，坡面平整，无隆起、塌坑、滑动的现象，近坝水面无冒泡、漩涡等异常现象。背水坡坡面稳定，但草皮养护不当，局部土体裸露，多处有雨淋沟，有白蚁活动痕迹。坝脚排水沟淤积、长有杂草，根据向管理员了解，水库高水位运行时坝脚排水沟未发现渗漏现象，大坝两侧未发现渗漏现象。大坝设有位移沉降观测设施。</w:t>
      </w:r>
    </w:p>
    <w:p w14:paraId="7976A78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溢洪道：溢洪道的进口段底板砼护底结构完整，未发现脱落、老化</w:t>
      </w:r>
      <w:r>
        <w:rPr>
          <w:rFonts w:hint="eastAsia" w:eastAsia="楷体"/>
          <w:color w:val="auto"/>
          <w:sz w:val="28"/>
          <w:szCs w:val="28"/>
          <w:highlight w:val="none"/>
          <w:lang w:eastAsia="zh-CN"/>
        </w:rPr>
        <w:t>：</w:t>
      </w:r>
      <w:r>
        <w:rPr>
          <w:rFonts w:hint="eastAsia" w:eastAsia="楷体"/>
          <w:color w:val="auto"/>
          <w:sz w:val="28"/>
          <w:szCs w:val="28"/>
          <w:highlight w:val="none"/>
        </w:rPr>
        <w:t>控制段、滑槽、消能坎浆确石结构完整，未发现损坏、沉降</w:t>
      </w:r>
      <w:r>
        <w:rPr>
          <w:rFonts w:hint="eastAsia" w:eastAsia="楷体"/>
          <w:color w:val="auto"/>
          <w:sz w:val="28"/>
          <w:szCs w:val="28"/>
          <w:highlight w:val="none"/>
          <w:lang w:eastAsia="zh-CN"/>
        </w:rPr>
        <w:t>：</w:t>
      </w:r>
      <w:r>
        <w:rPr>
          <w:rFonts w:hint="eastAsia" w:eastAsia="楷体"/>
          <w:color w:val="auto"/>
          <w:sz w:val="28"/>
          <w:szCs w:val="28"/>
          <w:highlight w:val="none"/>
        </w:rPr>
        <w:t>侧墙的浆砌块石结构完整稳定，未发现变形。但桩号0+60-0+68m</w:t>
      </w:r>
      <w:r>
        <w:rPr>
          <w:rFonts w:hint="eastAsia" w:eastAsia="楷体"/>
          <w:color w:val="auto"/>
          <w:sz w:val="28"/>
          <w:szCs w:val="28"/>
          <w:highlight w:val="none"/>
          <w:lang w:eastAsia="zh-CN"/>
        </w:rPr>
        <w:t>，</w:t>
      </w:r>
      <w:r>
        <w:rPr>
          <w:rFonts w:hint="eastAsia" w:eastAsia="楷体"/>
          <w:color w:val="auto"/>
          <w:sz w:val="28"/>
          <w:szCs w:val="28"/>
          <w:highlight w:val="none"/>
        </w:rPr>
        <w:t>违章建设两层石混线构民房，墙体直接砌筑在溢洪道</w:t>
      </w:r>
      <w:r>
        <w:rPr>
          <w:rFonts w:hint="eastAsia" w:eastAsia="楷体"/>
          <w:color w:val="auto"/>
          <w:sz w:val="28"/>
          <w:szCs w:val="28"/>
          <w:highlight w:val="none"/>
          <w:lang w:eastAsia="zh-CN"/>
        </w:rPr>
        <w:t>泄</w:t>
      </w:r>
      <w:r>
        <w:rPr>
          <w:rFonts w:hint="eastAsia" w:eastAsia="楷体"/>
          <w:color w:val="auto"/>
          <w:sz w:val="28"/>
          <w:szCs w:val="28"/>
          <w:highlight w:val="none"/>
        </w:rPr>
        <w:t>槽侧墙上</w:t>
      </w:r>
      <w:r>
        <w:rPr>
          <w:rFonts w:hint="eastAsia" w:eastAsia="楷体"/>
          <w:color w:val="auto"/>
          <w:sz w:val="28"/>
          <w:szCs w:val="28"/>
          <w:highlight w:val="none"/>
          <w:lang w:eastAsia="zh-CN"/>
        </w:rPr>
        <w:t>，</w:t>
      </w:r>
      <w:r>
        <w:rPr>
          <w:rFonts w:hint="eastAsia" w:eastAsia="楷体"/>
          <w:color w:val="auto"/>
          <w:sz w:val="28"/>
          <w:szCs w:val="28"/>
          <w:highlight w:val="none"/>
        </w:rPr>
        <w:t>且在泄槽翻筑台阶，并拆除侧墙砌体，安装地下室铁门，影响侧墙稳定安全、溢洪道</w:t>
      </w:r>
      <w:r>
        <w:rPr>
          <w:rFonts w:hint="eastAsia" w:eastAsia="楷体"/>
          <w:color w:val="auto"/>
          <w:sz w:val="28"/>
          <w:szCs w:val="28"/>
          <w:highlight w:val="none"/>
          <w:lang w:eastAsia="zh-CN"/>
        </w:rPr>
        <w:t>泄洪</w:t>
      </w:r>
      <w:r>
        <w:rPr>
          <w:rFonts w:hint="eastAsia" w:eastAsia="楷体"/>
          <w:color w:val="auto"/>
          <w:sz w:val="28"/>
          <w:szCs w:val="28"/>
          <w:highlight w:val="none"/>
        </w:rPr>
        <w:t>安全</w:t>
      </w:r>
      <w:r>
        <w:rPr>
          <w:rFonts w:hint="eastAsia" w:eastAsia="楷体"/>
          <w:color w:val="auto"/>
          <w:sz w:val="28"/>
          <w:szCs w:val="28"/>
          <w:highlight w:val="none"/>
          <w:lang w:eastAsia="zh-CN"/>
        </w:rPr>
        <w:t>，</w:t>
      </w:r>
      <w:r>
        <w:rPr>
          <w:rFonts w:hint="eastAsia" w:eastAsia="楷体"/>
          <w:color w:val="auto"/>
          <w:sz w:val="28"/>
          <w:szCs w:val="28"/>
          <w:highlight w:val="none"/>
        </w:rPr>
        <w:t>并存在重大安全隐患。</w:t>
      </w:r>
    </w:p>
    <w:p w14:paraId="4AA18FF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eastAsia="zh-CN"/>
        </w:rPr>
        <w:t>输</w:t>
      </w:r>
      <w:r>
        <w:rPr>
          <w:rFonts w:hint="eastAsia" w:eastAsia="楷体"/>
          <w:color w:val="auto"/>
          <w:sz w:val="28"/>
          <w:szCs w:val="28"/>
          <w:highlight w:val="none"/>
        </w:rPr>
        <w:t>水涵洞：通过机器人进入输水涌洞察看，</w:t>
      </w:r>
      <w:r>
        <w:rPr>
          <w:rFonts w:hint="eastAsia" w:eastAsia="楷体"/>
          <w:color w:val="auto"/>
          <w:sz w:val="28"/>
          <w:szCs w:val="28"/>
          <w:highlight w:val="none"/>
          <w:lang w:eastAsia="zh-CN"/>
        </w:rPr>
        <w:t>洞</w:t>
      </w:r>
      <w:r>
        <w:rPr>
          <w:rFonts w:hint="eastAsia" w:eastAsia="楷体"/>
          <w:color w:val="auto"/>
          <w:sz w:val="28"/>
          <w:szCs w:val="28"/>
          <w:highlight w:val="none"/>
        </w:rPr>
        <w:t>身</w:t>
      </w:r>
      <w:r>
        <w:rPr>
          <w:rFonts w:hint="eastAsia" w:eastAsia="楷体"/>
          <w:color w:val="auto"/>
          <w:sz w:val="28"/>
          <w:szCs w:val="28"/>
          <w:highlight w:val="none"/>
          <w:lang w:eastAsia="zh-CN"/>
        </w:rPr>
        <w:t>砌</w:t>
      </w:r>
      <w:r>
        <w:rPr>
          <w:rFonts w:hint="eastAsia" w:eastAsia="楷体"/>
          <w:color w:val="auto"/>
          <w:sz w:val="28"/>
          <w:szCs w:val="28"/>
          <w:highlight w:val="none"/>
        </w:rPr>
        <w:t>体完整</w:t>
      </w:r>
      <w:r>
        <w:rPr>
          <w:rFonts w:hint="eastAsia" w:eastAsia="楷体"/>
          <w:color w:val="auto"/>
          <w:sz w:val="28"/>
          <w:szCs w:val="28"/>
          <w:highlight w:val="none"/>
          <w:lang w:eastAsia="zh-CN"/>
        </w:rPr>
        <w:t>，距洞</w:t>
      </w:r>
      <w:r>
        <w:rPr>
          <w:rFonts w:hint="eastAsia" w:eastAsia="楷体"/>
          <w:color w:val="auto"/>
          <w:sz w:val="28"/>
          <w:szCs w:val="28"/>
          <w:highlight w:val="none"/>
        </w:rPr>
        <w:t>口7</w:t>
      </w:r>
      <w:r>
        <w:rPr>
          <w:rFonts w:hint="eastAsia" w:eastAsia="楷体"/>
          <w:color w:val="auto"/>
          <w:sz w:val="28"/>
          <w:szCs w:val="28"/>
          <w:highlight w:val="none"/>
          <w:lang w:val="en-US" w:eastAsia="zh-CN"/>
        </w:rPr>
        <w:t>.7</w:t>
      </w:r>
      <w:r>
        <w:rPr>
          <w:rFonts w:hint="eastAsia" w:eastAsia="楷体"/>
          <w:color w:val="auto"/>
          <w:sz w:val="28"/>
          <w:szCs w:val="28"/>
          <w:highlight w:val="none"/>
        </w:rPr>
        <w:t>4</w:t>
      </w:r>
      <w:r>
        <w:rPr>
          <w:rFonts w:hint="eastAsia" w:eastAsia="楷体"/>
          <w:color w:val="auto"/>
          <w:sz w:val="28"/>
          <w:szCs w:val="28"/>
          <w:highlight w:val="none"/>
          <w:lang w:val="en-US" w:eastAsia="zh-CN"/>
        </w:rPr>
        <w:t>m</w:t>
      </w:r>
      <w:r>
        <w:rPr>
          <w:rFonts w:hint="eastAsia" w:eastAsia="楷体"/>
          <w:color w:val="auto"/>
          <w:sz w:val="28"/>
          <w:szCs w:val="28"/>
          <w:highlight w:val="none"/>
        </w:rPr>
        <w:t>处有</w:t>
      </w:r>
      <w:r>
        <w:rPr>
          <w:rFonts w:hint="eastAsia" w:eastAsia="楷体"/>
          <w:color w:val="auto"/>
          <w:sz w:val="28"/>
          <w:szCs w:val="28"/>
          <w:highlight w:val="none"/>
          <w:lang w:eastAsia="zh-CN"/>
        </w:rPr>
        <w:t>一</w:t>
      </w:r>
      <w:r>
        <w:rPr>
          <w:rFonts w:hint="eastAsia" w:eastAsia="楷体"/>
          <w:color w:val="auto"/>
          <w:sz w:val="28"/>
          <w:szCs w:val="28"/>
          <w:highlight w:val="none"/>
        </w:rPr>
        <w:t>处</w:t>
      </w:r>
      <w:r>
        <w:rPr>
          <w:rFonts w:hint="eastAsia" w:eastAsia="楷体"/>
          <w:color w:val="auto"/>
          <w:sz w:val="28"/>
          <w:szCs w:val="28"/>
          <w:highlight w:val="none"/>
          <w:lang w:eastAsia="zh-CN"/>
        </w:rPr>
        <w:t>渗漏滴</w:t>
      </w:r>
      <w:r>
        <w:rPr>
          <w:rFonts w:hint="eastAsia" w:eastAsia="楷体"/>
          <w:color w:val="auto"/>
          <w:sz w:val="28"/>
          <w:szCs w:val="28"/>
          <w:highlight w:val="none"/>
        </w:rPr>
        <w:t>水、</w:t>
      </w:r>
      <w:r>
        <w:rPr>
          <w:rFonts w:hint="eastAsia" w:eastAsia="楷体"/>
          <w:color w:val="auto"/>
          <w:sz w:val="28"/>
          <w:szCs w:val="28"/>
          <w:highlight w:val="none"/>
          <w:lang w:val="en-US" w:eastAsia="zh-CN"/>
        </w:rPr>
        <w:t>1</w:t>
      </w:r>
      <w:r>
        <w:rPr>
          <w:rFonts w:hint="eastAsia" w:eastAsia="楷体"/>
          <w:color w:val="auto"/>
          <w:sz w:val="28"/>
          <w:szCs w:val="28"/>
          <w:highlight w:val="none"/>
        </w:rPr>
        <w:t>1.86</w:t>
      </w:r>
      <w:r>
        <w:rPr>
          <w:rFonts w:hint="eastAsia" w:eastAsia="楷体"/>
          <w:color w:val="auto"/>
          <w:sz w:val="28"/>
          <w:szCs w:val="28"/>
          <w:highlight w:val="none"/>
          <w:lang w:val="en-US" w:eastAsia="zh-CN"/>
        </w:rPr>
        <w:t>m有</w:t>
      </w:r>
      <w:r>
        <w:rPr>
          <w:rFonts w:hint="eastAsia" w:eastAsia="楷体"/>
          <w:color w:val="auto"/>
          <w:sz w:val="28"/>
          <w:szCs w:val="28"/>
          <w:highlight w:val="none"/>
        </w:rPr>
        <w:t>一处小沉积。输水涵</w:t>
      </w:r>
      <w:r>
        <w:rPr>
          <w:rFonts w:hint="eastAsia" w:eastAsia="楷体"/>
          <w:color w:val="auto"/>
          <w:sz w:val="28"/>
          <w:szCs w:val="28"/>
          <w:highlight w:val="none"/>
          <w:lang w:eastAsia="zh-CN"/>
        </w:rPr>
        <w:t>洞</w:t>
      </w:r>
      <w:r>
        <w:rPr>
          <w:rFonts w:hint="eastAsia" w:eastAsia="楷体"/>
          <w:color w:val="auto"/>
          <w:sz w:val="28"/>
          <w:szCs w:val="28"/>
          <w:highlight w:val="none"/>
        </w:rPr>
        <w:t>出口长满杂草、</w:t>
      </w:r>
      <w:r>
        <w:rPr>
          <w:rFonts w:hint="eastAsia" w:eastAsia="楷体"/>
          <w:color w:val="auto"/>
          <w:sz w:val="28"/>
          <w:szCs w:val="28"/>
          <w:highlight w:val="none"/>
          <w:lang w:eastAsia="zh-CN"/>
        </w:rPr>
        <w:t>灌</w:t>
      </w:r>
      <w:r>
        <w:rPr>
          <w:rFonts w:hint="eastAsia" w:eastAsia="楷体"/>
          <w:color w:val="auto"/>
          <w:sz w:val="28"/>
          <w:szCs w:val="28"/>
          <w:highlight w:val="none"/>
        </w:rPr>
        <w:t>木，影响输水。启闭机、钢</w:t>
      </w:r>
      <w:r>
        <w:rPr>
          <w:rFonts w:hint="eastAsia" w:eastAsia="楷体"/>
          <w:color w:val="auto"/>
          <w:sz w:val="28"/>
          <w:szCs w:val="28"/>
          <w:highlight w:val="none"/>
          <w:lang w:eastAsia="zh-CN"/>
        </w:rPr>
        <w:t>丝</w:t>
      </w:r>
      <w:r>
        <w:rPr>
          <w:rFonts w:hint="eastAsia" w:eastAsia="楷体"/>
          <w:color w:val="auto"/>
          <w:sz w:val="28"/>
          <w:szCs w:val="28"/>
          <w:highlight w:val="none"/>
        </w:rPr>
        <w:t>绳、</w:t>
      </w:r>
      <w:r>
        <w:rPr>
          <w:rFonts w:hint="eastAsia" w:eastAsia="楷体"/>
          <w:color w:val="auto"/>
          <w:sz w:val="28"/>
          <w:szCs w:val="28"/>
          <w:highlight w:val="none"/>
          <w:lang w:eastAsia="zh-CN"/>
        </w:rPr>
        <w:t>拉杆</w:t>
      </w:r>
      <w:r>
        <w:rPr>
          <w:rFonts w:hint="eastAsia" w:eastAsia="楷体"/>
          <w:color w:val="auto"/>
          <w:sz w:val="28"/>
          <w:szCs w:val="28"/>
          <w:highlight w:val="none"/>
        </w:rPr>
        <w:t>维护</w:t>
      </w:r>
      <w:r>
        <w:rPr>
          <w:rFonts w:hint="eastAsia" w:eastAsia="楷体"/>
          <w:color w:val="auto"/>
          <w:sz w:val="28"/>
          <w:szCs w:val="28"/>
          <w:highlight w:val="none"/>
          <w:lang w:eastAsia="zh-CN"/>
        </w:rPr>
        <w:t>较</w:t>
      </w:r>
      <w:r>
        <w:rPr>
          <w:rFonts w:hint="eastAsia" w:eastAsia="楷体"/>
          <w:color w:val="auto"/>
          <w:sz w:val="28"/>
          <w:szCs w:val="28"/>
          <w:highlight w:val="none"/>
        </w:rPr>
        <w:t>好</w:t>
      </w:r>
      <w:r>
        <w:rPr>
          <w:rFonts w:hint="eastAsia" w:eastAsia="楷体"/>
          <w:color w:val="auto"/>
          <w:sz w:val="28"/>
          <w:szCs w:val="28"/>
          <w:highlight w:val="none"/>
          <w:lang w:eastAsia="zh-CN"/>
        </w:rPr>
        <w:t>，据</w:t>
      </w:r>
      <w:r>
        <w:rPr>
          <w:rFonts w:hint="eastAsia" w:eastAsia="楷体"/>
          <w:color w:val="auto"/>
          <w:sz w:val="28"/>
          <w:szCs w:val="28"/>
          <w:highlight w:val="none"/>
        </w:rPr>
        <w:t>管理人员</w:t>
      </w:r>
      <w:r>
        <w:rPr>
          <w:rFonts w:hint="eastAsia" w:eastAsia="楷体"/>
          <w:color w:val="auto"/>
          <w:sz w:val="28"/>
          <w:szCs w:val="28"/>
          <w:highlight w:val="none"/>
          <w:lang w:eastAsia="zh-CN"/>
        </w:rPr>
        <w:t>介绍</w:t>
      </w:r>
      <w:r>
        <w:rPr>
          <w:rFonts w:hint="eastAsia" w:eastAsia="楷体"/>
          <w:color w:val="auto"/>
          <w:sz w:val="28"/>
          <w:szCs w:val="28"/>
          <w:highlight w:val="none"/>
        </w:rPr>
        <w:t>，</w:t>
      </w:r>
      <w:r>
        <w:rPr>
          <w:rFonts w:hint="eastAsia" w:eastAsia="楷体"/>
          <w:color w:val="auto"/>
          <w:sz w:val="28"/>
          <w:szCs w:val="28"/>
          <w:highlight w:val="none"/>
          <w:lang w:eastAsia="zh-CN"/>
        </w:rPr>
        <w:t>库</w:t>
      </w:r>
      <w:r>
        <w:rPr>
          <w:rFonts w:hint="eastAsia" w:eastAsia="楷体"/>
          <w:color w:val="auto"/>
          <w:sz w:val="28"/>
          <w:szCs w:val="28"/>
          <w:highlight w:val="none"/>
        </w:rPr>
        <w:t>水位</w:t>
      </w:r>
      <w:r>
        <w:rPr>
          <w:rFonts w:hint="eastAsia" w:eastAsia="楷体"/>
          <w:color w:val="auto"/>
          <w:sz w:val="28"/>
          <w:szCs w:val="28"/>
          <w:highlight w:val="none"/>
          <w:lang w:eastAsia="zh-CN"/>
        </w:rPr>
        <w:t>较高</w:t>
      </w:r>
      <w:r>
        <w:rPr>
          <w:rFonts w:hint="eastAsia" w:eastAsia="楷体"/>
          <w:color w:val="auto"/>
          <w:sz w:val="28"/>
          <w:szCs w:val="28"/>
          <w:highlight w:val="none"/>
        </w:rPr>
        <w:t>时</w:t>
      </w:r>
      <w:r>
        <w:rPr>
          <w:rFonts w:hint="eastAsia" w:eastAsia="楷体"/>
          <w:color w:val="auto"/>
          <w:sz w:val="28"/>
          <w:szCs w:val="28"/>
          <w:highlight w:val="none"/>
          <w:lang w:eastAsia="zh-CN"/>
        </w:rPr>
        <w:t>，启闭</w:t>
      </w:r>
      <w:r>
        <w:rPr>
          <w:rFonts w:hint="eastAsia" w:eastAsia="楷体"/>
          <w:color w:val="auto"/>
          <w:sz w:val="28"/>
          <w:szCs w:val="28"/>
          <w:highlight w:val="none"/>
        </w:rPr>
        <w:t>机</w:t>
      </w:r>
      <w:r>
        <w:rPr>
          <w:rFonts w:hint="eastAsia" w:eastAsia="楷体"/>
          <w:color w:val="auto"/>
          <w:sz w:val="28"/>
          <w:szCs w:val="28"/>
          <w:highlight w:val="none"/>
          <w:lang w:eastAsia="zh-CN"/>
        </w:rPr>
        <w:t>手动操</w:t>
      </w:r>
      <w:r>
        <w:rPr>
          <w:rFonts w:hint="eastAsia" w:eastAsia="楷体"/>
          <w:color w:val="auto"/>
          <w:sz w:val="28"/>
          <w:szCs w:val="28"/>
          <w:highlight w:val="none"/>
        </w:rPr>
        <w:t>作</w:t>
      </w:r>
      <w:r>
        <w:rPr>
          <w:rFonts w:hint="eastAsia" w:eastAsia="楷体"/>
          <w:color w:val="auto"/>
          <w:sz w:val="28"/>
          <w:szCs w:val="28"/>
          <w:highlight w:val="none"/>
          <w:lang w:eastAsia="zh-CN"/>
        </w:rPr>
        <w:t>较困难</w:t>
      </w:r>
      <w:r>
        <w:rPr>
          <w:rFonts w:hint="eastAsia" w:eastAsia="楷体"/>
          <w:color w:val="auto"/>
          <w:sz w:val="28"/>
          <w:szCs w:val="28"/>
          <w:highlight w:val="none"/>
        </w:rPr>
        <w:t>。</w:t>
      </w:r>
    </w:p>
    <w:p w14:paraId="5E4C4BF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eastAsia="zh-CN"/>
        </w:rPr>
        <w:t>库区</w:t>
      </w:r>
      <w:r>
        <w:rPr>
          <w:rFonts w:hint="eastAsia" w:eastAsia="楷体"/>
          <w:color w:val="auto"/>
          <w:sz w:val="28"/>
          <w:szCs w:val="28"/>
          <w:highlight w:val="none"/>
        </w:rPr>
        <w:t>：</w:t>
      </w:r>
      <w:r>
        <w:rPr>
          <w:rFonts w:hint="eastAsia" w:eastAsia="楷体"/>
          <w:color w:val="auto"/>
          <w:sz w:val="28"/>
          <w:szCs w:val="28"/>
          <w:highlight w:val="none"/>
          <w:lang w:eastAsia="zh-CN"/>
        </w:rPr>
        <w:t>库区山体岸坡植被较好，水库库岸总体稳定</w:t>
      </w:r>
      <w:r>
        <w:rPr>
          <w:rFonts w:hint="eastAsia" w:eastAsia="楷体"/>
          <w:color w:val="auto"/>
          <w:sz w:val="28"/>
          <w:szCs w:val="28"/>
          <w:highlight w:val="none"/>
        </w:rPr>
        <w:t>。</w:t>
      </w:r>
    </w:p>
    <w:p w14:paraId="7E19A82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w:t>
      </w:r>
      <w:r>
        <w:rPr>
          <w:rFonts w:hint="eastAsia" w:eastAsia="楷体"/>
          <w:color w:val="auto"/>
          <w:sz w:val="28"/>
          <w:szCs w:val="28"/>
          <w:highlight w:val="none"/>
          <w:lang w:eastAsia="zh-CN"/>
        </w:rPr>
        <w:t>工程运行管理评价情况如下</w:t>
      </w:r>
      <w:r>
        <w:rPr>
          <w:rFonts w:hint="eastAsia" w:eastAsia="楷体"/>
          <w:color w:val="auto"/>
          <w:sz w:val="28"/>
          <w:szCs w:val="28"/>
          <w:highlight w:val="none"/>
        </w:rPr>
        <w:t>：</w:t>
      </w:r>
    </w:p>
    <w:p w14:paraId="24A432C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1）水库的各项运行管理规章制度较齐</w:t>
      </w:r>
      <w:r>
        <w:rPr>
          <w:rFonts w:hint="eastAsia" w:eastAsia="楷体"/>
          <w:color w:val="auto"/>
          <w:sz w:val="28"/>
          <w:szCs w:val="28"/>
          <w:highlight w:val="none"/>
          <w:lang w:eastAsia="zh-CN"/>
        </w:rPr>
        <w:t>全</w:t>
      </w:r>
      <w:r>
        <w:rPr>
          <w:rFonts w:hint="eastAsia" w:eastAsia="楷体"/>
          <w:color w:val="auto"/>
          <w:sz w:val="28"/>
          <w:szCs w:val="28"/>
          <w:highlight w:val="none"/>
        </w:rPr>
        <w:t>；</w:t>
      </w:r>
    </w:p>
    <w:p w14:paraId="17788669">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2）按批复的运用调度计划运行，并按规定开展日常巡视、检查和养护等工作；</w:t>
      </w:r>
    </w:p>
    <w:p w14:paraId="5E1A89B0">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3）水库安装水雨情自动检测系统，布设位移沉降观测点；</w:t>
      </w:r>
    </w:p>
    <w:p w14:paraId="6C09EDD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4）但水库无管理房，台风暴雨值守不便；未开展大坝沉降位移观测；</w:t>
      </w:r>
    </w:p>
    <w:p w14:paraId="09C52C7F">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5）滥洪道桩号0+60-0+68m</w:t>
      </w:r>
      <w:r>
        <w:rPr>
          <w:rFonts w:hint="eastAsia" w:eastAsia="楷体"/>
          <w:color w:val="auto"/>
          <w:sz w:val="28"/>
          <w:szCs w:val="28"/>
          <w:highlight w:val="none"/>
          <w:lang w:eastAsia="zh-CN"/>
        </w:rPr>
        <w:t>，</w:t>
      </w:r>
      <w:r>
        <w:rPr>
          <w:rFonts w:hint="eastAsia" w:eastAsia="楷体"/>
          <w:color w:val="auto"/>
          <w:sz w:val="28"/>
          <w:szCs w:val="28"/>
          <w:highlight w:val="none"/>
        </w:rPr>
        <w:t>违章建设石混结构民房，墙体直接砌筑在溢洪道泄槽侧墙上，且在泄槽砌筑台阶，并</w:t>
      </w:r>
      <w:r>
        <w:rPr>
          <w:rFonts w:hint="eastAsia" w:eastAsia="楷体"/>
          <w:color w:val="auto"/>
          <w:sz w:val="28"/>
          <w:szCs w:val="28"/>
          <w:highlight w:val="none"/>
          <w:lang w:eastAsia="zh-CN"/>
        </w:rPr>
        <w:t>拆</w:t>
      </w:r>
      <w:r>
        <w:rPr>
          <w:rFonts w:hint="eastAsia" w:eastAsia="楷体"/>
          <w:color w:val="auto"/>
          <w:sz w:val="28"/>
          <w:szCs w:val="28"/>
          <w:highlight w:val="none"/>
        </w:rPr>
        <w:t>除侧墙砌体，安装地下空铁门，影响侧墙稳定安全、</w:t>
      </w:r>
      <w:r>
        <w:rPr>
          <w:rFonts w:hint="eastAsia" w:eastAsia="楷体"/>
          <w:color w:val="auto"/>
          <w:sz w:val="28"/>
          <w:szCs w:val="28"/>
          <w:highlight w:val="none"/>
          <w:lang w:eastAsia="zh-CN"/>
        </w:rPr>
        <w:t>溢</w:t>
      </w:r>
      <w:r>
        <w:rPr>
          <w:rFonts w:hint="eastAsia" w:eastAsia="楷体"/>
          <w:color w:val="auto"/>
          <w:sz w:val="28"/>
          <w:szCs w:val="28"/>
          <w:highlight w:val="none"/>
        </w:rPr>
        <w:t xml:space="preserve">洪道泄洪安全，并存在重大安全隐患； </w:t>
      </w:r>
    </w:p>
    <w:p w14:paraId="1ED65065">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6）根据</w:t>
      </w:r>
      <w:r>
        <w:rPr>
          <w:rFonts w:hint="eastAsia" w:eastAsia="楷体"/>
          <w:color w:val="auto"/>
          <w:sz w:val="28"/>
          <w:szCs w:val="28"/>
          <w:highlight w:val="none"/>
          <w:lang w:eastAsia="zh-CN"/>
        </w:rPr>
        <w:t>《</w:t>
      </w:r>
      <w:r>
        <w:rPr>
          <w:rFonts w:hint="eastAsia" w:eastAsia="楷体"/>
          <w:color w:val="auto"/>
          <w:sz w:val="28"/>
          <w:szCs w:val="28"/>
          <w:highlight w:val="none"/>
        </w:rPr>
        <w:t>水库大坝安全评价导则》(SL2</w:t>
      </w:r>
      <w:r>
        <w:rPr>
          <w:rFonts w:hint="eastAsia" w:eastAsia="楷体"/>
          <w:color w:val="auto"/>
          <w:sz w:val="28"/>
          <w:szCs w:val="28"/>
          <w:highlight w:val="none"/>
          <w:lang w:val="en-US" w:eastAsia="zh-CN"/>
        </w:rPr>
        <w:t>5</w:t>
      </w:r>
      <w:r>
        <w:rPr>
          <w:rFonts w:hint="eastAsia" w:eastAsia="楷体"/>
          <w:color w:val="auto"/>
          <w:sz w:val="28"/>
          <w:szCs w:val="28"/>
          <w:highlight w:val="none"/>
        </w:rPr>
        <w:t>8</w:t>
      </w:r>
      <w:r>
        <w:rPr>
          <w:rFonts w:hint="eastAsia" w:eastAsia="楷体"/>
          <w:color w:val="auto"/>
          <w:sz w:val="28"/>
          <w:szCs w:val="28"/>
          <w:highlight w:val="none"/>
          <w:lang w:val="en-US" w:eastAsia="zh-CN"/>
        </w:rPr>
        <w:t>-</w:t>
      </w:r>
      <w:r>
        <w:rPr>
          <w:rFonts w:hint="eastAsia" w:eastAsia="楷体"/>
          <w:color w:val="auto"/>
          <w:sz w:val="28"/>
          <w:szCs w:val="28"/>
          <w:highlight w:val="none"/>
        </w:rPr>
        <w:t xml:space="preserve"> 2017)，大坝运行管理评价为不规范</w:t>
      </w:r>
      <w:r>
        <w:rPr>
          <w:rFonts w:hint="eastAsia" w:eastAsia="楷体"/>
          <w:color w:val="auto"/>
          <w:sz w:val="28"/>
          <w:szCs w:val="28"/>
          <w:highlight w:val="none"/>
          <w:lang w:eastAsia="zh-CN"/>
        </w:rPr>
        <w:t>。</w:t>
      </w:r>
    </w:p>
    <w:p w14:paraId="34D5DFB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（3）安全鉴定结论：</w:t>
      </w:r>
    </w:p>
    <w:p w14:paraId="1C80396E">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四清水库大坝经各专项分析评价，结论如下：</w:t>
      </w:r>
    </w:p>
    <w:p w14:paraId="3B760BC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1）工程质量评价为合格。</w:t>
      </w:r>
    </w:p>
    <w:p w14:paraId="50E3E04E">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2）运行管理评价为</w:t>
      </w:r>
      <w:r>
        <w:rPr>
          <w:rFonts w:hint="eastAsia" w:eastAsia="楷体"/>
          <w:color w:val="auto"/>
          <w:sz w:val="28"/>
          <w:szCs w:val="28"/>
          <w:highlight w:val="none"/>
          <w:lang w:eastAsia="zh-CN"/>
        </w:rPr>
        <w:t>不规范</w:t>
      </w:r>
      <w:r>
        <w:rPr>
          <w:rFonts w:hint="eastAsia" w:eastAsia="楷体"/>
          <w:color w:val="auto"/>
          <w:sz w:val="28"/>
          <w:szCs w:val="28"/>
          <w:highlight w:val="none"/>
        </w:rPr>
        <w:t>。</w:t>
      </w:r>
    </w:p>
    <w:p w14:paraId="7AB71B2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3）防洪安全性评价为B级。</w:t>
      </w:r>
    </w:p>
    <w:p w14:paraId="752D9B7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4）渗流安全评价为</w:t>
      </w:r>
      <w:r>
        <w:rPr>
          <w:rFonts w:hint="eastAsia" w:eastAsia="楷体"/>
          <w:color w:val="auto"/>
          <w:sz w:val="28"/>
          <w:szCs w:val="28"/>
          <w:highlight w:val="none"/>
          <w:lang w:val="en-US" w:eastAsia="zh-CN"/>
        </w:rPr>
        <w:t>A</w:t>
      </w:r>
      <w:r>
        <w:rPr>
          <w:rFonts w:hint="eastAsia" w:eastAsia="楷体"/>
          <w:color w:val="auto"/>
          <w:sz w:val="28"/>
          <w:szCs w:val="28"/>
          <w:highlight w:val="none"/>
        </w:rPr>
        <w:t>级。</w:t>
      </w:r>
    </w:p>
    <w:p w14:paraId="59F5B0CA">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5）结构安全评价为</w:t>
      </w:r>
      <w:r>
        <w:rPr>
          <w:rFonts w:hint="eastAsia" w:eastAsia="楷体"/>
          <w:color w:val="auto"/>
          <w:sz w:val="28"/>
          <w:szCs w:val="28"/>
          <w:highlight w:val="none"/>
          <w:lang w:val="en-US" w:eastAsia="zh-CN"/>
        </w:rPr>
        <w:t>B</w:t>
      </w:r>
      <w:r>
        <w:rPr>
          <w:rFonts w:hint="eastAsia" w:eastAsia="楷体"/>
          <w:color w:val="auto"/>
          <w:sz w:val="28"/>
          <w:szCs w:val="28"/>
          <w:highlight w:val="none"/>
        </w:rPr>
        <w:t>级。</w:t>
      </w:r>
    </w:p>
    <w:p w14:paraId="222BEB4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6）抗震安全评价为</w:t>
      </w:r>
      <w:r>
        <w:rPr>
          <w:rFonts w:hint="eastAsia" w:eastAsia="楷体"/>
          <w:color w:val="auto"/>
          <w:sz w:val="28"/>
          <w:szCs w:val="28"/>
          <w:highlight w:val="none"/>
          <w:lang w:val="en-US" w:eastAsia="zh-CN"/>
        </w:rPr>
        <w:t>A</w:t>
      </w:r>
      <w:r>
        <w:rPr>
          <w:rFonts w:hint="eastAsia" w:eastAsia="楷体"/>
          <w:color w:val="auto"/>
          <w:sz w:val="28"/>
          <w:szCs w:val="28"/>
          <w:highlight w:val="none"/>
        </w:rPr>
        <w:t>级。</w:t>
      </w:r>
    </w:p>
    <w:p w14:paraId="6A3A0AC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7）金属</w:t>
      </w:r>
      <w:r>
        <w:rPr>
          <w:rFonts w:hint="eastAsia" w:eastAsia="楷体"/>
          <w:color w:val="auto"/>
          <w:sz w:val="28"/>
          <w:szCs w:val="28"/>
          <w:highlight w:val="none"/>
          <w:lang w:eastAsia="zh-CN"/>
        </w:rPr>
        <w:t>结构</w:t>
      </w:r>
      <w:r>
        <w:rPr>
          <w:rFonts w:hint="eastAsia" w:eastAsia="楷体"/>
          <w:color w:val="auto"/>
          <w:sz w:val="28"/>
          <w:szCs w:val="28"/>
          <w:highlight w:val="none"/>
        </w:rPr>
        <w:t>安全评价为B级。</w:t>
      </w:r>
    </w:p>
    <w:p w14:paraId="3FC1CF59">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综</w:t>
      </w:r>
      <w:r>
        <w:rPr>
          <w:rFonts w:hint="eastAsia" w:eastAsia="楷体"/>
          <w:color w:val="auto"/>
          <w:sz w:val="28"/>
          <w:szCs w:val="28"/>
          <w:highlight w:val="none"/>
          <w:lang w:eastAsia="zh-CN"/>
        </w:rPr>
        <w:t>上所</w:t>
      </w:r>
      <w:r>
        <w:rPr>
          <w:rFonts w:hint="eastAsia" w:eastAsia="楷体"/>
          <w:color w:val="auto"/>
          <w:sz w:val="28"/>
          <w:szCs w:val="28"/>
          <w:highlight w:val="none"/>
          <w:lang w:val="en-US" w:eastAsia="zh-CN"/>
        </w:rPr>
        <w:t>述</w:t>
      </w:r>
      <w:r>
        <w:rPr>
          <w:rFonts w:hint="eastAsia" w:eastAsia="楷体"/>
          <w:color w:val="auto"/>
          <w:sz w:val="28"/>
          <w:szCs w:val="28"/>
          <w:highlight w:val="none"/>
          <w:lang w:eastAsia="zh-CN"/>
        </w:rPr>
        <w:t>，在综合分析各评价报告后</w:t>
      </w:r>
      <w:r>
        <w:rPr>
          <w:rFonts w:hint="eastAsia" w:eastAsia="楷体"/>
          <w:color w:val="auto"/>
          <w:sz w:val="28"/>
          <w:szCs w:val="28"/>
          <w:highlight w:val="none"/>
        </w:rPr>
        <w:t>，</w:t>
      </w:r>
      <w:r>
        <w:rPr>
          <w:rFonts w:hint="eastAsia" w:eastAsia="楷体"/>
          <w:color w:val="auto"/>
          <w:sz w:val="28"/>
          <w:szCs w:val="28"/>
          <w:highlight w:val="none"/>
          <w:lang w:eastAsia="zh-CN"/>
        </w:rPr>
        <w:t>确定</w:t>
      </w:r>
      <w:r>
        <w:rPr>
          <w:rFonts w:hint="eastAsia" w:eastAsia="楷体"/>
          <w:color w:val="auto"/>
          <w:sz w:val="28"/>
          <w:szCs w:val="28"/>
          <w:highlight w:val="none"/>
        </w:rPr>
        <w:t>四清水库大坝为</w:t>
      </w:r>
      <w:r>
        <w:rPr>
          <w:rFonts w:hint="eastAsia" w:eastAsia="楷体"/>
          <w:color w:val="auto"/>
          <w:sz w:val="28"/>
          <w:szCs w:val="28"/>
          <w:highlight w:val="none"/>
          <w:lang w:eastAsia="zh-CN"/>
        </w:rPr>
        <w:t>二</w:t>
      </w:r>
      <w:r>
        <w:rPr>
          <w:rFonts w:hint="eastAsia" w:eastAsia="楷体"/>
          <w:color w:val="auto"/>
          <w:sz w:val="28"/>
          <w:szCs w:val="28"/>
          <w:highlight w:val="none"/>
        </w:rPr>
        <w:t>类坝。</w:t>
      </w:r>
    </w:p>
    <w:p w14:paraId="3A9886C1">
      <w:pPr>
        <w:pStyle w:val="3"/>
        <w:rPr>
          <w:rFonts w:ascii="Times New Roman" w:hAnsi="Times New Roman" w:eastAsia="楷体"/>
          <w:color w:val="auto"/>
          <w:highlight w:val="none"/>
        </w:rPr>
      </w:pPr>
      <w:bookmarkStart w:id="15" w:name="_Toc28284"/>
      <w:bookmarkStart w:id="16" w:name="_Toc19914"/>
      <w:r>
        <w:rPr>
          <w:rFonts w:ascii="Times New Roman" w:hAnsi="Times New Roman" w:eastAsia="楷体"/>
          <w:color w:val="auto"/>
          <w:kern w:val="0"/>
          <w:sz w:val="28"/>
          <w:szCs w:val="28"/>
          <w:highlight w:val="none"/>
        </w:rPr>
        <w:t>2.3</w:t>
      </w:r>
      <w:r>
        <w:rPr>
          <w:rFonts w:ascii="Times New Roman" w:hAnsi="Times New Roman" w:eastAsia="楷体"/>
          <w:color w:val="auto"/>
          <w:highlight w:val="none"/>
        </w:rPr>
        <w:t>水情工情测报系统及观测资料整理</w:t>
      </w:r>
      <w:bookmarkEnd w:id="15"/>
      <w:bookmarkEnd w:id="16"/>
    </w:p>
    <w:p w14:paraId="0C345F5A">
      <w:pPr>
        <w:autoSpaceDN w:val="0"/>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w:t>
      </w:r>
      <w:r>
        <w:rPr>
          <w:rFonts w:hint="eastAsia" w:eastAsia="楷体"/>
          <w:color w:val="auto"/>
          <w:sz w:val="28"/>
          <w:szCs w:val="28"/>
          <w:highlight w:val="none"/>
          <w:lang w:eastAsia="zh-CN"/>
        </w:rPr>
        <w:t>已设置自动监测雨量水位站</w:t>
      </w:r>
      <w:r>
        <w:rPr>
          <w:rFonts w:eastAsia="楷体"/>
          <w:color w:val="auto"/>
          <w:sz w:val="28"/>
          <w:szCs w:val="28"/>
          <w:highlight w:val="none"/>
        </w:rPr>
        <w:t>。</w:t>
      </w:r>
    </w:p>
    <w:p w14:paraId="742F0D0F">
      <w:pPr>
        <w:spacing w:line="360" w:lineRule="auto"/>
        <w:ind w:firstLine="560" w:firstLineChars="200"/>
        <w:rPr>
          <w:rFonts w:eastAsia="楷体"/>
          <w:color w:val="auto"/>
          <w:sz w:val="28"/>
          <w:szCs w:val="28"/>
          <w:highlight w:val="none"/>
        </w:rPr>
      </w:pPr>
    </w:p>
    <w:p w14:paraId="6C562B56">
      <w:pPr>
        <w:spacing w:line="360" w:lineRule="auto"/>
        <w:ind w:firstLine="560" w:firstLineChars="200"/>
        <w:rPr>
          <w:rFonts w:eastAsia="楷体"/>
          <w:color w:val="auto"/>
          <w:sz w:val="28"/>
          <w:szCs w:val="28"/>
          <w:highlight w:val="none"/>
        </w:rPr>
      </w:pPr>
    </w:p>
    <w:p w14:paraId="6C314249">
      <w:pPr>
        <w:spacing w:line="360" w:lineRule="auto"/>
        <w:ind w:firstLine="560" w:firstLineChars="200"/>
        <w:rPr>
          <w:rFonts w:eastAsia="楷体"/>
          <w:color w:val="auto"/>
          <w:sz w:val="28"/>
          <w:szCs w:val="28"/>
          <w:highlight w:val="none"/>
        </w:rPr>
      </w:pPr>
    </w:p>
    <w:p w14:paraId="12A250A6">
      <w:pPr>
        <w:spacing w:line="360" w:lineRule="auto"/>
        <w:ind w:firstLine="560" w:firstLineChars="200"/>
        <w:rPr>
          <w:rFonts w:eastAsia="楷体"/>
          <w:color w:val="auto"/>
          <w:sz w:val="28"/>
          <w:szCs w:val="28"/>
          <w:highlight w:val="none"/>
        </w:rPr>
      </w:pPr>
    </w:p>
    <w:p w14:paraId="3B48B956">
      <w:pPr>
        <w:spacing w:line="360" w:lineRule="auto"/>
        <w:ind w:firstLine="560" w:firstLineChars="200"/>
        <w:rPr>
          <w:rFonts w:eastAsia="楷体"/>
          <w:color w:val="auto"/>
          <w:sz w:val="28"/>
          <w:szCs w:val="28"/>
          <w:highlight w:val="none"/>
        </w:rPr>
      </w:pPr>
    </w:p>
    <w:p w14:paraId="2EA2207D">
      <w:pPr>
        <w:spacing w:line="360" w:lineRule="auto"/>
        <w:ind w:firstLine="560" w:firstLineChars="200"/>
        <w:rPr>
          <w:rFonts w:eastAsia="楷体"/>
          <w:color w:val="auto"/>
          <w:sz w:val="28"/>
          <w:szCs w:val="28"/>
          <w:highlight w:val="none"/>
        </w:rPr>
      </w:pPr>
    </w:p>
    <w:p w14:paraId="2D40A2A6">
      <w:pPr>
        <w:spacing w:line="360" w:lineRule="auto"/>
        <w:ind w:firstLine="560" w:firstLineChars="200"/>
        <w:rPr>
          <w:rFonts w:eastAsia="楷体"/>
          <w:color w:val="auto"/>
          <w:sz w:val="28"/>
          <w:szCs w:val="28"/>
          <w:highlight w:val="none"/>
        </w:rPr>
      </w:pPr>
    </w:p>
    <w:p w14:paraId="1F14DF54">
      <w:pPr>
        <w:spacing w:line="360" w:lineRule="auto"/>
        <w:ind w:firstLine="560" w:firstLineChars="200"/>
        <w:rPr>
          <w:rFonts w:eastAsia="楷体"/>
          <w:color w:val="auto"/>
          <w:sz w:val="28"/>
          <w:szCs w:val="28"/>
          <w:highlight w:val="none"/>
        </w:rPr>
      </w:pPr>
    </w:p>
    <w:p w14:paraId="080BDF11">
      <w:pPr>
        <w:pStyle w:val="2"/>
        <w:spacing w:beforeLines="100" w:afterLines="100" w:line="360" w:lineRule="auto"/>
        <w:jc w:val="center"/>
        <w:rPr>
          <w:rFonts w:eastAsia="楷体"/>
          <w:color w:val="auto"/>
          <w:kern w:val="0"/>
          <w:sz w:val="32"/>
          <w:szCs w:val="32"/>
          <w:highlight w:val="none"/>
        </w:rPr>
        <w:sectPr>
          <w:footerReference r:id="rId6" w:type="default"/>
          <w:pgSz w:w="11906" w:h="16838"/>
          <w:pgMar w:top="1440" w:right="1803" w:bottom="1440" w:left="1803" w:header="851" w:footer="992" w:gutter="0"/>
          <w:pgNumType w:fmt="numberInDash"/>
          <w:cols w:space="720" w:num="1"/>
          <w:docGrid w:type="lines" w:linePitch="319" w:charSpace="0"/>
        </w:sectPr>
      </w:pPr>
      <w:bookmarkStart w:id="17" w:name="_Toc29389"/>
    </w:p>
    <w:p w14:paraId="2AACE710">
      <w:pPr>
        <w:pStyle w:val="2"/>
        <w:spacing w:beforeLines="100" w:afterLines="100" w:line="360" w:lineRule="auto"/>
        <w:jc w:val="center"/>
        <w:rPr>
          <w:rFonts w:eastAsia="楷体"/>
          <w:color w:val="auto"/>
          <w:kern w:val="0"/>
          <w:sz w:val="32"/>
          <w:szCs w:val="32"/>
          <w:highlight w:val="none"/>
        </w:rPr>
      </w:pPr>
      <w:bookmarkStart w:id="18" w:name="_Toc24588"/>
      <w:r>
        <w:rPr>
          <w:rFonts w:eastAsia="楷体"/>
          <w:color w:val="auto"/>
          <w:kern w:val="0"/>
          <w:sz w:val="32"/>
          <w:szCs w:val="32"/>
          <w:highlight w:val="none"/>
        </w:rPr>
        <w:t>3  水库大坝防洪情况</w:t>
      </w:r>
      <w:bookmarkEnd w:id="17"/>
      <w:bookmarkEnd w:id="18"/>
    </w:p>
    <w:p w14:paraId="7946114A">
      <w:pPr>
        <w:pStyle w:val="3"/>
        <w:spacing w:beforeLines="50" w:afterLines="50" w:line="360" w:lineRule="auto"/>
        <w:contextualSpacing/>
        <w:rPr>
          <w:rFonts w:ascii="Times New Roman" w:hAnsi="Times New Roman" w:eastAsia="楷体"/>
          <w:color w:val="auto"/>
          <w:kern w:val="0"/>
          <w:sz w:val="28"/>
          <w:szCs w:val="28"/>
          <w:highlight w:val="none"/>
        </w:rPr>
      </w:pPr>
      <w:bookmarkStart w:id="19" w:name="_Toc6287"/>
      <w:bookmarkStart w:id="20" w:name="_Toc17682"/>
      <w:r>
        <w:rPr>
          <w:rFonts w:ascii="Times New Roman" w:hAnsi="Times New Roman" w:eastAsia="楷体"/>
          <w:color w:val="auto"/>
          <w:kern w:val="0"/>
          <w:sz w:val="28"/>
          <w:szCs w:val="28"/>
          <w:highlight w:val="none"/>
        </w:rPr>
        <w:t>3.1 水库防洪标准</w:t>
      </w:r>
      <w:bookmarkEnd w:id="19"/>
      <w:bookmarkEnd w:id="20"/>
    </w:p>
    <w:p w14:paraId="7815129A">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根据水利部发布的《水利水电工程等级划分及洪水标准》(SL252-2017)，四清水库为小（2）型水库，属</w:t>
      </w:r>
      <w:r>
        <w:rPr>
          <w:color w:val="auto"/>
          <w:sz w:val="28"/>
          <w:szCs w:val="28"/>
          <w:highlight w:val="none"/>
        </w:rPr>
        <w:t>Ⅴ</w:t>
      </w:r>
      <w:r>
        <w:rPr>
          <w:rFonts w:eastAsia="楷体"/>
          <w:color w:val="auto"/>
          <w:sz w:val="28"/>
          <w:szCs w:val="28"/>
          <w:highlight w:val="none"/>
        </w:rPr>
        <w:t>等工程，主要建筑物为5级，次要建筑物为5级，临时建筑物为5级，设计洪水标准为20年一遇，校核洪水标准为300年一遇。</w:t>
      </w:r>
    </w:p>
    <w:p w14:paraId="5200BCAE">
      <w:pPr>
        <w:pStyle w:val="3"/>
        <w:spacing w:beforeLines="50" w:afterLines="50" w:line="360" w:lineRule="auto"/>
        <w:contextualSpacing/>
        <w:rPr>
          <w:rFonts w:ascii="Times New Roman" w:hAnsi="Times New Roman" w:eastAsia="楷体"/>
          <w:color w:val="auto"/>
          <w:kern w:val="0"/>
          <w:sz w:val="28"/>
          <w:szCs w:val="28"/>
          <w:highlight w:val="none"/>
        </w:rPr>
      </w:pPr>
      <w:bookmarkStart w:id="21" w:name="_Toc25353"/>
      <w:bookmarkStart w:id="22" w:name="_Toc1684"/>
      <w:r>
        <w:rPr>
          <w:rFonts w:ascii="Times New Roman" w:hAnsi="Times New Roman" w:eastAsia="楷体"/>
          <w:color w:val="auto"/>
          <w:kern w:val="0"/>
          <w:sz w:val="28"/>
          <w:szCs w:val="28"/>
          <w:highlight w:val="none"/>
        </w:rPr>
        <w:t>3.2 水库特征曲线</w:t>
      </w:r>
      <w:bookmarkEnd w:id="21"/>
      <w:bookmarkEnd w:id="22"/>
    </w:p>
    <w:p w14:paraId="67DC62A7">
      <w:pPr>
        <w:autoSpaceDE w:val="0"/>
        <w:autoSpaceDN w:val="0"/>
        <w:snapToGrid w:val="0"/>
        <w:spacing w:line="520" w:lineRule="exact"/>
        <w:ind w:firstLine="560" w:firstLineChars="200"/>
        <w:rPr>
          <w:rFonts w:eastAsia="楷体"/>
          <w:color w:val="auto"/>
          <w:sz w:val="28"/>
          <w:szCs w:val="28"/>
          <w:highlight w:val="none"/>
        </w:rPr>
      </w:pPr>
      <w:bookmarkStart w:id="23" w:name="OLE_LINK4"/>
      <w:r>
        <w:rPr>
          <w:rFonts w:eastAsia="楷体"/>
          <w:color w:val="auto"/>
          <w:sz w:val="28"/>
          <w:szCs w:val="28"/>
          <w:highlight w:val="none"/>
        </w:rPr>
        <w:t>（1）四清水库库容曲线</w:t>
      </w:r>
    </w:p>
    <w:p w14:paraId="2D1D12E1">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根据《泉港区前黄镇四清水库除险加固工程初步设计报告（报批稿）》（泉州市水利水电勘测设计院，201</w:t>
      </w:r>
      <w:r>
        <w:rPr>
          <w:rFonts w:hint="eastAsia" w:eastAsia="楷体"/>
          <w:color w:val="auto"/>
          <w:sz w:val="28"/>
          <w:szCs w:val="28"/>
          <w:highlight w:val="none"/>
        </w:rPr>
        <w:t>4</w:t>
      </w:r>
      <w:r>
        <w:rPr>
          <w:rFonts w:eastAsia="楷体"/>
          <w:color w:val="auto"/>
          <w:sz w:val="28"/>
          <w:szCs w:val="28"/>
          <w:highlight w:val="none"/>
        </w:rPr>
        <w:t>年</w:t>
      </w:r>
      <w:r>
        <w:rPr>
          <w:rFonts w:hint="eastAsia" w:eastAsia="楷体"/>
          <w:color w:val="auto"/>
          <w:sz w:val="28"/>
          <w:szCs w:val="28"/>
          <w:highlight w:val="none"/>
        </w:rPr>
        <w:t>9</w:t>
      </w:r>
      <w:r>
        <w:rPr>
          <w:rFonts w:eastAsia="楷体"/>
          <w:color w:val="auto"/>
          <w:sz w:val="28"/>
          <w:szCs w:val="28"/>
          <w:highlight w:val="none"/>
        </w:rPr>
        <w:t>月），四清水库坝址水位库容关系曲线见表3-1。</w:t>
      </w:r>
    </w:p>
    <w:p w14:paraId="07A230B4">
      <w:pPr>
        <w:pStyle w:val="30"/>
        <w:jc w:val="both"/>
        <w:rPr>
          <w:rFonts w:eastAsia="楷体"/>
          <w:b/>
          <w:bCs/>
          <w:color w:val="auto"/>
          <w:sz w:val="28"/>
          <w:szCs w:val="28"/>
          <w:highlight w:val="none"/>
        </w:rPr>
      </w:pPr>
      <w:r>
        <w:rPr>
          <w:rFonts w:eastAsia="楷体"/>
          <w:b/>
          <w:bCs/>
          <w:color w:val="auto"/>
          <w:sz w:val="28"/>
          <w:szCs w:val="28"/>
          <w:highlight w:val="none"/>
        </w:rPr>
        <w:t>表3-1              坝址水位库容关系曲线表</w:t>
      </w:r>
    </w:p>
    <w:tbl>
      <w:tblPr>
        <w:tblStyle w:val="19"/>
        <w:tblW w:w="85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58"/>
        <w:gridCol w:w="4258"/>
      </w:tblGrid>
      <w:tr w14:paraId="4FBD1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525E3DC8">
            <w:pPr>
              <w:pStyle w:val="27"/>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高程(m)</w:t>
            </w:r>
          </w:p>
        </w:tc>
        <w:tc>
          <w:tcPr>
            <w:tcW w:w="4258" w:type="dxa"/>
            <w:tcBorders>
              <w:tl2br w:val="nil"/>
              <w:tr2bl w:val="nil"/>
            </w:tcBorders>
            <w:vAlign w:val="center"/>
          </w:tcPr>
          <w:p w14:paraId="52FA66AD">
            <w:pPr>
              <w:pStyle w:val="27"/>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库容(万m</w:t>
            </w:r>
            <w:r>
              <w:rPr>
                <w:rFonts w:ascii="Times New Roman" w:hAnsi="Times New Roman" w:eastAsia="楷体"/>
                <w:bCs/>
                <w:color w:val="auto"/>
                <w:highlight w:val="none"/>
                <w:vertAlign w:val="superscript"/>
              </w:rPr>
              <w:t>3</w:t>
            </w:r>
            <w:r>
              <w:rPr>
                <w:rFonts w:ascii="Times New Roman" w:hAnsi="Times New Roman" w:eastAsia="楷体"/>
                <w:bCs/>
                <w:color w:val="auto"/>
                <w:highlight w:val="none"/>
              </w:rPr>
              <w:t>)</w:t>
            </w:r>
          </w:p>
        </w:tc>
      </w:tr>
      <w:tr w14:paraId="0A814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47E7BDB8">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17.00</w:t>
            </w:r>
          </w:p>
        </w:tc>
        <w:tc>
          <w:tcPr>
            <w:tcW w:w="4258" w:type="dxa"/>
            <w:tcBorders>
              <w:tl2br w:val="nil"/>
              <w:tr2bl w:val="nil"/>
            </w:tcBorders>
            <w:vAlign w:val="center"/>
          </w:tcPr>
          <w:p w14:paraId="51F6C910">
            <w:pPr>
              <w:pStyle w:val="27"/>
              <w:spacing w:line="460" w:lineRule="exact"/>
              <w:rPr>
                <w:rFonts w:ascii="Times New Roman" w:hAnsi="Times New Roman" w:eastAsia="楷体"/>
                <w:color w:val="auto"/>
                <w:highlight w:val="none"/>
              </w:rPr>
            </w:pPr>
            <w:r>
              <w:rPr>
                <w:rFonts w:ascii="Times New Roman" w:hAnsi="Times New Roman" w:eastAsia="楷体"/>
                <w:color w:val="auto"/>
                <w:highlight w:val="none"/>
              </w:rPr>
              <w:t>0</w:t>
            </w:r>
          </w:p>
        </w:tc>
      </w:tr>
      <w:tr w14:paraId="527B3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363E5CC8">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21.00</w:t>
            </w:r>
          </w:p>
        </w:tc>
        <w:tc>
          <w:tcPr>
            <w:tcW w:w="4258" w:type="dxa"/>
            <w:tcBorders>
              <w:tl2br w:val="nil"/>
              <w:tr2bl w:val="nil"/>
            </w:tcBorders>
            <w:vAlign w:val="center"/>
          </w:tcPr>
          <w:p w14:paraId="73E1D304">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2.12</w:t>
            </w:r>
          </w:p>
        </w:tc>
      </w:tr>
      <w:tr w14:paraId="27018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319DC72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22.00</w:t>
            </w:r>
          </w:p>
        </w:tc>
        <w:tc>
          <w:tcPr>
            <w:tcW w:w="4258" w:type="dxa"/>
            <w:tcBorders>
              <w:tl2br w:val="nil"/>
              <w:tr2bl w:val="nil"/>
            </w:tcBorders>
            <w:vAlign w:val="center"/>
          </w:tcPr>
          <w:p w14:paraId="136F0D8F">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4.16</w:t>
            </w:r>
          </w:p>
        </w:tc>
      </w:tr>
      <w:tr w14:paraId="0044C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4A7E1CB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23.00</w:t>
            </w:r>
          </w:p>
        </w:tc>
        <w:tc>
          <w:tcPr>
            <w:tcW w:w="4258" w:type="dxa"/>
            <w:tcBorders>
              <w:tl2br w:val="nil"/>
              <w:tr2bl w:val="nil"/>
            </w:tcBorders>
            <w:vAlign w:val="center"/>
          </w:tcPr>
          <w:p w14:paraId="3D3417E8">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6.94</w:t>
            </w:r>
          </w:p>
        </w:tc>
      </w:tr>
      <w:tr w14:paraId="1353A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1AB4888B">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24.00</w:t>
            </w:r>
          </w:p>
        </w:tc>
        <w:tc>
          <w:tcPr>
            <w:tcW w:w="4258" w:type="dxa"/>
            <w:tcBorders>
              <w:tl2br w:val="nil"/>
              <w:tr2bl w:val="nil"/>
            </w:tcBorders>
            <w:vAlign w:val="center"/>
          </w:tcPr>
          <w:p w14:paraId="584D572A">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10.21</w:t>
            </w:r>
          </w:p>
        </w:tc>
      </w:tr>
      <w:tr w14:paraId="641F4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165F704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25.00</w:t>
            </w:r>
          </w:p>
        </w:tc>
        <w:tc>
          <w:tcPr>
            <w:tcW w:w="4258" w:type="dxa"/>
            <w:tcBorders>
              <w:tl2br w:val="nil"/>
              <w:tr2bl w:val="nil"/>
            </w:tcBorders>
            <w:vAlign w:val="center"/>
          </w:tcPr>
          <w:p w14:paraId="57CE482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13.84</w:t>
            </w:r>
            <w:r>
              <w:rPr>
                <w:rFonts w:ascii="Times New Roman" w:hAnsi="Times New Roman" w:eastAsia="楷体"/>
                <w:color w:val="auto"/>
                <w:highlight w:val="none"/>
              </w:rPr>
              <w:t xml:space="preserve"> </w:t>
            </w:r>
          </w:p>
        </w:tc>
      </w:tr>
      <w:tr w14:paraId="44B70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7BB4F253">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26.00</w:t>
            </w:r>
          </w:p>
        </w:tc>
        <w:tc>
          <w:tcPr>
            <w:tcW w:w="4258" w:type="dxa"/>
            <w:tcBorders>
              <w:tl2br w:val="nil"/>
              <w:tr2bl w:val="nil"/>
            </w:tcBorders>
            <w:vAlign w:val="center"/>
          </w:tcPr>
          <w:p w14:paraId="4DEE5B0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17.80</w:t>
            </w:r>
          </w:p>
        </w:tc>
      </w:tr>
      <w:tr w14:paraId="547DE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3BF7101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27.00</w:t>
            </w:r>
          </w:p>
        </w:tc>
        <w:tc>
          <w:tcPr>
            <w:tcW w:w="4258" w:type="dxa"/>
            <w:tcBorders>
              <w:tl2br w:val="nil"/>
              <w:tr2bl w:val="nil"/>
            </w:tcBorders>
            <w:vAlign w:val="center"/>
          </w:tcPr>
          <w:p w14:paraId="566E67DA">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22.09</w:t>
            </w:r>
          </w:p>
        </w:tc>
      </w:tr>
      <w:tr w14:paraId="3616F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4B0B66A3">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28.00</w:t>
            </w:r>
          </w:p>
        </w:tc>
        <w:tc>
          <w:tcPr>
            <w:tcW w:w="4258" w:type="dxa"/>
            <w:tcBorders>
              <w:tl2br w:val="nil"/>
              <w:tr2bl w:val="nil"/>
            </w:tcBorders>
            <w:vAlign w:val="center"/>
          </w:tcPr>
          <w:p w14:paraId="60C35B03">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26.74</w:t>
            </w:r>
          </w:p>
        </w:tc>
      </w:tr>
      <w:tr w14:paraId="03801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4E19C32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29.00</w:t>
            </w:r>
          </w:p>
        </w:tc>
        <w:tc>
          <w:tcPr>
            <w:tcW w:w="4258" w:type="dxa"/>
            <w:tcBorders>
              <w:tl2br w:val="nil"/>
              <w:tr2bl w:val="nil"/>
            </w:tcBorders>
            <w:vAlign w:val="center"/>
          </w:tcPr>
          <w:p w14:paraId="4C83FF49">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31.91</w:t>
            </w:r>
          </w:p>
        </w:tc>
      </w:tr>
      <w:tr w14:paraId="04CAF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2A010B93">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30.00</w:t>
            </w:r>
          </w:p>
        </w:tc>
        <w:tc>
          <w:tcPr>
            <w:tcW w:w="4258" w:type="dxa"/>
            <w:tcBorders>
              <w:tl2br w:val="nil"/>
              <w:tr2bl w:val="nil"/>
            </w:tcBorders>
            <w:vAlign w:val="center"/>
          </w:tcPr>
          <w:p w14:paraId="4D9B263A">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37.63</w:t>
            </w:r>
          </w:p>
        </w:tc>
      </w:tr>
    </w:tbl>
    <w:p w14:paraId="134D50E1">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（2）四清水库泄流曲线</w:t>
      </w:r>
    </w:p>
    <w:p w14:paraId="59171566">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根据现场踏勘的四清水库实际情况及1：1000测量图可知，四清水库通过大坝左岸的箱涵进行泄洪，箱涵尺寸为5m×2m（宽×高），底高程28.04m，长132m。根据《水力计算手册》中关于箱涵的泄流量计算方法可知，当水库水位大于28.04m而小于30.44m时，箱涵流态为无压流，箱涵长度为132m，其泄流能力受洞长影响，因此，先求得下游桩号K0+161.49处的水位~流量关系曲线，并由该断面向上游至箱涵起始处（桩号K0+035.1）推算水面曲线，求得起始断面处的水库水位，描绘水位~流量关系曲线，K0+161.49处临界水深的计算公式如下： </w:t>
      </w:r>
    </w:p>
    <w:p w14:paraId="54B667C7">
      <w:pPr>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kern w:val="2"/>
          <w:sz w:val="28"/>
          <w:szCs w:val="28"/>
          <w:highlight w:val="none"/>
          <w:lang w:val="en-US" w:eastAsia="zh-CN" w:bidi="ar-SA"/>
        </w:rPr>
        <w:object>
          <v:shape id="_x0000_i1025" o:spt="75" type="#_x0000_t75" style="height:36pt;width:54pt;" o:ole="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o:OLEObject Type="Embed" ProgID="" ShapeID="_x0000_i1025" DrawAspect="Content" ObjectID="_1468075725" r:id="rId11">
            <o:LockedField>false</o:LockedField>
          </o:OLEObject>
        </w:object>
      </w:r>
    </w:p>
    <w:p w14:paraId="0B1E00E5">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式中：</w:t>
      </w:r>
      <w:r>
        <w:rPr>
          <w:rFonts w:hint="default" w:ascii="Times New Roman" w:hAnsi="Times New Roman" w:eastAsia="楷体" w:cs="Times New Roman"/>
          <w:color w:val="auto"/>
          <w:kern w:val="2"/>
          <w:sz w:val="28"/>
          <w:szCs w:val="28"/>
          <w:highlight w:val="none"/>
          <w:lang w:val="en-US" w:eastAsia="zh-CN" w:bidi="ar-SA"/>
        </w:rPr>
        <w:object>
          <v:shape id="_x0000_i1026" o:spt="75" type="#_x0000_t75" style="height:19pt;width:15pt;" o:ole="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o:OLEObject Type="Embed" ProgID="" ShapeID="_x0000_i1026" DrawAspect="Content" ObjectID="_1468075726" r:id="rId13">
            <o:LockedField>false</o:LockedField>
          </o:OLEObject>
        </w:object>
      </w:r>
      <w:r>
        <w:rPr>
          <w:rFonts w:hint="default" w:ascii="Times New Roman" w:hAnsi="Times New Roman" w:eastAsia="楷体" w:cs="Times New Roman"/>
          <w:color w:val="auto"/>
          <w:sz w:val="28"/>
          <w:szCs w:val="28"/>
          <w:highlight w:val="none"/>
        </w:rPr>
        <w:t>——临界水深对应的过流面积（m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w:t>
      </w:r>
    </w:p>
    <w:p w14:paraId="0B458FA1">
      <w:pPr>
        <w:spacing w:line="520" w:lineRule="exact"/>
        <w:ind w:firstLine="840" w:firstLineChars="3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kern w:val="2"/>
          <w:sz w:val="28"/>
          <w:szCs w:val="28"/>
          <w:highlight w:val="none"/>
          <w:lang w:val="en-US" w:eastAsia="zh-CN" w:bidi="ar-SA"/>
        </w:rPr>
        <w:object>
          <v:shape id="_x0000_i1027" o:spt="75" type="#_x0000_t75" style="height:18pt;width:15pt;" o:ole="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o:OLEObject Type="Embed" ProgID="" ShapeID="_x0000_i1027" DrawAspect="Content" ObjectID="_1468075727" r:id="rId15">
            <o:LockedField>false</o:LockedField>
          </o:OLEObject>
        </w:object>
      </w:r>
      <w:r>
        <w:rPr>
          <w:rFonts w:hint="default" w:ascii="Times New Roman" w:hAnsi="Times New Roman" w:eastAsia="楷体" w:cs="Times New Roman"/>
          <w:color w:val="auto"/>
          <w:sz w:val="28"/>
          <w:szCs w:val="28"/>
          <w:highlight w:val="none"/>
        </w:rPr>
        <w:t>——临界水深对应的水面宽度（m）。</w:t>
      </w:r>
    </w:p>
    <w:p w14:paraId="5BF168DD">
      <w:pPr>
        <w:spacing w:line="520" w:lineRule="exact"/>
        <w:ind w:firstLine="700" w:firstLineChars="25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水面线的计算公式为：</w:t>
      </w:r>
    </w:p>
    <w:p w14:paraId="5391D544">
      <w:pPr>
        <w:ind w:firstLine="1400" w:firstLineChars="5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kern w:val="2"/>
          <w:sz w:val="28"/>
          <w:szCs w:val="28"/>
          <w:highlight w:val="none"/>
          <w:lang w:val="en-US" w:eastAsia="zh-CN" w:bidi="ar-SA"/>
        </w:rPr>
        <w:object>
          <v:shape id="_x0000_i1028" o:spt="75" type="#_x0000_t75" style="height:23.5pt;width:261.6pt;" o:ole="t" fillcolor="#FFFFFF" filled="f" o:preferrelative="t" stroked="f" coordsize="21600,21600">
            <v:path/>
            <v:fill on="f" color2="#FFFFFF" focussize="0,0"/>
            <v:stroke on="f"/>
            <v:imagedata r:id="rId18" gain="65536f" blacklevel="0f" gamma="0" o:title=""/>
            <o:lock v:ext="edit" position="f" selection="f" grouping="f" rotation="f" cropping="f" text="f" aspectratio="t"/>
            <w10:wrap type="none"/>
            <w10:anchorlock/>
          </v:shape>
          <o:OLEObject Type="Embed" ProgID="" ShapeID="_x0000_i1028" DrawAspect="Content" ObjectID="_1468075728" r:id="rId17">
            <o:LockedField>false</o:LockedField>
          </o:OLEObject>
        </w:object>
      </w:r>
    </w:p>
    <w:p w14:paraId="37A8F0EB">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式中： </w:t>
      </w:r>
      <w:r>
        <w:rPr>
          <w:rFonts w:hint="default" w:ascii="Times New Roman" w:hAnsi="Times New Roman" w:eastAsia="楷体" w:cs="Times New Roman"/>
          <w:color w:val="auto"/>
          <w:kern w:val="2"/>
          <w:sz w:val="28"/>
          <w:szCs w:val="28"/>
          <w:highlight w:val="none"/>
          <w:lang w:val="en-US" w:eastAsia="zh-CN" w:bidi="ar-SA"/>
        </w:rPr>
        <w:object>
          <v:shape id="_x0000_i1029" o:spt="75" type="#_x0000_t75" style="height:18pt;width:13.95pt;" o:ole="t" fillcolor="#FFFFFF" filled="f" o:preferrelative="t" stroked="f" coordsize="21600,21600">
            <v:path/>
            <v:fill on="f" color2="#FFFFFF" focussize="0,0"/>
            <v:stroke on="f"/>
            <v:imagedata r:id="rId20" gain="65536f" blacklevel="0f" gamma="0" o:title=""/>
            <o:lock v:ext="edit" position="f" selection="f" grouping="f" rotation="f" cropping="f" text="f" aspectratio="t"/>
            <w10:wrap type="none"/>
            <w10:anchorlock/>
          </v:shape>
          <o:OLEObject Type="Embed" ProgID="" ShapeID="_x0000_i1029" DrawAspect="Content" ObjectID="_1468075729" r:id="rId19">
            <o:LockedField>false</o:LockedField>
          </o:OLEObject>
        </w:object>
      </w:r>
      <w:r>
        <w:rPr>
          <w:rFonts w:hint="default" w:ascii="Times New Roman" w:hAnsi="Times New Roman" w:eastAsia="楷体" w:cs="Times New Roman"/>
          <w:color w:val="auto"/>
          <w:sz w:val="28"/>
          <w:szCs w:val="28"/>
          <w:highlight w:val="none"/>
        </w:rPr>
        <w:t>、</w:t>
      </w:r>
      <w:r>
        <w:rPr>
          <w:rFonts w:hint="default" w:ascii="Times New Roman" w:hAnsi="Times New Roman" w:eastAsia="楷体" w:cs="Times New Roman"/>
          <w:color w:val="auto"/>
          <w:kern w:val="2"/>
          <w:sz w:val="28"/>
          <w:szCs w:val="28"/>
          <w:highlight w:val="none"/>
          <w:lang w:val="en-US" w:eastAsia="zh-CN" w:bidi="ar-SA"/>
        </w:rPr>
        <w:object>
          <v:shape id="_x0000_i1030" o:spt="75" type="#_x0000_t75" style="height:18pt;width:15pt;" o:ole="t" fillcolor="#FFFFFF" filled="f" o:preferrelative="t" stroked="f" coordsize="21600,21600">
            <v:path/>
            <v:fill on="f" color2="#FFFFFF" focussize="0,0"/>
            <v:stroke on="f"/>
            <v:imagedata r:id="rId22" gain="65536f" blacklevel="0f" gamma="0" o:title=""/>
            <o:lock v:ext="edit" position="f" selection="f" grouping="f" rotation="f" cropping="f" text="f" aspectratio="t"/>
            <w10:wrap type="none"/>
            <w10:anchorlock/>
          </v:shape>
          <o:OLEObject Type="Embed" ProgID="" ShapeID="_x0000_i1030" DrawAspect="Content" ObjectID="_1468075730" r:id="rId21">
            <o:LockedField>false</o:LockedField>
          </o:OLEObject>
        </w:object>
      </w:r>
      <w:r>
        <w:rPr>
          <w:rFonts w:hint="default" w:ascii="Times New Roman" w:hAnsi="Times New Roman" w:eastAsia="楷体" w:cs="Times New Roman"/>
          <w:color w:val="auto"/>
          <w:sz w:val="28"/>
          <w:szCs w:val="28"/>
          <w:highlight w:val="none"/>
        </w:rPr>
        <w:t>——上、下断面的水位（m）；</w:t>
      </w:r>
    </w:p>
    <w:p w14:paraId="749FD44A">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kern w:val="2"/>
          <w:sz w:val="28"/>
          <w:szCs w:val="28"/>
          <w:highlight w:val="none"/>
          <w:lang w:val="en-US" w:eastAsia="zh-CN" w:bidi="ar-SA"/>
        </w:rPr>
        <w:object>
          <v:shape id="_x0000_i1031" o:spt="75" type="#_x0000_t75" style="height:13.95pt;width:6.95pt;" o:ole="t" fillcolor="#FFFFFF" filled="f" o:preferrelative="t" stroked="f" coordsize="21600,21600">
            <v:path/>
            <v:fill on="f" color2="#FFFFFF" focussize="0,0"/>
            <v:stroke on="f"/>
            <v:imagedata r:id="rId24" gain="65536f" blacklevel="0f" gamma="0" o:title=""/>
            <o:lock v:ext="edit" position="f" selection="f" grouping="f" rotation="f" cropping="f" text="f" aspectratio="t"/>
            <w10:wrap type="none"/>
            <w10:anchorlock/>
          </v:shape>
          <o:OLEObject Type="Embed" ProgID="" ShapeID="_x0000_i1031" DrawAspect="Content" ObjectID="_1468075731" r:id="rId23">
            <o:LockedField>false</o:LockedField>
          </o:OLEObject>
        </w:object>
      </w:r>
      <w:r>
        <w:rPr>
          <w:rFonts w:hint="default" w:ascii="Times New Roman" w:hAnsi="Times New Roman" w:eastAsia="楷体" w:cs="Times New Roman"/>
          <w:color w:val="auto"/>
          <w:sz w:val="28"/>
          <w:szCs w:val="28"/>
          <w:highlight w:val="none"/>
        </w:rPr>
        <w:t xml:space="preserve">  —— 上、下断面之间的河段长度（m）；</w:t>
      </w:r>
    </w:p>
    <w:p w14:paraId="378D9A02">
      <w:pPr>
        <w:spacing w:line="520" w:lineRule="exact"/>
        <w:ind w:firstLine="1120" w:firstLineChars="4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kern w:val="2"/>
          <w:sz w:val="28"/>
          <w:szCs w:val="28"/>
          <w:highlight w:val="none"/>
          <w:lang w:val="en-US" w:eastAsia="zh-CN" w:bidi="ar-SA"/>
        </w:rPr>
        <w:object>
          <v:shape id="_x0000_i1032" o:spt="75" type="#_x0000_t75" style="height:18pt;width:31pt;" o:ole="t" fillcolor="#FFFFFF" filled="f" o:preferrelative="t" stroked="f" coordsize="21600,21600">
            <v:path/>
            <v:fill on="f" color2="#FFFFFF" focussize="0,0"/>
            <v:stroke on="f"/>
            <v:imagedata r:id="rId26" gain="65536f" blacklevel="0f" gamma="0" o:title=""/>
            <o:lock v:ext="edit" position="f" selection="f" grouping="f" rotation="f" cropping="f" text="f" aspectratio="t"/>
            <w10:wrap type="none"/>
            <w10:anchorlock/>
          </v:shape>
          <o:OLEObject Type="Embed" ProgID="" ShapeID="_x0000_i1032" DrawAspect="Content" ObjectID="_1468075732" r:id="rId25">
            <o:LockedField>false</o:LockedField>
          </o:OLEObject>
        </w:object>
      </w:r>
      <w:r>
        <w:rPr>
          <w:rFonts w:hint="default" w:ascii="Times New Roman" w:hAnsi="Times New Roman" w:eastAsia="楷体" w:cs="Times New Roman"/>
          <w:color w:val="auto"/>
          <w:sz w:val="28"/>
          <w:szCs w:val="28"/>
          <w:highlight w:val="none"/>
        </w:rPr>
        <w:t xml:space="preserve"> —— 上、下断面的水流平均速度；</w:t>
      </w:r>
    </w:p>
    <w:p w14:paraId="3247806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kern w:val="2"/>
          <w:sz w:val="28"/>
          <w:szCs w:val="28"/>
          <w:highlight w:val="none"/>
          <w:lang w:val="en-US" w:eastAsia="zh-CN" w:bidi="ar-SA"/>
        </w:rPr>
        <w:object>
          <v:shape id="_x0000_i1033" o:spt="75" type="#_x0000_t75" style="height:18pt;width:35pt;" o:ole="t" fillcolor="#FFFFFF" filled="f" o:preferrelative="t" stroked="f" coordsize="21600,21600">
            <v:path/>
            <v:fill on="f" color2="#FFFFFF" focussize="0,0"/>
            <v:stroke on="f"/>
            <v:imagedata r:id="rId28" gain="65536f" blacklevel="0f" gamma="0" o:title=""/>
            <o:lock v:ext="edit" position="f" selection="f" grouping="f" rotation="f" cropping="f" text="f" aspectratio="t"/>
            <w10:wrap type="none"/>
            <w10:anchorlock/>
          </v:shape>
          <o:OLEObject Type="Embed" ProgID="" ShapeID="_x0000_i1033" DrawAspect="Content" ObjectID="_1468075733" r:id="rId27">
            <o:LockedField>false</o:LockedField>
          </o:OLEObject>
        </w:object>
      </w:r>
      <w:r>
        <w:rPr>
          <w:rFonts w:hint="default" w:ascii="Times New Roman" w:hAnsi="Times New Roman" w:eastAsia="楷体" w:cs="Times New Roman"/>
          <w:color w:val="auto"/>
          <w:sz w:val="28"/>
          <w:szCs w:val="28"/>
          <w:highlight w:val="none"/>
        </w:rPr>
        <w:t xml:space="preserve"> —— 上、下断面的水力半径；</w:t>
      </w:r>
    </w:p>
    <w:p w14:paraId="7C1DDE6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kern w:val="2"/>
          <w:sz w:val="28"/>
          <w:szCs w:val="28"/>
          <w:highlight w:val="none"/>
          <w:lang w:val="en-US" w:eastAsia="zh-CN" w:bidi="ar-SA"/>
        </w:rPr>
        <w:object>
          <v:shape id="_x0000_i1034" o:spt="75" type="#_x0000_t75" style="height:16pt;width:10pt;" o:ole="t" fillcolor="#FFFFFF" filled="f" o:preferrelative="t" stroked="f" coordsize="21600,21600">
            <v:path/>
            <v:fill on="f" color2="#FFFFFF" focussize="0,0"/>
            <v:stroke on="f"/>
            <v:imagedata r:id="rId30" gain="65536f" blacklevel="0f" gamma="0" o:title=""/>
            <o:lock v:ext="edit" position="f" selection="f" grouping="f" rotation="f" cropping="f" text="f" aspectratio="t"/>
            <w10:wrap type="none"/>
            <w10:anchorlock/>
          </v:shape>
          <o:OLEObject Type="Embed" ProgID="" ShapeID="_x0000_i1034" DrawAspect="Content" ObjectID="_1468075734" r:id="rId29">
            <o:LockedField>false</o:LockedField>
          </o:OLEObject>
        </w:object>
      </w:r>
      <w:r>
        <w:rPr>
          <w:rFonts w:hint="default" w:ascii="Times New Roman" w:hAnsi="Times New Roman" w:eastAsia="楷体" w:cs="Times New Roman"/>
          <w:color w:val="auto"/>
          <w:sz w:val="28"/>
          <w:szCs w:val="28"/>
          <w:highlight w:val="none"/>
        </w:rPr>
        <w:t xml:space="preserve"> ——扩散、收缩的水头损失系数；</w:t>
      </w:r>
    </w:p>
    <w:p w14:paraId="7FF77C66">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kern w:val="2"/>
          <w:sz w:val="28"/>
          <w:szCs w:val="28"/>
          <w:highlight w:val="none"/>
          <w:lang w:val="en-US" w:eastAsia="zh-CN" w:bidi="ar-SA"/>
        </w:rPr>
        <w:object>
          <v:shape id="_x0000_i1035" o:spt="75" type="#_x0000_t75" style="height:13pt;width:11pt;" o:ole="t" fillcolor="#FFFFFF" filled="f" o:preferrelative="t" stroked="f" coordsize="21600,21600">
            <v:path/>
            <v:fill on="f" color2="#FFFFFF" focussize="0,0"/>
            <v:stroke on="f"/>
            <v:imagedata r:id="rId32" gain="65536f" blacklevel="0f" gamma="0" o:title=""/>
            <o:lock v:ext="edit" position="f" selection="f" grouping="f" rotation="f" cropping="f" text="f" aspectratio="t"/>
            <w10:wrap type="none"/>
            <w10:anchorlock/>
          </v:shape>
          <o:OLEObject Type="Embed" ProgID="" ShapeID="_x0000_i1035" DrawAspect="Content" ObjectID="_1468075735" r:id="rId31">
            <o:LockedField>false</o:LockedField>
          </o:OLEObject>
        </w:object>
      </w:r>
      <w:r>
        <w:rPr>
          <w:rFonts w:hint="default" w:ascii="Times New Roman" w:hAnsi="Times New Roman" w:eastAsia="楷体" w:cs="Times New Roman"/>
          <w:color w:val="auto"/>
          <w:sz w:val="28"/>
          <w:szCs w:val="28"/>
          <w:highlight w:val="none"/>
        </w:rPr>
        <w:t xml:space="preserve"> ——  重力加速度。</w:t>
      </w:r>
    </w:p>
    <w:p w14:paraId="703383CA">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根据以上几个公式计算求得四清水库水位～泄流关系曲线如下表</w:t>
      </w:r>
      <w:r>
        <w:rPr>
          <w:rFonts w:hint="eastAsia" w:ascii="Times New Roman" w:hAnsi="Times New Roman" w:eastAsia="楷体" w:cs="Times New Roman"/>
          <w:color w:val="auto"/>
          <w:sz w:val="28"/>
          <w:szCs w:val="28"/>
          <w:highlight w:val="none"/>
          <w:lang w:val="en-US" w:eastAsia="zh-CN"/>
        </w:rPr>
        <w:t>3</w:t>
      </w:r>
      <w:r>
        <w:rPr>
          <w:rFonts w:hint="default"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所示：</w:t>
      </w:r>
    </w:p>
    <w:p w14:paraId="262EF556">
      <w:pPr>
        <w:spacing w:line="520" w:lineRule="exact"/>
        <w:ind w:firstLine="560" w:firstLineChars="200"/>
        <w:rPr>
          <w:rFonts w:hint="default" w:ascii="Times New Roman" w:hAnsi="Times New Roman" w:eastAsia="楷体" w:cs="Times New Roman"/>
          <w:color w:val="auto"/>
          <w:sz w:val="28"/>
          <w:szCs w:val="28"/>
          <w:highlight w:val="none"/>
        </w:rPr>
      </w:pPr>
    </w:p>
    <w:p w14:paraId="5EB71F4C">
      <w:pPr>
        <w:spacing w:line="520" w:lineRule="exact"/>
        <w:ind w:firstLine="560" w:firstLineChars="200"/>
        <w:rPr>
          <w:rFonts w:hint="default" w:ascii="Times New Roman" w:hAnsi="Times New Roman" w:eastAsia="楷体" w:cs="Times New Roman"/>
          <w:color w:val="auto"/>
          <w:sz w:val="28"/>
          <w:szCs w:val="28"/>
          <w:highlight w:val="none"/>
        </w:rPr>
      </w:pPr>
    </w:p>
    <w:p w14:paraId="13E024A2">
      <w:pPr>
        <w:spacing w:line="520" w:lineRule="exact"/>
        <w:ind w:firstLine="560" w:firstLineChars="200"/>
        <w:rPr>
          <w:rFonts w:hint="default" w:ascii="Times New Roman" w:hAnsi="Times New Roman" w:eastAsia="楷体" w:cs="Times New Roman"/>
          <w:color w:val="auto"/>
          <w:sz w:val="28"/>
          <w:szCs w:val="28"/>
          <w:highlight w:val="none"/>
        </w:rPr>
      </w:pPr>
    </w:p>
    <w:p w14:paraId="73AFBBF8">
      <w:pPr>
        <w:spacing w:beforeLines="50"/>
        <w:rPr>
          <w:rFonts w:eastAsia="楷体"/>
          <w:b/>
          <w:color w:val="auto"/>
          <w:sz w:val="28"/>
          <w:szCs w:val="28"/>
          <w:highlight w:val="none"/>
        </w:rPr>
      </w:pPr>
      <w:r>
        <w:rPr>
          <w:rFonts w:eastAsia="楷体"/>
          <w:b/>
          <w:color w:val="auto"/>
          <w:sz w:val="28"/>
          <w:szCs w:val="28"/>
          <w:highlight w:val="none"/>
        </w:rPr>
        <w:t>表3-2            四清水库水位～下泄流量关系曲线</w:t>
      </w:r>
    </w:p>
    <w:bookmarkEnd w:id="23"/>
    <w:tbl>
      <w:tblPr>
        <w:tblStyle w:val="19"/>
        <w:tblW w:w="833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2527"/>
        <w:gridCol w:w="1071"/>
        <w:gridCol w:w="1183"/>
        <w:gridCol w:w="1183"/>
        <w:gridCol w:w="1183"/>
        <w:gridCol w:w="1183"/>
      </w:tblGrid>
      <w:tr w14:paraId="4320C1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527" w:type="dxa"/>
            <w:vAlign w:val="center"/>
          </w:tcPr>
          <w:p w14:paraId="7D812A37">
            <w:pPr>
              <w:widowControl/>
              <w:jc w:val="center"/>
              <w:textAlignment w:val="center"/>
              <w:rPr>
                <w:rFonts w:eastAsia="楷体"/>
                <w:color w:val="auto"/>
                <w:sz w:val="24"/>
                <w:highlight w:val="none"/>
              </w:rPr>
            </w:pPr>
            <w:bookmarkStart w:id="24" w:name="_Toc30807"/>
            <w:r>
              <w:rPr>
                <w:rFonts w:eastAsia="楷体"/>
                <w:color w:val="auto"/>
                <w:kern w:val="0"/>
                <w:sz w:val="24"/>
                <w:highlight w:val="none"/>
              </w:rPr>
              <w:t>水库水位(m)</w:t>
            </w:r>
          </w:p>
        </w:tc>
        <w:tc>
          <w:tcPr>
            <w:tcW w:w="1071" w:type="dxa"/>
            <w:vAlign w:val="center"/>
          </w:tcPr>
          <w:p w14:paraId="1A202DC0">
            <w:pPr>
              <w:widowControl/>
              <w:jc w:val="center"/>
              <w:textAlignment w:val="center"/>
              <w:rPr>
                <w:rFonts w:eastAsia="楷体"/>
                <w:color w:val="auto"/>
                <w:sz w:val="24"/>
                <w:highlight w:val="none"/>
              </w:rPr>
            </w:pPr>
            <w:r>
              <w:rPr>
                <w:rFonts w:hint="eastAsia" w:eastAsia="楷体"/>
                <w:color w:val="auto"/>
                <w:kern w:val="0"/>
                <w:sz w:val="24"/>
                <w:highlight w:val="none"/>
              </w:rPr>
              <w:t>28.04</w:t>
            </w:r>
          </w:p>
        </w:tc>
        <w:tc>
          <w:tcPr>
            <w:tcW w:w="1183" w:type="dxa"/>
            <w:vAlign w:val="center"/>
          </w:tcPr>
          <w:p w14:paraId="2947EAEA">
            <w:pPr>
              <w:widowControl/>
              <w:jc w:val="center"/>
              <w:textAlignment w:val="center"/>
              <w:rPr>
                <w:rFonts w:eastAsia="楷体"/>
                <w:color w:val="auto"/>
                <w:sz w:val="24"/>
                <w:highlight w:val="none"/>
              </w:rPr>
            </w:pPr>
            <w:r>
              <w:rPr>
                <w:rFonts w:hint="eastAsia" w:eastAsia="楷体"/>
                <w:color w:val="auto"/>
                <w:kern w:val="0"/>
                <w:sz w:val="24"/>
                <w:highlight w:val="none"/>
              </w:rPr>
              <w:t>28.16</w:t>
            </w:r>
          </w:p>
        </w:tc>
        <w:tc>
          <w:tcPr>
            <w:tcW w:w="1183" w:type="dxa"/>
            <w:vAlign w:val="center"/>
          </w:tcPr>
          <w:p w14:paraId="30F42A09">
            <w:pPr>
              <w:widowControl/>
              <w:jc w:val="center"/>
              <w:textAlignment w:val="center"/>
              <w:rPr>
                <w:rFonts w:eastAsia="楷体"/>
                <w:color w:val="auto"/>
                <w:sz w:val="24"/>
                <w:highlight w:val="none"/>
              </w:rPr>
            </w:pPr>
            <w:r>
              <w:rPr>
                <w:rFonts w:hint="eastAsia" w:eastAsia="楷体"/>
                <w:color w:val="auto"/>
                <w:kern w:val="0"/>
                <w:sz w:val="24"/>
                <w:highlight w:val="none"/>
              </w:rPr>
              <w:t>28.20</w:t>
            </w:r>
          </w:p>
        </w:tc>
        <w:tc>
          <w:tcPr>
            <w:tcW w:w="1183" w:type="dxa"/>
            <w:vAlign w:val="center"/>
          </w:tcPr>
          <w:p w14:paraId="174B310B">
            <w:pPr>
              <w:widowControl/>
              <w:jc w:val="center"/>
              <w:textAlignment w:val="center"/>
              <w:rPr>
                <w:rFonts w:eastAsia="楷体"/>
                <w:color w:val="auto"/>
                <w:sz w:val="24"/>
                <w:highlight w:val="none"/>
              </w:rPr>
            </w:pPr>
            <w:r>
              <w:rPr>
                <w:rFonts w:hint="eastAsia" w:eastAsia="楷体"/>
                <w:color w:val="auto"/>
                <w:kern w:val="0"/>
                <w:sz w:val="24"/>
                <w:highlight w:val="none"/>
              </w:rPr>
              <w:t>28.30</w:t>
            </w:r>
          </w:p>
        </w:tc>
        <w:tc>
          <w:tcPr>
            <w:tcW w:w="1183" w:type="dxa"/>
            <w:vAlign w:val="center"/>
          </w:tcPr>
          <w:p w14:paraId="3ECCD2F1">
            <w:pPr>
              <w:widowControl/>
              <w:jc w:val="center"/>
              <w:textAlignment w:val="center"/>
              <w:rPr>
                <w:rFonts w:eastAsia="楷体"/>
                <w:color w:val="auto"/>
                <w:sz w:val="24"/>
                <w:highlight w:val="none"/>
              </w:rPr>
            </w:pPr>
            <w:r>
              <w:rPr>
                <w:rFonts w:hint="eastAsia" w:eastAsia="楷体"/>
                <w:color w:val="auto"/>
                <w:kern w:val="0"/>
                <w:sz w:val="24"/>
                <w:highlight w:val="none"/>
              </w:rPr>
              <w:t>28.37</w:t>
            </w:r>
          </w:p>
        </w:tc>
      </w:tr>
      <w:tr w14:paraId="25DBFA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527" w:type="dxa"/>
            <w:vAlign w:val="center"/>
          </w:tcPr>
          <w:p w14:paraId="1C418BAE">
            <w:pPr>
              <w:widowControl/>
              <w:jc w:val="center"/>
              <w:textAlignment w:val="center"/>
              <w:rPr>
                <w:rFonts w:eastAsia="楷体"/>
                <w:color w:val="auto"/>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071" w:type="dxa"/>
            <w:vAlign w:val="center"/>
          </w:tcPr>
          <w:p w14:paraId="4DCD1997">
            <w:pPr>
              <w:widowControl/>
              <w:jc w:val="center"/>
              <w:textAlignment w:val="center"/>
              <w:rPr>
                <w:rFonts w:eastAsia="楷体"/>
                <w:color w:val="auto"/>
                <w:sz w:val="24"/>
                <w:highlight w:val="none"/>
              </w:rPr>
            </w:pPr>
            <w:r>
              <w:rPr>
                <w:rFonts w:eastAsia="楷体"/>
                <w:color w:val="auto"/>
                <w:kern w:val="0"/>
                <w:sz w:val="24"/>
                <w:highlight w:val="none"/>
              </w:rPr>
              <w:t>0</w:t>
            </w:r>
          </w:p>
        </w:tc>
        <w:tc>
          <w:tcPr>
            <w:tcW w:w="1183" w:type="dxa"/>
            <w:vAlign w:val="center"/>
          </w:tcPr>
          <w:p w14:paraId="2E8CC6E6">
            <w:pPr>
              <w:widowControl/>
              <w:jc w:val="center"/>
              <w:textAlignment w:val="center"/>
              <w:rPr>
                <w:rFonts w:eastAsia="楷体"/>
                <w:color w:val="auto"/>
                <w:sz w:val="24"/>
                <w:highlight w:val="none"/>
              </w:rPr>
            </w:pPr>
            <w:r>
              <w:rPr>
                <w:rFonts w:hint="eastAsia" w:eastAsia="楷体"/>
                <w:color w:val="auto"/>
                <w:kern w:val="0"/>
                <w:sz w:val="24"/>
                <w:highlight w:val="none"/>
              </w:rPr>
              <w:t>0.5</w:t>
            </w:r>
          </w:p>
        </w:tc>
        <w:tc>
          <w:tcPr>
            <w:tcW w:w="1183" w:type="dxa"/>
            <w:vAlign w:val="center"/>
          </w:tcPr>
          <w:p w14:paraId="133606EE">
            <w:pPr>
              <w:widowControl/>
              <w:jc w:val="center"/>
              <w:textAlignment w:val="center"/>
              <w:rPr>
                <w:rFonts w:eastAsia="楷体"/>
                <w:color w:val="auto"/>
                <w:sz w:val="24"/>
                <w:highlight w:val="none"/>
              </w:rPr>
            </w:pPr>
            <w:r>
              <w:rPr>
                <w:rFonts w:hint="eastAsia" w:eastAsia="楷体"/>
                <w:color w:val="auto"/>
                <w:kern w:val="0"/>
                <w:sz w:val="24"/>
                <w:highlight w:val="none"/>
              </w:rPr>
              <w:t>1</w:t>
            </w:r>
          </w:p>
        </w:tc>
        <w:tc>
          <w:tcPr>
            <w:tcW w:w="1183" w:type="dxa"/>
            <w:vAlign w:val="center"/>
          </w:tcPr>
          <w:p w14:paraId="5B4346CC">
            <w:pPr>
              <w:widowControl/>
              <w:jc w:val="center"/>
              <w:textAlignment w:val="center"/>
              <w:rPr>
                <w:rFonts w:eastAsia="楷体"/>
                <w:color w:val="auto"/>
                <w:sz w:val="24"/>
                <w:highlight w:val="none"/>
              </w:rPr>
            </w:pPr>
            <w:r>
              <w:rPr>
                <w:rFonts w:hint="eastAsia" w:eastAsia="楷体"/>
                <w:color w:val="auto"/>
                <w:kern w:val="0"/>
                <w:sz w:val="24"/>
                <w:highlight w:val="none"/>
              </w:rPr>
              <w:t>2</w:t>
            </w:r>
          </w:p>
        </w:tc>
        <w:tc>
          <w:tcPr>
            <w:tcW w:w="1183" w:type="dxa"/>
            <w:vAlign w:val="center"/>
          </w:tcPr>
          <w:p w14:paraId="6B8078CA">
            <w:pPr>
              <w:widowControl/>
              <w:jc w:val="center"/>
              <w:textAlignment w:val="center"/>
              <w:rPr>
                <w:rFonts w:eastAsia="楷体"/>
                <w:color w:val="auto"/>
                <w:sz w:val="24"/>
                <w:highlight w:val="none"/>
              </w:rPr>
            </w:pPr>
            <w:r>
              <w:rPr>
                <w:rFonts w:hint="eastAsia" w:eastAsia="楷体"/>
                <w:color w:val="auto"/>
                <w:kern w:val="0"/>
                <w:sz w:val="24"/>
                <w:highlight w:val="none"/>
              </w:rPr>
              <w:t>3</w:t>
            </w:r>
          </w:p>
        </w:tc>
      </w:tr>
      <w:tr w14:paraId="5F3ADF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527" w:type="dxa"/>
            <w:vAlign w:val="center"/>
          </w:tcPr>
          <w:p w14:paraId="596FD6A2">
            <w:pPr>
              <w:widowControl/>
              <w:jc w:val="center"/>
              <w:textAlignment w:val="center"/>
              <w:rPr>
                <w:rFonts w:eastAsia="楷体"/>
                <w:color w:val="auto"/>
                <w:sz w:val="24"/>
                <w:highlight w:val="none"/>
              </w:rPr>
            </w:pPr>
            <w:r>
              <w:rPr>
                <w:rFonts w:eastAsia="楷体"/>
                <w:color w:val="auto"/>
                <w:kern w:val="0"/>
                <w:sz w:val="24"/>
                <w:highlight w:val="none"/>
              </w:rPr>
              <w:t>水库水位(m)</w:t>
            </w:r>
          </w:p>
        </w:tc>
        <w:tc>
          <w:tcPr>
            <w:tcW w:w="1071" w:type="dxa"/>
            <w:vAlign w:val="center"/>
          </w:tcPr>
          <w:p w14:paraId="2B7A3067">
            <w:pPr>
              <w:widowControl/>
              <w:jc w:val="center"/>
              <w:textAlignment w:val="center"/>
              <w:rPr>
                <w:rFonts w:eastAsia="楷体"/>
                <w:color w:val="auto"/>
                <w:sz w:val="24"/>
                <w:highlight w:val="none"/>
              </w:rPr>
            </w:pPr>
            <w:r>
              <w:rPr>
                <w:rFonts w:hint="eastAsia" w:eastAsia="楷体"/>
                <w:color w:val="auto"/>
                <w:kern w:val="0"/>
                <w:sz w:val="24"/>
                <w:highlight w:val="none"/>
              </w:rPr>
              <w:t>28.51</w:t>
            </w:r>
          </w:p>
        </w:tc>
        <w:tc>
          <w:tcPr>
            <w:tcW w:w="1183" w:type="dxa"/>
            <w:vAlign w:val="center"/>
          </w:tcPr>
          <w:p w14:paraId="437DB523">
            <w:pPr>
              <w:widowControl/>
              <w:jc w:val="center"/>
              <w:textAlignment w:val="center"/>
              <w:rPr>
                <w:rFonts w:eastAsia="楷体"/>
                <w:color w:val="auto"/>
                <w:sz w:val="24"/>
                <w:highlight w:val="none"/>
              </w:rPr>
            </w:pPr>
            <w:r>
              <w:rPr>
                <w:rFonts w:hint="eastAsia" w:eastAsia="楷体"/>
                <w:color w:val="auto"/>
                <w:kern w:val="0"/>
                <w:sz w:val="24"/>
                <w:highlight w:val="none"/>
              </w:rPr>
              <w:t>28.62</w:t>
            </w:r>
          </w:p>
        </w:tc>
        <w:tc>
          <w:tcPr>
            <w:tcW w:w="1183" w:type="dxa"/>
            <w:vAlign w:val="center"/>
          </w:tcPr>
          <w:p w14:paraId="74D6D5F0">
            <w:pPr>
              <w:widowControl/>
              <w:jc w:val="center"/>
              <w:textAlignment w:val="center"/>
              <w:rPr>
                <w:rFonts w:eastAsia="楷体"/>
                <w:color w:val="auto"/>
                <w:sz w:val="24"/>
                <w:highlight w:val="none"/>
              </w:rPr>
            </w:pPr>
            <w:r>
              <w:rPr>
                <w:rFonts w:hint="eastAsia" w:eastAsia="楷体"/>
                <w:color w:val="auto"/>
                <w:kern w:val="0"/>
                <w:sz w:val="24"/>
                <w:highlight w:val="none"/>
              </w:rPr>
              <w:t>28.78</w:t>
            </w:r>
          </w:p>
        </w:tc>
        <w:tc>
          <w:tcPr>
            <w:tcW w:w="1183" w:type="dxa"/>
            <w:vAlign w:val="center"/>
          </w:tcPr>
          <w:p w14:paraId="0763D6E9">
            <w:pPr>
              <w:widowControl/>
              <w:jc w:val="center"/>
              <w:textAlignment w:val="center"/>
              <w:rPr>
                <w:rFonts w:eastAsia="楷体"/>
                <w:color w:val="auto"/>
                <w:sz w:val="24"/>
                <w:highlight w:val="none"/>
              </w:rPr>
            </w:pPr>
            <w:r>
              <w:rPr>
                <w:rFonts w:hint="eastAsia" w:eastAsia="楷体"/>
                <w:color w:val="auto"/>
                <w:kern w:val="0"/>
                <w:sz w:val="24"/>
                <w:highlight w:val="none"/>
              </w:rPr>
              <w:t>29.01</w:t>
            </w:r>
          </w:p>
        </w:tc>
        <w:tc>
          <w:tcPr>
            <w:tcW w:w="1183" w:type="dxa"/>
            <w:vAlign w:val="center"/>
          </w:tcPr>
          <w:p w14:paraId="3C99CFD1">
            <w:pPr>
              <w:widowControl/>
              <w:jc w:val="center"/>
              <w:textAlignment w:val="center"/>
              <w:rPr>
                <w:rFonts w:eastAsia="楷体"/>
                <w:color w:val="auto"/>
                <w:sz w:val="24"/>
                <w:highlight w:val="none"/>
              </w:rPr>
            </w:pPr>
          </w:p>
        </w:tc>
      </w:tr>
      <w:tr w14:paraId="44BDB8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527" w:type="dxa"/>
            <w:vAlign w:val="center"/>
          </w:tcPr>
          <w:p w14:paraId="0FEB848C">
            <w:pPr>
              <w:widowControl/>
              <w:jc w:val="center"/>
              <w:textAlignment w:val="center"/>
              <w:rPr>
                <w:rFonts w:eastAsia="楷体"/>
                <w:color w:val="auto"/>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071" w:type="dxa"/>
            <w:vAlign w:val="center"/>
          </w:tcPr>
          <w:p w14:paraId="49B1FF84">
            <w:pPr>
              <w:widowControl/>
              <w:jc w:val="center"/>
              <w:textAlignment w:val="center"/>
              <w:rPr>
                <w:rFonts w:eastAsia="楷体"/>
                <w:color w:val="auto"/>
                <w:sz w:val="24"/>
                <w:highlight w:val="none"/>
              </w:rPr>
            </w:pPr>
            <w:r>
              <w:rPr>
                <w:rFonts w:hint="eastAsia" w:eastAsia="楷体"/>
                <w:color w:val="auto"/>
                <w:kern w:val="0"/>
                <w:sz w:val="24"/>
                <w:highlight w:val="none"/>
              </w:rPr>
              <w:t>5</w:t>
            </w:r>
          </w:p>
        </w:tc>
        <w:tc>
          <w:tcPr>
            <w:tcW w:w="1183" w:type="dxa"/>
            <w:vAlign w:val="center"/>
          </w:tcPr>
          <w:p w14:paraId="32F2367D">
            <w:pPr>
              <w:widowControl/>
              <w:jc w:val="center"/>
              <w:textAlignment w:val="center"/>
              <w:rPr>
                <w:rFonts w:eastAsia="楷体"/>
                <w:color w:val="auto"/>
                <w:sz w:val="24"/>
                <w:highlight w:val="none"/>
              </w:rPr>
            </w:pPr>
            <w:r>
              <w:rPr>
                <w:rFonts w:hint="eastAsia" w:eastAsia="楷体"/>
                <w:color w:val="auto"/>
                <w:kern w:val="0"/>
                <w:sz w:val="24"/>
                <w:highlight w:val="none"/>
              </w:rPr>
              <w:t>7</w:t>
            </w:r>
          </w:p>
        </w:tc>
        <w:tc>
          <w:tcPr>
            <w:tcW w:w="1183" w:type="dxa"/>
            <w:vAlign w:val="center"/>
          </w:tcPr>
          <w:p w14:paraId="6DACC143">
            <w:pPr>
              <w:widowControl/>
              <w:jc w:val="center"/>
              <w:textAlignment w:val="center"/>
              <w:rPr>
                <w:rFonts w:eastAsia="楷体"/>
                <w:color w:val="auto"/>
                <w:sz w:val="24"/>
                <w:highlight w:val="none"/>
              </w:rPr>
            </w:pPr>
            <w:r>
              <w:rPr>
                <w:rFonts w:hint="eastAsia" w:eastAsia="楷体"/>
                <w:color w:val="auto"/>
                <w:kern w:val="0"/>
                <w:sz w:val="24"/>
                <w:highlight w:val="none"/>
              </w:rPr>
              <w:t>10</w:t>
            </w:r>
          </w:p>
        </w:tc>
        <w:tc>
          <w:tcPr>
            <w:tcW w:w="1183" w:type="dxa"/>
            <w:vAlign w:val="center"/>
          </w:tcPr>
          <w:p w14:paraId="65F053B7">
            <w:pPr>
              <w:widowControl/>
              <w:jc w:val="center"/>
              <w:textAlignment w:val="center"/>
              <w:rPr>
                <w:rFonts w:eastAsia="楷体"/>
                <w:color w:val="auto"/>
                <w:sz w:val="24"/>
                <w:highlight w:val="none"/>
              </w:rPr>
            </w:pPr>
            <w:r>
              <w:rPr>
                <w:rFonts w:hint="eastAsia" w:eastAsia="楷体"/>
                <w:color w:val="auto"/>
                <w:kern w:val="0"/>
                <w:sz w:val="24"/>
                <w:highlight w:val="none"/>
              </w:rPr>
              <w:t>15</w:t>
            </w:r>
          </w:p>
        </w:tc>
        <w:tc>
          <w:tcPr>
            <w:tcW w:w="1183" w:type="dxa"/>
            <w:vAlign w:val="center"/>
          </w:tcPr>
          <w:p w14:paraId="756914A9">
            <w:pPr>
              <w:widowControl/>
              <w:jc w:val="center"/>
              <w:textAlignment w:val="center"/>
              <w:rPr>
                <w:rFonts w:eastAsia="楷体"/>
                <w:color w:val="auto"/>
                <w:sz w:val="24"/>
                <w:highlight w:val="none"/>
              </w:rPr>
            </w:pPr>
          </w:p>
        </w:tc>
      </w:tr>
    </w:tbl>
    <w:p w14:paraId="5872AD5B">
      <w:pPr>
        <w:pStyle w:val="3"/>
        <w:spacing w:beforeLines="50" w:afterLines="50" w:line="360" w:lineRule="auto"/>
        <w:contextualSpacing/>
        <w:rPr>
          <w:rFonts w:ascii="Times New Roman" w:hAnsi="Times New Roman" w:eastAsia="楷体"/>
          <w:color w:val="auto"/>
          <w:kern w:val="0"/>
          <w:sz w:val="28"/>
          <w:szCs w:val="28"/>
          <w:highlight w:val="none"/>
        </w:rPr>
      </w:pPr>
      <w:bookmarkStart w:id="25" w:name="_Toc190"/>
      <w:r>
        <w:rPr>
          <w:rFonts w:ascii="Times New Roman" w:hAnsi="Times New Roman" w:eastAsia="楷体"/>
          <w:color w:val="auto"/>
          <w:kern w:val="0"/>
          <w:sz w:val="28"/>
          <w:szCs w:val="28"/>
          <w:highlight w:val="none"/>
        </w:rPr>
        <w:t>3.3 水库上、下游情况</w:t>
      </w:r>
      <w:bookmarkEnd w:id="24"/>
      <w:bookmarkEnd w:id="25"/>
    </w:p>
    <w:p w14:paraId="44C9962D">
      <w:pPr>
        <w:spacing w:line="520" w:lineRule="exact"/>
        <w:ind w:firstLine="560" w:firstLineChars="200"/>
        <w:rPr>
          <w:rFonts w:eastAsia="楷体"/>
          <w:color w:val="auto"/>
          <w:sz w:val="28"/>
          <w:szCs w:val="28"/>
          <w:highlight w:val="none"/>
        </w:rPr>
      </w:pPr>
      <w:bookmarkStart w:id="26" w:name="OLE_LINK36"/>
      <w:bookmarkStart w:id="27" w:name="_Toc8846"/>
      <w:r>
        <w:rPr>
          <w:rFonts w:eastAsia="楷体"/>
          <w:color w:val="auto"/>
          <w:sz w:val="28"/>
          <w:szCs w:val="28"/>
          <w:highlight w:val="none"/>
        </w:rPr>
        <w:t>四清水库库区上游及周围都没有厂矿企业污染源，人烟稀少，沿河所接纳废水以农村生活废水和农田废水为主，现状水质</w:t>
      </w:r>
      <w:r>
        <w:rPr>
          <w:rFonts w:hint="eastAsia" w:eastAsia="楷体"/>
          <w:color w:val="auto"/>
          <w:sz w:val="28"/>
          <w:szCs w:val="28"/>
          <w:highlight w:val="none"/>
          <w:lang w:val="en-US" w:eastAsia="zh-CN"/>
        </w:rPr>
        <w:t>较好</w:t>
      </w:r>
      <w:r>
        <w:rPr>
          <w:rFonts w:eastAsia="楷体"/>
          <w:color w:val="auto"/>
          <w:sz w:val="28"/>
          <w:szCs w:val="28"/>
          <w:highlight w:val="none"/>
        </w:rPr>
        <w:t>。</w:t>
      </w:r>
    </w:p>
    <w:p w14:paraId="412AF05A">
      <w:pPr>
        <w:spacing w:line="520" w:lineRule="exact"/>
        <w:ind w:firstLine="560" w:firstLineChars="200"/>
        <w:rPr>
          <w:rFonts w:eastAsia="楷体"/>
          <w:color w:val="auto"/>
          <w:sz w:val="30"/>
          <w:szCs w:val="30"/>
          <w:highlight w:val="none"/>
        </w:rPr>
      </w:pPr>
      <w:r>
        <w:rPr>
          <w:rFonts w:eastAsia="楷体"/>
          <w:color w:val="auto"/>
          <w:sz w:val="28"/>
          <w:szCs w:val="28"/>
          <w:highlight w:val="none"/>
        </w:rPr>
        <w:t>四清水库所在流域水资源利用程度较低，位于</w:t>
      </w:r>
      <w:r>
        <w:rPr>
          <w:rFonts w:hint="eastAsia" w:eastAsia="楷体"/>
          <w:color w:val="auto"/>
          <w:sz w:val="28"/>
          <w:szCs w:val="28"/>
          <w:highlight w:val="none"/>
        </w:rPr>
        <w:t>坝头溪</w:t>
      </w:r>
      <w:r>
        <w:rPr>
          <w:rFonts w:eastAsia="楷体"/>
          <w:color w:val="auto"/>
          <w:sz w:val="28"/>
          <w:szCs w:val="28"/>
          <w:highlight w:val="none"/>
        </w:rPr>
        <w:t>支流处，坝址上游</w:t>
      </w:r>
      <w:r>
        <w:rPr>
          <w:rFonts w:hint="eastAsia" w:eastAsia="楷体"/>
          <w:color w:val="auto"/>
          <w:sz w:val="28"/>
          <w:szCs w:val="28"/>
          <w:highlight w:val="none"/>
        </w:rPr>
        <w:t>无</w:t>
      </w:r>
      <w:r>
        <w:rPr>
          <w:rFonts w:eastAsia="楷体"/>
          <w:color w:val="auto"/>
          <w:sz w:val="28"/>
          <w:szCs w:val="28"/>
          <w:highlight w:val="none"/>
        </w:rPr>
        <w:t>水库，是以</w:t>
      </w:r>
      <w:r>
        <w:rPr>
          <w:rFonts w:hint="eastAsia" w:eastAsia="楷体"/>
          <w:color w:val="auto"/>
          <w:sz w:val="28"/>
          <w:szCs w:val="28"/>
          <w:highlight w:val="none"/>
        </w:rPr>
        <w:t>农田</w:t>
      </w:r>
      <w:r>
        <w:rPr>
          <w:rFonts w:eastAsia="楷体"/>
          <w:color w:val="auto"/>
          <w:sz w:val="28"/>
          <w:szCs w:val="28"/>
          <w:highlight w:val="none"/>
        </w:rPr>
        <w:t>灌溉为主的小（2）型水库</w:t>
      </w:r>
      <w:r>
        <w:rPr>
          <w:rFonts w:hint="eastAsia" w:eastAsia="楷体"/>
          <w:color w:val="auto"/>
          <w:sz w:val="28"/>
          <w:szCs w:val="28"/>
          <w:highlight w:val="none"/>
        </w:rPr>
        <w:t>。</w:t>
      </w:r>
      <w:r>
        <w:rPr>
          <w:rFonts w:eastAsia="楷体"/>
          <w:color w:val="auto"/>
          <w:sz w:val="28"/>
          <w:szCs w:val="28"/>
          <w:highlight w:val="none"/>
        </w:rPr>
        <w:t>水库下游现有</w:t>
      </w:r>
      <w:r>
        <w:rPr>
          <w:rFonts w:hint="eastAsia" w:eastAsia="楷体"/>
          <w:color w:val="auto"/>
          <w:sz w:val="28"/>
          <w:szCs w:val="28"/>
          <w:highlight w:val="none"/>
        </w:rPr>
        <w:t>约700亩</w:t>
      </w:r>
      <w:r>
        <w:rPr>
          <w:rFonts w:eastAsia="楷体"/>
          <w:color w:val="auto"/>
          <w:sz w:val="28"/>
          <w:szCs w:val="28"/>
          <w:highlight w:val="none"/>
        </w:rPr>
        <w:t>灌区，以种植水稻、蔬菜等农作物为主，现状仅建有少数简陋的小型引水工程，依靠天然河道径流引水自流灌溉。水库下游约</w:t>
      </w:r>
      <w:r>
        <w:rPr>
          <w:rFonts w:hint="eastAsia" w:eastAsia="楷体"/>
          <w:color w:val="auto"/>
          <w:sz w:val="28"/>
          <w:szCs w:val="28"/>
          <w:highlight w:val="none"/>
        </w:rPr>
        <w:t>0.5</w:t>
      </w:r>
      <w:r>
        <w:rPr>
          <w:rFonts w:eastAsia="楷体"/>
          <w:color w:val="auto"/>
          <w:sz w:val="28"/>
          <w:szCs w:val="28"/>
          <w:highlight w:val="none"/>
        </w:rPr>
        <w:t>km处为</w:t>
      </w:r>
      <w:r>
        <w:rPr>
          <w:rFonts w:hint="eastAsia" w:eastAsia="楷体"/>
          <w:color w:val="auto"/>
          <w:sz w:val="28"/>
          <w:szCs w:val="28"/>
          <w:highlight w:val="none"/>
        </w:rPr>
        <w:t>坑内村</w:t>
      </w:r>
      <w:r>
        <w:rPr>
          <w:rFonts w:eastAsia="楷体"/>
          <w:color w:val="auto"/>
          <w:sz w:val="28"/>
          <w:szCs w:val="28"/>
          <w:highlight w:val="none"/>
        </w:rPr>
        <w:t>，对外交通以公路为主，目前尚无乡镇供水工程。</w:t>
      </w:r>
    </w:p>
    <w:bookmarkEnd w:id="26"/>
    <w:p w14:paraId="1E1562BB">
      <w:pPr>
        <w:pStyle w:val="3"/>
        <w:spacing w:beforeLines="50" w:afterLines="50" w:line="360" w:lineRule="auto"/>
        <w:contextualSpacing/>
        <w:rPr>
          <w:rFonts w:ascii="Times New Roman" w:hAnsi="Times New Roman" w:eastAsia="楷体"/>
          <w:color w:val="auto"/>
          <w:kern w:val="0"/>
          <w:sz w:val="28"/>
          <w:szCs w:val="28"/>
          <w:highlight w:val="none"/>
        </w:rPr>
      </w:pPr>
      <w:bookmarkStart w:id="28" w:name="_Toc25797"/>
      <w:r>
        <w:rPr>
          <w:rFonts w:ascii="Times New Roman" w:hAnsi="Times New Roman" w:eastAsia="楷体"/>
          <w:color w:val="auto"/>
          <w:kern w:val="0"/>
          <w:sz w:val="28"/>
          <w:szCs w:val="28"/>
          <w:highlight w:val="none"/>
        </w:rPr>
        <w:t>3.4 上年度控制运用情况</w:t>
      </w:r>
      <w:bookmarkEnd w:id="27"/>
      <w:bookmarkEnd w:id="28"/>
    </w:p>
    <w:p w14:paraId="13A59933">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根据20</w:t>
      </w:r>
      <w:r>
        <w:rPr>
          <w:rFonts w:hint="eastAsia" w:eastAsia="楷体"/>
          <w:color w:val="auto"/>
          <w:sz w:val="28"/>
          <w:szCs w:val="28"/>
          <w:highlight w:val="none"/>
          <w:lang w:val="en-US" w:eastAsia="zh-CN"/>
        </w:rPr>
        <w:t>25</w:t>
      </w:r>
      <w:r>
        <w:rPr>
          <w:rFonts w:eastAsia="楷体"/>
          <w:color w:val="auto"/>
          <w:sz w:val="28"/>
          <w:szCs w:val="28"/>
          <w:highlight w:val="none"/>
        </w:rPr>
        <w:t>年四清水库的运行情况可知，</w:t>
      </w:r>
      <w:r>
        <w:rPr>
          <w:rFonts w:hint="eastAsia" w:eastAsia="楷体"/>
          <w:color w:val="auto"/>
          <w:sz w:val="28"/>
          <w:szCs w:val="28"/>
          <w:highlight w:val="none"/>
          <w:lang w:val="en-US" w:eastAsia="zh-CN"/>
        </w:rPr>
        <w:t>四清水库2026年的汛限水位为28.04m。未出现溢洪道泄洪的情况，最高水位约26.74m（2025年12月），</w:t>
      </w:r>
      <w:r>
        <w:rPr>
          <w:rFonts w:eastAsia="楷体"/>
          <w:color w:val="auto"/>
          <w:sz w:val="28"/>
          <w:szCs w:val="28"/>
          <w:highlight w:val="none"/>
        </w:rPr>
        <w:t>防洪调度情况良好</w:t>
      </w:r>
      <w:r>
        <w:rPr>
          <w:rFonts w:hint="eastAsia" w:eastAsia="楷体"/>
          <w:color w:val="auto"/>
          <w:sz w:val="28"/>
          <w:szCs w:val="28"/>
          <w:highlight w:val="none"/>
          <w:lang w:eastAsia="zh-CN"/>
        </w:rPr>
        <w:t>，</w:t>
      </w:r>
      <w:r>
        <w:rPr>
          <w:rFonts w:hint="eastAsia" w:eastAsia="楷体"/>
          <w:color w:val="auto"/>
          <w:sz w:val="28"/>
          <w:szCs w:val="28"/>
          <w:highlight w:val="none"/>
          <w:lang w:val="en-US" w:eastAsia="zh-CN"/>
        </w:rPr>
        <w:t>未发生险情</w:t>
      </w:r>
      <w:r>
        <w:rPr>
          <w:rFonts w:eastAsia="楷体"/>
          <w:color w:val="auto"/>
          <w:sz w:val="28"/>
          <w:szCs w:val="28"/>
          <w:highlight w:val="none"/>
        </w:rPr>
        <w:t>。</w:t>
      </w:r>
    </w:p>
    <w:p w14:paraId="1814F4E9">
      <w:pPr>
        <w:rPr>
          <w:rFonts w:eastAsia="楷体"/>
          <w:color w:val="auto"/>
          <w:highlight w:val="none"/>
        </w:rPr>
      </w:pPr>
      <w:bookmarkStart w:id="29" w:name="_Toc19608"/>
    </w:p>
    <w:p w14:paraId="12AD9AD5">
      <w:pPr>
        <w:rPr>
          <w:rFonts w:eastAsia="楷体"/>
          <w:color w:val="auto"/>
          <w:highlight w:val="none"/>
        </w:rPr>
        <w:sectPr>
          <w:pgSz w:w="11906" w:h="16838"/>
          <w:pgMar w:top="1440" w:right="1803" w:bottom="1440" w:left="1803" w:header="851" w:footer="992" w:gutter="0"/>
          <w:pgNumType w:fmt="numberInDash"/>
          <w:cols w:space="720" w:num="1"/>
          <w:docGrid w:type="lines" w:linePitch="319" w:charSpace="0"/>
        </w:sectPr>
      </w:pPr>
    </w:p>
    <w:p w14:paraId="3816ECE2">
      <w:pPr>
        <w:pStyle w:val="2"/>
        <w:spacing w:beforeLines="100" w:afterLines="100" w:line="360" w:lineRule="auto"/>
        <w:jc w:val="center"/>
        <w:rPr>
          <w:rFonts w:eastAsia="楷体"/>
          <w:color w:val="auto"/>
          <w:kern w:val="0"/>
          <w:sz w:val="32"/>
          <w:szCs w:val="32"/>
          <w:highlight w:val="none"/>
        </w:rPr>
      </w:pPr>
      <w:bookmarkStart w:id="30" w:name="_Toc21868"/>
      <w:r>
        <w:rPr>
          <w:rFonts w:eastAsia="楷体"/>
          <w:color w:val="auto"/>
          <w:kern w:val="0"/>
          <w:sz w:val="32"/>
          <w:szCs w:val="32"/>
          <w:highlight w:val="none"/>
        </w:rPr>
        <w:t>4  洪水调度原则</w:t>
      </w:r>
      <w:bookmarkEnd w:id="29"/>
      <w:bookmarkEnd w:id="30"/>
    </w:p>
    <w:p w14:paraId="799EC58B">
      <w:pPr>
        <w:pStyle w:val="3"/>
        <w:spacing w:beforeLines="50" w:afterLines="50" w:line="360" w:lineRule="auto"/>
        <w:contextualSpacing/>
        <w:rPr>
          <w:rFonts w:ascii="Times New Roman" w:hAnsi="Times New Roman" w:eastAsia="楷体"/>
          <w:color w:val="auto"/>
          <w:kern w:val="0"/>
          <w:sz w:val="28"/>
          <w:szCs w:val="28"/>
          <w:highlight w:val="none"/>
        </w:rPr>
      </w:pPr>
      <w:bookmarkStart w:id="31" w:name="_Toc7899"/>
      <w:bookmarkStart w:id="32" w:name="_Toc28856"/>
      <w:r>
        <w:rPr>
          <w:rFonts w:ascii="Times New Roman" w:hAnsi="Times New Roman" w:eastAsia="楷体"/>
          <w:color w:val="auto"/>
          <w:kern w:val="0"/>
          <w:sz w:val="28"/>
          <w:szCs w:val="28"/>
          <w:highlight w:val="none"/>
        </w:rPr>
        <w:t>4.1 汛期划分</w:t>
      </w:r>
      <w:bookmarkEnd w:id="31"/>
      <w:bookmarkEnd w:id="32"/>
    </w:p>
    <w:p w14:paraId="107DC96D">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lang w:val="en-US" w:eastAsia="zh-CN"/>
        </w:rPr>
        <w:t>泉州市</w:t>
      </w:r>
      <w:r>
        <w:rPr>
          <w:rFonts w:eastAsia="楷体"/>
          <w:color w:val="auto"/>
          <w:sz w:val="28"/>
          <w:szCs w:val="28"/>
          <w:highlight w:val="none"/>
        </w:rPr>
        <w:t>防洪防台风应急预案规定，4月1日至10月15日为汛期，其中前汛期为4月1日～6月30日，主汛期为7月1日～9月20日，后汛期为9月21日～10月15日。</w:t>
      </w:r>
    </w:p>
    <w:p w14:paraId="1621CA31">
      <w:pPr>
        <w:pStyle w:val="3"/>
        <w:spacing w:beforeLines="50" w:afterLines="50" w:line="360" w:lineRule="auto"/>
        <w:contextualSpacing/>
        <w:rPr>
          <w:rFonts w:ascii="Times New Roman" w:hAnsi="Times New Roman" w:eastAsia="楷体"/>
          <w:color w:val="auto"/>
          <w:kern w:val="0"/>
          <w:sz w:val="28"/>
          <w:szCs w:val="28"/>
          <w:highlight w:val="none"/>
        </w:rPr>
      </w:pPr>
      <w:bookmarkStart w:id="33" w:name="_Toc19646"/>
      <w:bookmarkStart w:id="34" w:name="_Toc6049"/>
      <w:r>
        <w:rPr>
          <w:rFonts w:ascii="Times New Roman" w:hAnsi="Times New Roman" w:eastAsia="楷体"/>
          <w:color w:val="auto"/>
          <w:kern w:val="0"/>
          <w:sz w:val="28"/>
          <w:szCs w:val="28"/>
          <w:highlight w:val="none"/>
        </w:rPr>
        <w:t>4.2 洪水调度原则</w:t>
      </w:r>
      <w:bookmarkEnd w:id="33"/>
      <w:bookmarkEnd w:id="34"/>
    </w:p>
    <w:p w14:paraId="540A12FA">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78A6E00A">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根据时段不同，水库防洪调度原则如下：</w:t>
      </w:r>
    </w:p>
    <w:p w14:paraId="5C6C0977">
      <w:pPr>
        <w:numPr>
          <w:ilvl w:val="0"/>
          <w:numId w:val="1"/>
        </w:numPr>
        <w:spacing w:line="520" w:lineRule="exact"/>
        <w:ind w:firstLine="560" w:firstLineChars="200"/>
        <w:rPr>
          <w:rFonts w:eastAsia="楷体"/>
          <w:color w:val="auto"/>
          <w:sz w:val="28"/>
          <w:szCs w:val="28"/>
          <w:highlight w:val="none"/>
        </w:rPr>
      </w:pPr>
      <w:r>
        <w:rPr>
          <w:rFonts w:eastAsia="楷体"/>
          <w:color w:val="auto"/>
          <w:sz w:val="28"/>
          <w:szCs w:val="28"/>
          <w:highlight w:val="none"/>
        </w:rPr>
        <w:t>非汛期防洪调度</w:t>
      </w:r>
    </w:p>
    <w:p w14:paraId="0B0571B8">
      <w:pPr>
        <w:spacing w:line="520" w:lineRule="exact"/>
        <w:ind w:firstLine="560" w:firstLineChars="200"/>
        <w:rPr>
          <w:rFonts w:eastAsia="楷体"/>
          <w:color w:val="auto"/>
          <w:sz w:val="28"/>
          <w:szCs w:val="28"/>
          <w:highlight w:val="none"/>
        </w:rPr>
      </w:pPr>
      <w:r>
        <w:rPr>
          <w:rFonts w:eastAsia="楷体"/>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62E361AE">
      <w:pPr>
        <w:spacing w:line="520" w:lineRule="exact"/>
        <w:ind w:firstLine="560" w:firstLineChars="200"/>
        <w:rPr>
          <w:rFonts w:eastAsia="楷体"/>
          <w:color w:val="auto"/>
          <w:sz w:val="28"/>
          <w:szCs w:val="28"/>
          <w:highlight w:val="none"/>
        </w:rPr>
      </w:pPr>
      <w:r>
        <w:rPr>
          <w:rFonts w:eastAsia="楷体"/>
          <w:color w:val="auto"/>
          <w:sz w:val="28"/>
          <w:szCs w:val="28"/>
          <w:highlight w:val="none"/>
        </w:rPr>
        <w:t>2、通过对水库承受洪水能力分析，落实预泄预排方案，加强渠道沿线巡逻，及时开闸排洪，以免过流损毁渠道工程。</w:t>
      </w:r>
    </w:p>
    <w:p w14:paraId="096A193C">
      <w:pPr>
        <w:spacing w:line="520" w:lineRule="exact"/>
        <w:ind w:firstLine="560" w:firstLineChars="200"/>
        <w:rPr>
          <w:rFonts w:eastAsia="楷体"/>
          <w:color w:val="auto"/>
          <w:sz w:val="28"/>
          <w:szCs w:val="28"/>
          <w:highlight w:val="none"/>
        </w:rPr>
      </w:pPr>
      <w:r>
        <w:rPr>
          <w:rFonts w:eastAsia="楷体"/>
          <w:color w:val="auto"/>
          <w:sz w:val="28"/>
          <w:szCs w:val="28"/>
          <w:highlight w:val="none"/>
        </w:rPr>
        <w:t>3、加大工程巡查力度，对排洪泄水闸启闭系统、通讯、交通、供电设备进行全面检查，始终保持良好状况，排除一切不安全因素，确保使用及时。</w:t>
      </w:r>
    </w:p>
    <w:p w14:paraId="5936C6EB">
      <w:pPr>
        <w:spacing w:line="520" w:lineRule="exact"/>
        <w:ind w:firstLine="560" w:firstLineChars="200"/>
        <w:rPr>
          <w:rFonts w:eastAsia="楷体"/>
          <w:color w:val="auto"/>
          <w:sz w:val="28"/>
          <w:szCs w:val="28"/>
          <w:highlight w:val="none"/>
        </w:rPr>
      </w:pPr>
      <w:r>
        <w:rPr>
          <w:rFonts w:eastAsia="楷体"/>
          <w:color w:val="auto"/>
          <w:sz w:val="28"/>
          <w:szCs w:val="28"/>
          <w:highlight w:val="none"/>
        </w:rPr>
        <w:t>（二）汛期防洪调度</w:t>
      </w:r>
    </w:p>
    <w:p w14:paraId="5ED99589">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1、水库遭遇洪水时，要根据雨情分析，每半小时进行洪水预报，判别洪水标准，推求洪峰流量、洪水总量，进行科学合理调度。</w:t>
      </w:r>
    </w:p>
    <w:p w14:paraId="0C3607FF">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2、提前2小时通知下游村落及相关单位做好水库排洪的准备。</w:t>
      </w:r>
    </w:p>
    <w:p w14:paraId="758C796C">
      <w:pPr>
        <w:spacing w:line="520" w:lineRule="exact"/>
        <w:ind w:firstLine="560" w:firstLineChars="200"/>
        <w:rPr>
          <w:rFonts w:eastAsia="楷体"/>
          <w:color w:val="auto"/>
          <w:sz w:val="28"/>
          <w:szCs w:val="28"/>
          <w:highlight w:val="none"/>
        </w:rPr>
      </w:pPr>
      <w:r>
        <w:rPr>
          <w:rFonts w:eastAsia="楷体"/>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利用工程措施拦截一部分洪水，缓解下游河道过流能力的不足。结合气象部门降雨预报，及时掌握气象趋势，在上级防汛部门统一指挥下，以保证安全、减少损失为原则，进行科学调度。</w:t>
      </w:r>
    </w:p>
    <w:p w14:paraId="50DB6141">
      <w:pPr>
        <w:pStyle w:val="3"/>
        <w:spacing w:beforeLines="50" w:afterLines="50" w:line="360" w:lineRule="auto"/>
        <w:contextualSpacing/>
        <w:rPr>
          <w:rFonts w:ascii="Times New Roman" w:hAnsi="Times New Roman" w:eastAsia="楷体"/>
          <w:color w:val="auto"/>
          <w:kern w:val="0"/>
          <w:sz w:val="28"/>
          <w:szCs w:val="28"/>
          <w:highlight w:val="none"/>
        </w:rPr>
      </w:pPr>
      <w:bookmarkStart w:id="35" w:name="_Toc31889"/>
      <w:bookmarkStart w:id="36" w:name="_Toc3546"/>
      <w:r>
        <w:rPr>
          <w:rFonts w:ascii="Times New Roman" w:hAnsi="Times New Roman" w:eastAsia="楷体"/>
          <w:color w:val="auto"/>
          <w:kern w:val="0"/>
          <w:sz w:val="28"/>
          <w:szCs w:val="28"/>
          <w:highlight w:val="none"/>
        </w:rPr>
        <w:t>4.3 汛限水位的确定</w:t>
      </w:r>
      <w:bookmarkEnd w:id="35"/>
      <w:bookmarkEnd w:id="36"/>
    </w:p>
    <w:p w14:paraId="1B665DF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汛限水位的确定从以下几个方面来确定：</w:t>
      </w:r>
    </w:p>
    <w:p w14:paraId="26961561">
      <w:pPr>
        <w:numPr>
          <w:ilvl w:val="0"/>
          <w:numId w:val="2"/>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根据《泉港区前黄镇</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水库除险加固工程初步设计报告（报批稿）》（泉州市水利水电勘测设计院，2013年5月）的设计内容可知，</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水库水位</w:t>
      </w:r>
      <w:r>
        <w:rPr>
          <w:rFonts w:hint="eastAsia" w:ascii="Times New Roman" w:hAnsi="Times New Roman" w:eastAsia="楷体" w:cs="Times New Roman"/>
          <w:color w:val="auto"/>
          <w:sz w:val="28"/>
          <w:szCs w:val="28"/>
          <w:highlight w:val="none"/>
          <w:lang w:eastAsia="zh-CN"/>
        </w:rPr>
        <w:t>28.04</w:t>
      </w:r>
      <w:r>
        <w:rPr>
          <w:rFonts w:hint="default" w:ascii="Times New Roman" w:hAnsi="Times New Roman" w:eastAsia="楷体" w:cs="Times New Roman"/>
          <w:color w:val="auto"/>
          <w:sz w:val="28"/>
          <w:szCs w:val="28"/>
          <w:highlight w:val="none"/>
        </w:rPr>
        <w:t>m对应的库容为</w:t>
      </w:r>
      <w:r>
        <w:rPr>
          <w:rFonts w:hint="eastAsia" w:ascii="Times New Roman" w:hAnsi="Times New Roman" w:eastAsia="楷体" w:cs="Times New Roman"/>
          <w:color w:val="auto"/>
          <w:sz w:val="28"/>
          <w:szCs w:val="28"/>
          <w:highlight w:val="none"/>
          <w:lang w:val="en-US" w:eastAsia="zh-CN"/>
        </w:rPr>
        <w:t>26.92</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，20</w:t>
      </w:r>
      <w:r>
        <w:rPr>
          <w:rFonts w:hint="eastAsia" w:eastAsia="楷体" w:cs="Times New Roman"/>
          <w:color w:val="auto"/>
          <w:sz w:val="28"/>
          <w:szCs w:val="28"/>
          <w:highlight w:val="none"/>
          <w:lang w:val="en-US" w:eastAsia="zh-CN"/>
        </w:rPr>
        <w:t>25</w:t>
      </w:r>
      <w:r>
        <w:rPr>
          <w:rFonts w:hint="default" w:ascii="Times New Roman" w:hAnsi="Times New Roman" w:eastAsia="楷体" w:cs="Times New Roman"/>
          <w:color w:val="auto"/>
          <w:sz w:val="28"/>
          <w:szCs w:val="28"/>
          <w:highlight w:val="none"/>
        </w:rPr>
        <w:t>年</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水库总体运行状况良好，即便在台风期，</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水库仍很好的完成了防汛任务；</w:t>
      </w:r>
    </w:p>
    <w:p w14:paraId="7EA37CC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水库的正常蓄水位为</w:t>
      </w:r>
      <w:r>
        <w:rPr>
          <w:rFonts w:hint="eastAsia" w:ascii="Times New Roman" w:hAnsi="Times New Roman" w:eastAsia="楷体" w:cs="Times New Roman"/>
          <w:color w:val="auto"/>
          <w:sz w:val="28"/>
          <w:szCs w:val="28"/>
          <w:highlight w:val="none"/>
          <w:lang w:val="en-US" w:eastAsia="zh-CN"/>
        </w:rPr>
        <w:t>28.04</w:t>
      </w:r>
      <w:r>
        <w:rPr>
          <w:rFonts w:hint="default" w:ascii="Times New Roman" w:hAnsi="Times New Roman" w:eastAsia="楷体" w:cs="Times New Roman"/>
          <w:color w:val="auto"/>
          <w:sz w:val="28"/>
          <w:szCs w:val="28"/>
          <w:highlight w:val="none"/>
        </w:rPr>
        <w:t>m，根据</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水库初步设计中的设计要求，</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水库汛限水位设置为</w:t>
      </w:r>
      <w:r>
        <w:rPr>
          <w:rFonts w:hint="eastAsia" w:ascii="Times New Roman" w:hAnsi="Times New Roman" w:eastAsia="楷体" w:cs="Times New Roman"/>
          <w:color w:val="auto"/>
          <w:sz w:val="28"/>
          <w:szCs w:val="28"/>
          <w:highlight w:val="none"/>
          <w:lang w:eastAsia="zh-CN"/>
        </w:rPr>
        <w:t>28.04</w:t>
      </w:r>
      <w:r>
        <w:rPr>
          <w:rFonts w:hint="default" w:ascii="Times New Roman" w:hAnsi="Times New Roman" w:eastAsia="楷体" w:cs="Times New Roman"/>
          <w:color w:val="auto"/>
          <w:sz w:val="28"/>
          <w:szCs w:val="28"/>
          <w:highlight w:val="none"/>
        </w:rPr>
        <w:t>m</w:t>
      </w:r>
      <w:r>
        <w:rPr>
          <w:rFonts w:hint="eastAsia" w:eastAsia="楷体"/>
          <w:color w:val="auto"/>
          <w:sz w:val="28"/>
          <w:szCs w:val="28"/>
          <w:highlight w:val="none"/>
          <w:lang w:val="en-US" w:eastAsia="zh-CN"/>
        </w:rPr>
        <w:t>。</w:t>
      </w:r>
      <w:r>
        <w:rPr>
          <w:rFonts w:hint="default" w:ascii="Times New Roman" w:hAnsi="Times New Roman" w:eastAsia="楷体" w:cs="Times New Roman"/>
          <w:color w:val="auto"/>
          <w:sz w:val="28"/>
          <w:szCs w:val="28"/>
          <w:highlight w:val="none"/>
        </w:rPr>
        <w:t>既符合水库防洪要求，又保障了</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水库的兴利功能要求。</w:t>
      </w:r>
    </w:p>
    <w:p w14:paraId="09CAC56E">
      <w:pPr>
        <w:spacing w:line="520" w:lineRule="exact"/>
        <w:ind w:firstLine="560" w:firstLineChars="200"/>
        <w:rPr>
          <w:rFonts w:hint="eastAsia" w:eastAsia="楷体"/>
          <w:color w:val="auto"/>
          <w:kern w:val="0"/>
          <w:sz w:val="28"/>
          <w:szCs w:val="28"/>
          <w:highlight w:val="none"/>
          <w:lang w:val="en-US" w:eastAsia="zh-CN"/>
        </w:rPr>
      </w:pPr>
      <w:r>
        <w:rPr>
          <w:rFonts w:hint="default" w:ascii="Times New Roman" w:hAnsi="Times New Roman" w:eastAsia="楷体" w:cs="Times New Roman"/>
          <w:color w:val="auto"/>
          <w:sz w:val="28"/>
          <w:szCs w:val="28"/>
          <w:highlight w:val="none"/>
        </w:rPr>
        <w:t>因此，20</w:t>
      </w:r>
      <w:r>
        <w:rPr>
          <w:rFonts w:hint="eastAsia" w:eastAsia="楷体" w:cs="Times New Roman"/>
          <w:color w:val="auto"/>
          <w:sz w:val="28"/>
          <w:szCs w:val="28"/>
          <w:highlight w:val="none"/>
          <w:lang w:val="en-US" w:eastAsia="zh-CN"/>
        </w:rPr>
        <w:t>26</w:t>
      </w:r>
      <w:r>
        <w:rPr>
          <w:rFonts w:hint="default" w:ascii="Times New Roman" w:hAnsi="Times New Roman" w:eastAsia="楷体" w:cs="Times New Roman"/>
          <w:color w:val="auto"/>
          <w:sz w:val="28"/>
          <w:szCs w:val="28"/>
          <w:highlight w:val="none"/>
        </w:rPr>
        <w:t>年将</w:t>
      </w:r>
      <w:r>
        <w:rPr>
          <w:rFonts w:hint="eastAsia" w:ascii="Times New Roman" w:hAnsi="Times New Roman" w:eastAsia="楷体" w:cs="Times New Roman"/>
          <w:color w:val="auto"/>
          <w:sz w:val="28"/>
          <w:szCs w:val="28"/>
          <w:highlight w:val="none"/>
          <w:lang w:eastAsia="zh-CN"/>
        </w:rPr>
        <w:t>2</w:t>
      </w:r>
      <w:r>
        <w:rPr>
          <w:rFonts w:hint="eastAsia" w:eastAsia="楷体" w:cs="Times New Roman"/>
          <w:color w:val="auto"/>
          <w:sz w:val="28"/>
          <w:szCs w:val="28"/>
          <w:highlight w:val="none"/>
          <w:lang w:val="en-US" w:eastAsia="zh-CN"/>
        </w:rPr>
        <w:t>8</w:t>
      </w:r>
      <w:r>
        <w:rPr>
          <w:rFonts w:hint="eastAsia" w:ascii="Times New Roman" w:hAnsi="Times New Roman" w:eastAsia="楷体" w:cs="Times New Roman"/>
          <w:color w:val="auto"/>
          <w:sz w:val="28"/>
          <w:szCs w:val="28"/>
          <w:highlight w:val="none"/>
          <w:lang w:eastAsia="zh-CN"/>
        </w:rPr>
        <w:t>.04</w:t>
      </w:r>
      <w:r>
        <w:rPr>
          <w:rFonts w:hint="default" w:ascii="Times New Roman" w:hAnsi="Times New Roman" w:eastAsia="楷体" w:cs="Times New Roman"/>
          <w:color w:val="auto"/>
          <w:sz w:val="28"/>
          <w:szCs w:val="28"/>
          <w:highlight w:val="none"/>
        </w:rPr>
        <w:t>m作为</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水库的汛限</w:t>
      </w:r>
      <w:r>
        <w:rPr>
          <w:rFonts w:hint="eastAsia" w:eastAsia="楷体" w:cs="Times New Roman"/>
          <w:color w:val="auto"/>
          <w:sz w:val="28"/>
          <w:szCs w:val="28"/>
          <w:highlight w:val="none"/>
          <w:lang w:eastAsia="zh-CN"/>
        </w:rPr>
        <w:t>水位。</w:t>
      </w:r>
    </w:p>
    <w:p w14:paraId="2A20E525">
      <w:pPr>
        <w:pStyle w:val="3"/>
        <w:spacing w:beforeLines="50" w:afterLines="50" w:line="360" w:lineRule="auto"/>
        <w:contextualSpacing/>
        <w:rPr>
          <w:rFonts w:ascii="Times New Roman" w:hAnsi="Times New Roman" w:eastAsia="楷体"/>
          <w:color w:val="auto"/>
          <w:kern w:val="0"/>
          <w:sz w:val="28"/>
          <w:szCs w:val="28"/>
          <w:highlight w:val="none"/>
        </w:rPr>
      </w:pPr>
      <w:bookmarkStart w:id="37" w:name="_Toc28202"/>
      <w:bookmarkStart w:id="38" w:name="_Toc17957"/>
      <w:bookmarkStart w:id="39" w:name="_Toc290367231"/>
      <w:r>
        <w:rPr>
          <w:rFonts w:ascii="Times New Roman" w:hAnsi="Times New Roman" w:eastAsia="楷体"/>
          <w:color w:val="auto"/>
          <w:kern w:val="0"/>
          <w:sz w:val="28"/>
          <w:szCs w:val="28"/>
          <w:highlight w:val="none"/>
        </w:rPr>
        <w:t>4.4 汛期防洪调度方式</w:t>
      </w:r>
      <w:bookmarkEnd w:id="37"/>
      <w:bookmarkEnd w:id="38"/>
      <w:bookmarkEnd w:id="39"/>
    </w:p>
    <w:p w14:paraId="443940B3">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 xml:space="preserve"> （1）水库调洪演算</w:t>
      </w:r>
    </w:p>
    <w:p w14:paraId="226CC4F6">
      <w:pPr>
        <w:spacing w:line="520" w:lineRule="exact"/>
        <w:ind w:firstLine="640" w:firstLineChars="200"/>
        <w:rPr>
          <w:rFonts w:eastAsia="楷体"/>
          <w:color w:val="auto"/>
          <w:spacing w:val="20"/>
          <w:sz w:val="28"/>
          <w:szCs w:val="28"/>
          <w:highlight w:val="none"/>
        </w:rPr>
      </w:pPr>
      <w:r>
        <w:rPr>
          <w:rFonts w:eastAsia="楷体"/>
          <w:color w:val="auto"/>
          <w:spacing w:val="20"/>
          <w:sz w:val="28"/>
          <w:szCs w:val="28"/>
          <w:highlight w:val="none"/>
        </w:rPr>
        <w:t>调洪演算按水量平衡方程式逐时段进行试算，计算方程式如下：</w:t>
      </w:r>
    </w:p>
    <w:p w14:paraId="2042FD0F">
      <w:pPr>
        <w:ind w:firstLine="2520" w:firstLineChars="900"/>
        <w:rPr>
          <w:rFonts w:eastAsia="楷体"/>
          <w:color w:val="auto"/>
          <w:sz w:val="28"/>
          <w:szCs w:val="28"/>
          <w:highlight w:val="none"/>
        </w:rPr>
      </w:pPr>
      <w:r>
        <w:rPr>
          <w:rFonts w:ascii="Times New Roman" w:hAnsi="Times New Roman" w:eastAsia="楷体" w:cs="Times New Roman"/>
          <w:color w:val="auto"/>
          <w:kern w:val="2"/>
          <w:position w:val="-24"/>
          <w:sz w:val="28"/>
          <w:szCs w:val="28"/>
          <w:highlight w:val="none"/>
          <w:lang w:val="en-US" w:eastAsia="zh-CN" w:bidi="ar-SA"/>
        </w:rPr>
        <w:object>
          <v:shape id="_x0000_i1036" o:spt="75" type="#_x0000_t75" style="height:33.3pt;width:161.95pt;" o:ole="t" fillcolor="#FFFFFF" filled="f" o:preferrelative="t" stroked="f" coordsize="21600,21600">
            <v:path/>
            <v:fill on="f" color2="#FFFFFF" focussize="0,0"/>
            <v:stroke on="f"/>
            <v:imagedata r:id="rId34" gain="65536f" blacklevel="0f" gamma="0" o:title=""/>
            <o:lock v:ext="edit" position="f" selection="f" grouping="f" rotation="f" cropping="f" text="f" aspectratio="t"/>
            <w10:wrap type="none"/>
            <w10:anchorlock/>
          </v:shape>
          <o:OLEObject Type="Embed" ProgID="" ShapeID="_x0000_i1036" DrawAspect="Content" ObjectID="_1468075736" r:id="rId33">
            <o:LockedField>false</o:LockedField>
          </o:OLEObject>
        </w:object>
      </w:r>
      <w:r>
        <w:rPr>
          <w:rFonts w:eastAsia="楷体"/>
          <w:color w:val="auto"/>
          <w:sz w:val="28"/>
          <w:szCs w:val="28"/>
          <w:highlight w:val="none"/>
        </w:rPr>
        <w:t xml:space="preserve">          </w:t>
      </w:r>
    </w:p>
    <w:p w14:paraId="07388D56">
      <w:pPr>
        <w:spacing w:line="520" w:lineRule="exact"/>
        <w:rPr>
          <w:rFonts w:hint="eastAsia" w:eastAsia="楷体"/>
          <w:color w:val="auto"/>
          <w:sz w:val="28"/>
          <w:szCs w:val="28"/>
          <w:highlight w:val="none"/>
          <w:lang w:eastAsia="zh-CN"/>
        </w:rPr>
      </w:pPr>
      <w:r>
        <w:rPr>
          <w:rFonts w:eastAsia="楷体"/>
          <w:color w:val="auto"/>
          <w:sz w:val="28"/>
          <w:szCs w:val="28"/>
          <w:highlight w:val="none"/>
        </w:rPr>
        <w:t>式中：</w:t>
      </w:r>
      <w:r>
        <w:rPr>
          <w:rFonts w:ascii="Times New Roman" w:hAnsi="Times New Roman" w:eastAsia="楷体" w:cs="Times New Roman"/>
          <w:color w:val="auto"/>
          <w:kern w:val="2"/>
          <w:position w:val="-12"/>
          <w:sz w:val="28"/>
          <w:szCs w:val="28"/>
          <w:highlight w:val="none"/>
          <w:lang w:val="en-US" w:eastAsia="zh-CN" w:bidi="ar-SA"/>
        </w:rPr>
        <w:object>
          <v:shape id="_x0000_i1037" o:spt="75" type="#_x0000_t75" style="height:18pt;width:37pt;" o:ole="t" fillcolor="#FFFFFF" filled="f" o:preferrelative="t" stroked="f" coordsize="21600,21600">
            <v:path/>
            <v:fill on="f" color2="#FFFFFF" focussize="0,0"/>
            <v:stroke on="f"/>
            <v:imagedata r:id="rId36" gain="65536f" blacklevel="0f" gamma="0" o:title=""/>
            <o:lock v:ext="edit" position="f" selection="f" grouping="f" rotation="f" cropping="f" text="f" aspectratio="t"/>
            <w10:wrap type="none"/>
            <w10:anchorlock/>
          </v:shape>
          <o:OLEObject Type="Embed" ProgID="" ShapeID="_x0000_i1037" DrawAspect="Content" ObjectID="_1468075737" r:id="rId35">
            <o:LockedField>false</o:LockedField>
          </o:OLEObject>
        </w:object>
      </w:r>
      <w:r>
        <w:rPr>
          <w:rFonts w:eastAsia="楷体"/>
          <w:color w:val="auto"/>
          <w:sz w:val="28"/>
          <w:szCs w:val="28"/>
          <w:highlight w:val="none"/>
        </w:rPr>
        <w:t>——时段</w:t>
      </w:r>
      <w:r>
        <w:rPr>
          <w:rFonts w:ascii="Times New Roman" w:hAnsi="Times New Roman" w:eastAsia="楷体" w:cs="Times New Roman"/>
          <w:color w:val="auto"/>
          <w:kern w:val="2"/>
          <w:position w:val="-6"/>
          <w:sz w:val="28"/>
          <w:szCs w:val="28"/>
          <w:highlight w:val="none"/>
          <w:lang w:val="en-US" w:eastAsia="zh-CN" w:bidi="ar-SA"/>
        </w:rPr>
        <w:object>
          <v:shape id="_x0000_i1038" o:spt="75" type="#_x0000_t75" style="height:13.95pt;width:15pt;" o:ole="t" fillcolor="#FFFFFF" filled="f" o:preferrelative="t" stroked="f" coordsize="21600,21600">
            <v:path/>
            <v:fill on="f" color2="#FFFFFF" focussize="0,0"/>
            <v:stroke on="f"/>
            <v:imagedata r:id="rId38" gain="65536f" blacklevel="0f" gamma="0" o:title=""/>
            <o:lock v:ext="edit" position="f" selection="f" grouping="f" rotation="f" cropping="f" text="f" aspectratio="t"/>
            <w10:wrap type="none"/>
            <w10:anchorlock/>
          </v:shape>
          <o:OLEObject Type="Embed" ProgID="" ShapeID="_x0000_i1038" DrawAspect="Content" ObjectID="_1468075738" r:id="rId37">
            <o:LockedField>false</o:LockedField>
          </o:OLEObject>
        </w:object>
      </w:r>
      <w:r>
        <w:rPr>
          <w:rFonts w:eastAsia="楷体"/>
          <w:color w:val="auto"/>
          <w:sz w:val="28"/>
          <w:szCs w:val="28"/>
          <w:highlight w:val="none"/>
        </w:rPr>
        <w:t>始、末的入库流量（</w:t>
      </w:r>
      <w:r>
        <w:rPr>
          <w:rFonts w:ascii="Times New Roman" w:hAnsi="Times New Roman" w:eastAsia="楷体" w:cs="Times New Roman"/>
          <w:color w:val="auto"/>
          <w:kern w:val="2"/>
          <w:position w:val="-6"/>
          <w:sz w:val="28"/>
          <w:szCs w:val="28"/>
          <w:highlight w:val="none"/>
          <w:lang w:val="en-US" w:eastAsia="zh-CN" w:bidi="ar-SA"/>
        </w:rPr>
        <w:object>
          <v:shape id="_x0000_i1039" o:spt="75" type="#_x0000_t75" style="height:16pt;width:30pt;" o:ole="t" fillcolor="#FFFFFF" filled="f" o:preferrelative="t" stroked="f" coordsize="21600,21600">
            <v:path/>
            <v:fill on="f" color2="#FFFFFF" focussize="0,0"/>
            <v:stroke on="f"/>
            <v:imagedata r:id="rId40" gain="65536f" blacklevel="0f" gamma="0" o:title=""/>
            <o:lock v:ext="edit" position="f" selection="f" grouping="f" rotation="f" cropping="f" text="f" aspectratio="t"/>
            <w10:wrap type="none"/>
            <w10:anchorlock/>
          </v:shape>
          <o:OLEObject Type="Embed" ProgID="" ShapeID="_x0000_i1039" DrawAspect="Content" ObjectID="_1468075739" r:id="rId39">
            <o:LockedField>false</o:LockedField>
          </o:OLEObject>
        </w:object>
      </w:r>
      <w:r>
        <w:rPr>
          <w:rFonts w:eastAsia="楷体"/>
          <w:color w:val="auto"/>
          <w:sz w:val="28"/>
          <w:szCs w:val="28"/>
          <w:highlight w:val="none"/>
        </w:rPr>
        <w:t>）</w:t>
      </w:r>
      <w:r>
        <w:rPr>
          <w:rFonts w:hint="eastAsia" w:eastAsia="楷体"/>
          <w:color w:val="auto"/>
          <w:sz w:val="28"/>
          <w:szCs w:val="28"/>
          <w:highlight w:val="none"/>
          <w:lang w:eastAsia="zh-CN"/>
        </w:rPr>
        <w:t>；</w:t>
      </w:r>
    </w:p>
    <w:p w14:paraId="10F5C33E">
      <w:pPr>
        <w:spacing w:line="520" w:lineRule="exact"/>
        <w:rPr>
          <w:rFonts w:hint="eastAsia" w:eastAsia="楷体"/>
          <w:color w:val="auto"/>
          <w:sz w:val="28"/>
          <w:szCs w:val="28"/>
          <w:highlight w:val="none"/>
          <w:lang w:eastAsia="zh-CN"/>
        </w:rPr>
      </w:pPr>
      <w:r>
        <w:rPr>
          <w:rFonts w:eastAsia="楷体"/>
          <w:color w:val="auto"/>
          <w:sz w:val="28"/>
          <w:szCs w:val="28"/>
          <w:highlight w:val="none"/>
        </w:rPr>
        <w:t xml:space="preserve">      </w:t>
      </w:r>
      <w:r>
        <w:rPr>
          <w:rFonts w:ascii="Times New Roman" w:hAnsi="Times New Roman" w:eastAsia="楷体" w:cs="Times New Roman"/>
          <w:color w:val="auto"/>
          <w:kern w:val="2"/>
          <w:position w:val="-12"/>
          <w:sz w:val="28"/>
          <w:szCs w:val="28"/>
          <w:highlight w:val="none"/>
          <w:lang w:val="en-US" w:eastAsia="zh-CN" w:bidi="ar-SA"/>
        </w:rPr>
        <w:object>
          <v:shape id="_x0000_i1040" o:spt="75" type="#_x0000_t75" style="height:18pt;width:33pt;" o:ole="t" fillcolor="#FFFFFF" filled="f" o:preferrelative="t" stroked="f" coordsize="21600,21600">
            <v:path/>
            <v:fill on="f" color2="#FFFFFF" focussize="0,0"/>
            <v:stroke on="f"/>
            <v:imagedata r:id="rId42" gain="65536f" blacklevel="0f" gamma="0" o:title=""/>
            <o:lock v:ext="edit" position="f" selection="f" grouping="f" rotation="f" cropping="f" text="f" aspectratio="t"/>
            <w10:wrap type="none"/>
            <w10:anchorlock/>
          </v:shape>
          <o:OLEObject Type="Embed" ProgID="" ShapeID="_x0000_i1040" DrawAspect="Content" ObjectID="_1468075740" r:id="rId41">
            <o:LockedField>false</o:LockedField>
          </o:OLEObject>
        </w:object>
      </w:r>
      <w:r>
        <w:rPr>
          <w:rFonts w:eastAsia="楷体"/>
          <w:color w:val="auto"/>
          <w:sz w:val="28"/>
          <w:szCs w:val="28"/>
          <w:highlight w:val="none"/>
        </w:rPr>
        <w:t>——时段</w:t>
      </w:r>
      <w:r>
        <w:rPr>
          <w:rFonts w:ascii="Times New Roman" w:hAnsi="Times New Roman" w:eastAsia="楷体" w:cs="Times New Roman"/>
          <w:color w:val="auto"/>
          <w:kern w:val="2"/>
          <w:position w:val="-6"/>
          <w:sz w:val="28"/>
          <w:szCs w:val="28"/>
          <w:highlight w:val="none"/>
          <w:lang w:val="en-US" w:eastAsia="zh-CN" w:bidi="ar-SA"/>
        </w:rPr>
        <w:object>
          <v:shape id="_x0000_i1041" o:spt="75" type="#_x0000_t75" style="height:13.95pt;width:15pt;" o:ole="t" fillcolor="#FFFFFF" filled="f" o:preferrelative="t" stroked="f" coordsize="21600,21600">
            <v:path/>
            <v:fill on="f" color2="#FFFFFF" focussize="0,0"/>
            <v:stroke on="f"/>
            <v:imagedata r:id="rId44" gain="65536f" blacklevel="0f" gamma="0" o:title=""/>
            <o:lock v:ext="edit" position="f" selection="f" grouping="f" rotation="f" cropping="f" text="f" aspectratio="t"/>
            <w10:wrap type="none"/>
            <w10:anchorlock/>
          </v:shape>
          <o:OLEObject Type="Embed" ProgID="" ShapeID="_x0000_i1041" DrawAspect="Content" ObjectID="_1468075741" r:id="rId43">
            <o:LockedField>false</o:LockedField>
          </o:OLEObject>
        </w:object>
      </w:r>
      <w:r>
        <w:rPr>
          <w:rFonts w:eastAsia="楷体"/>
          <w:color w:val="auto"/>
          <w:sz w:val="28"/>
          <w:szCs w:val="28"/>
          <w:highlight w:val="none"/>
        </w:rPr>
        <w:t>始、末的出库流量（</w:t>
      </w:r>
      <w:r>
        <w:rPr>
          <w:rFonts w:ascii="Times New Roman" w:hAnsi="Times New Roman" w:eastAsia="楷体" w:cs="Times New Roman"/>
          <w:color w:val="auto"/>
          <w:kern w:val="2"/>
          <w:position w:val="-6"/>
          <w:sz w:val="28"/>
          <w:szCs w:val="28"/>
          <w:highlight w:val="none"/>
          <w:lang w:val="en-US" w:eastAsia="zh-CN" w:bidi="ar-SA"/>
        </w:rPr>
        <w:object>
          <v:shape id="_x0000_i1042" o:spt="75" type="#_x0000_t75" style="height:16pt;width:30pt;" o:ole="t" fillcolor="#FFFFFF" filled="f" o:preferrelative="t" stroked="f" coordsize="21600,21600">
            <v:path/>
            <v:fill on="f" color2="#FFFFFF" focussize="0,0"/>
            <v:stroke on="f"/>
            <v:imagedata r:id="rId46" gain="65536f" blacklevel="0f" gamma="0" o:title=""/>
            <o:lock v:ext="edit" position="f" selection="f" grouping="f" rotation="f" cropping="f" text="f" aspectratio="t"/>
            <w10:wrap type="none"/>
            <w10:anchorlock/>
          </v:shape>
          <o:OLEObject Type="Embed" ProgID="" ShapeID="_x0000_i1042" DrawAspect="Content" ObjectID="_1468075742" r:id="rId45">
            <o:LockedField>false</o:LockedField>
          </o:OLEObject>
        </w:object>
      </w:r>
      <w:r>
        <w:rPr>
          <w:rFonts w:eastAsia="楷体"/>
          <w:color w:val="auto"/>
          <w:sz w:val="28"/>
          <w:szCs w:val="28"/>
          <w:highlight w:val="none"/>
        </w:rPr>
        <w:t>）</w:t>
      </w:r>
      <w:r>
        <w:rPr>
          <w:rFonts w:hint="eastAsia" w:eastAsia="楷体"/>
          <w:color w:val="auto"/>
          <w:sz w:val="28"/>
          <w:szCs w:val="28"/>
          <w:highlight w:val="none"/>
          <w:lang w:eastAsia="zh-CN"/>
        </w:rPr>
        <w:t>；</w:t>
      </w:r>
    </w:p>
    <w:p w14:paraId="13350600">
      <w:pPr>
        <w:spacing w:line="520" w:lineRule="exact"/>
        <w:rPr>
          <w:rFonts w:eastAsia="楷体"/>
          <w:color w:val="auto"/>
          <w:sz w:val="28"/>
          <w:szCs w:val="28"/>
          <w:highlight w:val="none"/>
        </w:rPr>
      </w:pPr>
      <w:r>
        <w:rPr>
          <w:rFonts w:eastAsia="楷体"/>
          <w:color w:val="auto"/>
          <w:sz w:val="28"/>
          <w:szCs w:val="28"/>
          <w:highlight w:val="none"/>
        </w:rPr>
        <w:t xml:space="preserve">      </w:t>
      </w:r>
      <w:r>
        <w:rPr>
          <w:rFonts w:ascii="Times New Roman" w:hAnsi="Times New Roman" w:eastAsia="楷体" w:cs="Times New Roman"/>
          <w:color w:val="auto"/>
          <w:kern w:val="2"/>
          <w:position w:val="-12"/>
          <w:sz w:val="28"/>
          <w:szCs w:val="28"/>
          <w:highlight w:val="none"/>
          <w:lang w:val="en-US" w:eastAsia="zh-CN" w:bidi="ar-SA"/>
        </w:rPr>
        <w:object>
          <v:shape id="_x0000_i1043" o:spt="75" type="#_x0000_t75" style="height:18pt;width:34pt;" o:ole="t" fillcolor="#FFFFFF" filled="f" o:preferrelative="t" stroked="f" coordsize="21600,21600">
            <v:path/>
            <v:fill on="f" color2="#FFFFFF" focussize="0,0"/>
            <v:stroke on="f"/>
            <v:imagedata r:id="rId48" gain="65536f" blacklevel="0f" gamma="0" o:title=""/>
            <o:lock v:ext="edit" position="f" selection="f" grouping="f" rotation="f" cropping="f" text="f" aspectratio="t"/>
            <w10:wrap type="none"/>
            <w10:anchorlock/>
          </v:shape>
          <o:OLEObject Type="Embed" ProgID="" ShapeID="_x0000_i1043" DrawAspect="Content" ObjectID="_1468075743" r:id="rId47">
            <o:LockedField>false</o:LockedField>
          </o:OLEObject>
        </w:object>
      </w:r>
      <w:r>
        <w:rPr>
          <w:rFonts w:eastAsia="楷体"/>
          <w:color w:val="auto"/>
          <w:sz w:val="28"/>
          <w:szCs w:val="28"/>
          <w:highlight w:val="none"/>
        </w:rPr>
        <w:t>——时段</w:t>
      </w:r>
      <w:r>
        <w:rPr>
          <w:rFonts w:ascii="Times New Roman" w:hAnsi="Times New Roman" w:eastAsia="楷体" w:cs="Times New Roman"/>
          <w:color w:val="auto"/>
          <w:kern w:val="2"/>
          <w:position w:val="-6"/>
          <w:sz w:val="28"/>
          <w:szCs w:val="28"/>
          <w:highlight w:val="none"/>
          <w:lang w:val="en-US" w:eastAsia="zh-CN" w:bidi="ar-SA"/>
        </w:rPr>
        <w:object>
          <v:shape id="_x0000_i1044" o:spt="75" type="#_x0000_t75" style="height:13.95pt;width:15pt;" o:ole="t" fillcolor="#FFFFFF" filled="f" o:preferrelative="t" stroked="f" coordsize="21600,21600">
            <v:path/>
            <v:fill on="f" color2="#FFFFFF" focussize="0,0"/>
            <v:stroke on="f"/>
            <v:imagedata r:id="rId50" gain="65536f" blacklevel="0f" gamma="0" o:title=""/>
            <o:lock v:ext="edit" position="f" selection="f" grouping="f" rotation="f" cropping="f" text="f" aspectratio="t"/>
            <w10:wrap type="none"/>
            <w10:anchorlock/>
          </v:shape>
          <o:OLEObject Type="Embed" ProgID="" ShapeID="_x0000_i1044" DrawAspect="Content" ObjectID="_1468075744" r:id="rId49">
            <o:LockedField>false</o:LockedField>
          </o:OLEObject>
        </w:object>
      </w:r>
      <w:r>
        <w:rPr>
          <w:rFonts w:eastAsia="楷体"/>
          <w:color w:val="auto"/>
          <w:sz w:val="28"/>
          <w:szCs w:val="28"/>
          <w:highlight w:val="none"/>
        </w:rPr>
        <w:t>始、末的库容（万</w:t>
      </w:r>
      <w:r>
        <w:rPr>
          <w:rFonts w:eastAsia="楷体"/>
          <w:i/>
          <w:color w:val="auto"/>
          <w:sz w:val="28"/>
          <w:szCs w:val="28"/>
          <w:highlight w:val="none"/>
        </w:rPr>
        <w:t xml:space="preserve"> </w:t>
      </w:r>
      <w:r>
        <w:rPr>
          <w:rFonts w:ascii="Times New Roman" w:hAnsi="Times New Roman" w:eastAsia="楷体" w:cs="Times New Roman"/>
          <w:color w:val="auto"/>
          <w:kern w:val="2"/>
          <w:position w:val="-6"/>
          <w:sz w:val="28"/>
          <w:szCs w:val="28"/>
          <w:highlight w:val="none"/>
          <w:lang w:val="en-US" w:eastAsia="zh-CN" w:bidi="ar-SA"/>
        </w:rPr>
        <w:object>
          <v:shape id="_x0000_i1045" o:spt="75" type="#_x0000_t75" style="height:16pt;width:16pt;" o:ole="t" fillcolor="#FFFFFF" filled="f" o:preferrelative="t" stroked="f" coordsize="21600,21600">
            <v:path/>
            <v:fill on="f" color2="#FFFFFF" focussize="0,0"/>
            <v:stroke on="f"/>
            <v:imagedata r:id="rId52" gain="65536f" blacklevel="0f" gamma="0" o:title=""/>
            <o:lock v:ext="edit" position="f" selection="f" grouping="f" rotation="f" cropping="f" text="f" aspectratio="t"/>
            <w10:wrap type="none"/>
            <w10:anchorlock/>
          </v:shape>
          <o:OLEObject Type="Embed" ProgID="" ShapeID="_x0000_i1045" DrawAspect="Content" ObjectID="_1468075745" r:id="rId51">
            <o:LockedField>false</o:LockedField>
          </o:OLEObject>
        </w:object>
      </w:r>
      <w:r>
        <w:rPr>
          <w:rFonts w:eastAsia="楷体"/>
          <w:color w:val="auto"/>
          <w:sz w:val="28"/>
          <w:szCs w:val="28"/>
          <w:highlight w:val="none"/>
        </w:rPr>
        <w:t>）</w:t>
      </w:r>
    </w:p>
    <w:p w14:paraId="6F22C661">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四清水库的正常蓄水位为</w:t>
      </w:r>
      <w:r>
        <w:rPr>
          <w:rFonts w:hint="eastAsia" w:eastAsia="楷体"/>
          <w:color w:val="auto"/>
          <w:sz w:val="28"/>
          <w:szCs w:val="28"/>
          <w:highlight w:val="none"/>
          <w:lang w:val="en-US" w:eastAsia="zh-CN"/>
        </w:rPr>
        <w:t>28.04</w:t>
      </w:r>
      <w:r>
        <w:rPr>
          <w:rFonts w:eastAsia="楷体"/>
          <w:color w:val="auto"/>
          <w:sz w:val="28"/>
          <w:szCs w:val="28"/>
          <w:highlight w:val="none"/>
        </w:rPr>
        <w:t>m，汛期期间起调水位采用汛限水位</w:t>
      </w:r>
      <w:r>
        <w:rPr>
          <w:rFonts w:hint="eastAsia" w:eastAsia="楷体"/>
          <w:color w:val="auto"/>
          <w:sz w:val="28"/>
          <w:szCs w:val="28"/>
          <w:highlight w:val="none"/>
          <w:lang w:val="en-US" w:eastAsia="zh-CN"/>
        </w:rPr>
        <w:t>28.04</w:t>
      </w:r>
      <w:r>
        <w:rPr>
          <w:rFonts w:eastAsia="楷体"/>
          <w:color w:val="auto"/>
          <w:sz w:val="28"/>
          <w:szCs w:val="28"/>
          <w:highlight w:val="none"/>
        </w:rPr>
        <w:t>m，</w:t>
      </w:r>
      <w:r>
        <w:rPr>
          <w:rFonts w:hint="eastAsia" w:eastAsia="楷体"/>
          <w:color w:val="auto"/>
          <w:sz w:val="28"/>
          <w:szCs w:val="28"/>
          <w:highlight w:val="none"/>
          <w:lang w:eastAsia="zh-CN"/>
        </w:rPr>
        <w:t>控蓄水位</w:t>
      </w:r>
      <w:r>
        <w:rPr>
          <w:rFonts w:hint="eastAsia" w:eastAsia="楷体"/>
          <w:color w:val="auto"/>
          <w:sz w:val="28"/>
          <w:szCs w:val="28"/>
          <w:highlight w:val="none"/>
          <w:lang w:val="en-US" w:eastAsia="zh-CN"/>
        </w:rPr>
        <w:t>27.04m。</w:t>
      </w:r>
      <w:r>
        <w:rPr>
          <w:rFonts w:eastAsia="楷体"/>
          <w:color w:val="auto"/>
          <w:sz w:val="28"/>
          <w:szCs w:val="28"/>
          <w:highlight w:val="none"/>
        </w:rPr>
        <w:t>经调洪演算求得P=</w:t>
      </w:r>
      <w:r>
        <w:rPr>
          <w:rFonts w:hint="eastAsia" w:eastAsia="楷体"/>
          <w:color w:val="auto"/>
          <w:sz w:val="28"/>
          <w:szCs w:val="28"/>
          <w:highlight w:val="none"/>
          <w:lang w:val="en-US" w:eastAsia="zh-CN"/>
        </w:rPr>
        <w:t>5</w:t>
      </w:r>
      <w:r>
        <w:rPr>
          <w:rFonts w:eastAsia="楷体"/>
          <w:color w:val="auto"/>
          <w:sz w:val="28"/>
          <w:szCs w:val="28"/>
          <w:highlight w:val="none"/>
        </w:rPr>
        <w:t>%和P=0.</w:t>
      </w:r>
      <w:r>
        <w:rPr>
          <w:rFonts w:hint="eastAsia" w:eastAsia="楷体"/>
          <w:color w:val="auto"/>
          <w:sz w:val="28"/>
          <w:szCs w:val="28"/>
          <w:highlight w:val="none"/>
          <w:lang w:val="en-US" w:eastAsia="zh-CN"/>
        </w:rPr>
        <w:t>5</w:t>
      </w:r>
      <w:r>
        <w:rPr>
          <w:rFonts w:eastAsia="楷体"/>
          <w:color w:val="auto"/>
          <w:sz w:val="28"/>
          <w:szCs w:val="28"/>
          <w:highlight w:val="none"/>
        </w:rPr>
        <w:t>%两种设计频率洪水的调洪演算成果详见表</w:t>
      </w:r>
      <w:r>
        <w:rPr>
          <w:rFonts w:hint="eastAsia" w:eastAsia="楷体"/>
          <w:color w:val="auto"/>
          <w:sz w:val="28"/>
          <w:szCs w:val="28"/>
          <w:highlight w:val="none"/>
          <w:lang w:val="en-US" w:eastAsia="zh-CN"/>
        </w:rPr>
        <w:t>2</w:t>
      </w:r>
      <w:r>
        <w:rPr>
          <w:rFonts w:eastAsia="楷体"/>
          <w:color w:val="auto"/>
          <w:sz w:val="28"/>
          <w:szCs w:val="28"/>
          <w:highlight w:val="none"/>
        </w:rPr>
        <w:t>-</w:t>
      </w:r>
      <w:r>
        <w:rPr>
          <w:rFonts w:hint="eastAsia" w:eastAsia="楷体"/>
          <w:color w:val="auto"/>
          <w:sz w:val="28"/>
          <w:szCs w:val="28"/>
          <w:highlight w:val="none"/>
          <w:lang w:val="en-US" w:eastAsia="zh-CN"/>
        </w:rPr>
        <w:t>3</w:t>
      </w:r>
      <w:r>
        <w:rPr>
          <w:rFonts w:eastAsia="楷体"/>
          <w:color w:val="auto"/>
          <w:sz w:val="28"/>
          <w:szCs w:val="28"/>
          <w:highlight w:val="none"/>
        </w:rPr>
        <w:t>。</w:t>
      </w:r>
    </w:p>
    <w:p w14:paraId="7CBB6042">
      <w:pPr>
        <w:spacing w:line="520" w:lineRule="exact"/>
        <w:rPr>
          <w:rFonts w:eastAsia="楷体"/>
          <w:b/>
          <w:bCs/>
          <w:color w:val="auto"/>
          <w:spacing w:val="20"/>
          <w:kern w:val="0"/>
          <w:sz w:val="28"/>
          <w:szCs w:val="28"/>
          <w:highlight w:val="none"/>
        </w:rPr>
      </w:pPr>
      <w:r>
        <w:rPr>
          <w:rFonts w:eastAsia="楷体"/>
          <w:b/>
          <w:bCs/>
          <w:color w:val="auto"/>
          <w:spacing w:val="20"/>
          <w:kern w:val="0"/>
          <w:sz w:val="28"/>
          <w:szCs w:val="28"/>
          <w:highlight w:val="none"/>
        </w:rPr>
        <w:t>表</w:t>
      </w:r>
      <w:r>
        <w:rPr>
          <w:rFonts w:hint="eastAsia" w:eastAsia="楷体"/>
          <w:b/>
          <w:bCs/>
          <w:color w:val="auto"/>
          <w:spacing w:val="20"/>
          <w:kern w:val="0"/>
          <w:sz w:val="28"/>
          <w:szCs w:val="28"/>
          <w:highlight w:val="none"/>
          <w:lang w:val="en-US" w:eastAsia="zh-CN"/>
        </w:rPr>
        <w:t>2</w:t>
      </w:r>
      <w:r>
        <w:rPr>
          <w:rFonts w:eastAsia="楷体"/>
          <w:b/>
          <w:bCs/>
          <w:color w:val="auto"/>
          <w:spacing w:val="20"/>
          <w:kern w:val="0"/>
          <w:sz w:val="28"/>
          <w:szCs w:val="28"/>
          <w:highlight w:val="none"/>
        </w:rPr>
        <w:t>-</w:t>
      </w:r>
      <w:r>
        <w:rPr>
          <w:rFonts w:hint="eastAsia" w:eastAsia="楷体"/>
          <w:b/>
          <w:bCs/>
          <w:color w:val="auto"/>
          <w:spacing w:val="20"/>
          <w:kern w:val="0"/>
          <w:sz w:val="28"/>
          <w:szCs w:val="28"/>
          <w:highlight w:val="none"/>
          <w:lang w:val="en-US" w:eastAsia="zh-CN"/>
        </w:rPr>
        <w:t>3</w:t>
      </w:r>
      <w:r>
        <w:rPr>
          <w:rFonts w:eastAsia="楷体"/>
          <w:b/>
          <w:bCs/>
          <w:color w:val="auto"/>
          <w:spacing w:val="20"/>
          <w:kern w:val="0"/>
          <w:sz w:val="28"/>
          <w:szCs w:val="28"/>
          <w:highlight w:val="none"/>
        </w:rPr>
        <w:t xml:space="preserve">            四清水库调洪演算成果表</w:t>
      </w:r>
    </w:p>
    <w:tbl>
      <w:tblPr>
        <w:tblStyle w:val="19"/>
        <w:tblW w:w="910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7"/>
        <w:gridCol w:w="2046"/>
        <w:gridCol w:w="1778"/>
        <w:gridCol w:w="1585"/>
        <w:gridCol w:w="1585"/>
      </w:tblGrid>
      <w:tr w14:paraId="78D060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7" w:type="dxa"/>
            <w:vAlign w:val="center"/>
          </w:tcPr>
          <w:p w14:paraId="2DE2552A">
            <w:pPr>
              <w:widowControl/>
              <w:spacing w:line="440" w:lineRule="exact"/>
              <w:jc w:val="center"/>
              <w:textAlignment w:val="center"/>
              <w:rPr>
                <w:rFonts w:eastAsia="楷体"/>
                <w:b/>
                <w:color w:val="auto"/>
                <w:sz w:val="24"/>
                <w:highlight w:val="none"/>
              </w:rPr>
            </w:pPr>
            <w:r>
              <w:rPr>
                <w:rFonts w:eastAsia="楷体"/>
                <w:b/>
                <w:color w:val="auto"/>
                <w:kern w:val="0"/>
                <w:sz w:val="24"/>
                <w:highlight w:val="none"/>
              </w:rPr>
              <w:t>设计频率</w:t>
            </w:r>
          </w:p>
        </w:tc>
        <w:tc>
          <w:tcPr>
            <w:tcW w:w="2046" w:type="dxa"/>
            <w:vAlign w:val="center"/>
          </w:tcPr>
          <w:p w14:paraId="01A8D198">
            <w:pPr>
              <w:widowControl/>
              <w:spacing w:line="440" w:lineRule="exact"/>
              <w:jc w:val="center"/>
              <w:textAlignment w:val="center"/>
              <w:rPr>
                <w:rFonts w:eastAsia="楷体"/>
                <w:b/>
                <w:color w:val="auto"/>
                <w:sz w:val="24"/>
                <w:highlight w:val="none"/>
              </w:rPr>
            </w:pPr>
            <w:r>
              <w:rPr>
                <w:rFonts w:eastAsia="楷体"/>
                <w:b/>
                <w:color w:val="auto"/>
                <w:kern w:val="0"/>
                <w:sz w:val="24"/>
                <w:highlight w:val="none"/>
              </w:rPr>
              <w:t>最大入库流量(m</w:t>
            </w:r>
            <w:r>
              <w:rPr>
                <w:rFonts w:eastAsia="楷体"/>
                <w:b/>
                <w:color w:val="auto"/>
                <w:kern w:val="0"/>
                <w:sz w:val="24"/>
                <w:highlight w:val="none"/>
                <w:vertAlign w:val="superscript"/>
              </w:rPr>
              <w:t>3</w:t>
            </w:r>
            <w:r>
              <w:rPr>
                <w:rFonts w:eastAsia="楷体"/>
                <w:b/>
                <w:color w:val="auto"/>
                <w:kern w:val="0"/>
                <w:sz w:val="24"/>
                <w:highlight w:val="none"/>
              </w:rPr>
              <w:t>/s)</w:t>
            </w:r>
          </w:p>
        </w:tc>
        <w:tc>
          <w:tcPr>
            <w:tcW w:w="1778" w:type="dxa"/>
            <w:vAlign w:val="center"/>
          </w:tcPr>
          <w:p w14:paraId="54DDF954">
            <w:pPr>
              <w:widowControl/>
              <w:spacing w:line="440" w:lineRule="exact"/>
              <w:jc w:val="center"/>
              <w:textAlignment w:val="center"/>
              <w:rPr>
                <w:rFonts w:eastAsia="楷体"/>
                <w:b/>
                <w:color w:val="auto"/>
                <w:sz w:val="24"/>
                <w:highlight w:val="none"/>
              </w:rPr>
            </w:pPr>
            <w:r>
              <w:rPr>
                <w:rFonts w:eastAsia="楷体"/>
                <w:b/>
                <w:color w:val="auto"/>
                <w:kern w:val="0"/>
                <w:sz w:val="24"/>
                <w:highlight w:val="none"/>
              </w:rPr>
              <w:t>最大下泄流量(m</w:t>
            </w:r>
            <w:r>
              <w:rPr>
                <w:rFonts w:eastAsia="楷体"/>
                <w:b/>
                <w:color w:val="auto"/>
                <w:kern w:val="0"/>
                <w:sz w:val="24"/>
                <w:highlight w:val="none"/>
                <w:vertAlign w:val="superscript"/>
              </w:rPr>
              <w:t>3</w:t>
            </w:r>
            <w:r>
              <w:rPr>
                <w:rFonts w:eastAsia="楷体"/>
                <w:b/>
                <w:color w:val="auto"/>
                <w:kern w:val="0"/>
                <w:sz w:val="24"/>
                <w:highlight w:val="none"/>
              </w:rPr>
              <w:t>/s)</w:t>
            </w:r>
          </w:p>
        </w:tc>
        <w:tc>
          <w:tcPr>
            <w:tcW w:w="1585" w:type="dxa"/>
            <w:vAlign w:val="center"/>
          </w:tcPr>
          <w:p w14:paraId="6AF1EA6F">
            <w:pPr>
              <w:widowControl/>
              <w:spacing w:line="440" w:lineRule="exact"/>
              <w:jc w:val="center"/>
              <w:textAlignment w:val="center"/>
              <w:rPr>
                <w:rFonts w:eastAsia="楷体"/>
                <w:b/>
                <w:color w:val="auto"/>
                <w:sz w:val="24"/>
                <w:highlight w:val="none"/>
              </w:rPr>
            </w:pPr>
            <w:r>
              <w:rPr>
                <w:rFonts w:eastAsia="楷体"/>
                <w:b/>
                <w:color w:val="auto"/>
                <w:kern w:val="0"/>
                <w:sz w:val="24"/>
                <w:highlight w:val="none"/>
              </w:rPr>
              <w:t>最高库水位（m）</w:t>
            </w:r>
          </w:p>
        </w:tc>
        <w:tc>
          <w:tcPr>
            <w:tcW w:w="1585" w:type="dxa"/>
            <w:vAlign w:val="center"/>
          </w:tcPr>
          <w:p w14:paraId="2788B29E">
            <w:pPr>
              <w:widowControl/>
              <w:spacing w:line="440" w:lineRule="exact"/>
              <w:jc w:val="center"/>
              <w:textAlignment w:val="center"/>
              <w:rPr>
                <w:rFonts w:eastAsia="楷体"/>
                <w:b/>
                <w:color w:val="auto"/>
                <w:kern w:val="0"/>
                <w:sz w:val="24"/>
                <w:highlight w:val="none"/>
              </w:rPr>
            </w:pPr>
            <w:r>
              <w:rPr>
                <w:rFonts w:eastAsia="楷体"/>
                <w:b/>
                <w:color w:val="auto"/>
                <w:kern w:val="0"/>
                <w:sz w:val="24"/>
                <w:highlight w:val="none"/>
              </w:rPr>
              <w:t>设计库容</w:t>
            </w:r>
          </w:p>
          <w:p w14:paraId="48E47FD3">
            <w:pPr>
              <w:widowControl/>
              <w:spacing w:line="440" w:lineRule="exact"/>
              <w:jc w:val="center"/>
              <w:textAlignment w:val="center"/>
              <w:rPr>
                <w:rFonts w:eastAsia="楷体"/>
                <w:b/>
                <w:color w:val="auto"/>
                <w:sz w:val="24"/>
                <w:highlight w:val="none"/>
              </w:rPr>
            </w:pPr>
            <w:r>
              <w:rPr>
                <w:rFonts w:eastAsia="楷体"/>
                <w:b/>
                <w:color w:val="auto"/>
                <w:kern w:val="0"/>
                <w:sz w:val="24"/>
                <w:highlight w:val="none"/>
              </w:rPr>
              <w:t>（万m</w:t>
            </w:r>
            <w:r>
              <w:rPr>
                <w:rFonts w:eastAsia="楷体"/>
                <w:b/>
                <w:color w:val="auto"/>
                <w:kern w:val="0"/>
                <w:sz w:val="24"/>
                <w:highlight w:val="none"/>
                <w:vertAlign w:val="superscript"/>
              </w:rPr>
              <w:t>3</w:t>
            </w:r>
            <w:r>
              <w:rPr>
                <w:rFonts w:eastAsia="楷体"/>
                <w:b/>
                <w:color w:val="auto"/>
                <w:kern w:val="0"/>
                <w:sz w:val="24"/>
                <w:highlight w:val="none"/>
              </w:rPr>
              <w:t>）</w:t>
            </w:r>
          </w:p>
        </w:tc>
      </w:tr>
      <w:tr w14:paraId="505C12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vAlign w:val="center"/>
          </w:tcPr>
          <w:p w14:paraId="3B2D8A14">
            <w:pPr>
              <w:widowControl/>
              <w:spacing w:line="440" w:lineRule="exact"/>
              <w:jc w:val="center"/>
              <w:textAlignment w:val="center"/>
              <w:rPr>
                <w:rFonts w:eastAsia="楷体"/>
                <w:color w:val="auto"/>
                <w:sz w:val="24"/>
                <w:highlight w:val="none"/>
              </w:rPr>
            </w:pPr>
            <w:r>
              <w:rPr>
                <w:rFonts w:eastAsia="楷体"/>
                <w:color w:val="auto"/>
                <w:kern w:val="0"/>
                <w:sz w:val="24"/>
                <w:highlight w:val="none"/>
              </w:rPr>
              <w:t>P=</w:t>
            </w:r>
            <w:r>
              <w:rPr>
                <w:rFonts w:hint="eastAsia" w:eastAsia="楷体"/>
                <w:color w:val="auto"/>
                <w:kern w:val="0"/>
                <w:sz w:val="24"/>
                <w:highlight w:val="none"/>
                <w:lang w:val="en-US" w:eastAsia="zh-CN"/>
              </w:rPr>
              <w:t>5</w:t>
            </w:r>
            <w:r>
              <w:rPr>
                <w:rFonts w:eastAsia="楷体"/>
                <w:color w:val="auto"/>
                <w:kern w:val="0"/>
                <w:sz w:val="24"/>
                <w:highlight w:val="none"/>
              </w:rPr>
              <w:t>%</w:t>
            </w:r>
          </w:p>
        </w:tc>
        <w:tc>
          <w:tcPr>
            <w:tcW w:w="2046" w:type="dxa"/>
            <w:vAlign w:val="center"/>
          </w:tcPr>
          <w:p w14:paraId="6318AB2E">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rPr>
              <w:t>12.35</w:t>
            </w:r>
          </w:p>
        </w:tc>
        <w:tc>
          <w:tcPr>
            <w:tcW w:w="1778" w:type="dxa"/>
            <w:vAlign w:val="center"/>
          </w:tcPr>
          <w:p w14:paraId="5D8FA0E4">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rPr>
              <w:t>5.84</w:t>
            </w:r>
          </w:p>
        </w:tc>
        <w:tc>
          <w:tcPr>
            <w:tcW w:w="1585" w:type="dxa"/>
            <w:vAlign w:val="center"/>
          </w:tcPr>
          <w:p w14:paraId="2A4EF015">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rPr>
              <w:t>28.56</w:t>
            </w:r>
          </w:p>
        </w:tc>
        <w:tc>
          <w:tcPr>
            <w:tcW w:w="1585" w:type="dxa"/>
            <w:vAlign w:val="center"/>
          </w:tcPr>
          <w:p w14:paraId="71716D34">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rPr>
              <w:t>29.54</w:t>
            </w:r>
          </w:p>
        </w:tc>
      </w:tr>
      <w:tr w14:paraId="0712B4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vAlign w:val="center"/>
          </w:tcPr>
          <w:p w14:paraId="3299F39D">
            <w:pPr>
              <w:widowControl/>
              <w:spacing w:line="440" w:lineRule="exact"/>
              <w:jc w:val="center"/>
              <w:textAlignment w:val="center"/>
              <w:rPr>
                <w:rFonts w:eastAsia="楷体"/>
                <w:color w:val="auto"/>
                <w:sz w:val="24"/>
                <w:highlight w:val="none"/>
              </w:rPr>
            </w:pPr>
            <w:r>
              <w:rPr>
                <w:rFonts w:eastAsia="楷体"/>
                <w:color w:val="auto"/>
                <w:kern w:val="0"/>
                <w:sz w:val="24"/>
                <w:highlight w:val="none"/>
              </w:rPr>
              <w:t>P=0.</w:t>
            </w:r>
            <w:r>
              <w:rPr>
                <w:rFonts w:hint="eastAsia" w:eastAsia="楷体"/>
                <w:color w:val="auto"/>
                <w:kern w:val="0"/>
                <w:sz w:val="24"/>
                <w:highlight w:val="none"/>
                <w:lang w:val="en-US" w:eastAsia="zh-CN"/>
              </w:rPr>
              <w:t>5</w:t>
            </w:r>
            <w:r>
              <w:rPr>
                <w:rFonts w:eastAsia="楷体"/>
                <w:color w:val="auto"/>
                <w:kern w:val="0"/>
                <w:sz w:val="24"/>
                <w:highlight w:val="none"/>
              </w:rPr>
              <w:t>%</w:t>
            </w:r>
          </w:p>
        </w:tc>
        <w:tc>
          <w:tcPr>
            <w:tcW w:w="2046" w:type="dxa"/>
            <w:vAlign w:val="center"/>
          </w:tcPr>
          <w:p w14:paraId="40D9A9A0">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rPr>
              <w:t>20.64</w:t>
            </w:r>
          </w:p>
        </w:tc>
        <w:tc>
          <w:tcPr>
            <w:tcW w:w="1778" w:type="dxa"/>
            <w:vAlign w:val="center"/>
          </w:tcPr>
          <w:p w14:paraId="0B8DD19A">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rPr>
              <w:t>10.61</w:t>
            </w:r>
          </w:p>
        </w:tc>
        <w:tc>
          <w:tcPr>
            <w:tcW w:w="1585" w:type="dxa"/>
            <w:vAlign w:val="center"/>
          </w:tcPr>
          <w:p w14:paraId="306F8AC7">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rPr>
              <w:t>28.81</w:t>
            </w:r>
          </w:p>
        </w:tc>
        <w:tc>
          <w:tcPr>
            <w:tcW w:w="1585" w:type="dxa"/>
            <w:vAlign w:val="center"/>
          </w:tcPr>
          <w:p w14:paraId="433C757F">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rPr>
              <w:t>30.87</w:t>
            </w:r>
          </w:p>
        </w:tc>
      </w:tr>
    </w:tbl>
    <w:p w14:paraId="4A60F591">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（2）四清水库防汛调度方案</w:t>
      </w:r>
    </w:p>
    <w:p w14:paraId="0C6BC25C">
      <w:pPr>
        <w:numPr>
          <w:ilvl w:val="0"/>
          <w:numId w:val="3"/>
        </w:num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四清水库汛限水位为</w:t>
      </w:r>
      <w:r>
        <w:rPr>
          <w:rFonts w:hint="eastAsia" w:eastAsia="楷体"/>
          <w:color w:val="auto"/>
          <w:sz w:val="28"/>
          <w:szCs w:val="28"/>
          <w:highlight w:val="none"/>
          <w:lang w:val="en-US" w:eastAsia="zh-CN"/>
        </w:rPr>
        <w:t>28.04</w:t>
      </w:r>
      <w:r>
        <w:rPr>
          <w:rFonts w:eastAsia="楷体"/>
          <w:color w:val="auto"/>
          <w:sz w:val="28"/>
          <w:szCs w:val="28"/>
          <w:highlight w:val="none"/>
        </w:rPr>
        <w:t>m，</w:t>
      </w:r>
      <w:r>
        <w:rPr>
          <w:rFonts w:hint="eastAsia" w:eastAsia="楷体"/>
          <w:color w:val="auto"/>
          <w:sz w:val="28"/>
          <w:szCs w:val="28"/>
          <w:highlight w:val="none"/>
          <w:lang w:eastAsia="zh-CN"/>
        </w:rPr>
        <w:t>控蓄水位为</w:t>
      </w:r>
      <w:r>
        <w:rPr>
          <w:rFonts w:hint="eastAsia" w:eastAsia="楷体"/>
          <w:color w:val="auto"/>
          <w:sz w:val="28"/>
          <w:szCs w:val="28"/>
          <w:highlight w:val="none"/>
          <w:lang w:val="en-US" w:eastAsia="zh-CN"/>
        </w:rPr>
        <w:t>28.04m。</w:t>
      </w:r>
      <w:r>
        <w:rPr>
          <w:rFonts w:eastAsia="楷体"/>
          <w:color w:val="auto"/>
          <w:sz w:val="28"/>
          <w:szCs w:val="28"/>
          <w:highlight w:val="none"/>
        </w:rPr>
        <w:t>进入汛期前，若四清水库水位大于</w:t>
      </w:r>
      <w:r>
        <w:rPr>
          <w:rFonts w:hint="eastAsia" w:eastAsia="楷体"/>
          <w:color w:val="auto"/>
          <w:sz w:val="28"/>
          <w:szCs w:val="28"/>
          <w:highlight w:val="none"/>
          <w:lang w:val="en-US" w:eastAsia="zh-CN"/>
        </w:rPr>
        <w:t>28.04</w:t>
      </w:r>
      <w:r>
        <w:rPr>
          <w:rFonts w:eastAsia="楷体"/>
          <w:color w:val="auto"/>
          <w:sz w:val="28"/>
          <w:szCs w:val="28"/>
          <w:highlight w:val="none"/>
        </w:rPr>
        <w:t>m，则自由泄流，使四清水库在汛期开始即4月1日前的水库水位控制在</w:t>
      </w:r>
      <w:r>
        <w:rPr>
          <w:rFonts w:hint="eastAsia" w:eastAsia="楷体"/>
          <w:color w:val="auto"/>
          <w:sz w:val="28"/>
          <w:szCs w:val="28"/>
          <w:highlight w:val="none"/>
          <w:lang w:val="en-US" w:eastAsia="zh-CN"/>
        </w:rPr>
        <w:t>28.04</w:t>
      </w:r>
      <w:r>
        <w:rPr>
          <w:rFonts w:eastAsia="楷体"/>
          <w:color w:val="auto"/>
          <w:sz w:val="28"/>
          <w:szCs w:val="28"/>
          <w:highlight w:val="none"/>
        </w:rPr>
        <w:t>m以下；汛期期间，水库可根据需要进行蓄水，但不得超过</w:t>
      </w:r>
      <w:r>
        <w:rPr>
          <w:rFonts w:hint="eastAsia" w:eastAsia="楷体"/>
          <w:color w:val="auto"/>
          <w:sz w:val="28"/>
          <w:szCs w:val="28"/>
          <w:highlight w:val="none"/>
          <w:lang w:val="en-US" w:eastAsia="zh-CN"/>
        </w:rPr>
        <w:t>28.04</w:t>
      </w:r>
      <w:r>
        <w:rPr>
          <w:rFonts w:eastAsia="楷体"/>
          <w:color w:val="auto"/>
          <w:sz w:val="28"/>
          <w:szCs w:val="28"/>
          <w:highlight w:val="none"/>
        </w:rPr>
        <w:t>m。</w:t>
      </w:r>
    </w:p>
    <w:p w14:paraId="058FCD61">
      <w:pPr>
        <w:numPr>
          <w:ilvl w:val="0"/>
          <w:numId w:val="4"/>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在汛期期间遇到短历时强降雨时</w:t>
      </w:r>
    </w:p>
    <w:p w14:paraId="3B7449ED">
      <w:pPr>
        <w:numPr>
          <w:ilvl w:val="0"/>
          <w:numId w:val="0"/>
        </w:num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val="en-US" w:eastAsia="zh-CN"/>
        </w:rPr>
        <w:t>1)</w:t>
      </w:r>
      <w:r>
        <w:rPr>
          <w:rFonts w:eastAsia="楷体"/>
          <w:color w:val="auto"/>
          <w:sz w:val="28"/>
          <w:szCs w:val="28"/>
          <w:highlight w:val="none"/>
        </w:rPr>
        <w:t>当四清水库遇到短历时小于50mm的强降雨时，入库最大洪水总量为</w:t>
      </w:r>
      <w:r>
        <w:rPr>
          <w:rFonts w:hint="eastAsia" w:eastAsia="楷体"/>
          <w:color w:val="auto"/>
          <w:sz w:val="28"/>
          <w:szCs w:val="28"/>
          <w:highlight w:val="none"/>
          <w:lang w:val="en-US" w:eastAsia="zh-CN"/>
        </w:rPr>
        <w:t>2.24</w:t>
      </w:r>
      <w:r>
        <w:rPr>
          <w:rFonts w:eastAsia="楷体"/>
          <w:color w:val="auto"/>
          <w:sz w:val="28"/>
          <w:szCs w:val="28"/>
          <w:highlight w:val="none"/>
        </w:rPr>
        <w:t>万m3，如水库水位在</w:t>
      </w:r>
      <w:r>
        <w:rPr>
          <w:rFonts w:hint="eastAsia" w:eastAsia="楷体"/>
          <w:color w:val="auto"/>
          <w:sz w:val="28"/>
          <w:szCs w:val="28"/>
          <w:highlight w:val="none"/>
          <w:lang w:val="en-US" w:eastAsia="zh-CN"/>
        </w:rPr>
        <w:t>27.16</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27.16</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27.16</w:t>
      </w:r>
      <w:r>
        <w:rPr>
          <w:rFonts w:eastAsia="楷体"/>
          <w:color w:val="auto"/>
          <w:sz w:val="28"/>
          <w:szCs w:val="28"/>
          <w:highlight w:val="none"/>
        </w:rPr>
        <w:t>m以下；</w:t>
      </w:r>
    </w:p>
    <w:p w14:paraId="10A3EA7A">
      <w:pPr>
        <w:numPr>
          <w:ilvl w:val="0"/>
          <w:numId w:val="3"/>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当遇到有短历时小于75mm的强降雨时，入库最大洪水总量为</w:t>
      </w:r>
      <w:r>
        <w:rPr>
          <w:rFonts w:hint="eastAsia" w:eastAsia="楷体"/>
          <w:color w:val="auto"/>
          <w:sz w:val="28"/>
          <w:szCs w:val="28"/>
          <w:highlight w:val="none"/>
          <w:lang w:val="en-US" w:eastAsia="zh-CN"/>
        </w:rPr>
        <w:t>3.37</w:t>
      </w:r>
      <w:r>
        <w:rPr>
          <w:rFonts w:eastAsia="楷体"/>
          <w:color w:val="auto"/>
          <w:sz w:val="28"/>
          <w:szCs w:val="28"/>
          <w:highlight w:val="none"/>
        </w:rPr>
        <w:t>万m3，如水库水位在</w:t>
      </w:r>
      <w:r>
        <w:rPr>
          <w:rFonts w:hint="eastAsia" w:eastAsia="楷体"/>
          <w:color w:val="auto"/>
          <w:sz w:val="28"/>
          <w:szCs w:val="28"/>
          <w:highlight w:val="none"/>
          <w:lang w:val="en-US" w:eastAsia="zh-CN"/>
        </w:rPr>
        <w:t>26.9</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26.9</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26.94</w:t>
      </w:r>
      <w:r>
        <w:rPr>
          <w:rFonts w:eastAsia="楷体"/>
          <w:color w:val="auto"/>
          <w:sz w:val="28"/>
          <w:szCs w:val="28"/>
          <w:highlight w:val="none"/>
        </w:rPr>
        <w:t>m以下；</w:t>
      </w:r>
    </w:p>
    <w:p w14:paraId="2F5047FA">
      <w:pPr>
        <w:numPr>
          <w:ilvl w:val="0"/>
          <w:numId w:val="3"/>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当遇到有短历时小于100mm的强降雨时，入库最大洪水总量为</w:t>
      </w:r>
      <w:r>
        <w:rPr>
          <w:rFonts w:hint="eastAsia" w:eastAsia="楷体"/>
          <w:color w:val="auto"/>
          <w:sz w:val="28"/>
          <w:szCs w:val="28"/>
          <w:highlight w:val="none"/>
          <w:lang w:val="en-US" w:eastAsia="zh-CN"/>
        </w:rPr>
        <w:t>4.5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26.63</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26.63</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26.63</w:t>
      </w:r>
      <w:r>
        <w:rPr>
          <w:rFonts w:eastAsia="楷体"/>
          <w:color w:val="auto"/>
          <w:sz w:val="28"/>
          <w:szCs w:val="28"/>
          <w:highlight w:val="none"/>
        </w:rPr>
        <w:t>m以下；</w:t>
      </w:r>
    </w:p>
    <w:p w14:paraId="6CA03FAE">
      <w:pPr>
        <w:numPr>
          <w:ilvl w:val="0"/>
          <w:numId w:val="0"/>
        </w:num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val="en-US" w:eastAsia="zh-CN"/>
        </w:rPr>
        <w:t>3.</w:t>
      </w:r>
      <w:r>
        <w:rPr>
          <w:rFonts w:eastAsia="楷体"/>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407EB48B">
      <w:pPr>
        <w:numPr>
          <w:ilvl w:val="0"/>
          <w:numId w:val="5"/>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当遇到台风对我市降雨影响预计达到100mm的强降雨时，单日入库最大洪水总量为</w:t>
      </w:r>
      <w:r>
        <w:rPr>
          <w:rFonts w:hint="eastAsia" w:eastAsia="楷体"/>
          <w:color w:val="auto"/>
          <w:sz w:val="28"/>
          <w:szCs w:val="28"/>
          <w:highlight w:val="none"/>
          <w:lang w:val="en-US" w:eastAsia="zh-CN"/>
        </w:rPr>
        <w:t>4.25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26.7</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26.7</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26.7</w:t>
      </w:r>
      <w:r>
        <w:rPr>
          <w:rFonts w:eastAsia="楷体"/>
          <w:color w:val="auto"/>
          <w:sz w:val="28"/>
          <w:szCs w:val="28"/>
          <w:highlight w:val="none"/>
        </w:rPr>
        <w:t>m以下。</w:t>
      </w:r>
    </w:p>
    <w:p w14:paraId="0FBDE4E3">
      <w:pPr>
        <w:numPr>
          <w:ilvl w:val="0"/>
          <w:numId w:val="5"/>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当遇到台风对我市降雨影响预计达到150mm的强降雨时，单日入库最大洪水总量为</w:t>
      </w:r>
      <w:r>
        <w:rPr>
          <w:rFonts w:hint="eastAsia" w:eastAsia="楷体"/>
          <w:color w:val="auto"/>
          <w:sz w:val="28"/>
          <w:szCs w:val="28"/>
          <w:highlight w:val="none"/>
          <w:lang w:val="en-US" w:eastAsia="zh-CN"/>
        </w:rPr>
        <w:t>6.36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26.2</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26.2</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26.2</w:t>
      </w:r>
      <w:r>
        <w:rPr>
          <w:rFonts w:eastAsia="楷体"/>
          <w:color w:val="auto"/>
          <w:sz w:val="28"/>
          <w:szCs w:val="28"/>
          <w:highlight w:val="none"/>
        </w:rPr>
        <w:t>m以下。</w:t>
      </w:r>
    </w:p>
    <w:p w14:paraId="6AE62B0C">
      <w:pPr>
        <w:spacing w:line="520" w:lineRule="exact"/>
        <w:ind w:firstLine="560" w:firstLineChars="200"/>
        <w:rPr>
          <w:rFonts w:eastAsia="楷体"/>
          <w:color w:val="auto"/>
          <w:sz w:val="28"/>
          <w:szCs w:val="28"/>
          <w:highlight w:val="none"/>
        </w:rPr>
      </w:pPr>
      <w:r>
        <w:rPr>
          <w:rFonts w:eastAsia="楷体"/>
          <w:color w:val="auto"/>
          <w:sz w:val="28"/>
          <w:szCs w:val="28"/>
          <w:highlight w:val="none"/>
        </w:rPr>
        <w:t>3）当遇到台风对我市降雨影响预计达到200mm的强降雨时，单日入库最大洪水总量为</w:t>
      </w:r>
      <w:r>
        <w:rPr>
          <w:rFonts w:hint="eastAsia" w:eastAsia="楷体"/>
          <w:color w:val="auto"/>
          <w:sz w:val="28"/>
          <w:szCs w:val="28"/>
          <w:highlight w:val="none"/>
          <w:lang w:val="en-US" w:eastAsia="zh-CN"/>
        </w:rPr>
        <w:t>8.46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25.73</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25.73</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25.73</w:t>
      </w:r>
      <w:r>
        <w:rPr>
          <w:rFonts w:eastAsia="楷体"/>
          <w:color w:val="auto"/>
          <w:sz w:val="28"/>
          <w:szCs w:val="28"/>
          <w:highlight w:val="none"/>
        </w:rPr>
        <w:t>m以下。</w:t>
      </w:r>
    </w:p>
    <w:p w14:paraId="21BF35E7">
      <w:pPr>
        <w:spacing w:line="520" w:lineRule="exact"/>
        <w:ind w:firstLine="560" w:firstLineChars="200"/>
        <w:rPr>
          <w:rFonts w:eastAsia="楷体"/>
          <w:color w:val="auto"/>
          <w:sz w:val="28"/>
          <w:szCs w:val="28"/>
          <w:highlight w:val="none"/>
        </w:rPr>
      </w:pPr>
      <w:r>
        <w:rPr>
          <w:rFonts w:eastAsia="楷体"/>
          <w:color w:val="auto"/>
          <w:sz w:val="28"/>
          <w:szCs w:val="28"/>
          <w:highlight w:val="none"/>
        </w:rPr>
        <w:t>4）当遇到台风对我市降雨影响预计达到250mm的强降雨时，单日入库最大洪水总量为</w:t>
      </w:r>
      <w:r>
        <w:rPr>
          <w:rFonts w:hint="eastAsia" w:eastAsia="楷体"/>
          <w:color w:val="auto"/>
          <w:sz w:val="28"/>
          <w:szCs w:val="28"/>
          <w:highlight w:val="none"/>
          <w:lang w:val="en-US" w:eastAsia="zh-CN"/>
        </w:rPr>
        <w:t>10.56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，如水库水位在水位</w:t>
      </w:r>
      <w:r>
        <w:rPr>
          <w:rFonts w:hint="eastAsia" w:eastAsia="楷体"/>
          <w:color w:val="auto"/>
          <w:sz w:val="28"/>
          <w:szCs w:val="28"/>
          <w:highlight w:val="none"/>
          <w:lang w:val="en-US" w:eastAsia="zh-CN"/>
        </w:rPr>
        <w:t>25.25</w:t>
      </w:r>
      <w:r>
        <w:rPr>
          <w:rFonts w:eastAsia="楷体"/>
          <w:color w:val="auto"/>
          <w:sz w:val="28"/>
          <w:szCs w:val="28"/>
          <w:highlight w:val="none"/>
        </w:rPr>
        <w:t>m以下，可不考虑水库泄洪；如水库水位在水位</w:t>
      </w:r>
      <w:r>
        <w:rPr>
          <w:rFonts w:hint="eastAsia" w:eastAsia="楷体"/>
          <w:color w:val="auto"/>
          <w:sz w:val="28"/>
          <w:szCs w:val="28"/>
          <w:highlight w:val="none"/>
          <w:lang w:val="en-US" w:eastAsia="zh-CN"/>
        </w:rPr>
        <w:t>25.25</w:t>
      </w:r>
      <w:r>
        <w:rPr>
          <w:rFonts w:eastAsia="楷体"/>
          <w:color w:val="auto"/>
          <w:sz w:val="28"/>
          <w:szCs w:val="28"/>
          <w:highlight w:val="none"/>
        </w:rPr>
        <w:t>m以上，可在收到泉州市气象部门预警后，先预泄腾空库容迎峰，使水库水位降至水位</w:t>
      </w:r>
      <w:r>
        <w:rPr>
          <w:rFonts w:hint="eastAsia" w:eastAsia="楷体"/>
          <w:color w:val="auto"/>
          <w:sz w:val="28"/>
          <w:szCs w:val="28"/>
          <w:highlight w:val="none"/>
          <w:lang w:val="en-US" w:eastAsia="zh-CN"/>
        </w:rPr>
        <w:t>25.25</w:t>
      </w:r>
      <w:r>
        <w:rPr>
          <w:rFonts w:eastAsia="楷体"/>
          <w:color w:val="auto"/>
          <w:sz w:val="28"/>
          <w:szCs w:val="28"/>
          <w:highlight w:val="none"/>
        </w:rPr>
        <w:t>m以下。</w:t>
      </w:r>
    </w:p>
    <w:p w14:paraId="763C8290">
      <w:pPr>
        <w:spacing w:line="520" w:lineRule="exact"/>
        <w:ind w:firstLine="560" w:firstLineChars="200"/>
        <w:rPr>
          <w:rFonts w:eastAsia="楷体"/>
          <w:color w:val="auto"/>
          <w:sz w:val="28"/>
          <w:szCs w:val="28"/>
          <w:highlight w:val="none"/>
        </w:rPr>
      </w:pPr>
      <w:r>
        <w:rPr>
          <w:rFonts w:eastAsia="楷体"/>
          <w:color w:val="auto"/>
          <w:sz w:val="28"/>
          <w:szCs w:val="28"/>
          <w:highlight w:val="none"/>
        </w:rPr>
        <w:t>5）当遇到台风对我市降雨影响预计达到300mm的强降雨时，单日入库最大洪水总量为</w:t>
      </w:r>
      <w:r>
        <w:rPr>
          <w:rFonts w:hint="eastAsia" w:eastAsia="楷体"/>
          <w:color w:val="auto"/>
          <w:sz w:val="28"/>
          <w:szCs w:val="28"/>
          <w:highlight w:val="none"/>
          <w:lang w:val="en-US" w:eastAsia="zh-CN"/>
        </w:rPr>
        <w:t>12.7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，如水库水位在水位</w:t>
      </w:r>
      <w:r>
        <w:rPr>
          <w:rFonts w:hint="eastAsia" w:eastAsia="楷体"/>
          <w:color w:val="auto"/>
          <w:sz w:val="28"/>
          <w:szCs w:val="28"/>
          <w:highlight w:val="none"/>
          <w:lang w:val="en-US" w:eastAsia="zh-CN"/>
        </w:rPr>
        <w:t>24.66</w:t>
      </w:r>
      <w:r>
        <w:rPr>
          <w:rFonts w:eastAsia="楷体"/>
          <w:color w:val="auto"/>
          <w:sz w:val="28"/>
          <w:szCs w:val="28"/>
          <w:highlight w:val="none"/>
        </w:rPr>
        <w:t>m以下，可不考虑水库泄洪；如水库水位在水位</w:t>
      </w:r>
      <w:r>
        <w:rPr>
          <w:rFonts w:hint="eastAsia" w:eastAsia="楷体"/>
          <w:color w:val="auto"/>
          <w:sz w:val="28"/>
          <w:szCs w:val="28"/>
          <w:highlight w:val="none"/>
          <w:lang w:val="en-US" w:eastAsia="zh-CN"/>
        </w:rPr>
        <w:t>24.66</w:t>
      </w:r>
      <w:r>
        <w:rPr>
          <w:rFonts w:eastAsia="楷体"/>
          <w:color w:val="auto"/>
          <w:sz w:val="28"/>
          <w:szCs w:val="28"/>
          <w:highlight w:val="none"/>
        </w:rPr>
        <w:t>m以上，可在收到泉州市气象部门预警后，先预泄腾空库容迎峰，使水库水位降至水位</w:t>
      </w:r>
      <w:r>
        <w:rPr>
          <w:rFonts w:hint="eastAsia" w:eastAsia="楷体"/>
          <w:color w:val="auto"/>
          <w:sz w:val="28"/>
          <w:szCs w:val="28"/>
          <w:highlight w:val="none"/>
          <w:lang w:val="en-US" w:eastAsia="zh-CN"/>
        </w:rPr>
        <w:t>24.66</w:t>
      </w:r>
      <w:r>
        <w:rPr>
          <w:rFonts w:eastAsia="楷体"/>
          <w:color w:val="auto"/>
          <w:sz w:val="28"/>
          <w:szCs w:val="28"/>
          <w:highlight w:val="none"/>
        </w:rPr>
        <w:t>m以下。</w:t>
      </w:r>
    </w:p>
    <w:p w14:paraId="41A49A7C">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4、预警预报制度</w:t>
      </w:r>
    </w:p>
    <w:p w14:paraId="298AC376">
      <w:pPr>
        <w:spacing w:line="520" w:lineRule="exact"/>
        <w:ind w:firstLine="560" w:firstLineChars="200"/>
        <w:rPr>
          <w:rFonts w:eastAsia="楷体"/>
          <w:color w:val="auto"/>
          <w:sz w:val="28"/>
          <w:szCs w:val="28"/>
          <w:highlight w:val="none"/>
        </w:rPr>
      </w:pPr>
      <w:r>
        <w:rPr>
          <w:rFonts w:hint="default" w:ascii="Times New Roman" w:hAnsi="Times New Roman" w:eastAsia="楷体" w:cs="Times New Roman"/>
          <w:color w:val="auto"/>
          <w:sz w:val="28"/>
          <w:szCs w:val="28"/>
          <w:highlight w:val="none"/>
          <w:lang w:val="en-US" w:eastAsia="zh-CN"/>
        </w:rPr>
        <w:t>由于下游沿岸有</w:t>
      </w:r>
      <w:r>
        <w:rPr>
          <w:rFonts w:hint="eastAsia" w:eastAsia="楷体" w:cs="Times New Roman"/>
          <w:color w:val="auto"/>
          <w:sz w:val="28"/>
          <w:szCs w:val="28"/>
          <w:highlight w:val="none"/>
          <w:lang w:val="en-US" w:eastAsia="zh-CN"/>
        </w:rPr>
        <w:t>一定的</w:t>
      </w:r>
      <w:r>
        <w:rPr>
          <w:rFonts w:hint="default" w:ascii="Times New Roman" w:hAnsi="Times New Roman" w:eastAsia="楷体" w:cs="Times New Roman"/>
          <w:color w:val="auto"/>
          <w:sz w:val="28"/>
          <w:szCs w:val="28"/>
          <w:highlight w:val="none"/>
          <w:lang w:val="en-US" w:eastAsia="zh-CN"/>
        </w:rPr>
        <w:t>居民，沿河人类活动较为频繁，为避免发生意外事件，若泄流量大于10m</w:t>
      </w:r>
      <w:r>
        <w:rPr>
          <w:rFonts w:hint="default" w:ascii="Times New Roman" w:hAnsi="Times New Roman" w:eastAsia="楷体" w:cs="Times New Roman"/>
          <w:color w:val="auto"/>
          <w:sz w:val="28"/>
          <w:szCs w:val="28"/>
          <w:highlight w:val="none"/>
          <w:vertAlign w:val="superscript"/>
          <w:lang w:val="en-US" w:eastAsia="zh-CN"/>
        </w:rPr>
        <w:t>3</w:t>
      </w:r>
      <w:r>
        <w:rPr>
          <w:rFonts w:hint="default" w:ascii="Times New Roman" w:hAnsi="Times New Roman" w:eastAsia="楷体" w:cs="Times New Roman"/>
          <w:color w:val="auto"/>
          <w:sz w:val="28"/>
          <w:szCs w:val="28"/>
          <w:highlight w:val="none"/>
          <w:lang w:val="en-US" w:eastAsia="zh-CN"/>
        </w:rPr>
        <w:t>/s，</w:t>
      </w:r>
      <w:r>
        <w:rPr>
          <w:rFonts w:hint="eastAsia" w:eastAsia="楷体" w:cs="Times New Roman"/>
          <w:color w:val="auto"/>
          <w:sz w:val="28"/>
          <w:szCs w:val="28"/>
          <w:highlight w:val="none"/>
          <w:lang w:val="en-US" w:eastAsia="zh-CN"/>
        </w:rPr>
        <w:t>即水库水位大于28.34m时，</w:t>
      </w:r>
      <w:r>
        <w:rPr>
          <w:rFonts w:hint="default" w:ascii="Times New Roman" w:hAnsi="Times New Roman" w:eastAsia="楷体" w:cs="Times New Roman"/>
          <w:color w:val="auto"/>
          <w:sz w:val="28"/>
          <w:szCs w:val="28"/>
          <w:highlight w:val="none"/>
          <w:lang w:val="en-US" w:eastAsia="zh-CN"/>
        </w:rPr>
        <w:t>要</w:t>
      </w:r>
      <w:r>
        <w:rPr>
          <w:rFonts w:hint="eastAsia" w:ascii="Times New Roman" w:hAnsi="Times New Roman" w:eastAsia="楷体" w:cs="Times New Roman"/>
          <w:color w:val="auto"/>
          <w:sz w:val="28"/>
          <w:szCs w:val="28"/>
          <w:highlight w:val="none"/>
          <w:lang w:val="en-US" w:eastAsia="zh-CN"/>
        </w:rPr>
        <w:t>立即</w:t>
      </w:r>
      <w:r>
        <w:rPr>
          <w:rFonts w:hint="eastAsia" w:eastAsia="楷体" w:cs="Times New Roman"/>
          <w:color w:val="auto"/>
          <w:sz w:val="28"/>
          <w:szCs w:val="28"/>
          <w:highlight w:val="none"/>
          <w:lang w:val="en-US" w:eastAsia="zh-CN"/>
        </w:rPr>
        <w:t>将水位情况</w:t>
      </w:r>
      <w:r>
        <w:rPr>
          <w:rFonts w:hint="default" w:ascii="Times New Roman" w:hAnsi="Times New Roman" w:eastAsia="楷体" w:cs="Times New Roman"/>
          <w:color w:val="auto"/>
          <w:sz w:val="28"/>
          <w:szCs w:val="28"/>
          <w:highlight w:val="none"/>
          <w:lang w:val="en-US" w:eastAsia="zh-CN"/>
        </w:rPr>
        <w:t>上报</w:t>
      </w:r>
      <w:r>
        <w:rPr>
          <w:rFonts w:hint="eastAsia" w:eastAsia="楷体" w:cs="Times New Roman"/>
          <w:color w:val="auto"/>
          <w:sz w:val="28"/>
          <w:szCs w:val="28"/>
          <w:highlight w:val="none"/>
          <w:lang w:val="en-US" w:eastAsia="zh-CN"/>
        </w:rPr>
        <w:t>泉港区农业和农村水务局</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并</w:t>
      </w:r>
      <w:r>
        <w:rPr>
          <w:rFonts w:hint="default" w:ascii="Times New Roman" w:hAnsi="Times New Roman" w:eastAsia="楷体" w:cs="Times New Roman"/>
          <w:color w:val="auto"/>
          <w:sz w:val="28"/>
          <w:szCs w:val="28"/>
          <w:highlight w:val="none"/>
          <w:lang w:val="en-US" w:eastAsia="zh-CN"/>
        </w:rPr>
        <w:t>通知</w:t>
      </w:r>
      <w:r>
        <w:rPr>
          <w:rFonts w:hint="eastAsia" w:eastAsia="楷体" w:cs="Times New Roman"/>
          <w:color w:val="auto"/>
          <w:sz w:val="28"/>
          <w:szCs w:val="28"/>
          <w:highlight w:val="none"/>
          <w:lang w:val="en-US" w:eastAsia="zh-CN"/>
        </w:rPr>
        <w:t>下游各村庄</w:t>
      </w:r>
      <w:r>
        <w:rPr>
          <w:rFonts w:hint="default" w:ascii="Times New Roman" w:hAnsi="Times New Roman" w:eastAsia="楷体" w:cs="Times New Roman"/>
          <w:color w:val="auto"/>
          <w:sz w:val="28"/>
          <w:szCs w:val="28"/>
          <w:highlight w:val="none"/>
          <w:lang w:val="en-US" w:eastAsia="zh-CN"/>
        </w:rPr>
        <w:t>，做好防范工作</w:t>
      </w:r>
      <w:r>
        <w:rPr>
          <w:rFonts w:hint="eastAsia" w:eastAsia="楷体"/>
          <w:color w:val="auto"/>
          <w:sz w:val="28"/>
          <w:szCs w:val="28"/>
          <w:highlight w:val="none"/>
          <w:lang w:val="en-US" w:eastAsia="zh-CN"/>
        </w:rPr>
        <w:t>。</w:t>
      </w:r>
    </w:p>
    <w:p w14:paraId="58EFFD6F">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5、四清水库泄洪对下游河道的防洪调度影响</w:t>
      </w:r>
    </w:p>
    <w:p w14:paraId="0D644F72">
      <w:pPr>
        <w:spacing w:line="520" w:lineRule="exact"/>
        <w:ind w:firstLine="560" w:firstLineChars="200"/>
        <w:rPr>
          <w:rFonts w:eastAsia="楷体"/>
          <w:color w:val="auto"/>
          <w:sz w:val="28"/>
          <w:szCs w:val="28"/>
          <w:highlight w:val="none"/>
        </w:rPr>
      </w:pPr>
      <w:r>
        <w:rPr>
          <w:rFonts w:eastAsia="楷体"/>
          <w:color w:val="auto"/>
          <w:sz w:val="28"/>
          <w:highlight w:val="none"/>
        </w:rPr>
        <w:t>四清水库在一定程度上提高了下游罗溪河道的防洪能力，起到了一定的削峰调洪作用，在</w:t>
      </w:r>
      <w:r>
        <w:rPr>
          <w:rFonts w:hint="eastAsia" w:eastAsia="楷体"/>
          <w:color w:val="auto"/>
          <w:sz w:val="28"/>
          <w:highlight w:val="none"/>
          <w:lang w:val="en-US" w:eastAsia="zh-CN"/>
        </w:rPr>
        <w:t>2</w:t>
      </w:r>
      <w:r>
        <w:rPr>
          <w:rFonts w:eastAsia="楷体"/>
          <w:color w:val="auto"/>
          <w:sz w:val="28"/>
          <w:highlight w:val="none"/>
        </w:rPr>
        <w:t>0年一遇情况下，四清水库的削峰值达</w:t>
      </w:r>
      <w:r>
        <w:rPr>
          <w:rFonts w:hint="eastAsia" w:eastAsia="楷体"/>
          <w:color w:val="auto"/>
          <w:sz w:val="28"/>
          <w:highlight w:val="none"/>
          <w:lang w:val="en-US" w:eastAsia="zh-CN"/>
        </w:rPr>
        <w:t>6.51</w:t>
      </w:r>
      <w:r>
        <w:rPr>
          <w:rFonts w:eastAsia="楷体"/>
          <w:color w:val="auto"/>
          <w:sz w:val="28"/>
          <w:highlight w:val="none"/>
        </w:rPr>
        <w:t>m</w:t>
      </w:r>
      <w:r>
        <w:rPr>
          <w:rFonts w:eastAsia="楷体"/>
          <w:color w:val="auto"/>
          <w:sz w:val="28"/>
          <w:highlight w:val="none"/>
          <w:vertAlign w:val="superscript"/>
        </w:rPr>
        <w:t>3</w:t>
      </w:r>
      <w:r>
        <w:rPr>
          <w:rFonts w:eastAsia="楷体"/>
          <w:color w:val="auto"/>
          <w:sz w:val="28"/>
          <w:highlight w:val="none"/>
        </w:rPr>
        <w:t>/s。</w:t>
      </w:r>
    </w:p>
    <w:p w14:paraId="706FB53A">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6、突发事件调度</w:t>
      </w:r>
    </w:p>
    <w:p w14:paraId="350F4DC9">
      <w:pPr>
        <w:spacing w:line="520" w:lineRule="exact"/>
        <w:ind w:firstLine="560" w:firstLineChars="200"/>
        <w:rPr>
          <w:rFonts w:eastAsia="楷体"/>
          <w:color w:val="auto"/>
          <w:sz w:val="28"/>
          <w:szCs w:val="28"/>
          <w:highlight w:val="none"/>
        </w:rPr>
      </w:pPr>
      <w:r>
        <w:rPr>
          <w:rFonts w:eastAsia="楷体"/>
          <w:color w:val="auto"/>
          <w:sz w:val="28"/>
          <w:szCs w:val="28"/>
          <w:highlight w:val="none"/>
        </w:rPr>
        <w:t>一旦突发性事件发生时，立即启动应急预案，服从</w:t>
      </w:r>
      <w:r>
        <w:rPr>
          <w:rFonts w:hint="eastAsia" w:eastAsia="楷体"/>
          <w:color w:val="auto"/>
          <w:sz w:val="28"/>
          <w:szCs w:val="28"/>
          <w:highlight w:val="none"/>
        </w:rPr>
        <w:t>泉港区</w:t>
      </w:r>
      <w:r>
        <w:rPr>
          <w:rFonts w:eastAsia="楷体"/>
          <w:color w:val="auto"/>
          <w:sz w:val="28"/>
          <w:szCs w:val="28"/>
          <w:highlight w:val="none"/>
        </w:rPr>
        <w:t>人民政府防汛抗旱指挥部调度安排，水库具体应急措施包括：</w:t>
      </w:r>
    </w:p>
    <w:p w14:paraId="26060299">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18D7C13D">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2、提前2个小时通知下游的有关村落及有关单位等，主要是坑内村及前黄镇政府。</w:t>
      </w:r>
    </w:p>
    <w:p w14:paraId="484CDAB4">
      <w:pPr>
        <w:spacing w:line="520" w:lineRule="exact"/>
        <w:ind w:firstLine="560" w:firstLineChars="200"/>
        <w:rPr>
          <w:rFonts w:eastAsia="楷体"/>
          <w:color w:val="auto"/>
          <w:sz w:val="28"/>
          <w:szCs w:val="28"/>
          <w:highlight w:val="none"/>
        </w:rPr>
      </w:pPr>
      <w:r>
        <w:rPr>
          <w:rFonts w:eastAsia="楷体"/>
          <w:color w:val="auto"/>
          <w:sz w:val="28"/>
          <w:szCs w:val="28"/>
          <w:highlight w:val="none"/>
        </w:rPr>
        <w:t>3、动员邻近乡村的抗洪抢险队伍编好梯队，并调动交通运输工具待命。</w:t>
      </w:r>
    </w:p>
    <w:p w14:paraId="5FEB77D7">
      <w:pPr>
        <w:spacing w:line="520" w:lineRule="exact"/>
        <w:ind w:firstLine="562" w:firstLineChars="200"/>
        <w:rPr>
          <w:rFonts w:eastAsia="楷体"/>
          <w:bCs/>
          <w:color w:val="auto"/>
          <w:sz w:val="28"/>
          <w:szCs w:val="28"/>
          <w:highlight w:val="none"/>
        </w:rPr>
      </w:pPr>
      <w:r>
        <w:rPr>
          <w:rFonts w:eastAsia="楷体"/>
          <w:b/>
          <w:bCs/>
          <w:color w:val="auto"/>
          <w:sz w:val="28"/>
          <w:szCs w:val="28"/>
          <w:highlight w:val="none"/>
        </w:rPr>
        <w:t>防洪调度注意事项：</w:t>
      </w:r>
      <w:r>
        <w:rPr>
          <w:rFonts w:eastAsia="楷体"/>
          <w:bCs/>
          <w:color w:val="auto"/>
          <w:sz w:val="28"/>
          <w:szCs w:val="28"/>
          <w:highlight w:val="none"/>
        </w:rPr>
        <w:t>四清水库防洪调度注意事项：一是要严格执行上级防汛部门下达的调指</w:t>
      </w:r>
      <w:r>
        <w:rPr>
          <w:rFonts w:eastAsia="楷体"/>
          <w:color w:val="auto"/>
          <w:sz w:val="28"/>
          <w:szCs w:val="28"/>
          <w:highlight w:val="none"/>
        </w:rPr>
        <w:t>令；二是要</w:t>
      </w:r>
      <w:r>
        <w:rPr>
          <w:rFonts w:eastAsia="楷体"/>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2D32CA00">
      <w:pPr>
        <w:pStyle w:val="3"/>
        <w:rPr>
          <w:rFonts w:ascii="Times New Roman" w:hAnsi="Times New Roman" w:eastAsia="楷体"/>
          <w:color w:val="auto"/>
          <w:sz w:val="28"/>
          <w:szCs w:val="28"/>
          <w:highlight w:val="none"/>
        </w:rPr>
      </w:pPr>
      <w:bookmarkStart w:id="40" w:name="_Toc3500"/>
      <w:bookmarkStart w:id="41" w:name="_Toc14528"/>
      <w:r>
        <w:rPr>
          <w:rFonts w:ascii="Times New Roman" w:hAnsi="Times New Roman" w:eastAsia="楷体"/>
          <w:color w:val="auto"/>
          <w:sz w:val="28"/>
          <w:szCs w:val="28"/>
          <w:highlight w:val="none"/>
        </w:rPr>
        <w:t>4.5汛期水库的管理工作</w:t>
      </w:r>
      <w:bookmarkEnd w:id="40"/>
      <w:bookmarkEnd w:id="41"/>
    </w:p>
    <w:p w14:paraId="4C034762">
      <w:pPr>
        <w:spacing w:line="520" w:lineRule="exact"/>
        <w:ind w:firstLine="560" w:firstLineChars="200"/>
        <w:rPr>
          <w:rFonts w:hint="eastAsia" w:eastAsia="楷体"/>
          <w:color w:val="auto"/>
          <w:sz w:val="28"/>
          <w:szCs w:val="28"/>
          <w:highlight w:val="none"/>
        </w:rPr>
      </w:pPr>
      <w:r>
        <w:rPr>
          <w:rFonts w:eastAsia="楷体"/>
          <w:color w:val="auto"/>
          <w:sz w:val="28"/>
          <w:szCs w:val="28"/>
          <w:highlight w:val="none"/>
        </w:rPr>
        <w:t>为保障</w:t>
      </w:r>
      <w:r>
        <w:rPr>
          <w:rFonts w:hint="eastAsia" w:eastAsia="楷体"/>
          <w:color w:val="auto"/>
          <w:sz w:val="28"/>
          <w:szCs w:val="28"/>
          <w:highlight w:val="none"/>
          <w:lang w:eastAsia="zh-CN"/>
        </w:rPr>
        <w:t>四清</w:t>
      </w:r>
      <w:r>
        <w:rPr>
          <w:rFonts w:eastAsia="楷体"/>
          <w:color w:val="auto"/>
          <w:sz w:val="28"/>
          <w:szCs w:val="28"/>
          <w:highlight w:val="none"/>
        </w:rPr>
        <w:t>水库20</w:t>
      </w:r>
      <w:r>
        <w:rPr>
          <w:rFonts w:hint="eastAsia" w:eastAsia="楷体"/>
          <w:color w:val="auto"/>
          <w:sz w:val="28"/>
          <w:szCs w:val="28"/>
          <w:highlight w:val="none"/>
          <w:lang w:val="en-US" w:eastAsia="zh-CN"/>
        </w:rPr>
        <w:t>26</w:t>
      </w:r>
      <w:r>
        <w:rPr>
          <w:rFonts w:eastAsia="楷体"/>
          <w:color w:val="auto"/>
          <w:sz w:val="28"/>
          <w:szCs w:val="28"/>
          <w:highlight w:val="none"/>
        </w:rPr>
        <w:t>年防汛工作的顺利进行，成立</w:t>
      </w:r>
      <w:r>
        <w:rPr>
          <w:rFonts w:hint="eastAsia" w:eastAsia="楷体"/>
          <w:color w:val="auto"/>
          <w:sz w:val="28"/>
          <w:szCs w:val="28"/>
          <w:highlight w:val="none"/>
          <w:lang w:eastAsia="zh-CN"/>
        </w:rPr>
        <w:t>四清</w:t>
      </w:r>
      <w:r>
        <w:rPr>
          <w:rFonts w:eastAsia="楷体"/>
          <w:color w:val="auto"/>
          <w:sz w:val="28"/>
          <w:szCs w:val="28"/>
          <w:highlight w:val="none"/>
        </w:rPr>
        <w:t>水库大坝安全应急指挥部，</w:t>
      </w:r>
      <w:r>
        <w:rPr>
          <w:rFonts w:hint="eastAsia" w:eastAsia="楷体"/>
          <w:color w:val="auto"/>
          <w:sz w:val="28"/>
          <w:szCs w:val="28"/>
          <w:highlight w:val="none"/>
        </w:rPr>
        <w:t>明确水库防汛领导小组组长、副组长及成员单位负责人，明确实施《应急预案》的职责分工和工作方式。</w:t>
      </w:r>
    </w:p>
    <w:p w14:paraId="03713C98">
      <w:pPr>
        <w:widowControl/>
        <w:wordWrap/>
        <w:adjustRightInd/>
        <w:snapToGrid/>
        <w:spacing w:line="520" w:lineRule="exact"/>
        <w:ind w:left="0" w:leftChars="0" w:right="0" w:firstLine="0" w:firstLineChars="0"/>
        <w:jc w:val="center"/>
        <w:textAlignment w:val="auto"/>
        <w:outlineLvl w:val="9"/>
        <w:rPr>
          <w:rFonts w:hint="eastAsia"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eastAsia" w:ascii="Times New Roman" w:hAnsi="Times New Roman" w:eastAsia="楷体" w:cs="Times New Roman"/>
          <w:b/>
          <w:bCs/>
          <w:color w:val="auto"/>
          <w:kern w:val="0"/>
          <w:sz w:val="28"/>
          <w:szCs w:val="28"/>
          <w:highlight w:val="none"/>
          <w:lang w:val="en-US" w:eastAsia="zh-CN"/>
        </w:rPr>
        <w:t>6-1</w:t>
      </w:r>
      <w:r>
        <w:rPr>
          <w:rFonts w:hint="default" w:ascii="Times New Roman" w:hAnsi="Times New Roman" w:eastAsia="楷体" w:cs="Times New Roman"/>
          <w:b/>
          <w:bCs/>
          <w:color w:val="auto"/>
          <w:kern w:val="0"/>
          <w:sz w:val="28"/>
          <w:szCs w:val="28"/>
          <w:highlight w:val="none"/>
          <w:lang w:val="en-US" w:eastAsia="zh-CN"/>
        </w:rPr>
        <w:t xml:space="preserve">      </w:t>
      </w:r>
      <w:r>
        <w:rPr>
          <w:rFonts w:hint="eastAsia" w:ascii="Times New Roman" w:hAnsi="Times New Roman" w:eastAsia="楷体" w:cs="Times New Roman"/>
          <w:b/>
          <w:bCs/>
          <w:color w:val="auto"/>
          <w:kern w:val="0"/>
          <w:sz w:val="28"/>
          <w:szCs w:val="28"/>
          <w:highlight w:val="none"/>
          <w:lang w:val="en-US" w:eastAsia="zh-CN"/>
        </w:rPr>
        <w:t xml:space="preserve">   防汛领导小组有关单位及责任人名单</w:t>
      </w:r>
    </w:p>
    <w:tbl>
      <w:tblPr>
        <w:tblStyle w:val="19"/>
        <w:tblW w:w="92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383"/>
        <w:gridCol w:w="2025"/>
        <w:gridCol w:w="2877"/>
        <w:gridCol w:w="1858"/>
      </w:tblGrid>
      <w:tr w14:paraId="1DEFA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vAlign w:val="center"/>
          </w:tcPr>
          <w:p w14:paraId="05ED708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序号</w:t>
            </w:r>
          </w:p>
        </w:tc>
        <w:tc>
          <w:tcPr>
            <w:tcW w:w="1383" w:type="dxa"/>
            <w:vAlign w:val="center"/>
          </w:tcPr>
          <w:p w14:paraId="4234E63E">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单位</w:t>
            </w:r>
          </w:p>
        </w:tc>
        <w:tc>
          <w:tcPr>
            <w:tcW w:w="2025" w:type="dxa"/>
            <w:vAlign w:val="center"/>
          </w:tcPr>
          <w:p w14:paraId="588BA39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防汛责任人</w:t>
            </w:r>
          </w:p>
        </w:tc>
        <w:tc>
          <w:tcPr>
            <w:tcW w:w="2877" w:type="dxa"/>
            <w:vAlign w:val="center"/>
          </w:tcPr>
          <w:p w14:paraId="34F1303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职务</w:t>
            </w:r>
          </w:p>
        </w:tc>
        <w:tc>
          <w:tcPr>
            <w:tcW w:w="1858" w:type="dxa"/>
            <w:vAlign w:val="center"/>
          </w:tcPr>
          <w:p w14:paraId="08F4AB2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联系电话</w:t>
            </w:r>
          </w:p>
        </w:tc>
      </w:tr>
      <w:tr w14:paraId="57856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vAlign w:val="center"/>
          </w:tcPr>
          <w:p w14:paraId="04AD439E">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383" w:type="dxa"/>
            <w:vAlign w:val="center"/>
          </w:tcPr>
          <w:p w14:paraId="4ADD069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2025" w:type="dxa"/>
            <w:vAlign w:val="center"/>
          </w:tcPr>
          <w:p w14:paraId="4A71BF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林志伟</w:t>
            </w:r>
          </w:p>
        </w:tc>
        <w:tc>
          <w:tcPr>
            <w:tcW w:w="2877" w:type="dxa"/>
            <w:vAlign w:val="center"/>
          </w:tcPr>
          <w:p w14:paraId="252514F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镇党委副书记、政法委员</w:t>
            </w:r>
          </w:p>
        </w:tc>
        <w:tc>
          <w:tcPr>
            <w:tcW w:w="1858" w:type="dxa"/>
            <w:vAlign w:val="center"/>
          </w:tcPr>
          <w:p w14:paraId="15D4786B">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1A176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vAlign w:val="center"/>
          </w:tcPr>
          <w:p w14:paraId="1417EFC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383" w:type="dxa"/>
            <w:vAlign w:val="center"/>
          </w:tcPr>
          <w:p w14:paraId="6D75FF0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2025" w:type="dxa"/>
            <w:vAlign w:val="center"/>
          </w:tcPr>
          <w:p w14:paraId="703E81F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曾荣桂</w:t>
            </w:r>
          </w:p>
        </w:tc>
        <w:tc>
          <w:tcPr>
            <w:tcW w:w="2877" w:type="dxa"/>
            <w:vAlign w:val="center"/>
          </w:tcPr>
          <w:p w14:paraId="2469793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镇党委二级主任科员</w:t>
            </w:r>
          </w:p>
        </w:tc>
        <w:tc>
          <w:tcPr>
            <w:tcW w:w="1858" w:type="dxa"/>
            <w:vAlign w:val="center"/>
          </w:tcPr>
          <w:p w14:paraId="2E14C1E9">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87966068</w:t>
            </w:r>
          </w:p>
        </w:tc>
      </w:tr>
      <w:tr w14:paraId="552EA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vAlign w:val="center"/>
          </w:tcPr>
          <w:p w14:paraId="15FBA3D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383" w:type="dxa"/>
            <w:vAlign w:val="center"/>
          </w:tcPr>
          <w:p w14:paraId="5C49719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2025" w:type="dxa"/>
            <w:vAlign w:val="center"/>
          </w:tcPr>
          <w:p w14:paraId="56E5CB4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庄增加</w:t>
            </w:r>
          </w:p>
        </w:tc>
        <w:tc>
          <w:tcPr>
            <w:tcW w:w="2877" w:type="dxa"/>
            <w:vAlign w:val="center"/>
          </w:tcPr>
          <w:p w14:paraId="23DCFA6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镇党委二级主任科员</w:t>
            </w:r>
          </w:p>
        </w:tc>
        <w:tc>
          <w:tcPr>
            <w:tcW w:w="1858" w:type="dxa"/>
            <w:vAlign w:val="center"/>
          </w:tcPr>
          <w:p w14:paraId="091F1F83">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87966211</w:t>
            </w:r>
          </w:p>
        </w:tc>
      </w:tr>
      <w:tr w14:paraId="4AE94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vAlign w:val="center"/>
          </w:tcPr>
          <w:p w14:paraId="3193E3FE">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4</w:t>
            </w:r>
          </w:p>
        </w:tc>
        <w:tc>
          <w:tcPr>
            <w:tcW w:w="1383" w:type="dxa"/>
            <w:vAlign w:val="center"/>
          </w:tcPr>
          <w:p w14:paraId="6125B3AC">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2025" w:type="dxa"/>
            <w:vAlign w:val="center"/>
          </w:tcPr>
          <w:p w14:paraId="68AA183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贾义海</w:t>
            </w:r>
          </w:p>
        </w:tc>
        <w:tc>
          <w:tcPr>
            <w:tcW w:w="2877" w:type="dxa"/>
            <w:vAlign w:val="center"/>
          </w:tcPr>
          <w:p w14:paraId="41EAF47F">
            <w:pPr>
              <w:wordWrap/>
              <w:adjustRightInd/>
              <w:snapToGrid/>
              <w:spacing w:before="0" w:beforeAutospacing="0" w:after="0" w:afterAutospacing="0" w:line="440" w:lineRule="exact"/>
              <w:ind w:left="0" w:leftChars="0" w:right="0" w:rightChars="0"/>
              <w:jc w:val="center"/>
              <w:rPr>
                <w:rFonts w:hint="eastAsia" w:eastAsia="楷体" w:cs="Times New Roman"/>
                <w:i w:val="0"/>
                <w:color w:val="auto"/>
                <w:kern w:val="0"/>
                <w:sz w:val="24"/>
                <w:szCs w:val="24"/>
                <w:highlight w:val="none"/>
                <w:u w:val="none"/>
                <w:lang w:val="en-US" w:eastAsia="zh-CN"/>
              </w:rPr>
            </w:pPr>
            <w:r>
              <w:rPr>
                <w:rFonts w:hint="eastAsia" w:ascii="Times New Roman" w:hAnsi="Times New Roman" w:eastAsia="楷体" w:cs="Times New Roman"/>
                <w:color w:val="auto"/>
                <w:sz w:val="24"/>
                <w:szCs w:val="24"/>
                <w:highlight w:val="none"/>
                <w:lang w:val="en-US" w:eastAsia="zh-CN"/>
              </w:rPr>
              <w:t>镇党委委员、人武部部长</w:t>
            </w:r>
          </w:p>
        </w:tc>
        <w:tc>
          <w:tcPr>
            <w:tcW w:w="1858" w:type="dxa"/>
            <w:vAlign w:val="center"/>
          </w:tcPr>
          <w:p w14:paraId="04C18C4B">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87039666</w:t>
            </w:r>
          </w:p>
        </w:tc>
      </w:tr>
      <w:tr w14:paraId="41454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vAlign w:val="center"/>
          </w:tcPr>
          <w:p w14:paraId="0A127FC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383" w:type="dxa"/>
            <w:vAlign w:val="center"/>
          </w:tcPr>
          <w:p w14:paraId="2F34A5B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2025" w:type="dxa"/>
            <w:vAlign w:val="center"/>
          </w:tcPr>
          <w:p w14:paraId="3C7A26A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连毅伟</w:t>
            </w:r>
          </w:p>
        </w:tc>
        <w:tc>
          <w:tcPr>
            <w:tcW w:w="2877" w:type="dxa"/>
            <w:vAlign w:val="center"/>
          </w:tcPr>
          <w:p w14:paraId="08C55B38">
            <w:pPr>
              <w:wordWrap/>
              <w:adjustRightInd/>
              <w:snapToGrid/>
              <w:spacing w:before="0" w:beforeAutospacing="0" w:after="0" w:afterAutospacing="0" w:line="440" w:lineRule="exact"/>
              <w:ind w:left="0" w:leftChars="0" w:right="0" w:rightChars="0"/>
              <w:jc w:val="center"/>
              <w:rPr>
                <w:rFonts w:hint="eastAsia" w:eastAsia="楷体" w:cs="Times New Roman"/>
                <w:i w:val="0"/>
                <w:color w:val="auto"/>
                <w:kern w:val="0"/>
                <w:sz w:val="24"/>
                <w:szCs w:val="24"/>
                <w:highlight w:val="none"/>
                <w:u w:val="none"/>
                <w:lang w:val="en-US" w:eastAsia="zh-CN"/>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858" w:type="dxa"/>
            <w:vAlign w:val="center"/>
          </w:tcPr>
          <w:p w14:paraId="6E7AE043">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87966081</w:t>
            </w:r>
          </w:p>
        </w:tc>
      </w:tr>
    </w:tbl>
    <w:p w14:paraId="544C54B8">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39728A43">
      <w:pPr>
        <w:spacing w:line="520" w:lineRule="exact"/>
        <w:ind w:firstLine="560" w:firstLineChars="200"/>
        <w:rPr>
          <w:rFonts w:eastAsia="楷体"/>
          <w:bCs/>
          <w:color w:val="auto"/>
          <w:sz w:val="28"/>
          <w:szCs w:val="28"/>
          <w:highlight w:val="none"/>
        </w:rPr>
      </w:pPr>
      <w:r>
        <w:rPr>
          <w:rFonts w:eastAsia="楷体"/>
          <w:bCs/>
          <w:color w:val="auto"/>
          <w:sz w:val="28"/>
          <w:szCs w:val="28"/>
          <w:highlight w:val="none"/>
        </w:rPr>
        <w:t>要制定汛期值班和工程的巡查制度，关注气象预报，掌握雨情、水情变化情况，认真执行本防洪调度方案措施。</w:t>
      </w:r>
    </w:p>
    <w:p w14:paraId="2F1D9EA9">
      <w:pPr>
        <w:autoSpaceDE w:val="0"/>
        <w:autoSpaceDN w:val="0"/>
        <w:adjustRightInd w:val="0"/>
        <w:ind w:firstLine="964"/>
        <w:jc w:val="center"/>
        <w:rPr>
          <w:rFonts w:hint="eastAsia" w:eastAsia="楷体"/>
          <w:b/>
          <w:bCs/>
          <w:shadow/>
          <w:color w:val="auto"/>
          <w:sz w:val="48"/>
          <w:szCs w:val="52"/>
          <w:highlight w:val="none"/>
          <w:lang w:val="zh-CN" w:eastAsia="zh-CN"/>
        </w:rPr>
      </w:pPr>
      <w:r>
        <w:rPr>
          <w:rFonts w:eastAsia="楷体"/>
          <w:bCs/>
          <w:color w:val="auto"/>
          <w:sz w:val="28"/>
          <w:szCs w:val="28"/>
          <w:highlight w:val="none"/>
        </w:rPr>
        <w:br w:type="page"/>
      </w:r>
    </w:p>
    <w:p w14:paraId="67791160">
      <w:pPr>
        <w:autoSpaceDE w:val="0"/>
        <w:autoSpaceDN w:val="0"/>
        <w:adjustRightInd w:val="0"/>
        <w:ind w:firstLine="964"/>
        <w:jc w:val="center"/>
        <w:rPr>
          <w:rFonts w:eastAsia="楷体"/>
          <w:b/>
          <w:bCs/>
          <w:shadow/>
          <w:color w:val="auto"/>
          <w:sz w:val="48"/>
          <w:szCs w:val="52"/>
          <w:highlight w:val="none"/>
          <w:lang w:val="zh-CN"/>
        </w:rPr>
      </w:pPr>
    </w:p>
    <w:p w14:paraId="053A6FDC">
      <w:pPr>
        <w:spacing w:line="360" w:lineRule="auto"/>
        <w:jc w:val="center"/>
        <w:rPr>
          <w:rFonts w:eastAsia="楷体"/>
          <w:b/>
          <w:color w:val="auto"/>
          <w:kern w:val="0"/>
          <w:sz w:val="52"/>
          <w:szCs w:val="52"/>
          <w:highlight w:val="none"/>
        </w:rPr>
      </w:pPr>
      <w:r>
        <w:rPr>
          <w:rFonts w:hint="eastAsia" w:eastAsia="楷体"/>
          <w:b/>
          <w:color w:val="auto"/>
          <w:kern w:val="0"/>
          <w:sz w:val="52"/>
          <w:szCs w:val="52"/>
          <w:highlight w:val="none"/>
          <w:lang w:eastAsia="zh-CN"/>
        </w:rPr>
        <w:t>前黄镇</w:t>
      </w:r>
      <w:r>
        <w:rPr>
          <w:rFonts w:eastAsia="楷体"/>
          <w:b/>
          <w:color w:val="auto"/>
          <w:kern w:val="0"/>
          <w:sz w:val="52"/>
          <w:szCs w:val="52"/>
          <w:highlight w:val="none"/>
        </w:rPr>
        <w:t>四清水库防洪抢险应急预案</w:t>
      </w:r>
    </w:p>
    <w:p w14:paraId="7C25BB24">
      <w:pPr>
        <w:spacing w:line="360" w:lineRule="auto"/>
        <w:ind w:firstLine="880"/>
        <w:jc w:val="center"/>
        <w:rPr>
          <w:rFonts w:eastAsia="楷体"/>
          <w:b/>
          <w:color w:val="auto"/>
          <w:kern w:val="0"/>
          <w:sz w:val="44"/>
          <w:szCs w:val="44"/>
          <w:highlight w:val="none"/>
        </w:rPr>
      </w:pPr>
    </w:p>
    <w:p w14:paraId="0F7E54FA">
      <w:pPr>
        <w:spacing w:line="360" w:lineRule="auto"/>
        <w:ind w:firstLine="1040"/>
        <w:jc w:val="center"/>
        <w:rPr>
          <w:rFonts w:eastAsia="楷体"/>
          <w:b/>
          <w:color w:val="auto"/>
          <w:kern w:val="0"/>
          <w:sz w:val="52"/>
          <w:szCs w:val="52"/>
          <w:highlight w:val="none"/>
        </w:rPr>
      </w:pPr>
    </w:p>
    <w:p w14:paraId="226C105A">
      <w:pPr>
        <w:spacing w:line="360" w:lineRule="auto"/>
        <w:ind w:firstLine="1040"/>
        <w:jc w:val="center"/>
        <w:rPr>
          <w:rFonts w:eastAsia="楷体"/>
          <w:b/>
          <w:color w:val="auto"/>
          <w:kern w:val="0"/>
          <w:sz w:val="52"/>
          <w:szCs w:val="52"/>
          <w:highlight w:val="none"/>
        </w:rPr>
      </w:pPr>
    </w:p>
    <w:p w14:paraId="544FE41D">
      <w:pPr>
        <w:spacing w:line="360" w:lineRule="auto"/>
        <w:ind w:firstLine="1040"/>
        <w:jc w:val="center"/>
        <w:rPr>
          <w:rFonts w:eastAsia="楷体"/>
          <w:b/>
          <w:color w:val="auto"/>
          <w:kern w:val="0"/>
          <w:sz w:val="52"/>
          <w:szCs w:val="52"/>
          <w:highlight w:val="none"/>
        </w:rPr>
      </w:pPr>
    </w:p>
    <w:p w14:paraId="54CC1AF0">
      <w:pPr>
        <w:spacing w:line="360" w:lineRule="auto"/>
        <w:ind w:firstLine="1040"/>
        <w:jc w:val="center"/>
        <w:rPr>
          <w:rFonts w:eastAsia="楷体"/>
          <w:b/>
          <w:color w:val="auto"/>
          <w:kern w:val="0"/>
          <w:sz w:val="52"/>
          <w:szCs w:val="52"/>
          <w:highlight w:val="none"/>
        </w:rPr>
      </w:pPr>
    </w:p>
    <w:p w14:paraId="3CF9C246">
      <w:pPr>
        <w:spacing w:line="360" w:lineRule="auto"/>
        <w:ind w:firstLine="1040"/>
        <w:jc w:val="center"/>
        <w:rPr>
          <w:rFonts w:eastAsia="楷体"/>
          <w:b/>
          <w:color w:val="auto"/>
          <w:kern w:val="0"/>
          <w:sz w:val="52"/>
          <w:szCs w:val="52"/>
          <w:highlight w:val="none"/>
        </w:rPr>
      </w:pPr>
    </w:p>
    <w:p w14:paraId="4120FAF8">
      <w:pPr>
        <w:spacing w:line="360" w:lineRule="auto"/>
        <w:ind w:firstLine="1040"/>
        <w:jc w:val="center"/>
        <w:rPr>
          <w:rFonts w:eastAsia="楷体"/>
          <w:b/>
          <w:color w:val="auto"/>
          <w:kern w:val="0"/>
          <w:sz w:val="52"/>
          <w:szCs w:val="52"/>
          <w:highlight w:val="none"/>
        </w:rPr>
      </w:pPr>
    </w:p>
    <w:p w14:paraId="03AAC478">
      <w:pPr>
        <w:spacing w:line="360" w:lineRule="auto"/>
        <w:ind w:firstLine="1040"/>
        <w:jc w:val="center"/>
        <w:rPr>
          <w:rFonts w:eastAsia="楷体"/>
          <w:b/>
          <w:color w:val="auto"/>
          <w:kern w:val="0"/>
          <w:sz w:val="52"/>
          <w:szCs w:val="52"/>
          <w:highlight w:val="none"/>
        </w:rPr>
      </w:pPr>
    </w:p>
    <w:p w14:paraId="028A8EC5">
      <w:pPr>
        <w:spacing w:line="360" w:lineRule="auto"/>
        <w:ind w:firstLine="1040"/>
        <w:jc w:val="center"/>
        <w:rPr>
          <w:rFonts w:eastAsia="楷体"/>
          <w:b/>
          <w:color w:val="auto"/>
          <w:kern w:val="0"/>
          <w:sz w:val="52"/>
          <w:szCs w:val="52"/>
          <w:highlight w:val="none"/>
        </w:rPr>
      </w:pPr>
    </w:p>
    <w:p w14:paraId="6A7C3FE8">
      <w:pPr>
        <w:spacing w:line="360" w:lineRule="auto"/>
        <w:ind w:firstLine="1040"/>
        <w:jc w:val="center"/>
        <w:rPr>
          <w:rFonts w:eastAsia="楷体"/>
          <w:b/>
          <w:color w:val="auto"/>
          <w:kern w:val="0"/>
          <w:sz w:val="52"/>
          <w:szCs w:val="52"/>
          <w:highlight w:val="none"/>
        </w:rPr>
      </w:pPr>
    </w:p>
    <w:p w14:paraId="5FAFC9D9">
      <w:pPr>
        <w:spacing w:line="360" w:lineRule="auto"/>
        <w:ind w:firstLine="1040"/>
        <w:jc w:val="center"/>
        <w:rPr>
          <w:rFonts w:eastAsia="楷体"/>
          <w:b/>
          <w:color w:val="auto"/>
          <w:kern w:val="0"/>
          <w:sz w:val="52"/>
          <w:szCs w:val="52"/>
          <w:highlight w:val="none"/>
        </w:rPr>
      </w:pPr>
    </w:p>
    <w:p w14:paraId="67072D54">
      <w:pPr>
        <w:spacing w:line="360" w:lineRule="auto"/>
        <w:ind w:firstLine="1040"/>
        <w:jc w:val="center"/>
        <w:rPr>
          <w:rFonts w:eastAsia="楷体"/>
          <w:b/>
          <w:color w:val="auto"/>
          <w:kern w:val="0"/>
          <w:sz w:val="52"/>
          <w:szCs w:val="52"/>
          <w:highlight w:val="none"/>
        </w:rPr>
      </w:pPr>
    </w:p>
    <w:p w14:paraId="0924F507">
      <w:pPr>
        <w:spacing w:line="360" w:lineRule="auto"/>
        <w:ind w:firstLine="1040"/>
        <w:jc w:val="center"/>
        <w:rPr>
          <w:rFonts w:eastAsia="楷体"/>
          <w:b/>
          <w:color w:val="auto"/>
          <w:kern w:val="0"/>
          <w:sz w:val="52"/>
          <w:szCs w:val="52"/>
          <w:highlight w:val="none"/>
        </w:rPr>
      </w:pPr>
    </w:p>
    <w:p w14:paraId="42D42684">
      <w:pPr>
        <w:spacing w:line="360" w:lineRule="auto"/>
        <w:ind w:firstLine="1040"/>
        <w:jc w:val="center"/>
        <w:rPr>
          <w:rFonts w:eastAsia="楷体"/>
          <w:b/>
          <w:color w:val="auto"/>
          <w:kern w:val="0"/>
          <w:sz w:val="52"/>
          <w:szCs w:val="52"/>
          <w:highlight w:val="none"/>
        </w:rPr>
      </w:pPr>
    </w:p>
    <w:p w14:paraId="75782DB2">
      <w:pPr>
        <w:spacing w:line="360" w:lineRule="auto"/>
        <w:ind w:firstLine="1040"/>
        <w:jc w:val="center"/>
        <w:rPr>
          <w:rFonts w:eastAsia="楷体"/>
          <w:b/>
          <w:color w:val="auto"/>
          <w:kern w:val="0"/>
          <w:sz w:val="52"/>
          <w:szCs w:val="52"/>
          <w:highlight w:val="none"/>
        </w:rPr>
      </w:pPr>
    </w:p>
    <w:p w14:paraId="23C7EAB1">
      <w:pPr>
        <w:spacing w:line="360" w:lineRule="auto"/>
        <w:jc w:val="center"/>
        <w:rPr>
          <w:rFonts w:hint="default" w:eastAsia="楷体"/>
          <w:b/>
          <w:color w:val="auto"/>
          <w:sz w:val="36"/>
          <w:szCs w:val="36"/>
          <w:highlight w:val="none"/>
          <w:lang w:val="en-US" w:eastAsia="zh-CN"/>
        </w:rPr>
      </w:pPr>
      <w:r>
        <w:rPr>
          <w:rFonts w:hint="eastAsia" w:eastAsia="楷体"/>
          <w:b/>
          <w:color w:val="auto"/>
          <w:sz w:val="36"/>
          <w:szCs w:val="36"/>
          <w:highlight w:val="none"/>
          <w:lang w:val="en-US" w:eastAsia="zh-CN"/>
        </w:rPr>
        <w:t>前黄镇人民政府</w:t>
      </w:r>
    </w:p>
    <w:p w14:paraId="3CB03AEC">
      <w:pPr>
        <w:spacing w:line="360" w:lineRule="auto"/>
        <w:jc w:val="center"/>
        <w:rPr>
          <w:rFonts w:eastAsia="楷体"/>
          <w:b/>
          <w:color w:val="auto"/>
          <w:kern w:val="0"/>
          <w:sz w:val="32"/>
          <w:szCs w:val="32"/>
          <w:highlight w:val="none"/>
        </w:rPr>
      </w:pPr>
      <w:r>
        <w:rPr>
          <w:rFonts w:eastAsia="楷体"/>
          <w:b/>
          <w:color w:val="auto"/>
          <w:kern w:val="0"/>
          <w:sz w:val="32"/>
          <w:szCs w:val="32"/>
          <w:highlight w:val="none"/>
        </w:rPr>
        <w:t>20</w:t>
      </w:r>
      <w:r>
        <w:rPr>
          <w:rFonts w:hint="eastAsia" w:eastAsia="楷体"/>
          <w:b/>
          <w:color w:val="auto"/>
          <w:kern w:val="0"/>
          <w:sz w:val="32"/>
          <w:szCs w:val="32"/>
          <w:highlight w:val="none"/>
          <w:lang w:val="en-US" w:eastAsia="zh-CN"/>
        </w:rPr>
        <w:t>26</w:t>
      </w:r>
      <w:r>
        <w:rPr>
          <w:rFonts w:eastAsia="楷体"/>
          <w:b/>
          <w:color w:val="auto"/>
          <w:kern w:val="0"/>
          <w:sz w:val="32"/>
          <w:szCs w:val="32"/>
          <w:highlight w:val="none"/>
        </w:rPr>
        <w:t>年</w:t>
      </w:r>
      <w:r>
        <w:rPr>
          <w:rFonts w:hint="eastAsia" w:eastAsia="楷体"/>
          <w:b/>
          <w:color w:val="auto"/>
          <w:kern w:val="0"/>
          <w:sz w:val="32"/>
          <w:szCs w:val="32"/>
          <w:highlight w:val="none"/>
          <w:lang w:val="en-US" w:eastAsia="zh-CN"/>
        </w:rPr>
        <w:t>4</w:t>
      </w:r>
      <w:r>
        <w:rPr>
          <w:rFonts w:eastAsia="楷体"/>
          <w:b/>
          <w:color w:val="auto"/>
          <w:kern w:val="0"/>
          <w:sz w:val="32"/>
          <w:szCs w:val="32"/>
          <w:highlight w:val="none"/>
        </w:rPr>
        <w:t>月</w:t>
      </w:r>
    </w:p>
    <w:p w14:paraId="6B7B0AA4">
      <w:pPr>
        <w:spacing w:line="360" w:lineRule="auto"/>
        <w:jc w:val="center"/>
        <w:rPr>
          <w:rFonts w:eastAsia="楷体"/>
          <w:b/>
          <w:color w:val="auto"/>
          <w:kern w:val="0"/>
          <w:sz w:val="32"/>
          <w:szCs w:val="32"/>
          <w:highlight w:val="none"/>
        </w:rPr>
      </w:pPr>
    </w:p>
    <w:p w14:paraId="2008465D">
      <w:pPr>
        <w:spacing w:before="156" w:beforeLines="50" w:after="156" w:afterLines="50" w:line="360" w:lineRule="auto"/>
        <w:ind w:firstLine="640"/>
        <w:jc w:val="center"/>
        <w:rPr>
          <w:rFonts w:eastAsia="楷体"/>
          <w:b/>
          <w:color w:val="auto"/>
          <w:kern w:val="0"/>
          <w:sz w:val="32"/>
          <w:szCs w:val="32"/>
          <w:highlight w:val="none"/>
        </w:rPr>
      </w:pPr>
      <w:r>
        <w:rPr>
          <w:rFonts w:eastAsia="楷体"/>
          <w:b/>
          <w:color w:val="auto"/>
          <w:kern w:val="0"/>
          <w:sz w:val="32"/>
          <w:szCs w:val="32"/>
          <w:highlight w:val="none"/>
        </w:rPr>
        <w:t>目  录</w:t>
      </w:r>
    </w:p>
    <w:p w14:paraId="7DAD6BCA">
      <w:pPr>
        <w:pStyle w:val="15"/>
        <w:tabs>
          <w:tab w:val="right" w:leader="dot" w:pos="8306"/>
          <w:tab w:val="clear" w:pos="8296"/>
        </w:tabs>
      </w:pPr>
      <w:r>
        <w:rPr>
          <w:rFonts w:eastAsia="楷体"/>
          <w:b w:val="0"/>
          <w:color w:val="auto"/>
          <w:kern w:val="0"/>
          <w:szCs w:val="28"/>
          <w:highlight w:val="none"/>
        </w:rPr>
        <w:fldChar w:fldCharType="begin"/>
      </w:r>
      <w:r>
        <w:rPr>
          <w:rFonts w:eastAsia="楷体"/>
          <w:b w:val="0"/>
          <w:color w:val="auto"/>
          <w:kern w:val="0"/>
          <w:szCs w:val="28"/>
          <w:highlight w:val="none"/>
        </w:rPr>
        <w:instrText xml:space="preserve">TOC \o "1-3" \h \u </w:instrText>
      </w:r>
      <w:r>
        <w:rPr>
          <w:rFonts w:eastAsia="楷体"/>
          <w:b w:val="0"/>
          <w:color w:val="auto"/>
          <w:kern w:val="0"/>
          <w:szCs w:val="28"/>
          <w:highlight w:val="none"/>
        </w:rPr>
        <w:fldChar w:fldCharType="separate"/>
      </w:r>
      <w:r>
        <w:rPr>
          <w:rFonts w:eastAsia="楷体"/>
          <w:color w:val="auto"/>
          <w:kern w:val="0"/>
          <w:szCs w:val="28"/>
          <w:highlight w:val="none"/>
        </w:rPr>
        <w:fldChar w:fldCharType="begin"/>
      </w:r>
      <w:r>
        <w:rPr>
          <w:rFonts w:eastAsia="楷体"/>
          <w:kern w:val="0"/>
          <w:szCs w:val="28"/>
          <w:highlight w:val="none"/>
        </w:rPr>
        <w:instrText xml:space="preserve"> HYPERLINK \l _Toc30911 </w:instrText>
      </w:r>
      <w:r>
        <w:rPr>
          <w:rFonts w:eastAsia="楷体"/>
          <w:kern w:val="0"/>
          <w:szCs w:val="28"/>
          <w:highlight w:val="none"/>
        </w:rPr>
        <w:fldChar w:fldCharType="separate"/>
      </w:r>
      <w:r>
        <w:rPr>
          <w:rFonts w:eastAsia="楷体"/>
          <w:bCs/>
          <w:szCs w:val="36"/>
          <w:highlight w:val="none"/>
        </w:rPr>
        <w:t>1 总则</w:t>
      </w:r>
      <w:r>
        <w:tab/>
      </w:r>
      <w:r>
        <w:fldChar w:fldCharType="begin"/>
      </w:r>
      <w:r>
        <w:instrText xml:space="preserve"> PAGEREF _Toc30911 \h </w:instrText>
      </w:r>
      <w:r>
        <w:fldChar w:fldCharType="separate"/>
      </w:r>
      <w:r>
        <w:t>256</w:t>
      </w:r>
      <w:r>
        <w:fldChar w:fldCharType="end"/>
      </w:r>
      <w:r>
        <w:rPr>
          <w:rFonts w:eastAsia="楷体"/>
          <w:color w:val="auto"/>
          <w:kern w:val="0"/>
          <w:szCs w:val="28"/>
          <w:highlight w:val="none"/>
        </w:rPr>
        <w:fldChar w:fldCharType="end"/>
      </w:r>
    </w:p>
    <w:p w14:paraId="63FB4DB8">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_Toc12011 </w:instrText>
      </w:r>
      <w:r>
        <w:rPr>
          <w:rFonts w:eastAsia="楷体"/>
          <w:kern w:val="0"/>
          <w:szCs w:val="28"/>
          <w:highlight w:val="none"/>
        </w:rPr>
        <w:fldChar w:fldCharType="separate"/>
      </w:r>
      <w:r>
        <w:rPr>
          <w:rFonts w:eastAsia="楷体"/>
          <w:bCs/>
          <w:highlight w:val="none"/>
        </w:rPr>
        <w:t>1.1 目的</w:t>
      </w:r>
      <w:r>
        <w:tab/>
      </w:r>
      <w:r>
        <w:fldChar w:fldCharType="begin"/>
      </w:r>
      <w:r>
        <w:instrText xml:space="preserve"> PAGEREF _Toc12011 \h </w:instrText>
      </w:r>
      <w:r>
        <w:fldChar w:fldCharType="separate"/>
      </w:r>
      <w:r>
        <w:t>256</w:t>
      </w:r>
      <w:r>
        <w:fldChar w:fldCharType="end"/>
      </w:r>
      <w:r>
        <w:rPr>
          <w:rFonts w:eastAsia="楷体"/>
          <w:color w:val="auto"/>
          <w:kern w:val="0"/>
          <w:szCs w:val="28"/>
          <w:highlight w:val="none"/>
        </w:rPr>
        <w:fldChar w:fldCharType="end"/>
      </w:r>
    </w:p>
    <w:p w14:paraId="7FC4D230">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_Toc21562 </w:instrText>
      </w:r>
      <w:r>
        <w:rPr>
          <w:rFonts w:eastAsia="楷体"/>
          <w:kern w:val="0"/>
          <w:szCs w:val="28"/>
          <w:highlight w:val="none"/>
        </w:rPr>
        <w:fldChar w:fldCharType="separate"/>
      </w:r>
      <w:r>
        <w:rPr>
          <w:rFonts w:eastAsia="楷体"/>
          <w:bCs/>
          <w:highlight w:val="none"/>
        </w:rPr>
        <w:t>1.2 编制依据</w:t>
      </w:r>
      <w:r>
        <w:tab/>
      </w:r>
      <w:r>
        <w:fldChar w:fldCharType="begin"/>
      </w:r>
      <w:r>
        <w:instrText xml:space="preserve"> PAGEREF _Toc21562 \h </w:instrText>
      </w:r>
      <w:r>
        <w:fldChar w:fldCharType="separate"/>
      </w:r>
      <w:r>
        <w:t>256</w:t>
      </w:r>
      <w:r>
        <w:fldChar w:fldCharType="end"/>
      </w:r>
      <w:r>
        <w:rPr>
          <w:rFonts w:eastAsia="楷体"/>
          <w:color w:val="auto"/>
          <w:kern w:val="0"/>
          <w:szCs w:val="28"/>
          <w:highlight w:val="none"/>
        </w:rPr>
        <w:fldChar w:fldCharType="end"/>
      </w:r>
    </w:p>
    <w:p w14:paraId="46921350">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_Toc326 </w:instrText>
      </w:r>
      <w:r>
        <w:rPr>
          <w:rFonts w:eastAsia="楷体"/>
          <w:kern w:val="0"/>
          <w:szCs w:val="28"/>
          <w:highlight w:val="none"/>
        </w:rPr>
        <w:fldChar w:fldCharType="separate"/>
      </w:r>
      <w:r>
        <w:rPr>
          <w:rFonts w:eastAsia="楷体"/>
          <w:bCs/>
          <w:highlight w:val="none"/>
        </w:rPr>
        <w:t>1.3 工作原则</w:t>
      </w:r>
      <w:r>
        <w:tab/>
      </w:r>
      <w:r>
        <w:fldChar w:fldCharType="begin"/>
      </w:r>
      <w:r>
        <w:instrText xml:space="preserve"> PAGEREF _Toc326 \h </w:instrText>
      </w:r>
      <w:r>
        <w:fldChar w:fldCharType="separate"/>
      </w:r>
      <w:r>
        <w:t>256</w:t>
      </w:r>
      <w:r>
        <w:fldChar w:fldCharType="end"/>
      </w:r>
      <w:r>
        <w:rPr>
          <w:rFonts w:eastAsia="楷体"/>
          <w:color w:val="auto"/>
          <w:kern w:val="0"/>
          <w:szCs w:val="28"/>
          <w:highlight w:val="none"/>
        </w:rPr>
        <w:fldChar w:fldCharType="end"/>
      </w:r>
    </w:p>
    <w:p w14:paraId="4BD131BA">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_Toc1513 </w:instrText>
      </w:r>
      <w:r>
        <w:rPr>
          <w:rFonts w:eastAsia="楷体"/>
          <w:kern w:val="0"/>
          <w:szCs w:val="28"/>
          <w:highlight w:val="none"/>
        </w:rPr>
        <w:fldChar w:fldCharType="separate"/>
      </w:r>
      <w:r>
        <w:rPr>
          <w:rFonts w:eastAsia="楷体"/>
          <w:szCs w:val="30"/>
          <w:highlight w:val="none"/>
        </w:rPr>
        <w:t>1.4 适用范围</w:t>
      </w:r>
      <w:r>
        <w:tab/>
      </w:r>
      <w:r>
        <w:fldChar w:fldCharType="begin"/>
      </w:r>
      <w:r>
        <w:instrText xml:space="preserve"> PAGEREF _Toc1513 \h </w:instrText>
      </w:r>
      <w:r>
        <w:fldChar w:fldCharType="separate"/>
      </w:r>
      <w:r>
        <w:t>257</w:t>
      </w:r>
      <w:r>
        <w:fldChar w:fldCharType="end"/>
      </w:r>
      <w:r>
        <w:rPr>
          <w:rFonts w:eastAsia="楷体"/>
          <w:color w:val="auto"/>
          <w:kern w:val="0"/>
          <w:szCs w:val="28"/>
          <w:highlight w:val="none"/>
        </w:rPr>
        <w:fldChar w:fldCharType="end"/>
      </w:r>
    </w:p>
    <w:p w14:paraId="4BAA6DEF">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_Toc27808 </w:instrText>
      </w:r>
      <w:r>
        <w:rPr>
          <w:rFonts w:eastAsia="楷体"/>
          <w:kern w:val="0"/>
          <w:szCs w:val="28"/>
          <w:highlight w:val="none"/>
        </w:rPr>
        <w:fldChar w:fldCharType="separate"/>
      </w:r>
      <w:r>
        <w:rPr>
          <w:rFonts w:eastAsia="楷体"/>
          <w:szCs w:val="36"/>
          <w:highlight w:val="none"/>
        </w:rPr>
        <w:t>2 工程概况</w:t>
      </w:r>
      <w:r>
        <w:tab/>
      </w:r>
      <w:r>
        <w:fldChar w:fldCharType="begin"/>
      </w:r>
      <w:r>
        <w:instrText xml:space="preserve"> PAGEREF _Toc27808 \h </w:instrText>
      </w:r>
      <w:r>
        <w:fldChar w:fldCharType="separate"/>
      </w:r>
      <w:r>
        <w:t>258</w:t>
      </w:r>
      <w:r>
        <w:fldChar w:fldCharType="end"/>
      </w:r>
      <w:r>
        <w:rPr>
          <w:rFonts w:eastAsia="楷体"/>
          <w:color w:val="auto"/>
          <w:kern w:val="0"/>
          <w:szCs w:val="28"/>
          <w:highlight w:val="none"/>
        </w:rPr>
        <w:fldChar w:fldCharType="end"/>
      </w:r>
    </w:p>
    <w:p w14:paraId="6A0DE87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_Toc21195 </w:instrText>
      </w:r>
      <w:r>
        <w:rPr>
          <w:rFonts w:eastAsia="楷体"/>
          <w:kern w:val="0"/>
          <w:szCs w:val="28"/>
          <w:highlight w:val="none"/>
        </w:rPr>
        <w:fldChar w:fldCharType="separate"/>
      </w:r>
      <w:r>
        <w:rPr>
          <w:rFonts w:eastAsia="楷体"/>
          <w:szCs w:val="30"/>
          <w:highlight w:val="none"/>
        </w:rPr>
        <w:t>2.1 流域概况</w:t>
      </w:r>
      <w:r>
        <w:tab/>
      </w:r>
      <w:r>
        <w:fldChar w:fldCharType="begin"/>
      </w:r>
      <w:r>
        <w:instrText xml:space="preserve"> PAGEREF _Toc21195 \h </w:instrText>
      </w:r>
      <w:r>
        <w:fldChar w:fldCharType="separate"/>
      </w:r>
      <w:r>
        <w:t>258</w:t>
      </w:r>
      <w:r>
        <w:fldChar w:fldCharType="end"/>
      </w:r>
      <w:r>
        <w:rPr>
          <w:rFonts w:eastAsia="楷体"/>
          <w:color w:val="auto"/>
          <w:kern w:val="0"/>
          <w:szCs w:val="28"/>
          <w:highlight w:val="none"/>
        </w:rPr>
        <w:fldChar w:fldCharType="end"/>
      </w:r>
    </w:p>
    <w:p w14:paraId="21B72A65">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_Toc10444 </w:instrText>
      </w:r>
      <w:r>
        <w:rPr>
          <w:rFonts w:eastAsia="楷体"/>
          <w:kern w:val="0"/>
          <w:szCs w:val="28"/>
          <w:highlight w:val="none"/>
        </w:rPr>
        <w:fldChar w:fldCharType="separate"/>
      </w:r>
      <w:r>
        <w:rPr>
          <w:rFonts w:eastAsia="楷体"/>
          <w:szCs w:val="30"/>
          <w:highlight w:val="none"/>
        </w:rPr>
        <w:t>2.2 工程基本情况</w:t>
      </w:r>
      <w:r>
        <w:tab/>
      </w:r>
      <w:r>
        <w:fldChar w:fldCharType="begin"/>
      </w:r>
      <w:r>
        <w:instrText xml:space="preserve"> PAGEREF _Toc10444 \h </w:instrText>
      </w:r>
      <w:r>
        <w:fldChar w:fldCharType="separate"/>
      </w:r>
      <w:r>
        <w:t>258</w:t>
      </w:r>
      <w:r>
        <w:fldChar w:fldCharType="end"/>
      </w:r>
      <w:r>
        <w:rPr>
          <w:rFonts w:eastAsia="楷体"/>
          <w:color w:val="auto"/>
          <w:kern w:val="0"/>
          <w:szCs w:val="28"/>
          <w:highlight w:val="none"/>
        </w:rPr>
        <w:fldChar w:fldCharType="end"/>
      </w:r>
    </w:p>
    <w:p w14:paraId="384C02B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_Toc10972 </w:instrText>
      </w:r>
      <w:r>
        <w:rPr>
          <w:rFonts w:eastAsia="楷体"/>
          <w:kern w:val="0"/>
          <w:szCs w:val="28"/>
          <w:highlight w:val="none"/>
        </w:rPr>
        <w:fldChar w:fldCharType="separate"/>
      </w:r>
      <w:r>
        <w:rPr>
          <w:rFonts w:eastAsia="楷体"/>
          <w:szCs w:val="30"/>
          <w:highlight w:val="none"/>
        </w:rPr>
        <w:t>2.3 水文</w:t>
      </w:r>
      <w:r>
        <w:tab/>
      </w:r>
      <w:r>
        <w:fldChar w:fldCharType="begin"/>
      </w:r>
      <w:r>
        <w:instrText xml:space="preserve"> PAGEREF _Toc10972 \h </w:instrText>
      </w:r>
      <w:r>
        <w:fldChar w:fldCharType="separate"/>
      </w:r>
      <w:r>
        <w:t>264</w:t>
      </w:r>
      <w:r>
        <w:fldChar w:fldCharType="end"/>
      </w:r>
      <w:r>
        <w:rPr>
          <w:rFonts w:eastAsia="楷体"/>
          <w:color w:val="auto"/>
          <w:kern w:val="0"/>
          <w:szCs w:val="28"/>
          <w:highlight w:val="none"/>
        </w:rPr>
        <w:fldChar w:fldCharType="end"/>
      </w:r>
    </w:p>
    <w:p w14:paraId="7361065D">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_Toc5455 </w:instrText>
      </w:r>
      <w:r>
        <w:rPr>
          <w:rFonts w:eastAsia="楷体"/>
          <w:kern w:val="0"/>
          <w:szCs w:val="28"/>
          <w:highlight w:val="none"/>
        </w:rPr>
        <w:fldChar w:fldCharType="separate"/>
      </w:r>
      <w:r>
        <w:rPr>
          <w:rFonts w:eastAsia="楷体"/>
          <w:szCs w:val="30"/>
          <w:highlight w:val="none"/>
        </w:rPr>
        <w:t>2.4  工程安全监测</w:t>
      </w:r>
      <w:r>
        <w:tab/>
      </w:r>
      <w:r>
        <w:fldChar w:fldCharType="begin"/>
      </w:r>
      <w:r>
        <w:instrText xml:space="preserve"> PAGEREF _Toc5455 \h </w:instrText>
      </w:r>
      <w:r>
        <w:fldChar w:fldCharType="separate"/>
      </w:r>
      <w:r>
        <w:t>264</w:t>
      </w:r>
      <w:r>
        <w:fldChar w:fldCharType="end"/>
      </w:r>
      <w:r>
        <w:rPr>
          <w:rFonts w:eastAsia="楷体"/>
          <w:color w:val="auto"/>
          <w:kern w:val="0"/>
          <w:szCs w:val="28"/>
          <w:highlight w:val="none"/>
        </w:rPr>
        <w:fldChar w:fldCharType="end"/>
      </w:r>
    </w:p>
    <w:p w14:paraId="3199FA41">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_Toc5343 </w:instrText>
      </w:r>
      <w:r>
        <w:rPr>
          <w:rFonts w:eastAsia="楷体"/>
          <w:kern w:val="0"/>
          <w:szCs w:val="28"/>
          <w:highlight w:val="none"/>
        </w:rPr>
        <w:fldChar w:fldCharType="separate"/>
      </w:r>
      <w:r>
        <w:rPr>
          <w:rFonts w:eastAsia="楷体"/>
          <w:szCs w:val="30"/>
          <w:highlight w:val="none"/>
        </w:rPr>
        <w:t>2.5 水库汛期调度运用计划</w:t>
      </w:r>
      <w:r>
        <w:tab/>
      </w:r>
      <w:r>
        <w:fldChar w:fldCharType="begin"/>
      </w:r>
      <w:r>
        <w:instrText xml:space="preserve"> PAGEREF _Toc5343 \h </w:instrText>
      </w:r>
      <w:r>
        <w:fldChar w:fldCharType="separate"/>
      </w:r>
      <w:r>
        <w:t>265</w:t>
      </w:r>
      <w:r>
        <w:fldChar w:fldCharType="end"/>
      </w:r>
      <w:r>
        <w:rPr>
          <w:rFonts w:eastAsia="楷体"/>
          <w:color w:val="auto"/>
          <w:kern w:val="0"/>
          <w:szCs w:val="28"/>
          <w:highlight w:val="none"/>
        </w:rPr>
        <w:fldChar w:fldCharType="end"/>
      </w:r>
    </w:p>
    <w:p w14:paraId="2995D506">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_Toc31600 </w:instrText>
      </w:r>
      <w:r>
        <w:rPr>
          <w:rFonts w:eastAsia="楷体"/>
          <w:kern w:val="0"/>
          <w:szCs w:val="28"/>
          <w:highlight w:val="none"/>
        </w:rPr>
        <w:fldChar w:fldCharType="separate"/>
      </w:r>
      <w:r>
        <w:rPr>
          <w:rFonts w:eastAsia="楷体"/>
          <w:bCs/>
          <w:szCs w:val="36"/>
          <w:highlight w:val="none"/>
        </w:rPr>
        <w:t>3突发事件危害性分析</w:t>
      </w:r>
      <w:r>
        <w:tab/>
      </w:r>
      <w:r>
        <w:fldChar w:fldCharType="begin"/>
      </w:r>
      <w:r>
        <w:instrText xml:space="preserve"> PAGEREF _Toc31600 \h </w:instrText>
      </w:r>
      <w:r>
        <w:fldChar w:fldCharType="separate"/>
      </w:r>
      <w:r>
        <w:t>270</w:t>
      </w:r>
      <w:r>
        <w:fldChar w:fldCharType="end"/>
      </w:r>
      <w:r>
        <w:rPr>
          <w:rFonts w:eastAsia="楷体"/>
          <w:color w:val="auto"/>
          <w:kern w:val="0"/>
          <w:szCs w:val="28"/>
          <w:highlight w:val="none"/>
        </w:rPr>
        <w:fldChar w:fldCharType="end"/>
      </w:r>
    </w:p>
    <w:p w14:paraId="010DE025">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_Toc32753 </w:instrText>
      </w:r>
      <w:r>
        <w:rPr>
          <w:rFonts w:eastAsia="楷体"/>
          <w:kern w:val="0"/>
          <w:szCs w:val="28"/>
          <w:highlight w:val="none"/>
        </w:rPr>
        <w:fldChar w:fldCharType="separate"/>
      </w:r>
      <w:r>
        <w:rPr>
          <w:rFonts w:eastAsia="楷体"/>
          <w:szCs w:val="30"/>
          <w:highlight w:val="none"/>
        </w:rPr>
        <w:t>3.1 重大工程险情分析</w:t>
      </w:r>
      <w:r>
        <w:tab/>
      </w:r>
      <w:r>
        <w:fldChar w:fldCharType="begin"/>
      </w:r>
      <w:r>
        <w:instrText xml:space="preserve"> PAGEREF _Toc32753 \h </w:instrText>
      </w:r>
      <w:r>
        <w:fldChar w:fldCharType="separate"/>
      </w:r>
      <w:r>
        <w:t>270</w:t>
      </w:r>
      <w:r>
        <w:fldChar w:fldCharType="end"/>
      </w:r>
      <w:r>
        <w:rPr>
          <w:rFonts w:eastAsia="楷体"/>
          <w:color w:val="auto"/>
          <w:kern w:val="0"/>
          <w:szCs w:val="28"/>
          <w:highlight w:val="none"/>
        </w:rPr>
        <w:fldChar w:fldCharType="end"/>
      </w:r>
    </w:p>
    <w:p w14:paraId="6E00A39D">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_Toc11763 </w:instrText>
      </w:r>
      <w:r>
        <w:rPr>
          <w:rFonts w:eastAsia="楷体"/>
          <w:kern w:val="0"/>
          <w:szCs w:val="28"/>
          <w:highlight w:val="none"/>
        </w:rPr>
        <w:fldChar w:fldCharType="separate"/>
      </w:r>
      <w:r>
        <w:rPr>
          <w:rFonts w:eastAsia="楷体"/>
          <w:szCs w:val="30"/>
          <w:highlight w:val="none"/>
        </w:rPr>
        <w:t>3.2 突发事件（溃坝）危害性分析</w:t>
      </w:r>
      <w:r>
        <w:tab/>
      </w:r>
      <w:r>
        <w:fldChar w:fldCharType="begin"/>
      </w:r>
      <w:r>
        <w:instrText xml:space="preserve"> PAGEREF _Toc11763 \h </w:instrText>
      </w:r>
      <w:r>
        <w:fldChar w:fldCharType="separate"/>
      </w:r>
      <w:r>
        <w:t>270</w:t>
      </w:r>
      <w:r>
        <w:fldChar w:fldCharType="end"/>
      </w:r>
      <w:r>
        <w:rPr>
          <w:rFonts w:eastAsia="楷体"/>
          <w:color w:val="auto"/>
          <w:kern w:val="0"/>
          <w:szCs w:val="28"/>
          <w:highlight w:val="none"/>
        </w:rPr>
        <w:fldChar w:fldCharType="end"/>
      </w:r>
    </w:p>
    <w:p w14:paraId="27C654BA">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_Toc17799 </w:instrText>
      </w:r>
      <w:r>
        <w:rPr>
          <w:rFonts w:eastAsia="楷体"/>
          <w:kern w:val="0"/>
          <w:szCs w:val="28"/>
          <w:highlight w:val="none"/>
        </w:rPr>
        <w:fldChar w:fldCharType="separate"/>
      </w:r>
      <w:r>
        <w:rPr>
          <w:rFonts w:eastAsia="楷体"/>
          <w:szCs w:val="30"/>
          <w:highlight w:val="none"/>
        </w:rPr>
        <w:t>3.3 溃坝失事造成下游经济和社会损失影响分析</w:t>
      </w:r>
      <w:r>
        <w:tab/>
      </w:r>
      <w:r>
        <w:fldChar w:fldCharType="begin"/>
      </w:r>
      <w:r>
        <w:instrText xml:space="preserve"> PAGEREF _Toc17799 \h </w:instrText>
      </w:r>
      <w:r>
        <w:fldChar w:fldCharType="separate"/>
      </w:r>
      <w:r>
        <w:t>270</w:t>
      </w:r>
      <w:r>
        <w:fldChar w:fldCharType="end"/>
      </w:r>
      <w:r>
        <w:rPr>
          <w:rFonts w:eastAsia="楷体"/>
          <w:color w:val="auto"/>
          <w:kern w:val="0"/>
          <w:szCs w:val="28"/>
          <w:highlight w:val="none"/>
        </w:rPr>
        <w:fldChar w:fldCharType="end"/>
      </w:r>
    </w:p>
    <w:p w14:paraId="3949BCE1">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_Toc23917 </w:instrText>
      </w:r>
      <w:r>
        <w:rPr>
          <w:rFonts w:eastAsia="楷体"/>
          <w:kern w:val="0"/>
          <w:szCs w:val="28"/>
          <w:highlight w:val="none"/>
        </w:rPr>
        <w:fldChar w:fldCharType="separate"/>
      </w:r>
      <w:r>
        <w:rPr>
          <w:rFonts w:eastAsia="楷体"/>
          <w:bCs/>
          <w:szCs w:val="36"/>
          <w:highlight w:val="none"/>
        </w:rPr>
        <w:t>4 险情监测与报告</w:t>
      </w:r>
      <w:r>
        <w:tab/>
      </w:r>
      <w:r>
        <w:fldChar w:fldCharType="begin"/>
      </w:r>
      <w:r>
        <w:instrText xml:space="preserve"> PAGEREF _Toc23917 \h </w:instrText>
      </w:r>
      <w:r>
        <w:fldChar w:fldCharType="separate"/>
      </w:r>
      <w:r>
        <w:t>272</w:t>
      </w:r>
      <w:r>
        <w:fldChar w:fldCharType="end"/>
      </w:r>
      <w:r>
        <w:rPr>
          <w:rFonts w:eastAsia="楷体"/>
          <w:color w:val="auto"/>
          <w:kern w:val="0"/>
          <w:szCs w:val="28"/>
          <w:highlight w:val="none"/>
        </w:rPr>
        <w:fldChar w:fldCharType="end"/>
      </w:r>
    </w:p>
    <w:p w14:paraId="7161C00F">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_Toc28551 </w:instrText>
      </w:r>
      <w:r>
        <w:rPr>
          <w:rFonts w:eastAsia="楷体"/>
          <w:kern w:val="0"/>
          <w:szCs w:val="28"/>
          <w:highlight w:val="none"/>
        </w:rPr>
        <w:fldChar w:fldCharType="separate"/>
      </w:r>
      <w:r>
        <w:rPr>
          <w:rFonts w:eastAsia="楷体"/>
          <w:szCs w:val="30"/>
          <w:highlight w:val="none"/>
        </w:rPr>
        <w:t>4.1险情监测和巡视</w:t>
      </w:r>
      <w:r>
        <w:tab/>
      </w:r>
      <w:r>
        <w:fldChar w:fldCharType="begin"/>
      </w:r>
      <w:r>
        <w:instrText xml:space="preserve"> PAGEREF _Toc28551 \h </w:instrText>
      </w:r>
      <w:r>
        <w:fldChar w:fldCharType="separate"/>
      </w:r>
      <w:r>
        <w:t>272</w:t>
      </w:r>
      <w:r>
        <w:fldChar w:fldCharType="end"/>
      </w:r>
      <w:r>
        <w:rPr>
          <w:rFonts w:eastAsia="楷体"/>
          <w:color w:val="auto"/>
          <w:kern w:val="0"/>
          <w:szCs w:val="28"/>
          <w:highlight w:val="none"/>
        </w:rPr>
        <w:fldChar w:fldCharType="end"/>
      </w:r>
    </w:p>
    <w:p w14:paraId="1ED05B03">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_Toc7213 </w:instrText>
      </w:r>
      <w:r>
        <w:rPr>
          <w:rFonts w:eastAsia="楷体"/>
          <w:kern w:val="0"/>
          <w:szCs w:val="28"/>
          <w:highlight w:val="none"/>
        </w:rPr>
        <w:fldChar w:fldCharType="separate"/>
      </w:r>
      <w:r>
        <w:rPr>
          <w:rFonts w:eastAsia="楷体"/>
          <w:szCs w:val="30"/>
          <w:highlight w:val="none"/>
        </w:rPr>
        <w:t>4.2 险情上报与通报</w:t>
      </w:r>
      <w:r>
        <w:tab/>
      </w:r>
      <w:r>
        <w:fldChar w:fldCharType="begin"/>
      </w:r>
      <w:r>
        <w:instrText xml:space="preserve"> PAGEREF _Toc7213 \h </w:instrText>
      </w:r>
      <w:r>
        <w:fldChar w:fldCharType="separate"/>
      </w:r>
      <w:r>
        <w:t>273</w:t>
      </w:r>
      <w:r>
        <w:fldChar w:fldCharType="end"/>
      </w:r>
      <w:r>
        <w:rPr>
          <w:rFonts w:eastAsia="楷体"/>
          <w:color w:val="auto"/>
          <w:kern w:val="0"/>
          <w:szCs w:val="28"/>
          <w:highlight w:val="none"/>
        </w:rPr>
        <w:fldChar w:fldCharType="end"/>
      </w:r>
    </w:p>
    <w:p w14:paraId="5895083B">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_Toc23097 </w:instrText>
      </w:r>
      <w:r>
        <w:rPr>
          <w:rFonts w:eastAsia="楷体"/>
          <w:kern w:val="0"/>
          <w:szCs w:val="28"/>
          <w:highlight w:val="none"/>
        </w:rPr>
        <w:fldChar w:fldCharType="separate"/>
      </w:r>
      <w:r>
        <w:rPr>
          <w:rFonts w:eastAsia="楷体"/>
          <w:bCs/>
          <w:szCs w:val="36"/>
          <w:highlight w:val="none"/>
        </w:rPr>
        <w:t>5 险情抢护</w:t>
      </w:r>
      <w:r>
        <w:tab/>
      </w:r>
      <w:r>
        <w:fldChar w:fldCharType="begin"/>
      </w:r>
      <w:r>
        <w:instrText xml:space="preserve"> PAGEREF _Toc23097 \h </w:instrText>
      </w:r>
      <w:r>
        <w:fldChar w:fldCharType="separate"/>
      </w:r>
      <w:r>
        <w:t>274</w:t>
      </w:r>
      <w:r>
        <w:fldChar w:fldCharType="end"/>
      </w:r>
      <w:r>
        <w:rPr>
          <w:rFonts w:eastAsia="楷体"/>
          <w:color w:val="auto"/>
          <w:kern w:val="0"/>
          <w:szCs w:val="28"/>
          <w:highlight w:val="none"/>
        </w:rPr>
        <w:fldChar w:fldCharType="end"/>
      </w:r>
    </w:p>
    <w:p w14:paraId="5CB93B14">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_Toc5658 </w:instrText>
      </w:r>
      <w:r>
        <w:rPr>
          <w:rFonts w:eastAsia="楷体"/>
          <w:kern w:val="0"/>
          <w:szCs w:val="28"/>
          <w:highlight w:val="none"/>
        </w:rPr>
        <w:fldChar w:fldCharType="separate"/>
      </w:r>
      <w:r>
        <w:rPr>
          <w:rFonts w:eastAsia="楷体"/>
          <w:szCs w:val="30"/>
          <w:highlight w:val="none"/>
        </w:rPr>
        <w:t>5.1 抢险调度</w:t>
      </w:r>
      <w:r>
        <w:tab/>
      </w:r>
      <w:r>
        <w:fldChar w:fldCharType="begin"/>
      </w:r>
      <w:r>
        <w:instrText xml:space="preserve"> PAGEREF _Toc5658 \h </w:instrText>
      </w:r>
      <w:r>
        <w:fldChar w:fldCharType="separate"/>
      </w:r>
      <w:r>
        <w:t>274</w:t>
      </w:r>
      <w:r>
        <w:fldChar w:fldCharType="end"/>
      </w:r>
      <w:r>
        <w:rPr>
          <w:rFonts w:eastAsia="楷体"/>
          <w:color w:val="auto"/>
          <w:kern w:val="0"/>
          <w:szCs w:val="28"/>
          <w:highlight w:val="none"/>
        </w:rPr>
        <w:fldChar w:fldCharType="end"/>
      </w:r>
    </w:p>
    <w:p w14:paraId="750AEFB8">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_Toc8862 </w:instrText>
      </w:r>
      <w:r>
        <w:rPr>
          <w:rFonts w:eastAsia="楷体"/>
          <w:kern w:val="0"/>
          <w:szCs w:val="28"/>
          <w:highlight w:val="none"/>
        </w:rPr>
        <w:fldChar w:fldCharType="separate"/>
      </w:r>
      <w:r>
        <w:rPr>
          <w:rFonts w:eastAsia="楷体"/>
          <w:szCs w:val="30"/>
          <w:highlight w:val="none"/>
        </w:rPr>
        <w:t>5.2抢险措施</w:t>
      </w:r>
      <w:r>
        <w:tab/>
      </w:r>
      <w:r>
        <w:fldChar w:fldCharType="begin"/>
      </w:r>
      <w:r>
        <w:instrText xml:space="preserve"> PAGEREF _Toc8862 \h </w:instrText>
      </w:r>
      <w:r>
        <w:fldChar w:fldCharType="separate"/>
      </w:r>
      <w:r>
        <w:t>274</w:t>
      </w:r>
      <w:r>
        <w:fldChar w:fldCharType="end"/>
      </w:r>
      <w:r>
        <w:rPr>
          <w:rFonts w:eastAsia="楷体"/>
          <w:color w:val="auto"/>
          <w:kern w:val="0"/>
          <w:szCs w:val="28"/>
          <w:highlight w:val="none"/>
        </w:rPr>
        <w:fldChar w:fldCharType="end"/>
      </w:r>
    </w:p>
    <w:p w14:paraId="2C225C2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_Toc3382 </w:instrText>
      </w:r>
      <w:r>
        <w:rPr>
          <w:rFonts w:eastAsia="楷体"/>
          <w:kern w:val="0"/>
          <w:szCs w:val="28"/>
          <w:highlight w:val="none"/>
        </w:rPr>
        <w:fldChar w:fldCharType="separate"/>
      </w:r>
      <w:r>
        <w:rPr>
          <w:rFonts w:eastAsia="楷体"/>
          <w:szCs w:val="30"/>
          <w:highlight w:val="none"/>
        </w:rPr>
        <w:t>5.3 应急转移</w:t>
      </w:r>
      <w:r>
        <w:tab/>
      </w:r>
      <w:r>
        <w:fldChar w:fldCharType="begin"/>
      </w:r>
      <w:r>
        <w:instrText xml:space="preserve"> PAGEREF _Toc3382 \h </w:instrText>
      </w:r>
      <w:r>
        <w:fldChar w:fldCharType="separate"/>
      </w:r>
      <w:r>
        <w:t>277</w:t>
      </w:r>
      <w:r>
        <w:fldChar w:fldCharType="end"/>
      </w:r>
      <w:r>
        <w:rPr>
          <w:rFonts w:eastAsia="楷体"/>
          <w:color w:val="auto"/>
          <w:kern w:val="0"/>
          <w:szCs w:val="28"/>
          <w:highlight w:val="none"/>
        </w:rPr>
        <w:fldChar w:fldCharType="end"/>
      </w:r>
    </w:p>
    <w:p w14:paraId="2F5C2F44">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_Toc24996 </w:instrText>
      </w:r>
      <w:r>
        <w:rPr>
          <w:rFonts w:eastAsia="楷体"/>
          <w:kern w:val="0"/>
          <w:szCs w:val="28"/>
          <w:highlight w:val="none"/>
        </w:rPr>
        <w:fldChar w:fldCharType="separate"/>
      </w:r>
      <w:r>
        <w:rPr>
          <w:rFonts w:eastAsia="楷体"/>
          <w:bCs/>
          <w:szCs w:val="36"/>
          <w:highlight w:val="none"/>
        </w:rPr>
        <w:t>6 应急保障</w:t>
      </w:r>
      <w:r>
        <w:tab/>
      </w:r>
      <w:r>
        <w:fldChar w:fldCharType="begin"/>
      </w:r>
      <w:r>
        <w:instrText xml:space="preserve"> PAGEREF _Toc24996 \h </w:instrText>
      </w:r>
      <w:r>
        <w:fldChar w:fldCharType="separate"/>
      </w:r>
      <w:r>
        <w:t>278</w:t>
      </w:r>
      <w:r>
        <w:fldChar w:fldCharType="end"/>
      </w:r>
      <w:r>
        <w:rPr>
          <w:rFonts w:eastAsia="楷体"/>
          <w:color w:val="auto"/>
          <w:kern w:val="0"/>
          <w:szCs w:val="28"/>
          <w:highlight w:val="none"/>
        </w:rPr>
        <w:fldChar w:fldCharType="end"/>
      </w:r>
    </w:p>
    <w:p w14:paraId="09581286">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_Toc7422 </w:instrText>
      </w:r>
      <w:r>
        <w:rPr>
          <w:rFonts w:eastAsia="楷体"/>
          <w:kern w:val="0"/>
          <w:szCs w:val="28"/>
          <w:highlight w:val="none"/>
        </w:rPr>
        <w:fldChar w:fldCharType="separate"/>
      </w:r>
      <w:r>
        <w:rPr>
          <w:rFonts w:eastAsia="楷体"/>
          <w:szCs w:val="30"/>
          <w:highlight w:val="none"/>
        </w:rPr>
        <w:t>6.1 组织保障</w:t>
      </w:r>
      <w:r>
        <w:tab/>
      </w:r>
      <w:r>
        <w:fldChar w:fldCharType="begin"/>
      </w:r>
      <w:r>
        <w:instrText xml:space="preserve"> PAGEREF _Toc7422 \h </w:instrText>
      </w:r>
      <w:r>
        <w:fldChar w:fldCharType="separate"/>
      </w:r>
      <w:r>
        <w:t>278</w:t>
      </w:r>
      <w:r>
        <w:fldChar w:fldCharType="end"/>
      </w:r>
      <w:r>
        <w:rPr>
          <w:rFonts w:eastAsia="楷体"/>
          <w:color w:val="auto"/>
          <w:kern w:val="0"/>
          <w:szCs w:val="28"/>
          <w:highlight w:val="none"/>
        </w:rPr>
        <w:fldChar w:fldCharType="end"/>
      </w:r>
    </w:p>
    <w:p w14:paraId="51370ABC">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_Toc28784 </w:instrText>
      </w:r>
      <w:r>
        <w:rPr>
          <w:rFonts w:eastAsia="楷体"/>
          <w:kern w:val="0"/>
          <w:szCs w:val="28"/>
          <w:highlight w:val="none"/>
        </w:rPr>
        <w:fldChar w:fldCharType="separate"/>
      </w:r>
      <w:r>
        <w:rPr>
          <w:rFonts w:eastAsia="楷体"/>
          <w:szCs w:val="30"/>
          <w:highlight w:val="none"/>
        </w:rPr>
        <w:t>6.2 队伍保障</w:t>
      </w:r>
      <w:r>
        <w:tab/>
      </w:r>
      <w:r>
        <w:fldChar w:fldCharType="begin"/>
      </w:r>
      <w:r>
        <w:instrText xml:space="preserve"> PAGEREF _Toc28784 \h </w:instrText>
      </w:r>
      <w:r>
        <w:fldChar w:fldCharType="separate"/>
      </w:r>
      <w:r>
        <w:t>280</w:t>
      </w:r>
      <w:r>
        <w:fldChar w:fldCharType="end"/>
      </w:r>
      <w:r>
        <w:rPr>
          <w:rFonts w:eastAsia="楷体"/>
          <w:color w:val="auto"/>
          <w:kern w:val="0"/>
          <w:szCs w:val="28"/>
          <w:highlight w:val="none"/>
        </w:rPr>
        <w:fldChar w:fldCharType="end"/>
      </w:r>
    </w:p>
    <w:p w14:paraId="060D0D42">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_Toc20700 </w:instrText>
      </w:r>
      <w:r>
        <w:rPr>
          <w:rFonts w:eastAsia="楷体"/>
          <w:kern w:val="0"/>
          <w:szCs w:val="28"/>
          <w:highlight w:val="none"/>
        </w:rPr>
        <w:fldChar w:fldCharType="separate"/>
      </w:r>
      <w:r>
        <w:rPr>
          <w:rFonts w:eastAsia="楷体"/>
          <w:szCs w:val="30"/>
          <w:highlight w:val="none"/>
        </w:rPr>
        <w:t>6.3 物资保障</w:t>
      </w:r>
      <w:r>
        <w:tab/>
      </w:r>
      <w:r>
        <w:fldChar w:fldCharType="begin"/>
      </w:r>
      <w:r>
        <w:instrText xml:space="preserve"> PAGEREF _Toc20700 \h </w:instrText>
      </w:r>
      <w:r>
        <w:fldChar w:fldCharType="separate"/>
      </w:r>
      <w:r>
        <w:t>280</w:t>
      </w:r>
      <w:r>
        <w:fldChar w:fldCharType="end"/>
      </w:r>
      <w:r>
        <w:rPr>
          <w:rFonts w:eastAsia="楷体"/>
          <w:color w:val="auto"/>
          <w:kern w:val="0"/>
          <w:szCs w:val="28"/>
          <w:highlight w:val="none"/>
        </w:rPr>
        <w:fldChar w:fldCharType="end"/>
      </w:r>
    </w:p>
    <w:p w14:paraId="059014B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_Toc20524 </w:instrText>
      </w:r>
      <w:r>
        <w:rPr>
          <w:rFonts w:eastAsia="楷体"/>
          <w:kern w:val="0"/>
          <w:szCs w:val="28"/>
          <w:highlight w:val="none"/>
        </w:rPr>
        <w:fldChar w:fldCharType="separate"/>
      </w:r>
      <w:r>
        <w:rPr>
          <w:rFonts w:eastAsia="楷体"/>
          <w:szCs w:val="30"/>
          <w:highlight w:val="none"/>
        </w:rPr>
        <w:t>6.4通讯保障</w:t>
      </w:r>
      <w:r>
        <w:tab/>
      </w:r>
      <w:r>
        <w:fldChar w:fldCharType="begin"/>
      </w:r>
      <w:r>
        <w:instrText xml:space="preserve"> PAGEREF _Toc20524 \h </w:instrText>
      </w:r>
      <w:r>
        <w:fldChar w:fldCharType="separate"/>
      </w:r>
      <w:r>
        <w:t>281</w:t>
      </w:r>
      <w:r>
        <w:fldChar w:fldCharType="end"/>
      </w:r>
      <w:r>
        <w:rPr>
          <w:rFonts w:eastAsia="楷体"/>
          <w:color w:val="auto"/>
          <w:kern w:val="0"/>
          <w:szCs w:val="28"/>
          <w:highlight w:val="none"/>
        </w:rPr>
        <w:fldChar w:fldCharType="end"/>
      </w:r>
    </w:p>
    <w:p w14:paraId="100E9F16">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_Toc16710 </w:instrText>
      </w:r>
      <w:r>
        <w:rPr>
          <w:rFonts w:eastAsia="楷体"/>
          <w:kern w:val="0"/>
          <w:szCs w:val="28"/>
          <w:highlight w:val="none"/>
        </w:rPr>
        <w:fldChar w:fldCharType="separate"/>
      </w:r>
      <w:r>
        <w:rPr>
          <w:rFonts w:eastAsia="楷体"/>
          <w:szCs w:val="30"/>
          <w:highlight w:val="none"/>
        </w:rPr>
        <w:t>6.5其他保障</w:t>
      </w:r>
      <w:r>
        <w:tab/>
      </w:r>
      <w:r>
        <w:fldChar w:fldCharType="begin"/>
      </w:r>
      <w:r>
        <w:instrText xml:space="preserve"> PAGEREF _Toc16710 \h </w:instrText>
      </w:r>
      <w:r>
        <w:fldChar w:fldCharType="separate"/>
      </w:r>
      <w:r>
        <w:t>281</w:t>
      </w:r>
      <w:r>
        <w:fldChar w:fldCharType="end"/>
      </w:r>
      <w:r>
        <w:rPr>
          <w:rFonts w:eastAsia="楷体"/>
          <w:color w:val="auto"/>
          <w:kern w:val="0"/>
          <w:szCs w:val="28"/>
          <w:highlight w:val="none"/>
        </w:rPr>
        <w:fldChar w:fldCharType="end"/>
      </w:r>
    </w:p>
    <w:p w14:paraId="7C9730DA">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_Toc351 </w:instrText>
      </w:r>
      <w:r>
        <w:rPr>
          <w:rFonts w:eastAsia="楷体"/>
          <w:kern w:val="0"/>
          <w:szCs w:val="28"/>
          <w:highlight w:val="none"/>
        </w:rPr>
        <w:fldChar w:fldCharType="separate"/>
      </w:r>
      <w:r>
        <w:rPr>
          <w:rFonts w:eastAsia="楷体"/>
          <w:bCs/>
          <w:szCs w:val="36"/>
          <w:highlight w:val="none"/>
        </w:rPr>
        <w:t>7 《应急预案》启动和结束</w:t>
      </w:r>
      <w:r>
        <w:tab/>
      </w:r>
      <w:r>
        <w:fldChar w:fldCharType="begin"/>
      </w:r>
      <w:r>
        <w:instrText xml:space="preserve"> PAGEREF _Toc351 \h </w:instrText>
      </w:r>
      <w:r>
        <w:fldChar w:fldCharType="separate"/>
      </w:r>
      <w:r>
        <w:t>283</w:t>
      </w:r>
      <w:r>
        <w:fldChar w:fldCharType="end"/>
      </w:r>
      <w:r>
        <w:rPr>
          <w:rFonts w:eastAsia="楷体"/>
          <w:color w:val="auto"/>
          <w:kern w:val="0"/>
          <w:szCs w:val="28"/>
          <w:highlight w:val="none"/>
        </w:rPr>
        <w:fldChar w:fldCharType="end"/>
      </w:r>
    </w:p>
    <w:p w14:paraId="5ECFF0C3">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_Toc2941 </w:instrText>
      </w:r>
      <w:r>
        <w:rPr>
          <w:rFonts w:eastAsia="楷体"/>
          <w:kern w:val="0"/>
          <w:szCs w:val="28"/>
          <w:highlight w:val="none"/>
        </w:rPr>
        <w:fldChar w:fldCharType="separate"/>
      </w:r>
      <w:r>
        <w:rPr>
          <w:rFonts w:ascii="Times New Roman" w:hAnsi="Times New Roman" w:eastAsia="楷体"/>
          <w:bCs w:val="0"/>
          <w:highlight w:val="none"/>
        </w:rPr>
        <w:t>7.1 启动与结束条件</w:t>
      </w:r>
      <w:r>
        <w:tab/>
      </w:r>
      <w:r>
        <w:fldChar w:fldCharType="begin"/>
      </w:r>
      <w:r>
        <w:instrText xml:space="preserve"> PAGEREF _Toc2941 \h </w:instrText>
      </w:r>
      <w:r>
        <w:fldChar w:fldCharType="separate"/>
      </w:r>
      <w:r>
        <w:t>283</w:t>
      </w:r>
      <w:r>
        <w:fldChar w:fldCharType="end"/>
      </w:r>
      <w:r>
        <w:rPr>
          <w:rFonts w:eastAsia="楷体"/>
          <w:color w:val="auto"/>
          <w:kern w:val="0"/>
          <w:szCs w:val="28"/>
          <w:highlight w:val="none"/>
        </w:rPr>
        <w:fldChar w:fldCharType="end"/>
      </w:r>
    </w:p>
    <w:p w14:paraId="7EE60ADC">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_Toc15114 </w:instrText>
      </w:r>
      <w:r>
        <w:rPr>
          <w:rFonts w:eastAsia="楷体"/>
          <w:kern w:val="0"/>
          <w:szCs w:val="28"/>
          <w:highlight w:val="none"/>
        </w:rPr>
        <w:fldChar w:fldCharType="separate"/>
      </w:r>
      <w:r>
        <w:rPr>
          <w:rFonts w:ascii="Times New Roman" w:hAnsi="Times New Roman" w:eastAsia="楷体"/>
          <w:bCs w:val="0"/>
          <w:highlight w:val="none"/>
        </w:rPr>
        <w:t>7.2 决策机构与程序</w:t>
      </w:r>
      <w:r>
        <w:tab/>
      </w:r>
      <w:r>
        <w:fldChar w:fldCharType="begin"/>
      </w:r>
      <w:r>
        <w:instrText xml:space="preserve"> PAGEREF _Toc15114 \h </w:instrText>
      </w:r>
      <w:r>
        <w:fldChar w:fldCharType="separate"/>
      </w:r>
      <w:r>
        <w:t xml:space="preserve"> 283</w:t>
      </w:r>
      <w:r>
        <w:fldChar w:fldCharType="end"/>
      </w:r>
      <w:r>
        <w:rPr>
          <w:rFonts w:eastAsia="楷体"/>
          <w:color w:val="auto"/>
          <w:kern w:val="0"/>
          <w:szCs w:val="28"/>
          <w:highlight w:val="none"/>
        </w:rPr>
        <w:fldChar w:fldCharType="end"/>
      </w:r>
    </w:p>
    <w:p w14:paraId="78C3696F">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_Toc25380 </w:instrText>
      </w:r>
      <w:r>
        <w:rPr>
          <w:rFonts w:eastAsia="楷体"/>
          <w:kern w:val="0"/>
          <w:szCs w:val="28"/>
          <w:highlight w:val="none"/>
        </w:rPr>
        <w:fldChar w:fldCharType="separate"/>
      </w:r>
      <w:r>
        <w:rPr>
          <w:rFonts w:eastAsia="楷体"/>
          <w:bCs/>
          <w:szCs w:val="36"/>
          <w:highlight w:val="none"/>
        </w:rPr>
        <w:t>8 附件</w:t>
      </w:r>
      <w:r>
        <w:tab/>
      </w:r>
      <w:r>
        <w:fldChar w:fldCharType="begin"/>
      </w:r>
      <w:r>
        <w:instrText xml:space="preserve"> PAGEREF _Toc25380 \h </w:instrText>
      </w:r>
      <w:r>
        <w:fldChar w:fldCharType="separate"/>
      </w:r>
      <w:r>
        <w:t xml:space="preserve"> 284</w:t>
      </w:r>
      <w:r>
        <w:fldChar w:fldCharType="end"/>
      </w:r>
      <w:r>
        <w:rPr>
          <w:rFonts w:eastAsia="楷体"/>
          <w:color w:val="auto"/>
          <w:kern w:val="0"/>
          <w:szCs w:val="28"/>
          <w:highlight w:val="none"/>
        </w:rPr>
        <w:fldChar w:fldCharType="end"/>
      </w:r>
    </w:p>
    <w:p w14:paraId="504C4D61">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_Toc22519 </w:instrText>
      </w:r>
      <w:r>
        <w:rPr>
          <w:rFonts w:eastAsia="楷体"/>
          <w:kern w:val="0"/>
          <w:szCs w:val="28"/>
          <w:highlight w:val="none"/>
        </w:rPr>
        <w:fldChar w:fldCharType="separate"/>
      </w:r>
      <w:r>
        <w:rPr>
          <w:rFonts w:eastAsia="楷体"/>
          <w:szCs w:val="28"/>
          <w:highlight w:val="none"/>
        </w:rPr>
        <w:t>表1    四清水库工程特性表</w:t>
      </w:r>
      <w:r>
        <w:tab/>
      </w:r>
      <w:r>
        <w:fldChar w:fldCharType="begin"/>
      </w:r>
      <w:r>
        <w:instrText xml:space="preserve"> PAGEREF _Toc22519 \h </w:instrText>
      </w:r>
      <w:r>
        <w:fldChar w:fldCharType="separate"/>
      </w:r>
      <w:r>
        <w:t>284</w:t>
      </w:r>
      <w:r>
        <w:fldChar w:fldCharType="end"/>
      </w:r>
      <w:r>
        <w:rPr>
          <w:rFonts w:eastAsia="楷体"/>
          <w:color w:val="auto"/>
          <w:kern w:val="0"/>
          <w:szCs w:val="28"/>
          <w:highlight w:val="none"/>
        </w:rPr>
        <w:fldChar w:fldCharType="end"/>
      </w:r>
    </w:p>
    <w:p w14:paraId="03DF733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_Toc8143 </w:instrText>
      </w:r>
      <w:r>
        <w:rPr>
          <w:rFonts w:eastAsia="楷体"/>
          <w:kern w:val="0"/>
          <w:szCs w:val="28"/>
          <w:highlight w:val="none"/>
        </w:rPr>
        <w:fldChar w:fldCharType="separate"/>
      </w:r>
      <w:r>
        <w:rPr>
          <w:rFonts w:eastAsia="楷体"/>
          <w:szCs w:val="28"/>
          <w:highlight w:val="none"/>
        </w:rPr>
        <w:t>表2    四清水库水位～库容关系曲线表</w:t>
      </w:r>
      <w:r>
        <w:tab/>
      </w:r>
      <w:r>
        <w:fldChar w:fldCharType="begin"/>
      </w:r>
      <w:r>
        <w:instrText xml:space="preserve"> PAGEREF _Toc8143 \h </w:instrText>
      </w:r>
      <w:r>
        <w:fldChar w:fldCharType="separate"/>
      </w:r>
      <w:r>
        <w:t>285</w:t>
      </w:r>
      <w:r>
        <w:fldChar w:fldCharType="end"/>
      </w:r>
      <w:r>
        <w:rPr>
          <w:rFonts w:eastAsia="楷体"/>
          <w:color w:val="auto"/>
          <w:kern w:val="0"/>
          <w:szCs w:val="28"/>
          <w:highlight w:val="none"/>
        </w:rPr>
        <w:fldChar w:fldCharType="end"/>
      </w:r>
    </w:p>
    <w:p w14:paraId="5A6648E9">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_Toc5661 </w:instrText>
      </w:r>
      <w:r>
        <w:rPr>
          <w:rFonts w:eastAsia="楷体"/>
          <w:kern w:val="0"/>
          <w:szCs w:val="28"/>
          <w:highlight w:val="none"/>
        </w:rPr>
        <w:fldChar w:fldCharType="separate"/>
      </w:r>
      <w:r>
        <w:rPr>
          <w:rFonts w:eastAsia="楷体"/>
          <w:bCs/>
          <w:szCs w:val="28"/>
          <w:highlight w:val="none"/>
        </w:rPr>
        <w:t>表3    四清水库溢洪道下泄流量表</w:t>
      </w:r>
      <w:r>
        <w:tab/>
      </w:r>
      <w:r>
        <w:fldChar w:fldCharType="begin"/>
      </w:r>
      <w:r>
        <w:instrText xml:space="preserve"> PAGEREF _Toc5661 \h </w:instrText>
      </w:r>
      <w:r>
        <w:fldChar w:fldCharType="separate"/>
      </w:r>
      <w:r>
        <w:t>286</w:t>
      </w:r>
      <w:r>
        <w:fldChar w:fldCharType="end"/>
      </w:r>
      <w:r>
        <w:rPr>
          <w:rFonts w:eastAsia="楷体"/>
          <w:color w:val="auto"/>
          <w:kern w:val="0"/>
          <w:szCs w:val="28"/>
          <w:highlight w:val="none"/>
        </w:rPr>
        <w:fldChar w:fldCharType="end"/>
      </w:r>
    </w:p>
    <w:p w14:paraId="06E8B62B">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_Toc31064 </w:instrText>
      </w:r>
      <w:r>
        <w:rPr>
          <w:rFonts w:eastAsia="楷体"/>
          <w:kern w:val="0"/>
          <w:szCs w:val="28"/>
          <w:highlight w:val="none"/>
        </w:rPr>
        <w:fldChar w:fldCharType="separate"/>
      </w:r>
      <w:r>
        <w:rPr>
          <w:rFonts w:eastAsia="楷体"/>
          <w:bCs/>
          <w:szCs w:val="28"/>
          <w:highlight w:val="none"/>
        </w:rPr>
        <w:t>表</w:t>
      </w:r>
      <w:r>
        <w:rPr>
          <w:rFonts w:hint="eastAsia" w:eastAsia="楷体"/>
          <w:bCs/>
          <w:szCs w:val="28"/>
          <w:highlight w:val="none"/>
        </w:rPr>
        <w:t>5</w:t>
      </w:r>
      <w:r>
        <w:rPr>
          <w:rFonts w:eastAsia="楷体"/>
          <w:bCs/>
          <w:szCs w:val="28"/>
          <w:highlight w:val="none"/>
        </w:rPr>
        <w:t xml:space="preserve">    四清水库防洪抢险领导小组成员名单</w:t>
      </w:r>
      <w:r>
        <w:tab/>
      </w:r>
      <w:r>
        <w:fldChar w:fldCharType="begin"/>
      </w:r>
      <w:r>
        <w:instrText xml:space="preserve"> PAGEREF _Toc31064 \h </w:instrText>
      </w:r>
      <w:r>
        <w:fldChar w:fldCharType="separate"/>
      </w:r>
      <w:r>
        <w:t>287</w:t>
      </w:r>
      <w:r>
        <w:fldChar w:fldCharType="end"/>
      </w:r>
      <w:r>
        <w:rPr>
          <w:rFonts w:eastAsia="楷体"/>
          <w:color w:val="auto"/>
          <w:kern w:val="0"/>
          <w:szCs w:val="28"/>
          <w:highlight w:val="none"/>
        </w:rPr>
        <w:fldChar w:fldCharType="end"/>
      </w:r>
    </w:p>
    <w:p w14:paraId="19CE365D">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_Toc16902 </w:instrText>
      </w:r>
      <w:r>
        <w:rPr>
          <w:rFonts w:eastAsia="楷体"/>
          <w:kern w:val="0"/>
          <w:szCs w:val="28"/>
          <w:highlight w:val="none"/>
        </w:rPr>
        <w:fldChar w:fldCharType="separate"/>
      </w:r>
      <w:r>
        <w:rPr>
          <w:rFonts w:eastAsia="楷体"/>
          <w:bCs/>
          <w:szCs w:val="28"/>
          <w:highlight w:val="none"/>
        </w:rPr>
        <w:t>表</w:t>
      </w:r>
      <w:r>
        <w:rPr>
          <w:rFonts w:hint="eastAsia" w:eastAsia="楷体"/>
          <w:bCs/>
          <w:szCs w:val="28"/>
          <w:highlight w:val="none"/>
          <w:lang w:val="en-US" w:eastAsia="zh-CN"/>
        </w:rPr>
        <w:t>6</w:t>
      </w:r>
      <w:r>
        <w:rPr>
          <w:rFonts w:eastAsia="楷体"/>
          <w:bCs/>
          <w:szCs w:val="28"/>
          <w:highlight w:val="none"/>
        </w:rPr>
        <w:t xml:space="preserve">    四清水库防汛抗洪抢险救灾应急小组成员名单</w:t>
      </w:r>
      <w:r>
        <w:tab/>
      </w:r>
      <w:r>
        <w:fldChar w:fldCharType="begin"/>
      </w:r>
      <w:r>
        <w:instrText xml:space="preserve"> PAGEREF _Toc16902 \h </w:instrText>
      </w:r>
      <w:r>
        <w:fldChar w:fldCharType="separate"/>
      </w:r>
      <w:r>
        <w:t>287</w:t>
      </w:r>
      <w:r>
        <w:fldChar w:fldCharType="end"/>
      </w:r>
      <w:r>
        <w:rPr>
          <w:rFonts w:eastAsia="楷体"/>
          <w:color w:val="auto"/>
          <w:kern w:val="0"/>
          <w:szCs w:val="28"/>
          <w:highlight w:val="none"/>
        </w:rPr>
        <w:fldChar w:fldCharType="end"/>
      </w:r>
    </w:p>
    <w:p w14:paraId="6BC79873">
      <w:pPr>
        <w:spacing w:line="480" w:lineRule="exact"/>
        <w:rPr>
          <w:rFonts w:eastAsia="楷体"/>
          <w:b/>
          <w:color w:val="auto"/>
          <w:kern w:val="0"/>
          <w:szCs w:val="28"/>
          <w:highlight w:val="none"/>
        </w:rPr>
      </w:pPr>
      <w:r>
        <w:rPr>
          <w:rFonts w:eastAsia="楷体"/>
          <w:color w:val="auto"/>
          <w:kern w:val="0"/>
          <w:szCs w:val="28"/>
          <w:highlight w:val="none"/>
        </w:rPr>
        <w:fldChar w:fldCharType="end"/>
      </w:r>
    </w:p>
    <w:p w14:paraId="0E6B8215">
      <w:pPr>
        <w:rPr>
          <w:rStyle w:val="49"/>
          <w:rFonts w:ascii="Times New Roman" w:hAnsi="Times New Roman" w:eastAsia="楷体"/>
          <w:b/>
          <w:bCs/>
          <w:color w:val="auto"/>
          <w:sz w:val="36"/>
          <w:szCs w:val="36"/>
          <w:highlight w:val="none"/>
        </w:rPr>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p>
    <w:p w14:paraId="085B6E11">
      <w:pPr>
        <w:rPr>
          <w:rStyle w:val="50"/>
          <w:rFonts w:eastAsia="楷体"/>
          <w:color w:val="auto"/>
          <w:sz w:val="24"/>
          <w:highlight w:val="none"/>
        </w:rPr>
      </w:pPr>
    </w:p>
    <w:p w14:paraId="124DB6BE">
      <w:pPr>
        <w:adjustRightInd w:val="0"/>
        <w:snapToGrid w:val="0"/>
        <w:spacing w:line="520" w:lineRule="exact"/>
        <w:jc w:val="center"/>
        <w:outlineLvl w:val="0"/>
        <w:rPr>
          <w:rStyle w:val="50"/>
          <w:rFonts w:eastAsia="楷体"/>
          <w:b/>
          <w:bCs/>
          <w:color w:val="auto"/>
          <w:sz w:val="36"/>
          <w:szCs w:val="36"/>
          <w:highlight w:val="none"/>
        </w:rPr>
      </w:pPr>
      <w:bookmarkStart w:id="42" w:name="_Toc30911"/>
      <w:bookmarkStart w:id="43" w:name="_Toc32304"/>
      <w:r>
        <w:rPr>
          <w:rStyle w:val="50"/>
          <w:rFonts w:eastAsia="楷体"/>
          <w:b/>
          <w:bCs/>
          <w:color w:val="auto"/>
          <w:sz w:val="36"/>
          <w:szCs w:val="36"/>
          <w:highlight w:val="none"/>
        </w:rPr>
        <w:t>1 总则</w:t>
      </w:r>
      <w:bookmarkEnd w:id="42"/>
      <w:bookmarkEnd w:id="43"/>
    </w:p>
    <w:p w14:paraId="1275E5A2">
      <w:pPr>
        <w:adjustRightInd w:val="0"/>
        <w:snapToGrid w:val="0"/>
        <w:spacing w:before="156" w:beforeLines="50" w:after="156" w:afterLines="50" w:line="360" w:lineRule="auto"/>
        <w:outlineLvl w:val="1"/>
        <w:rPr>
          <w:rFonts w:eastAsia="楷体"/>
          <w:color w:val="auto"/>
          <w:sz w:val="32"/>
          <w:szCs w:val="20"/>
          <w:highlight w:val="none"/>
        </w:rPr>
      </w:pPr>
      <w:bookmarkStart w:id="44" w:name="_Toc12011"/>
      <w:bookmarkStart w:id="45" w:name="_Toc10067"/>
      <w:r>
        <w:rPr>
          <w:rStyle w:val="50"/>
          <w:rFonts w:eastAsia="楷体"/>
          <w:b/>
          <w:bCs/>
          <w:color w:val="auto"/>
          <w:sz w:val="32"/>
          <w:highlight w:val="none"/>
        </w:rPr>
        <w:t>1.1 目的</w:t>
      </w:r>
      <w:bookmarkEnd w:id="44"/>
      <w:bookmarkEnd w:id="45"/>
    </w:p>
    <w:p w14:paraId="5428494F">
      <w:pPr>
        <w:spacing w:line="520" w:lineRule="exact"/>
        <w:ind w:firstLine="560" w:firstLineChars="200"/>
        <w:rPr>
          <w:rFonts w:eastAsia="楷体"/>
          <w:color w:val="auto"/>
          <w:sz w:val="28"/>
          <w:szCs w:val="28"/>
          <w:highlight w:val="none"/>
        </w:rPr>
      </w:pPr>
      <w:r>
        <w:rPr>
          <w:rFonts w:eastAsia="楷体"/>
          <w:color w:val="auto"/>
          <w:sz w:val="28"/>
          <w:szCs w:val="28"/>
          <w:highlight w:val="none"/>
        </w:rPr>
        <w:t>为提高四清水库突发事件应对能力，切实做好四清水库遭遇突发事件的防洪抢险调度和险情抢护工作，力保四清水库工程安全，最大程度保障人民群众生命安全，减少损失，结合实际运行情况，编制《四清水库防洪抢险应急预案》（以下简称《应急预案》）。</w:t>
      </w:r>
    </w:p>
    <w:p w14:paraId="45509341">
      <w:pPr>
        <w:adjustRightInd w:val="0"/>
        <w:snapToGrid w:val="0"/>
        <w:spacing w:before="156" w:beforeLines="50" w:after="156" w:afterLines="50" w:line="360" w:lineRule="auto"/>
        <w:outlineLvl w:val="1"/>
        <w:rPr>
          <w:rStyle w:val="50"/>
          <w:rFonts w:eastAsia="楷体"/>
          <w:b/>
          <w:bCs/>
          <w:color w:val="auto"/>
          <w:sz w:val="32"/>
          <w:highlight w:val="none"/>
        </w:rPr>
      </w:pPr>
      <w:bookmarkStart w:id="46" w:name="_Toc21562"/>
      <w:bookmarkStart w:id="47" w:name="_Toc19894"/>
      <w:r>
        <w:rPr>
          <w:rStyle w:val="50"/>
          <w:rFonts w:eastAsia="楷体"/>
          <w:b/>
          <w:bCs/>
          <w:color w:val="auto"/>
          <w:sz w:val="32"/>
          <w:highlight w:val="none"/>
        </w:rPr>
        <w:t>1.2 编制依据</w:t>
      </w:r>
      <w:bookmarkEnd w:id="46"/>
      <w:bookmarkEnd w:id="47"/>
    </w:p>
    <w:p w14:paraId="4CE5993E">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根据省防指《福建省水库大坝汛期防洪调度运用计划和防洪抢险应急预案审批管理办法（试行）》（闽防〔2010〕1号）文件，编制《应急预案》。主要依据的法律法规和文件有：</w:t>
      </w:r>
    </w:p>
    <w:p w14:paraId="23B50430">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1.《水库防汛抢险应急预案编制大纲》</w:t>
      </w:r>
    </w:p>
    <w:p w14:paraId="37657735">
      <w:pPr>
        <w:spacing w:line="520" w:lineRule="exact"/>
        <w:ind w:firstLine="560" w:firstLineChars="200"/>
        <w:rPr>
          <w:rFonts w:eastAsia="楷体"/>
          <w:color w:val="auto"/>
          <w:sz w:val="28"/>
          <w:szCs w:val="28"/>
          <w:highlight w:val="none"/>
        </w:rPr>
      </w:pPr>
      <w:r>
        <w:rPr>
          <w:rFonts w:eastAsia="楷体"/>
          <w:color w:val="auto"/>
          <w:sz w:val="28"/>
          <w:szCs w:val="28"/>
          <w:highlight w:val="none"/>
        </w:rPr>
        <w:t>2.《福建省水库大坝安全管理规定（试行）》（闽政〔2009〕24号）；</w:t>
      </w:r>
    </w:p>
    <w:p w14:paraId="0AF9790E">
      <w:pPr>
        <w:spacing w:line="520" w:lineRule="exact"/>
        <w:ind w:firstLine="560" w:firstLineChars="200"/>
        <w:rPr>
          <w:rFonts w:eastAsia="楷体"/>
          <w:color w:val="auto"/>
          <w:sz w:val="28"/>
          <w:szCs w:val="28"/>
          <w:highlight w:val="none"/>
        </w:rPr>
      </w:pPr>
      <w:r>
        <w:rPr>
          <w:rFonts w:eastAsia="楷体"/>
          <w:color w:val="auto"/>
          <w:sz w:val="28"/>
          <w:szCs w:val="28"/>
          <w:highlight w:val="none"/>
        </w:rPr>
        <w:t>3.《中华人民共和国防洪法》；</w:t>
      </w:r>
    </w:p>
    <w:p w14:paraId="200B9D9B">
      <w:pPr>
        <w:spacing w:line="520" w:lineRule="exact"/>
        <w:ind w:firstLine="560" w:firstLineChars="200"/>
        <w:rPr>
          <w:rFonts w:eastAsia="楷体"/>
          <w:color w:val="auto"/>
          <w:sz w:val="28"/>
          <w:szCs w:val="28"/>
          <w:highlight w:val="none"/>
        </w:rPr>
      </w:pPr>
      <w:r>
        <w:rPr>
          <w:rFonts w:eastAsia="楷体"/>
          <w:color w:val="auto"/>
          <w:sz w:val="28"/>
          <w:szCs w:val="28"/>
          <w:highlight w:val="none"/>
        </w:rPr>
        <w:t>4.《中华人民共和国防汛</w:t>
      </w:r>
      <w:r>
        <w:rPr>
          <w:rFonts w:hint="eastAsia" w:eastAsia="楷体"/>
          <w:color w:val="auto"/>
          <w:sz w:val="28"/>
          <w:szCs w:val="28"/>
          <w:highlight w:val="none"/>
          <w:lang w:val="en-US" w:eastAsia="zh-CN"/>
        </w:rPr>
        <w:t>条例</w:t>
      </w:r>
      <w:r>
        <w:rPr>
          <w:rFonts w:eastAsia="楷体"/>
          <w:color w:val="auto"/>
          <w:sz w:val="28"/>
          <w:szCs w:val="28"/>
          <w:highlight w:val="none"/>
        </w:rPr>
        <w:t>》；</w:t>
      </w:r>
    </w:p>
    <w:p w14:paraId="03F56446">
      <w:pPr>
        <w:spacing w:line="520" w:lineRule="exact"/>
        <w:ind w:firstLine="560" w:firstLineChars="200"/>
        <w:rPr>
          <w:rFonts w:eastAsia="楷体"/>
          <w:color w:val="auto"/>
          <w:sz w:val="28"/>
          <w:szCs w:val="28"/>
          <w:highlight w:val="none"/>
        </w:rPr>
      </w:pPr>
      <w:r>
        <w:rPr>
          <w:rFonts w:eastAsia="楷体"/>
          <w:color w:val="auto"/>
          <w:sz w:val="28"/>
          <w:szCs w:val="28"/>
          <w:highlight w:val="none"/>
        </w:rPr>
        <w:t>5.《综合利用水库调度通则》；</w:t>
      </w:r>
    </w:p>
    <w:p w14:paraId="145482CC">
      <w:pPr>
        <w:spacing w:line="520" w:lineRule="exact"/>
        <w:ind w:firstLine="560" w:firstLineChars="200"/>
        <w:rPr>
          <w:rFonts w:eastAsia="楷体"/>
          <w:color w:val="auto"/>
          <w:sz w:val="28"/>
          <w:szCs w:val="28"/>
          <w:highlight w:val="none"/>
        </w:rPr>
      </w:pPr>
      <w:r>
        <w:rPr>
          <w:rFonts w:eastAsia="楷体"/>
          <w:color w:val="auto"/>
          <w:sz w:val="28"/>
          <w:szCs w:val="28"/>
          <w:highlight w:val="none"/>
        </w:rPr>
        <w:t>6.《防洪标准》（GB50201-2014）；</w:t>
      </w:r>
    </w:p>
    <w:p w14:paraId="12E1E4EB">
      <w:pPr>
        <w:widowControl/>
        <w:spacing w:line="520" w:lineRule="exact"/>
        <w:ind w:firstLine="560" w:firstLineChars="200"/>
        <w:jc w:val="left"/>
        <w:rPr>
          <w:rFonts w:eastAsia="楷体"/>
          <w:color w:val="auto"/>
          <w:sz w:val="28"/>
          <w:szCs w:val="28"/>
          <w:highlight w:val="none"/>
        </w:rPr>
      </w:pPr>
      <w:r>
        <w:rPr>
          <w:rFonts w:eastAsia="楷体"/>
          <w:color w:val="auto"/>
          <w:sz w:val="28"/>
          <w:szCs w:val="28"/>
          <w:highlight w:val="none"/>
        </w:rPr>
        <w:t>7.《水利水电工程等级划分及洪水标准》（SL252-20</w:t>
      </w:r>
      <w:r>
        <w:rPr>
          <w:rFonts w:hint="eastAsia" w:eastAsia="楷体"/>
          <w:color w:val="auto"/>
          <w:sz w:val="28"/>
          <w:szCs w:val="28"/>
          <w:highlight w:val="none"/>
        </w:rPr>
        <w:t>17</w:t>
      </w:r>
      <w:r>
        <w:rPr>
          <w:rFonts w:eastAsia="楷体"/>
          <w:color w:val="auto"/>
          <w:sz w:val="28"/>
          <w:szCs w:val="28"/>
          <w:highlight w:val="none"/>
        </w:rPr>
        <w:t>）；</w:t>
      </w:r>
    </w:p>
    <w:p w14:paraId="1D5CEE14">
      <w:pPr>
        <w:widowControl/>
        <w:spacing w:line="520" w:lineRule="exact"/>
        <w:ind w:firstLine="560" w:firstLineChars="200"/>
        <w:jc w:val="left"/>
        <w:rPr>
          <w:rFonts w:eastAsia="楷体"/>
          <w:color w:val="auto"/>
          <w:kern w:val="0"/>
          <w:sz w:val="28"/>
          <w:szCs w:val="28"/>
          <w:highlight w:val="none"/>
        </w:rPr>
      </w:pPr>
      <w:r>
        <w:rPr>
          <w:rFonts w:eastAsia="楷体"/>
          <w:color w:val="auto"/>
          <w:sz w:val="28"/>
          <w:szCs w:val="28"/>
          <w:highlight w:val="none"/>
        </w:rPr>
        <w:t>8.《福建省防洪条例》。</w:t>
      </w:r>
    </w:p>
    <w:p w14:paraId="50C8E5DB">
      <w:pPr>
        <w:adjustRightInd w:val="0"/>
        <w:snapToGrid w:val="0"/>
        <w:spacing w:before="156" w:beforeLines="50" w:after="156" w:afterLines="50" w:line="360" w:lineRule="auto"/>
        <w:outlineLvl w:val="1"/>
        <w:rPr>
          <w:rStyle w:val="50"/>
          <w:rFonts w:eastAsia="楷体"/>
          <w:b/>
          <w:bCs/>
          <w:color w:val="auto"/>
          <w:sz w:val="32"/>
          <w:highlight w:val="none"/>
        </w:rPr>
      </w:pPr>
      <w:bookmarkStart w:id="48" w:name="_Toc30233"/>
      <w:bookmarkStart w:id="49" w:name="_Toc326"/>
      <w:r>
        <w:rPr>
          <w:rStyle w:val="50"/>
          <w:rFonts w:eastAsia="楷体"/>
          <w:b/>
          <w:bCs/>
          <w:color w:val="auto"/>
          <w:sz w:val="32"/>
          <w:highlight w:val="none"/>
        </w:rPr>
        <w:t>1.3 工作原则</w:t>
      </w:r>
      <w:bookmarkEnd w:id="48"/>
      <w:bookmarkEnd w:id="49"/>
    </w:p>
    <w:p w14:paraId="0BAD9BCE">
      <w:pPr>
        <w:widowControl/>
        <w:spacing w:line="520" w:lineRule="exact"/>
        <w:ind w:firstLine="560" w:firstLineChars="200"/>
        <w:jc w:val="left"/>
        <w:rPr>
          <w:rFonts w:eastAsia="楷体"/>
          <w:color w:val="auto"/>
          <w:sz w:val="32"/>
          <w:szCs w:val="32"/>
          <w:highlight w:val="none"/>
        </w:rPr>
      </w:pPr>
      <w:r>
        <w:rPr>
          <w:rFonts w:eastAsia="楷体"/>
          <w:color w:val="auto"/>
          <w:sz w:val="28"/>
          <w:szCs w:val="28"/>
          <w:highlight w:val="none"/>
        </w:rPr>
        <w:t>《应急预案》的编制应坚持“安全第一、常备不懈、以防为主、全力抢险”的防洪工作方针，围绕“准备充分、调度科学、反应迅速、决策准确、保障有力”的总体要求，防洪工作实行全面规划、统筹兼顾、预防为主、综合治理、局部利益服从全局利益的原则；贯彻行政首长负责制，以防为主，防抢结合；全面部署，保证重点，统一指挥，统一调度，服从大局，团结抗洪；明确职责，规范工作；工程措施和非工程措施相结合，调动一切力量防洪抗灾，以确保人民群众生命安全为首要目标，最大限度地降低洪涝灾害造成的损失。</w:t>
      </w:r>
    </w:p>
    <w:p w14:paraId="0C0E3DEF">
      <w:pPr>
        <w:adjustRightInd w:val="0"/>
        <w:snapToGrid w:val="0"/>
        <w:spacing w:before="156" w:beforeLines="50" w:after="156" w:afterLines="50"/>
        <w:outlineLvl w:val="1"/>
        <w:rPr>
          <w:rFonts w:eastAsia="楷体"/>
          <w:b/>
          <w:color w:val="auto"/>
          <w:sz w:val="32"/>
          <w:szCs w:val="30"/>
          <w:highlight w:val="none"/>
        </w:rPr>
      </w:pPr>
      <w:bookmarkStart w:id="50" w:name="_Toc1513"/>
      <w:bookmarkStart w:id="51" w:name="_Toc26488"/>
      <w:r>
        <w:rPr>
          <w:rFonts w:eastAsia="楷体"/>
          <w:b/>
          <w:color w:val="auto"/>
          <w:sz w:val="32"/>
          <w:szCs w:val="30"/>
          <w:highlight w:val="none"/>
        </w:rPr>
        <w:t>1.4 适用范围</w:t>
      </w:r>
      <w:bookmarkEnd w:id="50"/>
      <w:bookmarkEnd w:id="51"/>
    </w:p>
    <w:p w14:paraId="62A5EDD9">
      <w:pPr>
        <w:widowControl/>
        <w:spacing w:line="520" w:lineRule="exact"/>
        <w:ind w:firstLine="560" w:firstLineChars="200"/>
        <w:jc w:val="left"/>
        <w:rPr>
          <w:rFonts w:eastAsia="楷体"/>
          <w:color w:val="auto"/>
          <w:sz w:val="28"/>
          <w:szCs w:val="28"/>
          <w:highlight w:val="none"/>
        </w:rPr>
      </w:pPr>
      <w:r>
        <w:rPr>
          <w:rFonts w:eastAsia="楷体"/>
          <w:color w:val="auto"/>
          <w:sz w:val="28"/>
          <w:szCs w:val="28"/>
          <w:highlight w:val="none"/>
        </w:rPr>
        <w:t>当水库遭遇以下突发事件而使水库工程出现险情时，启动本预案进行抗洪抢险。</w:t>
      </w:r>
    </w:p>
    <w:p w14:paraId="1881B837">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工程隐患，主要体现在①挡水建筑物：发生严重的大坝裂缝、滑坡、管涌以及漏水、大面积散渗、集中渗流、决口等危及大坝安全的险情。②泄水建筑物：紧急泄洪时溢洪道启闭设备失灵，侧墙倒塌，底部严重冲刷等危及大坝安全的险情。③放水涵洞出现严重断裂或堵塞，大量漏水，启闭设备失灵等可能危及大坝安全的险情。（2）遭遇超标准洪水；（3）库区水面附近山体的滑坡和塌方等地质灾害；（4）地震灾害；（5）上游水库溃坝；（6）上游大体积漂移物的撞击事件；（7）战争或恐怖事件；（8）其它突发事件。</w:t>
      </w:r>
    </w:p>
    <w:p w14:paraId="26B086B4">
      <w:pPr>
        <w:spacing w:line="360" w:lineRule="auto"/>
        <w:rPr>
          <w:rFonts w:eastAsia="楷体"/>
          <w:color w:val="auto"/>
          <w:sz w:val="32"/>
          <w:szCs w:val="32"/>
          <w:highlight w:val="none"/>
        </w:rPr>
      </w:pPr>
    </w:p>
    <w:p w14:paraId="0F2453F5">
      <w:pPr>
        <w:spacing w:line="360" w:lineRule="auto"/>
        <w:rPr>
          <w:rFonts w:eastAsia="楷体"/>
          <w:color w:val="auto"/>
          <w:sz w:val="32"/>
          <w:szCs w:val="32"/>
          <w:highlight w:val="none"/>
        </w:rPr>
      </w:pPr>
    </w:p>
    <w:p w14:paraId="6A3CC99C">
      <w:pPr>
        <w:spacing w:line="360" w:lineRule="auto"/>
        <w:rPr>
          <w:rFonts w:eastAsia="楷体"/>
          <w:color w:val="auto"/>
          <w:sz w:val="32"/>
          <w:szCs w:val="32"/>
          <w:highlight w:val="none"/>
        </w:rPr>
      </w:pPr>
    </w:p>
    <w:p w14:paraId="20113F8D">
      <w:pPr>
        <w:spacing w:line="360" w:lineRule="auto"/>
        <w:rPr>
          <w:rFonts w:eastAsia="楷体"/>
          <w:color w:val="auto"/>
          <w:sz w:val="32"/>
          <w:szCs w:val="32"/>
          <w:highlight w:val="none"/>
        </w:rPr>
      </w:pPr>
    </w:p>
    <w:p w14:paraId="692D7202">
      <w:pPr>
        <w:spacing w:line="360" w:lineRule="auto"/>
        <w:rPr>
          <w:rFonts w:eastAsia="楷体"/>
          <w:color w:val="auto"/>
          <w:sz w:val="32"/>
          <w:szCs w:val="32"/>
          <w:highlight w:val="none"/>
        </w:rPr>
      </w:pPr>
    </w:p>
    <w:p w14:paraId="35C376BC">
      <w:pPr>
        <w:spacing w:line="360" w:lineRule="auto"/>
        <w:rPr>
          <w:rFonts w:eastAsia="楷体"/>
          <w:color w:val="auto"/>
          <w:sz w:val="32"/>
          <w:szCs w:val="32"/>
          <w:highlight w:val="none"/>
        </w:rPr>
      </w:pPr>
    </w:p>
    <w:p w14:paraId="04A680B8">
      <w:pPr>
        <w:spacing w:line="360" w:lineRule="auto"/>
        <w:rPr>
          <w:rFonts w:eastAsia="楷体"/>
          <w:color w:val="auto"/>
          <w:sz w:val="32"/>
          <w:szCs w:val="32"/>
          <w:highlight w:val="none"/>
        </w:rPr>
      </w:pPr>
    </w:p>
    <w:p w14:paraId="62AF2421">
      <w:pPr>
        <w:spacing w:line="360" w:lineRule="auto"/>
        <w:rPr>
          <w:rFonts w:eastAsia="楷体"/>
          <w:color w:val="auto"/>
          <w:sz w:val="32"/>
          <w:szCs w:val="32"/>
          <w:highlight w:val="none"/>
        </w:rPr>
      </w:pPr>
    </w:p>
    <w:p w14:paraId="3A03E5E6">
      <w:pPr>
        <w:spacing w:line="360" w:lineRule="auto"/>
        <w:rPr>
          <w:rFonts w:eastAsia="楷体"/>
          <w:color w:val="auto"/>
          <w:sz w:val="32"/>
          <w:szCs w:val="32"/>
          <w:highlight w:val="none"/>
        </w:rPr>
      </w:pPr>
    </w:p>
    <w:p w14:paraId="508DCAB1">
      <w:pPr>
        <w:adjustRightInd w:val="0"/>
        <w:snapToGrid w:val="0"/>
        <w:spacing w:line="520" w:lineRule="exact"/>
        <w:jc w:val="center"/>
        <w:outlineLvl w:val="0"/>
        <w:rPr>
          <w:rFonts w:eastAsia="楷体"/>
          <w:b/>
          <w:color w:val="auto"/>
          <w:sz w:val="36"/>
          <w:szCs w:val="36"/>
          <w:highlight w:val="none"/>
        </w:rPr>
      </w:pPr>
      <w:bookmarkStart w:id="52" w:name="_Toc27808"/>
      <w:bookmarkStart w:id="53" w:name="_Toc23606"/>
      <w:r>
        <w:rPr>
          <w:rFonts w:eastAsia="楷体"/>
          <w:b/>
          <w:color w:val="auto"/>
          <w:sz w:val="36"/>
          <w:szCs w:val="36"/>
          <w:highlight w:val="none"/>
        </w:rPr>
        <w:t>2 工程概况</w:t>
      </w:r>
      <w:bookmarkEnd w:id="52"/>
      <w:bookmarkEnd w:id="53"/>
    </w:p>
    <w:p w14:paraId="588914C3">
      <w:pPr>
        <w:adjustRightInd w:val="0"/>
        <w:snapToGrid w:val="0"/>
        <w:spacing w:before="156" w:beforeLines="50" w:after="156" w:afterLines="50"/>
        <w:outlineLvl w:val="1"/>
        <w:rPr>
          <w:rFonts w:eastAsia="楷体"/>
          <w:b/>
          <w:color w:val="auto"/>
          <w:sz w:val="32"/>
          <w:szCs w:val="30"/>
          <w:highlight w:val="none"/>
        </w:rPr>
      </w:pPr>
      <w:bookmarkStart w:id="54" w:name="_Toc21195"/>
      <w:bookmarkStart w:id="55" w:name="_Toc18975"/>
      <w:r>
        <w:rPr>
          <w:rFonts w:eastAsia="楷体"/>
          <w:b/>
          <w:color w:val="auto"/>
          <w:sz w:val="32"/>
          <w:szCs w:val="30"/>
          <w:highlight w:val="none"/>
        </w:rPr>
        <w:t>2.1 流域概况</w:t>
      </w:r>
      <w:bookmarkEnd w:id="54"/>
      <w:bookmarkEnd w:id="55"/>
    </w:p>
    <w:p w14:paraId="4B10F29B">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四清水库位于泉港区前黄镇坑内村，系属坝头溪支流，是一座以农业灌溉为主，结合防洪、养殖等综合利用的小（2）型水库。四清水库始建于1964年2月，1966年8月竣工并投入运行。</w:t>
      </w:r>
    </w:p>
    <w:p w14:paraId="0506A6A5">
      <w:pPr>
        <w:spacing w:line="520" w:lineRule="exact"/>
        <w:ind w:firstLine="561"/>
        <w:rPr>
          <w:rFonts w:hint="eastAsia" w:eastAsia="楷体"/>
          <w:color w:val="auto"/>
          <w:sz w:val="28"/>
          <w:szCs w:val="28"/>
          <w:highlight w:val="none"/>
        </w:rPr>
      </w:pPr>
      <w:r>
        <w:rPr>
          <w:rFonts w:eastAsia="楷体"/>
          <w:color w:val="auto"/>
          <w:sz w:val="28"/>
          <w:szCs w:val="28"/>
          <w:highlight w:val="none"/>
        </w:rPr>
        <w:t>该工程自建成投效以来，以农业灌溉为主，结合防洪、养殖等多方面中充分发挥了本工程的效益。水库</w:t>
      </w:r>
      <w:r>
        <w:rPr>
          <w:rFonts w:hint="eastAsia" w:eastAsia="楷体"/>
          <w:color w:val="auto"/>
          <w:sz w:val="28"/>
          <w:szCs w:val="28"/>
          <w:highlight w:val="none"/>
        </w:rPr>
        <w:t>有效</w:t>
      </w:r>
      <w:r>
        <w:rPr>
          <w:rFonts w:eastAsia="楷体"/>
          <w:color w:val="auto"/>
          <w:sz w:val="28"/>
          <w:szCs w:val="28"/>
          <w:highlight w:val="none"/>
        </w:rPr>
        <w:t>灌溉面积</w:t>
      </w:r>
      <w:r>
        <w:rPr>
          <w:rFonts w:hint="eastAsia" w:eastAsia="楷体"/>
          <w:color w:val="auto"/>
          <w:sz w:val="28"/>
          <w:szCs w:val="28"/>
          <w:highlight w:val="none"/>
        </w:rPr>
        <w:t>7</w:t>
      </w:r>
      <w:r>
        <w:rPr>
          <w:rFonts w:eastAsia="楷体"/>
          <w:color w:val="auto"/>
          <w:sz w:val="28"/>
          <w:szCs w:val="28"/>
          <w:highlight w:val="none"/>
        </w:rPr>
        <w:t>00亩</w:t>
      </w:r>
      <w:r>
        <w:rPr>
          <w:rFonts w:hint="eastAsia" w:eastAsia="楷体"/>
          <w:color w:val="auto"/>
          <w:sz w:val="28"/>
          <w:szCs w:val="28"/>
          <w:highlight w:val="none"/>
        </w:rPr>
        <w:t>，最大实灌面积700亩，</w:t>
      </w:r>
      <w:r>
        <w:rPr>
          <w:rFonts w:eastAsia="楷体"/>
          <w:color w:val="auto"/>
          <w:sz w:val="28"/>
          <w:szCs w:val="28"/>
          <w:highlight w:val="none"/>
        </w:rPr>
        <w:t>下游涉及保护人口2</w:t>
      </w:r>
      <w:r>
        <w:rPr>
          <w:rFonts w:hint="eastAsia" w:eastAsia="楷体"/>
          <w:color w:val="auto"/>
          <w:sz w:val="28"/>
          <w:szCs w:val="28"/>
          <w:highlight w:val="none"/>
        </w:rPr>
        <w:t>5</w:t>
      </w:r>
      <w:r>
        <w:rPr>
          <w:rFonts w:eastAsia="楷体"/>
          <w:color w:val="auto"/>
          <w:sz w:val="28"/>
          <w:szCs w:val="28"/>
          <w:highlight w:val="none"/>
        </w:rPr>
        <w:t>00人，为当地农业生产和保证人民生命财产安全发挥了重要的作用。</w:t>
      </w:r>
    </w:p>
    <w:p w14:paraId="4EBFD3A6">
      <w:pPr>
        <w:spacing w:line="520" w:lineRule="exact"/>
        <w:ind w:firstLine="561"/>
        <w:rPr>
          <w:rFonts w:hint="eastAsia" w:eastAsia="楷体"/>
          <w:color w:val="auto"/>
          <w:sz w:val="28"/>
          <w:szCs w:val="28"/>
          <w:highlight w:val="none"/>
        </w:rPr>
      </w:pPr>
      <w:r>
        <w:rPr>
          <w:rFonts w:hint="eastAsia" w:hAnsi="楷体" w:eastAsia="楷体"/>
          <w:color w:val="auto"/>
          <w:sz w:val="28"/>
          <w:szCs w:val="28"/>
          <w:highlight w:val="none"/>
        </w:rPr>
        <w:t>四清水库位于泉港区前黄镇坑内村，所属河流发源于南埔镇天湖村东南部的天湖岩山（海拔121.3m），自北向南经天湖村、坑内村、凤</w:t>
      </w:r>
      <w:r>
        <w:rPr>
          <w:rFonts w:hint="eastAsia" w:hAnsi="楷体" w:eastAsia="楷体"/>
          <w:color w:val="auto"/>
          <w:sz w:val="28"/>
          <w:szCs w:val="28"/>
          <w:highlight w:val="none"/>
          <w:lang w:eastAsia="zh-CN"/>
        </w:rPr>
        <w:t>翔</w:t>
      </w:r>
      <w:r>
        <w:rPr>
          <w:rFonts w:hint="eastAsia" w:hAnsi="楷体" w:eastAsia="楷体"/>
          <w:color w:val="auto"/>
          <w:sz w:val="28"/>
          <w:szCs w:val="28"/>
          <w:highlight w:val="none"/>
        </w:rPr>
        <w:t>村后，于风山村西部汇入坝头溪。大坝位于东经118°53'29.10"，北纬25°10'10.96"，是一座以灌溉为主，结合防洪、养殖等综合利用的小（2）型水库。四清水库坝址以上集水面积为0.47km</w:t>
      </w:r>
      <w:r>
        <w:rPr>
          <w:rFonts w:hint="eastAsia" w:hAnsi="楷体" w:eastAsia="楷体"/>
          <w:color w:val="auto"/>
          <w:sz w:val="28"/>
          <w:szCs w:val="28"/>
          <w:highlight w:val="none"/>
          <w:vertAlign w:val="superscript"/>
        </w:rPr>
        <w:t>2</w:t>
      </w:r>
      <w:r>
        <w:rPr>
          <w:rFonts w:hint="eastAsia" w:hAnsi="楷体" w:eastAsia="楷体"/>
          <w:color w:val="auto"/>
          <w:sz w:val="28"/>
          <w:szCs w:val="28"/>
          <w:highlight w:val="none"/>
        </w:rPr>
        <w:t>，主河道河长0.9km，主河道平均坡降39.89‰，所在流域为扇形水系。</w:t>
      </w:r>
    </w:p>
    <w:p w14:paraId="28410442">
      <w:pPr>
        <w:adjustRightInd w:val="0"/>
        <w:snapToGrid w:val="0"/>
        <w:spacing w:line="520" w:lineRule="exact"/>
        <w:outlineLvl w:val="1"/>
        <w:rPr>
          <w:rFonts w:eastAsia="楷体"/>
          <w:b/>
          <w:color w:val="auto"/>
          <w:sz w:val="32"/>
          <w:szCs w:val="30"/>
          <w:highlight w:val="none"/>
        </w:rPr>
      </w:pPr>
      <w:bookmarkStart w:id="56" w:name="_Toc10444"/>
      <w:bookmarkStart w:id="57" w:name="_Toc26605"/>
      <w:r>
        <w:rPr>
          <w:rFonts w:eastAsia="楷体"/>
          <w:b/>
          <w:color w:val="auto"/>
          <w:sz w:val="32"/>
          <w:szCs w:val="30"/>
          <w:highlight w:val="none"/>
        </w:rPr>
        <w:t>2.2 工程基本情况</w:t>
      </w:r>
      <w:bookmarkEnd w:id="56"/>
      <w:bookmarkEnd w:id="57"/>
    </w:p>
    <w:p w14:paraId="41043A68">
      <w:pPr>
        <w:spacing w:line="520" w:lineRule="exact"/>
        <w:outlineLvl w:val="2"/>
        <w:rPr>
          <w:rFonts w:eastAsia="楷体"/>
          <w:b/>
          <w:bCs/>
          <w:color w:val="auto"/>
          <w:sz w:val="32"/>
          <w:szCs w:val="30"/>
          <w:highlight w:val="none"/>
        </w:rPr>
      </w:pPr>
      <w:bookmarkStart w:id="58" w:name="_Toc18159"/>
      <w:r>
        <w:rPr>
          <w:rFonts w:eastAsia="楷体"/>
          <w:b/>
          <w:bCs/>
          <w:color w:val="auto"/>
          <w:sz w:val="32"/>
          <w:szCs w:val="30"/>
          <w:highlight w:val="none"/>
        </w:rPr>
        <w:t>2.2.1 水库枢纽工程基本情况</w:t>
      </w:r>
      <w:bookmarkEnd w:id="58"/>
    </w:p>
    <w:p w14:paraId="29818536">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四清水库位于泉港区前黄镇坑内村，系属坝头溪支流，是一座以农业灌溉为主，结合防洪、养殖等综合利用的小（2）型水库。四清水库始建于1964年2月，1966年8月竣工并投入运行。</w:t>
      </w:r>
    </w:p>
    <w:p w14:paraId="7EA80329">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大坝坝址以上控制流域面积为0.47km</w:t>
      </w:r>
      <w:r>
        <w:rPr>
          <w:rFonts w:eastAsia="楷体"/>
          <w:color w:val="auto"/>
          <w:sz w:val="28"/>
          <w:szCs w:val="28"/>
          <w:highlight w:val="none"/>
          <w:vertAlign w:val="superscript"/>
        </w:rPr>
        <w:t>2</w:t>
      </w:r>
      <w:r>
        <w:rPr>
          <w:rFonts w:eastAsia="楷体"/>
          <w:color w:val="auto"/>
          <w:sz w:val="28"/>
          <w:szCs w:val="28"/>
          <w:highlight w:val="none"/>
        </w:rPr>
        <w:t>，</w:t>
      </w:r>
      <w:r>
        <w:rPr>
          <w:rFonts w:hint="eastAsia" w:eastAsia="楷体"/>
          <w:color w:val="auto"/>
          <w:sz w:val="28"/>
          <w:szCs w:val="28"/>
          <w:highlight w:val="none"/>
        </w:rPr>
        <w:t>主河道河长</w:t>
      </w:r>
      <w:r>
        <w:rPr>
          <w:rFonts w:eastAsia="楷体"/>
          <w:color w:val="auto"/>
          <w:sz w:val="28"/>
          <w:szCs w:val="28"/>
          <w:highlight w:val="none"/>
        </w:rPr>
        <w:t>0.9km，</w:t>
      </w:r>
      <w:r>
        <w:rPr>
          <w:rFonts w:hint="eastAsia" w:eastAsia="楷体"/>
          <w:color w:val="auto"/>
          <w:sz w:val="28"/>
          <w:szCs w:val="28"/>
          <w:highlight w:val="none"/>
        </w:rPr>
        <w:t>主河道平均坡降39.89</w:t>
      </w:r>
      <w:r>
        <w:rPr>
          <w:rFonts w:eastAsia="楷体"/>
          <w:color w:val="auto"/>
          <w:sz w:val="28"/>
          <w:szCs w:val="28"/>
          <w:highlight w:val="none"/>
        </w:rPr>
        <w:t>‰，</w:t>
      </w:r>
      <w:r>
        <w:rPr>
          <w:rFonts w:hint="eastAsia" w:eastAsia="楷体"/>
          <w:color w:val="auto"/>
          <w:sz w:val="28"/>
          <w:szCs w:val="28"/>
          <w:highlight w:val="none"/>
        </w:rPr>
        <w:t>最大坝高17.49m，坝项宽4.0m，坝顶长200m。正常蓄水位28.040m，死水位21.70m，设计洪水位（P=5.0%）28.560m，校核洪水位（P=0.33%）28.810m，水库总库容30.87万m</w:t>
      </w:r>
      <w:r>
        <w:rPr>
          <w:rFonts w:hint="eastAsia" w:eastAsia="楷体"/>
          <w:color w:val="auto"/>
          <w:sz w:val="28"/>
          <w:szCs w:val="28"/>
          <w:highlight w:val="none"/>
          <w:vertAlign w:val="superscript"/>
        </w:rPr>
        <w:t>3</w:t>
      </w:r>
      <w:r>
        <w:rPr>
          <w:rFonts w:hint="eastAsia" w:eastAsia="楷体"/>
          <w:color w:val="auto"/>
          <w:sz w:val="28"/>
          <w:szCs w:val="28"/>
          <w:highlight w:val="none"/>
        </w:rPr>
        <w:t>，兴利库容22.82万m</w:t>
      </w:r>
      <w:r>
        <w:rPr>
          <w:rFonts w:hint="eastAsia" w:eastAsia="楷体"/>
          <w:color w:val="auto"/>
          <w:sz w:val="28"/>
          <w:szCs w:val="28"/>
          <w:highlight w:val="none"/>
          <w:vertAlign w:val="superscript"/>
        </w:rPr>
        <w:t>3</w:t>
      </w:r>
      <w:r>
        <w:rPr>
          <w:rFonts w:hint="eastAsia" w:eastAsia="楷体"/>
          <w:color w:val="auto"/>
          <w:sz w:val="28"/>
          <w:szCs w:val="28"/>
          <w:highlight w:val="none"/>
        </w:rPr>
        <w:t>，调洪库容3.95万m</w:t>
      </w:r>
      <w:r>
        <w:rPr>
          <w:rFonts w:hint="eastAsia" w:eastAsia="楷体"/>
          <w:color w:val="auto"/>
          <w:sz w:val="28"/>
          <w:szCs w:val="28"/>
          <w:highlight w:val="none"/>
          <w:vertAlign w:val="superscript"/>
        </w:rPr>
        <w:t>3</w:t>
      </w:r>
      <w:r>
        <w:rPr>
          <w:rFonts w:hint="eastAsia" w:eastAsia="楷体"/>
          <w:color w:val="auto"/>
          <w:sz w:val="28"/>
          <w:szCs w:val="28"/>
          <w:highlight w:val="none"/>
        </w:rPr>
        <w:t>，死库容4.10万m</w:t>
      </w:r>
      <w:r>
        <w:rPr>
          <w:rFonts w:hint="eastAsia" w:eastAsia="楷体"/>
          <w:color w:val="auto"/>
          <w:sz w:val="28"/>
          <w:szCs w:val="28"/>
          <w:highlight w:val="none"/>
          <w:vertAlign w:val="superscript"/>
        </w:rPr>
        <w:t>3</w:t>
      </w:r>
      <w:r>
        <w:rPr>
          <w:rFonts w:hint="eastAsia" w:eastAsia="楷体"/>
          <w:color w:val="auto"/>
          <w:sz w:val="28"/>
          <w:szCs w:val="28"/>
          <w:highlight w:val="none"/>
        </w:rPr>
        <w:t>。</w:t>
      </w:r>
    </w:p>
    <w:p w14:paraId="73741B16">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水库枢纽主要由大坝、溢洪道、输水涵洞组成，具体如下：</w:t>
      </w:r>
    </w:p>
    <w:p w14:paraId="78E395A7">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（1）大坝</w:t>
      </w:r>
    </w:p>
    <w:p w14:paraId="0755147E">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四清水库大坝为均质土坝，根据2014年2月实测，大坝最大坝高17.49m，坝顶高程30.58m，坝顶总长度200m，坝项宽度4.0m（含防浪墙宽0.2m）。大坝迎水坡为干砌块石护坡，水泥砂浆勾缝，高程22.84m设有一道宽为0.8m的平台，平台以上坝坡坡比为1:1.9，平台以下坝坡坡比为1:1.8；背水坡坡比1:1.5，采用草皮护坡。</w:t>
      </w:r>
    </w:p>
    <w:p w14:paraId="5DD6F42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（2）溢洪道</w:t>
      </w:r>
    </w:p>
    <w:p w14:paraId="4858B6C4">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溢洪道位于大坝左坝肩，溢流堰型式为宽顶堰，堰顶高程为28.040m，堰顶净宽5.0m。溢洪道全长117.5m，由进口段、控制段、泄槽段组成，溢洪道进口段（Y0+000.0~Y0+035.1）长35.1m，宽5.0m；控制段（Y0+035.1~Y0+038.4）长3.3m，净宽5.0m；泄槽段（Y0+038.4~Y0+117.5）长61.6m，净宽3.9m~5.0m，底坡0.004~0.2171。最大下泄流量10.61m</w:t>
      </w:r>
      <w:r>
        <w:rPr>
          <w:rFonts w:hint="eastAsia" w:eastAsia="楷体"/>
          <w:color w:val="auto"/>
          <w:sz w:val="28"/>
          <w:szCs w:val="28"/>
          <w:highlight w:val="none"/>
          <w:vertAlign w:val="superscript"/>
        </w:rPr>
        <w:t>3</w:t>
      </w:r>
      <w:r>
        <w:rPr>
          <w:rFonts w:hint="eastAsia" w:eastAsia="楷体"/>
          <w:color w:val="auto"/>
          <w:sz w:val="28"/>
          <w:szCs w:val="28"/>
          <w:highlight w:val="none"/>
        </w:rPr>
        <w:t>/s。溢洪道左侧墙与右侧墙均采用浆砌块石砌筑。进口段底板采用砼板护底，控制段与泄槽段采用浆砌块石护底。</w:t>
      </w:r>
    </w:p>
    <w:p w14:paraId="4A7E98A5">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（3）输水涵洞</w:t>
      </w:r>
    </w:p>
    <w:p w14:paraId="4686906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四清水库的输水涵洞位于大坝左侧，为条石无压箱涵，断面净尺寸为0.5×0.8m（宽×高）。进口底高程为21.70m，出口底高程为21.69m，全长约为35.0m。启闭设备为卷扬式启闭机，进水设施为转动门盖。</w:t>
      </w:r>
    </w:p>
    <w:p w14:paraId="255909C9">
      <w:pPr>
        <w:spacing w:line="520" w:lineRule="exact"/>
        <w:ind w:firstLine="601"/>
        <w:rPr>
          <w:rFonts w:eastAsia="楷体"/>
          <w:color w:val="auto"/>
          <w:sz w:val="28"/>
          <w:szCs w:val="28"/>
          <w:highlight w:val="none"/>
        </w:rPr>
      </w:pPr>
      <w:r>
        <w:rPr>
          <w:rFonts w:eastAsia="楷体"/>
          <w:color w:val="auto"/>
          <w:sz w:val="28"/>
          <w:szCs w:val="28"/>
          <w:highlight w:val="none"/>
        </w:rPr>
        <w:t>该工程自建成投效以来，以农业灌溉为主，结合防洪、养殖等多方面中充分发挥了本工程的效益。水库</w:t>
      </w:r>
      <w:r>
        <w:rPr>
          <w:rFonts w:hint="eastAsia" w:eastAsia="楷体"/>
          <w:color w:val="auto"/>
          <w:sz w:val="28"/>
          <w:szCs w:val="28"/>
          <w:highlight w:val="none"/>
        </w:rPr>
        <w:t>有效</w:t>
      </w:r>
      <w:r>
        <w:rPr>
          <w:rFonts w:eastAsia="楷体"/>
          <w:color w:val="auto"/>
          <w:sz w:val="28"/>
          <w:szCs w:val="28"/>
          <w:highlight w:val="none"/>
        </w:rPr>
        <w:t>灌溉面积</w:t>
      </w:r>
      <w:r>
        <w:rPr>
          <w:rFonts w:hint="eastAsia" w:eastAsia="楷体"/>
          <w:color w:val="auto"/>
          <w:sz w:val="28"/>
          <w:szCs w:val="28"/>
          <w:highlight w:val="none"/>
        </w:rPr>
        <w:t>7</w:t>
      </w:r>
      <w:r>
        <w:rPr>
          <w:rFonts w:eastAsia="楷体"/>
          <w:color w:val="auto"/>
          <w:sz w:val="28"/>
          <w:szCs w:val="28"/>
          <w:highlight w:val="none"/>
        </w:rPr>
        <w:t>00亩</w:t>
      </w:r>
      <w:r>
        <w:rPr>
          <w:rFonts w:hint="eastAsia" w:eastAsia="楷体"/>
          <w:color w:val="auto"/>
          <w:sz w:val="28"/>
          <w:szCs w:val="28"/>
          <w:highlight w:val="none"/>
        </w:rPr>
        <w:t>，最大实灌面积700亩，</w:t>
      </w:r>
      <w:r>
        <w:rPr>
          <w:rFonts w:eastAsia="楷体"/>
          <w:color w:val="auto"/>
          <w:sz w:val="28"/>
          <w:szCs w:val="28"/>
          <w:highlight w:val="none"/>
        </w:rPr>
        <w:t>下游涉及保护人口2</w:t>
      </w:r>
      <w:r>
        <w:rPr>
          <w:rFonts w:hint="eastAsia" w:eastAsia="楷体"/>
          <w:color w:val="auto"/>
          <w:sz w:val="28"/>
          <w:szCs w:val="28"/>
          <w:highlight w:val="none"/>
        </w:rPr>
        <w:t>5</w:t>
      </w:r>
      <w:r>
        <w:rPr>
          <w:rFonts w:eastAsia="楷体"/>
          <w:color w:val="auto"/>
          <w:sz w:val="28"/>
          <w:szCs w:val="28"/>
          <w:highlight w:val="none"/>
        </w:rPr>
        <w:t>00人，为当地农业生产和保证人民生命财产安全发挥了重要的作用。</w:t>
      </w:r>
    </w:p>
    <w:p w14:paraId="00A5A9C7">
      <w:pPr>
        <w:spacing w:line="520" w:lineRule="exact"/>
        <w:outlineLvl w:val="2"/>
        <w:rPr>
          <w:rFonts w:eastAsia="楷体"/>
          <w:b/>
          <w:bCs/>
          <w:color w:val="auto"/>
          <w:sz w:val="32"/>
          <w:szCs w:val="30"/>
          <w:highlight w:val="none"/>
        </w:rPr>
      </w:pPr>
      <w:bookmarkStart w:id="59" w:name="_Toc7934"/>
      <w:r>
        <w:rPr>
          <w:rFonts w:eastAsia="楷体"/>
          <w:b/>
          <w:bCs/>
          <w:color w:val="auto"/>
          <w:sz w:val="32"/>
          <w:szCs w:val="30"/>
          <w:highlight w:val="none"/>
        </w:rPr>
        <w:t>2.2.2 水库有关技术参数及泄流曲线、库容曲线</w:t>
      </w:r>
      <w:bookmarkEnd w:id="59"/>
    </w:p>
    <w:p w14:paraId="592AFE2E">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（1）四清水库库容曲线</w:t>
      </w:r>
    </w:p>
    <w:p w14:paraId="7C9B4F9D">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rPr>
        <w:t>《泉港区前黄镇四清水库除险加固工程初步设计报告（报批稿）》（泉州市水利水电勘测设计院，2014年9月）</w:t>
      </w:r>
      <w:r>
        <w:rPr>
          <w:rFonts w:eastAsia="楷体"/>
          <w:color w:val="auto"/>
          <w:sz w:val="28"/>
          <w:szCs w:val="28"/>
          <w:highlight w:val="none"/>
        </w:rPr>
        <w:t>，四清水库坝址水位库容关系曲线见表2-1。</w:t>
      </w:r>
    </w:p>
    <w:p w14:paraId="2E9C268F">
      <w:pPr>
        <w:pStyle w:val="30"/>
        <w:jc w:val="both"/>
        <w:rPr>
          <w:rFonts w:eastAsia="楷体"/>
          <w:b/>
          <w:bCs/>
          <w:color w:val="auto"/>
          <w:sz w:val="28"/>
          <w:szCs w:val="28"/>
          <w:highlight w:val="none"/>
        </w:rPr>
      </w:pPr>
      <w:r>
        <w:rPr>
          <w:rFonts w:eastAsia="楷体"/>
          <w:b/>
          <w:bCs/>
          <w:color w:val="auto"/>
          <w:sz w:val="28"/>
          <w:szCs w:val="28"/>
          <w:highlight w:val="none"/>
        </w:rPr>
        <w:t xml:space="preserve">表2-1   </w:t>
      </w:r>
      <w:r>
        <w:rPr>
          <w:rFonts w:hint="eastAsia" w:eastAsia="楷体"/>
          <w:b/>
          <w:bCs/>
          <w:color w:val="auto"/>
          <w:sz w:val="28"/>
          <w:szCs w:val="28"/>
          <w:highlight w:val="none"/>
        </w:rPr>
        <w:t xml:space="preserve">             </w:t>
      </w:r>
      <w:r>
        <w:rPr>
          <w:rFonts w:eastAsia="楷体"/>
          <w:b/>
          <w:bCs/>
          <w:color w:val="auto"/>
          <w:sz w:val="28"/>
          <w:szCs w:val="28"/>
          <w:highlight w:val="none"/>
        </w:rPr>
        <w:t>坝址水位库容关系曲线表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588A7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573823D1">
            <w:pPr>
              <w:pStyle w:val="27"/>
              <w:spacing w:line="460" w:lineRule="exact"/>
              <w:ind w:firstLine="420"/>
              <w:rPr>
                <w:rFonts w:ascii="Times New Roman" w:hAnsi="Times New Roman" w:eastAsia="楷体"/>
                <w:bCs/>
                <w:color w:val="auto"/>
                <w:highlight w:val="none"/>
              </w:rPr>
            </w:pPr>
            <w:r>
              <w:rPr>
                <w:rFonts w:ascii="Times New Roman" w:hAnsi="Times New Roman" w:eastAsia="楷体"/>
                <w:bCs/>
                <w:color w:val="auto"/>
                <w:highlight w:val="none"/>
              </w:rPr>
              <w:t>高程(m)</w:t>
            </w:r>
          </w:p>
        </w:tc>
        <w:tc>
          <w:tcPr>
            <w:tcW w:w="4644" w:type="dxa"/>
            <w:noWrap w:val="0"/>
            <w:vAlign w:val="center"/>
          </w:tcPr>
          <w:p w14:paraId="4B0C0178">
            <w:pPr>
              <w:pStyle w:val="27"/>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库容(万m</w:t>
            </w:r>
            <w:r>
              <w:rPr>
                <w:rFonts w:ascii="Times New Roman" w:hAnsi="Times New Roman" w:eastAsia="楷体"/>
                <w:bCs/>
                <w:color w:val="auto"/>
                <w:highlight w:val="none"/>
                <w:vertAlign w:val="superscript"/>
              </w:rPr>
              <w:t>3</w:t>
            </w:r>
            <w:r>
              <w:rPr>
                <w:rFonts w:ascii="Times New Roman" w:hAnsi="Times New Roman" w:eastAsia="楷体"/>
                <w:bCs/>
                <w:color w:val="auto"/>
                <w:highlight w:val="none"/>
              </w:rPr>
              <w:t>)</w:t>
            </w:r>
          </w:p>
        </w:tc>
      </w:tr>
      <w:tr w14:paraId="7E4EC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758FFCB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17.00</w:t>
            </w:r>
          </w:p>
        </w:tc>
        <w:tc>
          <w:tcPr>
            <w:tcW w:w="4644" w:type="dxa"/>
            <w:noWrap w:val="0"/>
            <w:vAlign w:val="center"/>
          </w:tcPr>
          <w:p w14:paraId="12B170E1">
            <w:pPr>
              <w:pStyle w:val="27"/>
              <w:spacing w:line="460" w:lineRule="exact"/>
              <w:rPr>
                <w:rFonts w:ascii="Times New Roman" w:hAnsi="Times New Roman" w:eastAsia="楷体"/>
                <w:color w:val="auto"/>
                <w:highlight w:val="none"/>
              </w:rPr>
            </w:pPr>
            <w:r>
              <w:rPr>
                <w:rFonts w:ascii="Times New Roman" w:hAnsi="Times New Roman" w:eastAsia="楷体"/>
                <w:color w:val="auto"/>
                <w:highlight w:val="none"/>
              </w:rPr>
              <w:t>0</w:t>
            </w:r>
          </w:p>
        </w:tc>
      </w:tr>
      <w:tr w14:paraId="2C404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443C7274">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21.00</w:t>
            </w:r>
          </w:p>
        </w:tc>
        <w:tc>
          <w:tcPr>
            <w:tcW w:w="4644" w:type="dxa"/>
            <w:noWrap w:val="0"/>
            <w:vAlign w:val="center"/>
          </w:tcPr>
          <w:p w14:paraId="0D3428CD">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2.12</w:t>
            </w:r>
          </w:p>
        </w:tc>
      </w:tr>
      <w:tr w14:paraId="409D9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0B3BC867">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22.00</w:t>
            </w:r>
          </w:p>
        </w:tc>
        <w:tc>
          <w:tcPr>
            <w:tcW w:w="4644" w:type="dxa"/>
            <w:noWrap w:val="0"/>
            <w:vAlign w:val="center"/>
          </w:tcPr>
          <w:p w14:paraId="168979AF">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4.16</w:t>
            </w:r>
          </w:p>
        </w:tc>
      </w:tr>
      <w:tr w14:paraId="4DD22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4519D4ED">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23.00</w:t>
            </w:r>
          </w:p>
        </w:tc>
        <w:tc>
          <w:tcPr>
            <w:tcW w:w="4644" w:type="dxa"/>
            <w:noWrap w:val="0"/>
            <w:vAlign w:val="center"/>
          </w:tcPr>
          <w:p w14:paraId="3CBDF1C9">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6.94</w:t>
            </w:r>
          </w:p>
        </w:tc>
      </w:tr>
      <w:tr w14:paraId="55639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46C7D97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24.00</w:t>
            </w:r>
          </w:p>
        </w:tc>
        <w:tc>
          <w:tcPr>
            <w:tcW w:w="4644" w:type="dxa"/>
            <w:noWrap w:val="0"/>
            <w:vAlign w:val="center"/>
          </w:tcPr>
          <w:p w14:paraId="633E3EF4">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10.21</w:t>
            </w:r>
          </w:p>
        </w:tc>
      </w:tr>
      <w:tr w14:paraId="42336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7A4B11F8">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25.00</w:t>
            </w:r>
          </w:p>
        </w:tc>
        <w:tc>
          <w:tcPr>
            <w:tcW w:w="4644" w:type="dxa"/>
            <w:noWrap w:val="0"/>
            <w:vAlign w:val="center"/>
          </w:tcPr>
          <w:p w14:paraId="4D59096A">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13.84</w:t>
            </w:r>
            <w:r>
              <w:rPr>
                <w:rFonts w:ascii="Times New Roman" w:hAnsi="Times New Roman" w:eastAsia="楷体"/>
                <w:color w:val="auto"/>
                <w:highlight w:val="none"/>
              </w:rPr>
              <w:t xml:space="preserve"> </w:t>
            </w:r>
          </w:p>
        </w:tc>
      </w:tr>
      <w:tr w14:paraId="789F0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3927A272">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26.00</w:t>
            </w:r>
          </w:p>
        </w:tc>
        <w:tc>
          <w:tcPr>
            <w:tcW w:w="4644" w:type="dxa"/>
            <w:noWrap w:val="0"/>
            <w:vAlign w:val="center"/>
          </w:tcPr>
          <w:p w14:paraId="0B5ACC0D">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17.80</w:t>
            </w:r>
          </w:p>
        </w:tc>
      </w:tr>
      <w:tr w14:paraId="3FA63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3C2EE27A">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27.00</w:t>
            </w:r>
          </w:p>
        </w:tc>
        <w:tc>
          <w:tcPr>
            <w:tcW w:w="4644" w:type="dxa"/>
            <w:noWrap w:val="0"/>
            <w:vAlign w:val="center"/>
          </w:tcPr>
          <w:p w14:paraId="37E478EC">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22.09</w:t>
            </w:r>
          </w:p>
        </w:tc>
      </w:tr>
      <w:tr w14:paraId="3B727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762596EB">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28.00</w:t>
            </w:r>
          </w:p>
        </w:tc>
        <w:tc>
          <w:tcPr>
            <w:tcW w:w="4644" w:type="dxa"/>
            <w:noWrap w:val="0"/>
            <w:vAlign w:val="center"/>
          </w:tcPr>
          <w:p w14:paraId="531572D7">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26.74</w:t>
            </w:r>
          </w:p>
        </w:tc>
      </w:tr>
      <w:tr w14:paraId="6BB0A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1FCA7FE2">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29.00</w:t>
            </w:r>
          </w:p>
        </w:tc>
        <w:tc>
          <w:tcPr>
            <w:tcW w:w="4644" w:type="dxa"/>
            <w:noWrap w:val="0"/>
            <w:vAlign w:val="center"/>
          </w:tcPr>
          <w:p w14:paraId="7064F9C9">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31.91</w:t>
            </w:r>
          </w:p>
        </w:tc>
      </w:tr>
      <w:tr w14:paraId="35CE7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5A7A9981">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30.00</w:t>
            </w:r>
          </w:p>
        </w:tc>
        <w:tc>
          <w:tcPr>
            <w:tcW w:w="4644" w:type="dxa"/>
            <w:noWrap w:val="0"/>
            <w:vAlign w:val="center"/>
          </w:tcPr>
          <w:p w14:paraId="2402513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37.63</w:t>
            </w:r>
          </w:p>
        </w:tc>
      </w:tr>
    </w:tbl>
    <w:p w14:paraId="255BFBAE">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（2）四清水库泄流曲线</w:t>
      </w:r>
    </w:p>
    <w:p w14:paraId="329A2B2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根据现场踏勘的四清水库实际情况及1：1000测量图可知，四清水库通过大坝左岸的箱涵进行泄洪，箱涵尺寸为5m×2m（宽×高），底高程28.04m，长132m。根据《水力计算手册》中关于箱涵的泄流量计算方法可知，当水库水位大于28.04m而小于30.44m时，箱涵流态为无压流，箱涵长度为132m，其泄流能力受洞长影响，因此，先求得下游桩号K0+161.49处的水位~流量关系曲线，并由该断面向上游至箱涵起始处（桩号K0+035.1）推算水面曲线，求得起始断面处的水库水位，描绘水位~流量关系曲线，K0+161.49处临界水深的计算公式如下： </w:t>
      </w:r>
    </w:p>
    <w:p w14:paraId="462F4FE2">
      <w:pPr>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46" o:spt="75" type="#_x0000_t75" style="height:36pt;width:54pt;" o:ole="t" filled="f" stroked="f" coordsize="21600,21600">
            <v:path/>
            <v:fill on="f" focussize="0,0"/>
            <v:stroke on="f"/>
            <v:imagedata r:id="rId12" o:title=""/>
            <o:lock v:ext="edit" grouping="f" rotation="f" text="f" aspectratio="t"/>
            <w10:wrap type="none"/>
            <w10:anchorlock/>
          </v:shape>
          <o:OLEObject Type="Embed" ProgID="Equation.DSMT4" ShapeID="_x0000_i1046" DrawAspect="Content" ObjectID="_1468075746" r:id="rId53">
            <o:LockedField>false</o:LockedField>
          </o:OLEObject>
        </w:object>
      </w:r>
    </w:p>
    <w:p w14:paraId="289CE11F">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式中：</w:t>
      </w:r>
      <w:r>
        <w:rPr>
          <w:rFonts w:hint="default" w:ascii="Times New Roman" w:hAnsi="Times New Roman" w:eastAsia="楷体" w:cs="Times New Roman"/>
          <w:color w:val="auto"/>
          <w:sz w:val="28"/>
          <w:szCs w:val="28"/>
          <w:highlight w:val="none"/>
        </w:rPr>
        <w:object>
          <v:shape id="_x0000_i1047" o:spt="75" type="#_x0000_t75" style="height:19pt;width:15pt;" o:ole="t" filled="f" stroked="f" coordsize="21600,21600">
            <v:path/>
            <v:fill on="f" focussize="0,0"/>
            <v:stroke on="f"/>
            <v:imagedata r:id="rId14" o:title=""/>
            <o:lock v:ext="edit" grouping="f" rotation="f" text="f" aspectratio="t"/>
            <w10:wrap type="none"/>
            <w10:anchorlock/>
          </v:shape>
          <o:OLEObject Type="Embed" ProgID="Equation.DSMT4" ShapeID="_x0000_i1047" DrawAspect="Content" ObjectID="_1468075747" r:id="rId54">
            <o:LockedField>false</o:LockedField>
          </o:OLEObject>
        </w:object>
      </w:r>
      <w:r>
        <w:rPr>
          <w:rFonts w:hint="default" w:ascii="Times New Roman" w:hAnsi="Times New Roman" w:eastAsia="楷体" w:cs="Times New Roman"/>
          <w:color w:val="auto"/>
          <w:sz w:val="28"/>
          <w:szCs w:val="28"/>
          <w:highlight w:val="none"/>
        </w:rPr>
        <w:t>——临界水深对应的过流面积（m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w:t>
      </w:r>
    </w:p>
    <w:p w14:paraId="66EAB539">
      <w:pPr>
        <w:spacing w:line="520" w:lineRule="exact"/>
        <w:ind w:firstLine="840" w:firstLineChars="3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object>
          <v:shape id="_x0000_i1048" o:spt="75" type="#_x0000_t75" style="height:18pt;width:15pt;" o:ole="t" filled="f" stroked="f" coordsize="21600,21600">
            <v:path/>
            <v:fill on="f" focussize="0,0"/>
            <v:stroke on="f"/>
            <v:imagedata r:id="rId16" o:title=""/>
            <o:lock v:ext="edit" grouping="f" rotation="f" text="f" aspectratio="t"/>
            <w10:wrap type="none"/>
            <w10:anchorlock/>
          </v:shape>
          <o:OLEObject Type="Embed" ProgID="Equation.DSMT4" ShapeID="_x0000_i1048" DrawAspect="Content" ObjectID="_1468075748" r:id="rId55">
            <o:LockedField>false</o:LockedField>
          </o:OLEObject>
        </w:object>
      </w:r>
      <w:r>
        <w:rPr>
          <w:rFonts w:hint="default" w:ascii="Times New Roman" w:hAnsi="Times New Roman" w:eastAsia="楷体" w:cs="Times New Roman"/>
          <w:color w:val="auto"/>
          <w:sz w:val="28"/>
          <w:szCs w:val="28"/>
          <w:highlight w:val="none"/>
        </w:rPr>
        <w:t>——临界水深对应的水面宽度（m）。</w:t>
      </w:r>
    </w:p>
    <w:p w14:paraId="6AB2BE3F">
      <w:pPr>
        <w:spacing w:line="520" w:lineRule="exact"/>
        <w:ind w:firstLine="700" w:firstLineChars="25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水面线的计算公式为：</w:t>
      </w:r>
    </w:p>
    <w:p w14:paraId="6FDACA96">
      <w:pPr>
        <w:ind w:firstLine="1400" w:firstLineChars="5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object>
          <v:shape id="_x0000_i1049" o:spt="75" type="#_x0000_t75" style="height:23.5pt;width:261.6pt;" o:ole="t" filled="f" stroked="f" coordsize="21600,21600">
            <v:path/>
            <v:fill on="f" focussize="0,0"/>
            <v:stroke on="f"/>
            <v:imagedata r:id="rId18" o:title=""/>
            <o:lock v:ext="edit" grouping="f" rotation="f" text="f" aspectratio="t"/>
            <w10:wrap type="none"/>
            <w10:anchorlock/>
          </v:shape>
          <o:OLEObject Type="Embed" ProgID="Equation.DSMT4" ShapeID="_x0000_i1049" DrawAspect="Content" ObjectID="_1468075749" r:id="rId56">
            <o:LockedField>false</o:LockedField>
          </o:OLEObject>
        </w:object>
      </w:r>
    </w:p>
    <w:p w14:paraId="65CF8B52">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式中： </w:t>
      </w:r>
      <w:r>
        <w:rPr>
          <w:rFonts w:hint="default" w:ascii="Times New Roman" w:hAnsi="Times New Roman" w:eastAsia="楷体" w:cs="Times New Roman"/>
          <w:color w:val="auto"/>
          <w:sz w:val="28"/>
          <w:szCs w:val="28"/>
          <w:highlight w:val="none"/>
        </w:rPr>
        <w:object>
          <v:shape id="_x0000_i1050" o:spt="75" type="#_x0000_t75" style="height:18pt;width:13.95pt;" o:ole="t" filled="f" stroked="f" coordsize="21600,21600">
            <v:path/>
            <v:fill on="f" focussize="0,0"/>
            <v:stroke on="f"/>
            <v:imagedata r:id="rId20" o:title=""/>
            <o:lock v:ext="edit" grouping="f" rotation="f" text="f" aspectratio="t"/>
            <w10:wrap type="none"/>
            <w10:anchorlock/>
          </v:shape>
          <o:OLEObject Type="Embed" ProgID="Equation.DSMT4" ShapeID="_x0000_i1050" DrawAspect="Content" ObjectID="_1468075750" r:id="rId57">
            <o:LockedField>false</o:LockedField>
          </o:OLEObject>
        </w:object>
      </w:r>
      <w:r>
        <w:rPr>
          <w:rFonts w:hint="default"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rPr>
        <w:object>
          <v:shape id="_x0000_i1051" o:spt="75" type="#_x0000_t75" style="height:18pt;width:15pt;" o:ole="t" filled="f" stroked="f" coordsize="21600,21600">
            <v:path/>
            <v:fill on="f" focussize="0,0"/>
            <v:stroke on="f"/>
            <v:imagedata r:id="rId22" o:title=""/>
            <o:lock v:ext="edit" grouping="f" rotation="f" text="f" aspectratio="t"/>
            <w10:wrap type="none"/>
            <w10:anchorlock/>
          </v:shape>
          <o:OLEObject Type="Embed" ProgID="Equation.DSMT4" ShapeID="_x0000_i1051" DrawAspect="Content" ObjectID="_1468075751" r:id="rId58">
            <o:LockedField>false</o:LockedField>
          </o:OLEObject>
        </w:object>
      </w:r>
      <w:r>
        <w:rPr>
          <w:rFonts w:hint="default" w:ascii="Times New Roman" w:hAnsi="Times New Roman" w:eastAsia="楷体" w:cs="Times New Roman"/>
          <w:color w:val="auto"/>
          <w:sz w:val="28"/>
          <w:szCs w:val="28"/>
          <w:highlight w:val="none"/>
        </w:rPr>
        <w:t>——上、下断面的水位（m）；</w:t>
      </w:r>
    </w:p>
    <w:p w14:paraId="7F420B9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52" o:spt="75" type="#_x0000_t75" style="height:13.95pt;width:6.95pt;" o:ole="t" filled="f" stroked="f" coordsize="21600,21600">
            <v:path/>
            <v:fill on="f" focussize="0,0"/>
            <v:stroke on="f"/>
            <v:imagedata r:id="rId24" o:title=""/>
            <o:lock v:ext="edit" grouping="f" rotation="f" text="f" aspectratio="t"/>
            <w10:wrap type="none"/>
            <w10:anchorlock/>
          </v:shape>
          <o:OLEObject Type="Embed" ProgID="Equation.DSMT4" ShapeID="_x0000_i1052" DrawAspect="Content" ObjectID="_1468075752" r:id="rId59">
            <o:LockedField>false</o:LockedField>
          </o:OLEObject>
        </w:object>
      </w:r>
      <w:r>
        <w:rPr>
          <w:rFonts w:hint="default" w:ascii="Times New Roman" w:hAnsi="Times New Roman" w:eastAsia="楷体" w:cs="Times New Roman"/>
          <w:color w:val="auto"/>
          <w:sz w:val="28"/>
          <w:szCs w:val="28"/>
          <w:highlight w:val="none"/>
        </w:rPr>
        <w:t xml:space="preserve">  —— 上、下断面之间的河段长度（m）；</w:t>
      </w:r>
    </w:p>
    <w:p w14:paraId="45CA54D5">
      <w:pPr>
        <w:spacing w:line="520" w:lineRule="exact"/>
        <w:ind w:firstLine="1120" w:firstLineChars="4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object>
          <v:shape id="_x0000_i1053" o:spt="75" type="#_x0000_t75" style="height:18pt;width:31pt;" o:ole="t" filled="f" stroked="f" coordsize="21600,21600">
            <v:path/>
            <v:fill on="f" focussize="0,0"/>
            <v:stroke on="f"/>
            <v:imagedata r:id="rId26" o:title=""/>
            <o:lock v:ext="edit" grouping="f" rotation="f" text="f" aspectratio="t"/>
            <w10:wrap type="none"/>
            <w10:anchorlock/>
          </v:shape>
          <o:OLEObject Type="Embed" ProgID="Equation.DSMT4" ShapeID="_x0000_i1053" DrawAspect="Content" ObjectID="_1468075753" r:id="rId60">
            <o:LockedField>false</o:LockedField>
          </o:OLEObject>
        </w:object>
      </w:r>
      <w:r>
        <w:rPr>
          <w:rFonts w:hint="default" w:ascii="Times New Roman" w:hAnsi="Times New Roman" w:eastAsia="楷体" w:cs="Times New Roman"/>
          <w:color w:val="auto"/>
          <w:sz w:val="28"/>
          <w:szCs w:val="28"/>
          <w:highlight w:val="none"/>
        </w:rPr>
        <w:t xml:space="preserve"> —— 上、下断面的水流平均速度；</w:t>
      </w:r>
    </w:p>
    <w:p w14:paraId="3EA35D0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54" o:spt="75" type="#_x0000_t75" style="height:18pt;width:35pt;" o:ole="t" filled="f" stroked="f" coordsize="21600,21600">
            <v:path/>
            <v:fill on="f" focussize="0,0"/>
            <v:stroke on="f"/>
            <v:imagedata r:id="rId28" o:title=""/>
            <o:lock v:ext="edit" grouping="f" rotation="f" text="f" aspectratio="t"/>
            <w10:wrap type="none"/>
            <w10:anchorlock/>
          </v:shape>
          <o:OLEObject Type="Embed" ProgID="Equation.DSMT4" ShapeID="_x0000_i1054" DrawAspect="Content" ObjectID="_1468075754" r:id="rId61">
            <o:LockedField>false</o:LockedField>
          </o:OLEObject>
        </w:object>
      </w:r>
      <w:r>
        <w:rPr>
          <w:rFonts w:hint="default" w:ascii="Times New Roman" w:hAnsi="Times New Roman" w:eastAsia="楷体" w:cs="Times New Roman"/>
          <w:color w:val="auto"/>
          <w:sz w:val="28"/>
          <w:szCs w:val="28"/>
          <w:highlight w:val="none"/>
        </w:rPr>
        <w:t xml:space="preserve"> —— 上、下断面的水力半径；</w:t>
      </w:r>
    </w:p>
    <w:p w14:paraId="5BFD348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55" o:spt="75" type="#_x0000_t75" style="height:16pt;width:10pt;" o:ole="t" filled="f" stroked="f" coordsize="21600,21600">
            <v:path/>
            <v:fill on="f" focussize="0,0"/>
            <v:stroke on="f"/>
            <v:imagedata r:id="rId30" o:title=""/>
            <o:lock v:ext="edit" grouping="f" rotation="f" text="f" aspectratio="t"/>
            <w10:wrap type="none"/>
            <w10:anchorlock/>
          </v:shape>
          <o:OLEObject Type="Embed" ProgID="Equation.DSMT4" ShapeID="_x0000_i1055" DrawAspect="Content" ObjectID="_1468075755" r:id="rId62">
            <o:LockedField>false</o:LockedField>
          </o:OLEObject>
        </w:object>
      </w:r>
      <w:r>
        <w:rPr>
          <w:rFonts w:hint="default" w:ascii="Times New Roman" w:hAnsi="Times New Roman" w:eastAsia="楷体" w:cs="Times New Roman"/>
          <w:color w:val="auto"/>
          <w:sz w:val="28"/>
          <w:szCs w:val="28"/>
          <w:highlight w:val="none"/>
        </w:rPr>
        <w:t xml:space="preserve"> ——扩散、收缩的水头损失系数；</w:t>
      </w:r>
    </w:p>
    <w:p w14:paraId="6D9DF84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56" o:spt="75" type="#_x0000_t75" style="height:13pt;width:11pt;" o:ole="t" filled="f" stroked="f" coordsize="21600,21600">
            <v:path/>
            <v:fill on="f" focussize="0,0"/>
            <v:stroke on="f"/>
            <v:imagedata r:id="rId32" o:title=""/>
            <o:lock v:ext="edit" grouping="f" rotation="f" text="f" aspectratio="t"/>
            <w10:wrap type="none"/>
            <w10:anchorlock/>
          </v:shape>
          <o:OLEObject Type="Embed" ProgID="Equation.DSMT4" ShapeID="_x0000_i1056" DrawAspect="Content" ObjectID="_1468075756" r:id="rId63">
            <o:LockedField>false</o:LockedField>
          </o:OLEObject>
        </w:object>
      </w:r>
      <w:r>
        <w:rPr>
          <w:rFonts w:hint="default" w:ascii="Times New Roman" w:hAnsi="Times New Roman" w:eastAsia="楷体" w:cs="Times New Roman"/>
          <w:color w:val="auto"/>
          <w:sz w:val="28"/>
          <w:szCs w:val="28"/>
          <w:highlight w:val="none"/>
        </w:rPr>
        <w:t xml:space="preserve"> ——  重力加速度。</w:t>
      </w:r>
    </w:p>
    <w:p w14:paraId="7FDB198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根据以上几个公式计算求得四清水库水位～泄流关系曲线如下表</w:t>
      </w:r>
      <w:r>
        <w:rPr>
          <w:rFonts w:hint="eastAsia"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所示：</w:t>
      </w:r>
    </w:p>
    <w:p w14:paraId="0131A2DA">
      <w:pPr>
        <w:spacing w:before="156" w:beforeLines="50"/>
        <w:rPr>
          <w:rFonts w:eastAsia="楷体"/>
          <w:b/>
          <w:color w:val="auto"/>
          <w:sz w:val="28"/>
          <w:szCs w:val="28"/>
          <w:highlight w:val="none"/>
        </w:rPr>
      </w:pPr>
      <w:r>
        <w:rPr>
          <w:rFonts w:eastAsia="楷体"/>
          <w:b/>
          <w:color w:val="auto"/>
          <w:sz w:val="28"/>
          <w:szCs w:val="28"/>
          <w:highlight w:val="none"/>
        </w:rPr>
        <w:t>表</w:t>
      </w:r>
      <w:r>
        <w:rPr>
          <w:rFonts w:hint="eastAsia" w:eastAsia="楷体"/>
          <w:b/>
          <w:color w:val="auto"/>
          <w:sz w:val="28"/>
          <w:szCs w:val="28"/>
          <w:highlight w:val="none"/>
        </w:rPr>
        <w:t>2</w:t>
      </w:r>
      <w:r>
        <w:rPr>
          <w:rFonts w:eastAsia="楷体"/>
          <w:b/>
          <w:color w:val="auto"/>
          <w:sz w:val="28"/>
          <w:szCs w:val="28"/>
          <w:highlight w:val="none"/>
        </w:rPr>
        <w:t>-2            四清水库水位～下泄流量关系曲线</w:t>
      </w:r>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2760"/>
        <w:gridCol w:w="1171"/>
        <w:gridCol w:w="1293"/>
        <w:gridCol w:w="1293"/>
        <w:gridCol w:w="1292"/>
        <w:gridCol w:w="1292"/>
      </w:tblGrid>
      <w:tr w14:paraId="181C85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21A756D8">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1171" w:type="dxa"/>
            <w:noWrap w:val="0"/>
            <w:vAlign w:val="center"/>
          </w:tcPr>
          <w:p w14:paraId="065C3447">
            <w:pPr>
              <w:widowControl/>
              <w:jc w:val="center"/>
              <w:textAlignment w:val="center"/>
              <w:rPr>
                <w:rFonts w:eastAsia="楷体"/>
                <w:color w:val="auto"/>
                <w:sz w:val="24"/>
                <w:highlight w:val="none"/>
              </w:rPr>
            </w:pPr>
            <w:r>
              <w:rPr>
                <w:rFonts w:hint="eastAsia" w:eastAsia="楷体"/>
                <w:color w:val="auto"/>
                <w:kern w:val="0"/>
                <w:sz w:val="24"/>
                <w:highlight w:val="none"/>
                <w:lang w:bidi="ar"/>
              </w:rPr>
              <w:t>28.04</w:t>
            </w:r>
          </w:p>
        </w:tc>
        <w:tc>
          <w:tcPr>
            <w:tcW w:w="1293" w:type="dxa"/>
            <w:noWrap w:val="0"/>
            <w:vAlign w:val="center"/>
          </w:tcPr>
          <w:p w14:paraId="41ED4427">
            <w:pPr>
              <w:widowControl/>
              <w:jc w:val="center"/>
              <w:textAlignment w:val="center"/>
              <w:rPr>
                <w:rFonts w:eastAsia="楷体"/>
                <w:color w:val="auto"/>
                <w:sz w:val="24"/>
                <w:highlight w:val="none"/>
              </w:rPr>
            </w:pPr>
            <w:r>
              <w:rPr>
                <w:rFonts w:hint="eastAsia" w:eastAsia="楷体"/>
                <w:color w:val="auto"/>
                <w:kern w:val="0"/>
                <w:sz w:val="24"/>
                <w:highlight w:val="none"/>
                <w:lang w:bidi="ar"/>
              </w:rPr>
              <w:t>28.16</w:t>
            </w:r>
          </w:p>
        </w:tc>
        <w:tc>
          <w:tcPr>
            <w:tcW w:w="1293" w:type="dxa"/>
            <w:noWrap w:val="0"/>
            <w:vAlign w:val="center"/>
          </w:tcPr>
          <w:p w14:paraId="733AEB82">
            <w:pPr>
              <w:widowControl/>
              <w:jc w:val="center"/>
              <w:textAlignment w:val="center"/>
              <w:rPr>
                <w:rFonts w:eastAsia="楷体"/>
                <w:color w:val="auto"/>
                <w:sz w:val="24"/>
                <w:highlight w:val="none"/>
              </w:rPr>
            </w:pPr>
            <w:r>
              <w:rPr>
                <w:rFonts w:hint="eastAsia" w:eastAsia="楷体"/>
                <w:color w:val="auto"/>
                <w:kern w:val="0"/>
                <w:sz w:val="24"/>
                <w:highlight w:val="none"/>
                <w:lang w:bidi="ar"/>
              </w:rPr>
              <w:t>28.20</w:t>
            </w:r>
          </w:p>
        </w:tc>
        <w:tc>
          <w:tcPr>
            <w:tcW w:w="1292" w:type="dxa"/>
            <w:noWrap w:val="0"/>
            <w:vAlign w:val="center"/>
          </w:tcPr>
          <w:p w14:paraId="659855CC">
            <w:pPr>
              <w:widowControl/>
              <w:jc w:val="center"/>
              <w:textAlignment w:val="center"/>
              <w:rPr>
                <w:rFonts w:eastAsia="楷体"/>
                <w:color w:val="auto"/>
                <w:sz w:val="24"/>
                <w:highlight w:val="none"/>
              </w:rPr>
            </w:pPr>
            <w:r>
              <w:rPr>
                <w:rFonts w:hint="eastAsia" w:eastAsia="楷体"/>
                <w:color w:val="auto"/>
                <w:kern w:val="0"/>
                <w:sz w:val="24"/>
                <w:highlight w:val="none"/>
                <w:lang w:bidi="ar"/>
              </w:rPr>
              <w:t>28.30</w:t>
            </w:r>
          </w:p>
        </w:tc>
        <w:tc>
          <w:tcPr>
            <w:tcW w:w="1292" w:type="dxa"/>
            <w:noWrap w:val="0"/>
            <w:vAlign w:val="center"/>
          </w:tcPr>
          <w:p w14:paraId="474D9DAC">
            <w:pPr>
              <w:widowControl/>
              <w:jc w:val="center"/>
              <w:textAlignment w:val="center"/>
              <w:rPr>
                <w:rFonts w:eastAsia="楷体"/>
                <w:color w:val="auto"/>
                <w:sz w:val="24"/>
                <w:highlight w:val="none"/>
              </w:rPr>
            </w:pPr>
            <w:r>
              <w:rPr>
                <w:rFonts w:hint="eastAsia" w:eastAsia="楷体"/>
                <w:color w:val="auto"/>
                <w:kern w:val="0"/>
                <w:sz w:val="24"/>
                <w:highlight w:val="none"/>
                <w:lang w:bidi="ar"/>
              </w:rPr>
              <w:t>28.37</w:t>
            </w:r>
          </w:p>
        </w:tc>
      </w:tr>
      <w:tr w14:paraId="239708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1A79048F">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1171" w:type="dxa"/>
            <w:noWrap w:val="0"/>
            <w:vAlign w:val="center"/>
          </w:tcPr>
          <w:p w14:paraId="4AE2ACFF">
            <w:pPr>
              <w:widowControl/>
              <w:jc w:val="center"/>
              <w:textAlignment w:val="center"/>
              <w:rPr>
                <w:rFonts w:eastAsia="楷体"/>
                <w:color w:val="auto"/>
                <w:sz w:val="24"/>
                <w:highlight w:val="none"/>
              </w:rPr>
            </w:pPr>
            <w:r>
              <w:rPr>
                <w:rFonts w:eastAsia="楷体"/>
                <w:color w:val="auto"/>
                <w:kern w:val="0"/>
                <w:sz w:val="24"/>
                <w:highlight w:val="none"/>
                <w:lang w:bidi="ar"/>
              </w:rPr>
              <w:t>0</w:t>
            </w:r>
          </w:p>
        </w:tc>
        <w:tc>
          <w:tcPr>
            <w:tcW w:w="1293" w:type="dxa"/>
            <w:noWrap w:val="0"/>
            <w:vAlign w:val="center"/>
          </w:tcPr>
          <w:p w14:paraId="12A6C793">
            <w:pPr>
              <w:widowControl/>
              <w:jc w:val="center"/>
              <w:textAlignment w:val="center"/>
              <w:rPr>
                <w:rFonts w:eastAsia="楷体"/>
                <w:color w:val="auto"/>
                <w:sz w:val="24"/>
                <w:highlight w:val="none"/>
              </w:rPr>
            </w:pPr>
            <w:r>
              <w:rPr>
                <w:rFonts w:hint="eastAsia" w:eastAsia="楷体"/>
                <w:color w:val="auto"/>
                <w:kern w:val="0"/>
                <w:sz w:val="24"/>
                <w:highlight w:val="none"/>
                <w:lang w:bidi="ar"/>
              </w:rPr>
              <w:t>0.5</w:t>
            </w:r>
          </w:p>
        </w:tc>
        <w:tc>
          <w:tcPr>
            <w:tcW w:w="1293" w:type="dxa"/>
            <w:noWrap w:val="0"/>
            <w:vAlign w:val="center"/>
          </w:tcPr>
          <w:p w14:paraId="4742123D">
            <w:pPr>
              <w:widowControl/>
              <w:jc w:val="center"/>
              <w:textAlignment w:val="center"/>
              <w:rPr>
                <w:rFonts w:eastAsia="楷体"/>
                <w:color w:val="auto"/>
                <w:sz w:val="24"/>
                <w:highlight w:val="none"/>
              </w:rPr>
            </w:pPr>
            <w:r>
              <w:rPr>
                <w:rFonts w:hint="eastAsia" w:eastAsia="楷体"/>
                <w:color w:val="auto"/>
                <w:kern w:val="0"/>
                <w:sz w:val="24"/>
                <w:highlight w:val="none"/>
                <w:lang w:bidi="ar"/>
              </w:rPr>
              <w:t>1</w:t>
            </w:r>
          </w:p>
        </w:tc>
        <w:tc>
          <w:tcPr>
            <w:tcW w:w="1292" w:type="dxa"/>
            <w:noWrap w:val="0"/>
            <w:vAlign w:val="center"/>
          </w:tcPr>
          <w:p w14:paraId="5A51AC0E">
            <w:pPr>
              <w:widowControl/>
              <w:jc w:val="center"/>
              <w:textAlignment w:val="center"/>
              <w:rPr>
                <w:rFonts w:eastAsia="楷体"/>
                <w:color w:val="auto"/>
                <w:sz w:val="24"/>
                <w:highlight w:val="none"/>
              </w:rPr>
            </w:pPr>
            <w:r>
              <w:rPr>
                <w:rFonts w:hint="eastAsia" w:eastAsia="楷体"/>
                <w:color w:val="auto"/>
                <w:kern w:val="0"/>
                <w:sz w:val="24"/>
                <w:highlight w:val="none"/>
                <w:lang w:bidi="ar"/>
              </w:rPr>
              <w:t>2</w:t>
            </w:r>
          </w:p>
        </w:tc>
        <w:tc>
          <w:tcPr>
            <w:tcW w:w="1292" w:type="dxa"/>
            <w:noWrap w:val="0"/>
            <w:vAlign w:val="center"/>
          </w:tcPr>
          <w:p w14:paraId="2079640E">
            <w:pPr>
              <w:widowControl/>
              <w:jc w:val="center"/>
              <w:textAlignment w:val="center"/>
              <w:rPr>
                <w:rFonts w:eastAsia="楷体"/>
                <w:color w:val="auto"/>
                <w:sz w:val="24"/>
                <w:highlight w:val="none"/>
              </w:rPr>
            </w:pPr>
            <w:r>
              <w:rPr>
                <w:rFonts w:hint="eastAsia" w:eastAsia="楷体"/>
                <w:color w:val="auto"/>
                <w:kern w:val="0"/>
                <w:sz w:val="24"/>
                <w:highlight w:val="none"/>
                <w:lang w:bidi="ar"/>
              </w:rPr>
              <w:t>3</w:t>
            </w:r>
          </w:p>
        </w:tc>
      </w:tr>
      <w:tr w14:paraId="691F3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02D02763">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1171" w:type="dxa"/>
            <w:noWrap w:val="0"/>
            <w:vAlign w:val="center"/>
          </w:tcPr>
          <w:p w14:paraId="4A9C2201">
            <w:pPr>
              <w:widowControl/>
              <w:jc w:val="center"/>
              <w:textAlignment w:val="center"/>
              <w:rPr>
                <w:rFonts w:eastAsia="楷体"/>
                <w:color w:val="auto"/>
                <w:sz w:val="24"/>
                <w:highlight w:val="none"/>
              </w:rPr>
            </w:pPr>
            <w:r>
              <w:rPr>
                <w:rFonts w:hint="eastAsia" w:eastAsia="楷体"/>
                <w:color w:val="auto"/>
                <w:kern w:val="0"/>
                <w:sz w:val="24"/>
                <w:highlight w:val="none"/>
                <w:lang w:bidi="ar"/>
              </w:rPr>
              <w:t>28.51</w:t>
            </w:r>
          </w:p>
        </w:tc>
        <w:tc>
          <w:tcPr>
            <w:tcW w:w="1293" w:type="dxa"/>
            <w:noWrap w:val="0"/>
            <w:vAlign w:val="center"/>
          </w:tcPr>
          <w:p w14:paraId="1660DD2C">
            <w:pPr>
              <w:widowControl/>
              <w:jc w:val="center"/>
              <w:textAlignment w:val="center"/>
              <w:rPr>
                <w:rFonts w:eastAsia="楷体"/>
                <w:color w:val="auto"/>
                <w:sz w:val="24"/>
                <w:highlight w:val="none"/>
              </w:rPr>
            </w:pPr>
            <w:r>
              <w:rPr>
                <w:rFonts w:hint="eastAsia" w:eastAsia="楷体"/>
                <w:color w:val="auto"/>
                <w:kern w:val="0"/>
                <w:sz w:val="24"/>
                <w:highlight w:val="none"/>
                <w:lang w:bidi="ar"/>
              </w:rPr>
              <w:t>28.62</w:t>
            </w:r>
          </w:p>
        </w:tc>
        <w:tc>
          <w:tcPr>
            <w:tcW w:w="1293" w:type="dxa"/>
            <w:noWrap w:val="0"/>
            <w:vAlign w:val="center"/>
          </w:tcPr>
          <w:p w14:paraId="516F1DFC">
            <w:pPr>
              <w:widowControl/>
              <w:jc w:val="center"/>
              <w:textAlignment w:val="center"/>
              <w:rPr>
                <w:rFonts w:eastAsia="楷体"/>
                <w:color w:val="auto"/>
                <w:sz w:val="24"/>
                <w:highlight w:val="none"/>
              </w:rPr>
            </w:pPr>
            <w:r>
              <w:rPr>
                <w:rFonts w:hint="eastAsia" w:eastAsia="楷体"/>
                <w:color w:val="auto"/>
                <w:kern w:val="0"/>
                <w:sz w:val="24"/>
                <w:highlight w:val="none"/>
                <w:lang w:bidi="ar"/>
              </w:rPr>
              <w:t>28.78</w:t>
            </w:r>
          </w:p>
        </w:tc>
        <w:tc>
          <w:tcPr>
            <w:tcW w:w="1292" w:type="dxa"/>
            <w:noWrap w:val="0"/>
            <w:vAlign w:val="center"/>
          </w:tcPr>
          <w:p w14:paraId="4CF6CED2">
            <w:pPr>
              <w:widowControl/>
              <w:jc w:val="center"/>
              <w:textAlignment w:val="center"/>
              <w:rPr>
                <w:rFonts w:eastAsia="楷体"/>
                <w:color w:val="auto"/>
                <w:sz w:val="24"/>
                <w:highlight w:val="none"/>
              </w:rPr>
            </w:pPr>
            <w:r>
              <w:rPr>
                <w:rFonts w:hint="eastAsia" w:eastAsia="楷体"/>
                <w:color w:val="auto"/>
                <w:kern w:val="0"/>
                <w:sz w:val="24"/>
                <w:highlight w:val="none"/>
                <w:lang w:bidi="ar"/>
              </w:rPr>
              <w:t>29.01</w:t>
            </w:r>
          </w:p>
        </w:tc>
        <w:tc>
          <w:tcPr>
            <w:tcW w:w="1292" w:type="dxa"/>
            <w:noWrap w:val="0"/>
            <w:vAlign w:val="center"/>
          </w:tcPr>
          <w:p w14:paraId="5B5B7A2D">
            <w:pPr>
              <w:widowControl/>
              <w:jc w:val="center"/>
              <w:textAlignment w:val="center"/>
              <w:rPr>
                <w:rFonts w:eastAsia="楷体"/>
                <w:color w:val="auto"/>
                <w:sz w:val="24"/>
                <w:highlight w:val="none"/>
              </w:rPr>
            </w:pPr>
          </w:p>
        </w:tc>
      </w:tr>
      <w:tr w14:paraId="48FFDB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6ED3D1E7">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1171" w:type="dxa"/>
            <w:noWrap w:val="0"/>
            <w:vAlign w:val="center"/>
          </w:tcPr>
          <w:p w14:paraId="7557BD04">
            <w:pPr>
              <w:widowControl/>
              <w:jc w:val="center"/>
              <w:textAlignment w:val="center"/>
              <w:rPr>
                <w:rFonts w:eastAsia="楷体"/>
                <w:color w:val="auto"/>
                <w:sz w:val="24"/>
                <w:highlight w:val="none"/>
              </w:rPr>
            </w:pPr>
            <w:r>
              <w:rPr>
                <w:rFonts w:hint="eastAsia" w:eastAsia="楷体"/>
                <w:color w:val="auto"/>
                <w:kern w:val="0"/>
                <w:sz w:val="24"/>
                <w:highlight w:val="none"/>
                <w:lang w:bidi="ar"/>
              </w:rPr>
              <w:t>5</w:t>
            </w:r>
          </w:p>
        </w:tc>
        <w:tc>
          <w:tcPr>
            <w:tcW w:w="1293" w:type="dxa"/>
            <w:noWrap w:val="0"/>
            <w:vAlign w:val="center"/>
          </w:tcPr>
          <w:p w14:paraId="2617DECD">
            <w:pPr>
              <w:widowControl/>
              <w:jc w:val="center"/>
              <w:textAlignment w:val="center"/>
              <w:rPr>
                <w:rFonts w:eastAsia="楷体"/>
                <w:color w:val="auto"/>
                <w:sz w:val="24"/>
                <w:highlight w:val="none"/>
              </w:rPr>
            </w:pPr>
            <w:r>
              <w:rPr>
                <w:rFonts w:hint="eastAsia" w:eastAsia="楷体"/>
                <w:color w:val="auto"/>
                <w:kern w:val="0"/>
                <w:sz w:val="24"/>
                <w:highlight w:val="none"/>
                <w:lang w:bidi="ar"/>
              </w:rPr>
              <w:t>7</w:t>
            </w:r>
          </w:p>
        </w:tc>
        <w:tc>
          <w:tcPr>
            <w:tcW w:w="1293" w:type="dxa"/>
            <w:noWrap w:val="0"/>
            <w:vAlign w:val="center"/>
          </w:tcPr>
          <w:p w14:paraId="7084CC08">
            <w:pPr>
              <w:widowControl/>
              <w:jc w:val="center"/>
              <w:textAlignment w:val="center"/>
              <w:rPr>
                <w:rFonts w:eastAsia="楷体"/>
                <w:color w:val="auto"/>
                <w:sz w:val="24"/>
                <w:highlight w:val="none"/>
              </w:rPr>
            </w:pPr>
            <w:r>
              <w:rPr>
                <w:rFonts w:hint="eastAsia" w:eastAsia="楷体"/>
                <w:color w:val="auto"/>
                <w:kern w:val="0"/>
                <w:sz w:val="24"/>
                <w:highlight w:val="none"/>
                <w:lang w:bidi="ar"/>
              </w:rPr>
              <w:t>10</w:t>
            </w:r>
          </w:p>
        </w:tc>
        <w:tc>
          <w:tcPr>
            <w:tcW w:w="1292" w:type="dxa"/>
            <w:noWrap w:val="0"/>
            <w:vAlign w:val="center"/>
          </w:tcPr>
          <w:p w14:paraId="70002B25">
            <w:pPr>
              <w:widowControl/>
              <w:jc w:val="center"/>
              <w:textAlignment w:val="center"/>
              <w:rPr>
                <w:rFonts w:eastAsia="楷体"/>
                <w:color w:val="auto"/>
                <w:sz w:val="24"/>
                <w:highlight w:val="none"/>
              </w:rPr>
            </w:pPr>
            <w:r>
              <w:rPr>
                <w:rFonts w:hint="eastAsia" w:eastAsia="楷体"/>
                <w:color w:val="auto"/>
                <w:kern w:val="0"/>
                <w:sz w:val="24"/>
                <w:highlight w:val="none"/>
                <w:lang w:bidi="ar"/>
              </w:rPr>
              <w:t>15</w:t>
            </w:r>
          </w:p>
        </w:tc>
        <w:tc>
          <w:tcPr>
            <w:tcW w:w="1292" w:type="dxa"/>
            <w:noWrap w:val="0"/>
            <w:vAlign w:val="center"/>
          </w:tcPr>
          <w:p w14:paraId="3CF0A4CC">
            <w:pPr>
              <w:widowControl/>
              <w:jc w:val="center"/>
              <w:textAlignment w:val="center"/>
              <w:rPr>
                <w:rFonts w:eastAsia="楷体"/>
                <w:color w:val="auto"/>
                <w:sz w:val="24"/>
                <w:highlight w:val="none"/>
              </w:rPr>
            </w:pPr>
          </w:p>
        </w:tc>
      </w:tr>
    </w:tbl>
    <w:p w14:paraId="1AE0BC0E">
      <w:pPr>
        <w:spacing w:line="520" w:lineRule="exact"/>
        <w:outlineLvl w:val="2"/>
        <w:rPr>
          <w:rFonts w:eastAsia="楷体"/>
          <w:b/>
          <w:bCs/>
          <w:color w:val="auto"/>
          <w:sz w:val="32"/>
          <w:szCs w:val="30"/>
          <w:highlight w:val="none"/>
        </w:rPr>
      </w:pPr>
      <w:bookmarkStart w:id="60" w:name="_Toc1691"/>
      <w:r>
        <w:rPr>
          <w:rFonts w:eastAsia="楷体"/>
          <w:b/>
          <w:bCs/>
          <w:color w:val="auto"/>
          <w:sz w:val="32"/>
          <w:szCs w:val="30"/>
          <w:highlight w:val="none"/>
        </w:rPr>
        <w:t>2.2.3 水库枢纽工程历次重大改建、扩建、加固基本情况</w:t>
      </w:r>
      <w:bookmarkEnd w:id="60"/>
    </w:p>
    <w:p w14:paraId="5462DF49">
      <w:pPr>
        <w:spacing w:line="520" w:lineRule="exact"/>
        <w:ind w:firstLine="560" w:firstLineChars="200"/>
        <w:rPr>
          <w:rFonts w:eastAsia="楷体"/>
          <w:color w:val="auto"/>
          <w:sz w:val="28"/>
          <w:szCs w:val="28"/>
          <w:highlight w:val="none"/>
        </w:rPr>
      </w:pPr>
      <w:r>
        <w:rPr>
          <w:rFonts w:eastAsia="楷体"/>
          <w:color w:val="auto"/>
          <w:sz w:val="28"/>
          <w:szCs w:val="28"/>
          <w:highlight w:val="none"/>
        </w:rPr>
        <w:t>2</w:t>
      </w:r>
      <w:r>
        <w:rPr>
          <w:rFonts w:hint="eastAsia" w:eastAsia="楷体"/>
          <w:color w:val="auto"/>
          <w:sz w:val="28"/>
          <w:szCs w:val="28"/>
          <w:highlight w:val="none"/>
        </w:rPr>
        <w:t>014</w:t>
      </w:r>
      <w:r>
        <w:rPr>
          <w:rFonts w:eastAsia="楷体"/>
          <w:color w:val="auto"/>
          <w:sz w:val="28"/>
          <w:szCs w:val="28"/>
          <w:highlight w:val="none"/>
        </w:rPr>
        <w:t>年</w:t>
      </w:r>
      <w:r>
        <w:rPr>
          <w:rFonts w:hint="eastAsia" w:eastAsia="楷体"/>
          <w:color w:val="auto"/>
          <w:sz w:val="28"/>
          <w:szCs w:val="28"/>
          <w:highlight w:val="none"/>
        </w:rPr>
        <w:t>8月，泉港区农水局组织对四清水库进行安全鉴定，鉴定结论为三类坝；2012年3月，泉港区农</w:t>
      </w:r>
      <w:r>
        <w:rPr>
          <w:rFonts w:hint="eastAsia" w:eastAsia="楷体"/>
          <w:color w:val="auto"/>
          <w:sz w:val="28"/>
          <w:szCs w:val="28"/>
          <w:highlight w:val="none"/>
          <w:lang w:eastAsia="zh-CN"/>
        </w:rPr>
        <w:t>水局</w:t>
      </w:r>
      <w:r>
        <w:rPr>
          <w:rFonts w:hint="eastAsia" w:eastAsia="楷体"/>
          <w:color w:val="auto"/>
          <w:sz w:val="28"/>
          <w:szCs w:val="28"/>
          <w:highlight w:val="none"/>
        </w:rPr>
        <w:t>委托设计单位进行水库大坝除险加固工程设计</w:t>
      </w:r>
      <w:r>
        <w:rPr>
          <w:rFonts w:eastAsia="楷体"/>
          <w:color w:val="auto"/>
          <w:sz w:val="28"/>
          <w:szCs w:val="28"/>
          <w:highlight w:val="none"/>
        </w:rPr>
        <w:t>；</w:t>
      </w:r>
      <w:r>
        <w:rPr>
          <w:rFonts w:hint="eastAsia" w:eastAsia="楷体"/>
          <w:color w:val="auto"/>
          <w:sz w:val="28"/>
          <w:szCs w:val="28"/>
          <w:highlight w:val="none"/>
        </w:rPr>
        <w:t>2014年12月～2015年10月进行水库除险加固施工，主要工程措施：</w:t>
      </w:r>
    </w:p>
    <w:p w14:paraId="73D28D9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（1）大坝</w:t>
      </w:r>
    </w:p>
    <w:p w14:paraId="299E02B2">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坝体防渗加固：坝体采用全断而充填灌浆防渗（桩号范围B0+000.0~B0+200.0），在坝顶布置双排灌浆孔，灌浆孔距3.0m，排距3.0m，两排孔呈梅花形布置，灌浆顶高程28.810m，钻孔深至坝基接触面以下2m范围，共布136孔，分两序施工。</w:t>
      </w:r>
    </w:p>
    <w:p w14:paraId="0083761E">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2）坝坡加固</w:t>
      </w:r>
    </w:p>
    <w:p w14:paraId="21675247">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迎水坡：正常蓄水位（28. 040m）以上坝坡清除杂草并勾缝。</w:t>
      </w:r>
    </w:p>
    <w:p w14:paraId="2EA79D6F">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背水坡：按1:2.0坡比进行修整；桩号B0+050.0~B0+095.0高程21.500m以下新建贴坡排水；岸坡结合部位及坝脚设纵、横向排水沟，在坝坡中间位置设置水库名称字体；桩号B0+100.0新建下坝台阶；坡面均采用草皮护坡。</w:t>
      </w:r>
    </w:p>
    <w:p w14:paraId="22C2A164">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3）坝顶</w:t>
      </w:r>
    </w:p>
    <w:p w14:paraId="6705B6B3">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拆除防浪墙，修整坝顶路面，统一高程至30.580m，上游侧新建防护栏杆，下游侧新建路肩，采用混凝土硬化路面；左、右两端设车辆限行墩。</w:t>
      </w:r>
    </w:p>
    <w:p w14:paraId="7D5D6148">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溢洪道：重建交通桥；清除桩号Y0+038.4~Y0+117.5淤积的砂土及灌木、乔木，对已建成的浆砌石挡墙及底板重新勾缝；修复桩号Y0+100.0~Y0+117.5左侧、Y0+098.0~Y0+117.5右侧已损坏的侧墙；开挖被填堵的（桩号渠0+000.0～渠0+045.0）排洪渠，在桩号渠0+000.0~渠0+011.0新建消力池，桩号渠0+011.0~渠0+045.0新建盖板涵与下游已建明渠衔接。</w:t>
      </w:r>
    </w:p>
    <w:p w14:paraId="755C73A4">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（3）输水涵洞及金属结构</w:t>
      </w:r>
    </w:p>
    <w:p w14:paraId="7D6A73B3">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拆除原进水口，新建消力井，配套相应的转动门盖、拦污栅、拉杆及3t手动卷扬机；涵洞清淤；涵洞出口引水渠衬砌。</w:t>
      </w:r>
    </w:p>
    <w:p w14:paraId="30F7FDA5">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（4）其它</w:t>
      </w:r>
    </w:p>
    <w:p w14:paraId="3E47731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在迎水坡台阶旁设置一组搪瓷水位观测尺；硬化防汛道路；白蚂蚁防治；拆除坝顶右端废弃房子。</w:t>
      </w:r>
    </w:p>
    <w:p w14:paraId="3E698EF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泉港区前黄镇</w:t>
      </w:r>
      <w:r>
        <w:rPr>
          <w:rFonts w:eastAsia="楷体"/>
          <w:color w:val="auto"/>
          <w:sz w:val="28"/>
          <w:szCs w:val="28"/>
          <w:highlight w:val="none"/>
        </w:rPr>
        <w:t>四清水库</w:t>
      </w:r>
      <w:r>
        <w:rPr>
          <w:rFonts w:hint="eastAsia" w:eastAsia="楷体"/>
          <w:color w:val="auto"/>
          <w:sz w:val="28"/>
          <w:szCs w:val="28"/>
          <w:highlight w:val="none"/>
        </w:rPr>
        <w:t>除险加固</w:t>
      </w:r>
      <w:r>
        <w:rPr>
          <w:rFonts w:eastAsia="楷体"/>
          <w:color w:val="auto"/>
          <w:sz w:val="28"/>
          <w:szCs w:val="28"/>
          <w:highlight w:val="none"/>
        </w:rPr>
        <w:t>工程于201</w:t>
      </w:r>
      <w:r>
        <w:rPr>
          <w:rFonts w:hint="eastAsia" w:eastAsia="楷体"/>
          <w:color w:val="auto"/>
          <w:sz w:val="28"/>
          <w:szCs w:val="28"/>
          <w:highlight w:val="none"/>
        </w:rPr>
        <w:t>5</w:t>
      </w:r>
      <w:r>
        <w:rPr>
          <w:rFonts w:eastAsia="楷体"/>
          <w:color w:val="auto"/>
          <w:sz w:val="28"/>
          <w:szCs w:val="28"/>
          <w:highlight w:val="none"/>
        </w:rPr>
        <w:t>年</w:t>
      </w:r>
      <w:r>
        <w:rPr>
          <w:rFonts w:hint="eastAsia" w:eastAsia="楷体"/>
          <w:color w:val="auto"/>
          <w:sz w:val="28"/>
          <w:szCs w:val="28"/>
          <w:highlight w:val="none"/>
        </w:rPr>
        <w:t>12</w:t>
      </w:r>
      <w:r>
        <w:rPr>
          <w:rFonts w:eastAsia="楷体"/>
          <w:color w:val="auto"/>
          <w:sz w:val="28"/>
          <w:szCs w:val="28"/>
          <w:highlight w:val="none"/>
        </w:rPr>
        <w:t>月通过了法人主持的完工验收。</w:t>
      </w:r>
    </w:p>
    <w:p w14:paraId="7FD353EC">
      <w:pPr>
        <w:widowControl/>
        <w:spacing w:line="520" w:lineRule="exact"/>
        <w:ind w:firstLine="560" w:firstLineChars="200"/>
        <w:contextualSpacing/>
        <w:rPr>
          <w:rFonts w:eastAsia="楷体"/>
          <w:color w:val="auto"/>
          <w:kern w:val="0"/>
          <w:sz w:val="28"/>
          <w:szCs w:val="28"/>
          <w:highlight w:val="none"/>
        </w:rPr>
      </w:pPr>
      <w:bookmarkStart w:id="61" w:name="_Toc13333"/>
      <w:r>
        <w:rPr>
          <w:rFonts w:eastAsia="楷体"/>
          <w:color w:val="auto"/>
          <w:kern w:val="0"/>
          <w:sz w:val="28"/>
          <w:szCs w:val="28"/>
          <w:highlight w:val="none"/>
        </w:rPr>
        <w:t>20</w:t>
      </w:r>
      <w:r>
        <w:rPr>
          <w:rFonts w:hint="eastAsia" w:eastAsia="楷体"/>
          <w:color w:val="auto"/>
          <w:kern w:val="0"/>
          <w:sz w:val="28"/>
          <w:szCs w:val="28"/>
          <w:highlight w:val="none"/>
          <w:lang w:val="en-US" w:eastAsia="zh-CN"/>
        </w:rPr>
        <w:t>22</w:t>
      </w:r>
      <w:r>
        <w:rPr>
          <w:rFonts w:eastAsia="楷体"/>
          <w:color w:val="auto"/>
          <w:kern w:val="0"/>
          <w:sz w:val="28"/>
          <w:szCs w:val="28"/>
          <w:highlight w:val="none"/>
        </w:rPr>
        <w:t>年</w:t>
      </w:r>
      <w:r>
        <w:rPr>
          <w:rFonts w:hint="eastAsia" w:eastAsia="楷体"/>
          <w:color w:val="auto"/>
          <w:kern w:val="0"/>
          <w:sz w:val="28"/>
          <w:szCs w:val="28"/>
          <w:highlight w:val="none"/>
          <w:lang w:val="en-US" w:eastAsia="zh-CN"/>
        </w:rPr>
        <w:t>12</w:t>
      </w:r>
      <w:r>
        <w:rPr>
          <w:rFonts w:eastAsia="楷体"/>
          <w:color w:val="auto"/>
          <w:kern w:val="0"/>
          <w:sz w:val="28"/>
          <w:szCs w:val="28"/>
          <w:highlight w:val="none"/>
        </w:rPr>
        <w:t>月，</w:t>
      </w:r>
      <w:r>
        <w:rPr>
          <w:rFonts w:hint="eastAsia" w:eastAsia="楷体"/>
          <w:color w:val="auto"/>
          <w:sz w:val="28"/>
          <w:szCs w:val="28"/>
          <w:highlight w:val="none"/>
        </w:rPr>
        <w:t>泉港区农水局组织对四清水库进行安全鉴定</w:t>
      </w:r>
      <w:r>
        <w:rPr>
          <w:rFonts w:eastAsia="楷体"/>
          <w:color w:val="auto"/>
          <w:kern w:val="0"/>
          <w:sz w:val="28"/>
          <w:szCs w:val="28"/>
          <w:highlight w:val="none"/>
        </w:rPr>
        <w:t>，安全鉴定主要结论如下：</w:t>
      </w:r>
    </w:p>
    <w:p w14:paraId="46AED877">
      <w:pPr>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int="eastAsia" w:eastAsia="楷体"/>
          <w:color w:val="auto"/>
          <w:sz w:val="28"/>
          <w:szCs w:val="28"/>
          <w:highlight w:val="none"/>
        </w:rPr>
        <w:t>工程</w:t>
      </w:r>
      <w:r>
        <w:rPr>
          <w:rFonts w:hint="eastAsia" w:eastAsia="楷体"/>
          <w:color w:val="auto"/>
          <w:sz w:val="28"/>
          <w:szCs w:val="28"/>
          <w:highlight w:val="none"/>
          <w:lang w:eastAsia="zh-CN"/>
        </w:rPr>
        <w:t>检查情况如下</w:t>
      </w:r>
      <w:r>
        <w:rPr>
          <w:rFonts w:hint="eastAsia" w:eastAsia="楷体"/>
          <w:color w:val="auto"/>
          <w:sz w:val="28"/>
          <w:szCs w:val="28"/>
          <w:highlight w:val="none"/>
        </w:rPr>
        <w:t>：</w:t>
      </w:r>
    </w:p>
    <w:p w14:paraId="3692705E">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大坝：迎水坡为干砌块石护坡，坡面平整，无隆起、塌坑、滑动的现象，近坝水面无冒泡、漩涡等异常现象。背水坡坡面稳定，但草皮养护不当，局部土体裸露，多处有雨淋沟，有白蚁活动痕迹。坝脚排水沟淤积、长有杂草，根据向管理员了解，水库高水位运行时坝脚排水沟未发现渗漏现象，大坝两侧未发现渗漏现象。大坝设有位移沉降观测设施。</w:t>
      </w:r>
    </w:p>
    <w:p w14:paraId="5F89DCA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溢洪道：溢洪道的进口段底板砼护底结构完整，未发现脱落、老化</w:t>
      </w:r>
      <w:r>
        <w:rPr>
          <w:rFonts w:hint="eastAsia" w:eastAsia="楷体"/>
          <w:color w:val="auto"/>
          <w:sz w:val="28"/>
          <w:szCs w:val="28"/>
          <w:highlight w:val="none"/>
          <w:lang w:eastAsia="zh-CN"/>
        </w:rPr>
        <w:t>：</w:t>
      </w:r>
      <w:r>
        <w:rPr>
          <w:rFonts w:hint="eastAsia" w:eastAsia="楷体"/>
          <w:color w:val="auto"/>
          <w:sz w:val="28"/>
          <w:szCs w:val="28"/>
          <w:highlight w:val="none"/>
        </w:rPr>
        <w:t>控制段、滑槽、消能坎浆确石结构完整，未发现损坏、沉降</w:t>
      </w:r>
      <w:r>
        <w:rPr>
          <w:rFonts w:hint="eastAsia" w:eastAsia="楷体"/>
          <w:color w:val="auto"/>
          <w:sz w:val="28"/>
          <w:szCs w:val="28"/>
          <w:highlight w:val="none"/>
          <w:lang w:eastAsia="zh-CN"/>
        </w:rPr>
        <w:t>：</w:t>
      </w:r>
      <w:r>
        <w:rPr>
          <w:rFonts w:hint="eastAsia" w:eastAsia="楷体"/>
          <w:color w:val="auto"/>
          <w:sz w:val="28"/>
          <w:szCs w:val="28"/>
          <w:highlight w:val="none"/>
        </w:rPr>
        <w:t>侧墙的浆砌块石结构完整稳定，未发现变形。但桩号0+60-0+68m</w:t>
      </w:r>
      <w:r>
        <w:rPr>
          <w:rFonts w:hint="eastAsia" w:eastAsia="楷体"/>
          <w:color w:val="auto"/>
          <w:sz w:val="28"/>
          <w:szCs w:val="28"/>
          <w:highlight w:val="none"/>
          <w:lang w:eastAsia="zh-CN"/>
        </w:rPr>
        <w:t>，</w:t>
      </w:r>
      <w:r>
        <w:rPr>
          <w:rFonts w:hint="eastAsia" w:eastAsia="楷体"/>
          <w:color w:val="auto"/>
          <w:sz w:val="28"/>
          <w:szCs w:val="28"/>
          <w:highlight w:val="none"/>
        </w:rPr>
        <w:t>违章建设两层石混线构民房，墙体直接砌筑在溢洪道</w:t>
      </w:r>
      <w:r>
        <w:rPr>
          <w:rFonts w:hint="eastAsia" w:eastAsia="楷体"/>
          <w:color w:val="auto"/>
          <w:sz w:val="28"/>
          <w:szCs w:val="28"/>
          <w:highlight w:val="none"/>
          <w:lang w:eastAsia="zh-CN"/>
        </w:rPr>
        <w:t>泄</w:t>
      </w:r>
      <w:r>
        <w:rPr>
          <w:rFonts w:hint="eastAsia" w:eastAsia="楷体"/>
          <w:color w:val="auto"/>
          <w:sz w:val="28"/>
          <w:szCs w:val="28"/>
          <w:highlight w:val="none"/>
        </w:rPr>
        <w:t>槽侧墙上</w:t>
      </w:r>
      <w:r>
        <w:rPr>
          <w:rFonts w:hint="eastAsia" w:eastAsia="楷体"/>
          <w:color w:val="auto"/>
          <w:sz w:val="28"/>
          <w:szCs w:val="28"/>
          <w:highlight w:val="none"/>
          <w:lang w:eastAsia="zh-CN"/>
        </w:rPr>
        <w:t>，</w:t>
      </w:r>
      <w:r>
        <w:rPr>
          <w:rFonts w:hint="eastAsia" w:eastAsia="楷体"/>
          <w:color w:val="auto"/>
          <w:sz w:val="28"/>
          <w:szCs w:val="28"/>
          <w:highlight w:val="none"/>
        </w:rPr>
        <w:t>且在泄槽翻筑台阶，并拆除侧墙砌体，安装地下室铁门，影响侧墙稳定安全、溢洪道</w:t>
      </w:r>
      <w:r>
        <w:rPr>
          <w:rFonts w:hint="eastAsia" w:eastAsia="楷体"/>
          <w:color w:val="auto"/>
          <w:sz w:val="28"/>
          <w:szCs w:val="28"/>
          <w:highlight w:val="none"/>
          <w:lang w:eastAsia="zh-CN"/>
        </w:rPr>
        <w:t>泄洪</w:t>
      </w:r>
      <w:r>
        <w:rPr>
          <w:rFonts w:hint="eastAsia" w:eastAsia="楷体"/>
          <w:color w:val="auto"/>
          <w:sz w:val="28"/>
          <w:szCs w:val="28"/>
          <w:highlight w:val="none"/>
        </w:rPr>
        <w:t>安全</w:t>
      </w:r>
      <w:r>
        <w:rPr>
          <w:rFonts w:hint="eastAsia" w:eastAsia="楷体"/>
          <w:color w:val="auto"/>
          <w:sz w:val="28"/>
          <w:szCs w:val="28"/>
          <w:highlight w:val="none"/>
          <w:lang w:eastAsia="zh-CN"/>
        </w:rPr>
        <w:t>，</w:t>
      </w:r>
      <w:r>
        <w:rPr>
          <w:rFonts w:hint="eastAsia" w:eastAsia="楷体"/>
          <w:color w:val="auto"/>
          <w:sz w:val="28"/>
          <w:szCs w:val="28"/>
          <w:highlight w:val="none"/>
        </w:rPr>
        <w:t>并存在重大安全隐患。</w:t>
      </w:r>
    </w:p>
    <w:p w14:paraId="622AE79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eastAsia="zh-CN"/>
        </w:rPr>
        <w:t>输</w:t>
      </w:r>
      <w:r>
        <w:rPr>
          <w:rFonts w:hint="eastAsia" w:eastAsia="楷体"/>
          <w:color w:val="auto"/>
          <w:sz w:val="28"/>
          <w:szCs w:val="28"/>
          <w:highlight w:val="none"/>
        </w:rPr>
        <w:t>水涵洞：通过机器人进入输水涌洞察看，</w:t>
      </w:r>
      <w:r>
        <w:rPr>
          <w:rFonts w:hint="eastAsia" w:eastAsia="楷体"/>
          <w:color w:val="auto"/>
          <w:sz w:val="28"/>
          <w:szCs w:val="28"/>
          <w:highlight w:val="none"/>
          <w:lang w:eastAsia="zh-CN"/>
        </w:rPr>
        <w:t>洞</w:t>
      </w:r>
      <w:r>
        <w:rPr>
          <w:rFonts w:hint="eastAsia" w:eastAsia="楷体"/>
          <w:color w:val="auto"/>
          <w:sz w:val="28"/>
          <w:szCs w:val="28"/>
          <w:highlight w:val="none"/>
        </w:rPr>
        <w:t>身</w:t>
      </w:r>
      <w:r>
        <w:rPr>
          <w:rFonts w:hint="eastAsia" w:eastAsia="楷体"/>
          <w:color w:val="auto"/>
          <w:sz w:val="28"/>
          <w:szCs w:val="28"/>
          <w:highlight w:val="none"/>
          <w:lang w:eastAsia="zh-CN"/>
        </w:rPr>
        <w:t>砌</w:t>
      </w:r>
      <w:r>
        <w:rPr>
          <w:rFonts w:hint="eastAsia" w:eastAsia="楷体"/>
          <w:color w:val="auto"/>
          <w:sz w:val="28"/>
          <w:szCs w:val="28"/>
          <w:highlight w:val="none"/>
        </w:rPr>
        <w:t>体完整</w:t>
      </w:r>
      <w:r>
        <w:rPr>
          <w:rFonts w:hint="eastAsia" w:eastAsia="楷体"/>
          <w:color w:val="auto"/>
          <w:sz w:val="28"/>
          <w:szCs w:val="28"/>
          <w:highlight w:val="none"/>
          <w:lang w:eastAsia="zh-CN"/>
        </w:rPr>
        <w:t>，距洞</w:t>
      </w:r>
      <w:r>
        <w:rPr>
          <w:rFonts w:hint="eastAsia" w:eastAsia="楷体"/>
          <w:color w:val="auto"/>
          <w:sz w:val="28"/>
          <w:szCs w:val="28"/>
          <w:highlight w:val="none"/>
        </w:rPr>
        <w:t>口7</w:t>
      </w:r>
      <w:r>
        <w:rPr>
          <w:rFonts w:hint="eastAsia" w:eastAsia="楷体"/>
          <w:color w:val="auto"/>
          <w:sz w:val="28"/>
          <w:szCs w:val="28"/>
          <w:highlight w:val="none"/>
          <w:lang w:val="en-US" w:eastAsia="zh-CN"/>
        </w:rPr>
        <w:t>.7</w:t>
      </w:r>
      <w:r>
        <w:rPr>
          <w:rFonts w:hint="eastAsia" w:eastAsia="楷体"/>
          <w:color w:val="auto"/>
          <w:sz w:val="28"/>
          <w:szCs w:val="28"/>
          <w:highlight w:val="none"/>
        </w:rPr>
        <w:t>4</w:t>
      </w:r>
      <w:r>
        <w:rPr>
          <w:rFonts w:hint="eastAsia" w:eastAsia="楷体"/>
          <w:color w:val="auto"/>
          <w:sz w:val="28"/>
          <w:szCs w:val="28"/>
          <w:highlight w:val="none"/>
          <w:lang w:val="en-US" w:eastAsia="zh-CN"/>
        </w:rPr>
        <w:t>m</w:t>
      </w:r>
      <w:r>
        <w:rPr>
          <w:rFonts w:hint="eastAsia" w:eastAsia="楷体"/>
          <w:color w:val="auto"/>
          <w:sz w:val="28"/>
          <w:szCs w:val="28"/>
          <w:highlight w:val="none"/>
        </w:rPr>
        <w:t>处有</w:t>
      </w:r>
      <w:r>
        <w:rPr>
          <w:rFonts w:hint="eastAsia" w:eastAsia="楷体"/>
          <w:color w:val="auto"/>
          <w:sz w:val="28"/>
          <w:szCs w:val="28"/>
          <w:highlight w:val="none"/>
          <w:lang w:eastAsia="zh-CN"/>
        </w:rPr>
        <w:t>一</w:t>
      </w:r>
      <w:r>
        <w:rPr>
          <w:rFonts w:hint="eastAsia" w:eastAsia="楷体"/>
          <w:color w:val="auto"/>
          <w:sz w:val="28"/>
          <w:szCs w:val="28"/>
          <w:highlight w:val="none"/>
        </w:rPr>
        <w:t>处</w:t>
      </w:r>
      <w:r>
        <w:rPr>
          <w:rFonts w:hint="eastAsia" w:eastAsia="楷体"/>
          <w:color w:val="auto"/>
          <w:sz w:val="28"/>
          <w:szCs w:val="28"/>
          <w:highlight w:val="none"/>
          <w:lang w:eastAsia="zh-CN"/>
        </w:rPr>
        <w:t>渗漏滴</w:t>
      </w:r>
      <w:r>
        <w:rPr>
          <w:rFonts w:hint="eastAsia" w:eastAsia="楷体"/>
          <w:color w:val="auto"/>
          <w:sz w:val="28"/>
          <w:szCs w:val="28"/>
          <w:highlight w:val="none"/>
        </w:rPr>
        <w:t>水、</w:t>
      </w:r>
      <w:r>
        <w:rPr>
          <w:rFonts w:hint="eastAsia" w:eastAsia="楷体"/>
          <w:color w:val="auto"/>
          <w:sz w:val="28"/>
          <w:szCs w:val="28"/>
          <w:highlight w:val="none"/>
          <w:lang w:val="en-US" w:eastAsia="zh-CN"/>
        </w:rPr>
        <w:t>1</w:t>
      </w:r>
      <w:r>
        <w:rPr>
          <w:rFonts w:hint="eastAsia" w:eastAsia="楷体"/>
          <w:color w:val="auto"/>
          <w:sz w:val="28"/>
          <w:szCs w:val="28"/>
          <w:highlight w:val="none"/>
        </w:rPr>
        <w:t>1.86</w:t>
      </w:r>
      <w:r>
        <w:rPr>
          <w:rFonts w:hint="eastAsia" w:eastAsia="楷体"/>
          <w:color w:val="auto"/>
          <w:sz w:val="28"/>
          <w:szCs w:val="28"/>
          <w:highlight w:val="none"/>
          <w:lang w:val="en-US" w:eastAsia="zh-CN"/>
        </w:rPr>
        <w:t>m有</w:t>
      </w:r>
      <w:r>
        <w:rPr>
          <w:rFonts w:hint="eastAsia" w:eastAsia="楷体"/>
          <w:color w:val="auto"/>
          <w:sz w:val="28"/>
          <w:szCs w:val="28"/>
          <w:highlight w:val="none"/>
        </w:rPr>
        <w:t>一处小沉积。输水涵</w:t>
      </w:r>
      <w:r>
        <w:rPr>
          <w:rFonts w:hint="eastAsia" w:eastAsia="楷体"/>
          <w:color w:val="auto"/>
          <w:sz w:val="28"/>
          <w:szCs w:val="28"/>
          <w:highlight w:val="none"/>
          <w:lang w:eastAsia="zh-CN"/>
        </w:rPr>
        <w:t>洞</w:t>
      </w:r>
      <w:r>
        <w:rPr>
          <w:rFonts w:hint="eastAsia" w:eastAsia="楷体"/>
          <w:color w:val="auto"/>
          <w:sz w:val="28"/>
          <w:szCs w:val="28"/>
          <w:highlight w:val="none"/>
        </w:rPr>
        <w:t>出口长满杂草、</w:t>
      </w:r>
      <w:r>
        <w:rPr>
          <w:rFonts w:hint="eastAsia" w:eastAsia="楷体"/>
          <w:color w:val="auto"/>
          <w:sz w:val="28"/>
          <w:szCs w:val="28"/>
          <w:highlight w:val="none"/>
          <w:lang w:eastAsia="zh-CN"/>
        </w:rPr>
        <w:t>灌</w:t>
      </w:r>
      <w:r>
        <w:rPr>
          <w:rFonts w:hint="eastAsia" w:eastAsia="楷体"/>
          <w:color w:val="auto"/>
          <w:sz w:val="28"/>
          <w:szCs w:val="28"/>
          <w:highlight w:val="none"/>
        </w:rPr>
        <w:t>木，影响输水。启闭机、钢</w:t>
      </w:r>
      <w:r>
        <w:rPr>
          <w:rFonts w:hint="eastAsia" w:eastAsia="楷体"/>
          <w:color w:val="auto"/>
          <w:sz w:val="28"/>
          <w:szCs w:val="28"/>
          <w:highlight w:val="none"/>
          <w:lang w:eastAsia="zh-CN"/>
        </w:rPr>
        <w:t>丝</w:t>
      </w:r>
      <w:r>
        <w:rPr>
          <w:rFonts w:hint="eastAsia" w:eastAsia="楷体"/>
          <w:color w:val="auto"/>
          <w:sz w:val="28"/>
          <w:szCs w:val="28"/>
          <w:highlight w:val="none"/>
        </w:rPr>
        <w:t>绳、</w:t>
      </w:r>
      <w:r>
        <w:rPr>
          <w:rFonts w:hint="eastAsia" w:eastAsia="楷体"/>
          <w:color w:val="auto"/>
          <w:sz w:val="28"/>
          <w:szCs w:val="28"/>
          <w:highlight w:val="none"/>
          <w:lang w:eastAsia="zh-CN"/>
        </w:rPr>
        <w:t>拉杆</w:t>
      </w:r>
      <w:r>
        <w:rPr>
          <w:rFonts w:hint="eastAsia" w:eastAsia="楷体"/>
          <w:color w:val="auto"/>
          <w:sz w:val="28"/>
          <w:szCs w:val="28"/>
          <w:highlight w:val="none"/>
        </w:rPr>
        <w:t>维护</w:t>
      </w:r>
      <w:r>
        <w:rPr>
          <w:rFonts w:hint="eastAsia" w:eastAsia="楷体"/>
          <w:color w:val="auto"/>
          <w:sz w:val="28"/>
          <w:szCs w:val="28"/>
          <w:highlight w:val="none"/>
          <w:lang w:eastAsia="zh-CN"/>
        </w:rPr>
        <w:t>较</w:t>
      </w:r>
      <w:r>
        <w:rPr>
          <w:rFonts w:hint="eastAsia" w:eastAsia="楷体"/>
          <w:color w:val="auto"/>
          <w:sz w:val="28"/>
          <w:szCs w:val="28"/>
          <w:highlight w:val="none"/>
        </w:rPr>
        <w:t>好</w:t>
      </w:r>
      <w:r>
        <w:rPr>
          <w:rFonts w:hint="eastAsia" w:eastAsia="楷体"/>
          <w:color w:val="auto"/>
          <w:sz w:val="28"/>
          <w:szCs w:val="28"/>
          <w:highlight w:val="none"/>
          <w:lang w:eastAsia="zh-CN"/>
        </w:rPr>
        <w:t>，据</w:t>
      </w:r>
      <w:r>
        <w:rPr>
          <w:rFonts w:hint="eastAsia" w:eastAsia="楷体"/>
          <w:color w:val="auto"/>
          <w:sz w:val="28"/>
          <w:szCs w:val="28"/>
          <w:highlight w:val="none"/>
        </w:rPr>
        <w:t>管理人员</w:t>
      </w:r>
      <w:r>
        <w:rPr>
          <w:rFonts w:hint="eastAsia" w:eastAsia="楷体"/>
          <w:color w:val="auto"/>
          <w:sz w:val="28"/>
          <w:szCs w:val="28"/>
          <w:highlight w:val="none"/>
          <w:lang w:eastAsia="zh-CN"/>
        </w:rPr>
        <w:t>介绍</w:t>
      </w:r>
      <w:r>
        <w:rPr>
          <w:rFonts w:hint="eastAsia" w:eastAsia="楷体"/>
          <w:color w:val="auto"/>
          <w:sz w:val="28"/>
          <w:szCs w:val="28"/>
          <w:highlight w:val="none"/>
        </w:rPr>
        <w:t>，</w:t>
      </w:r>
      <w:r>
        <w:rPr>
          <w:rFonts w:hint="eastAsia" w:eastAsia="楷体"/>
          <w:color w:val="auto"/>
          <w:sz w:val="28"/>
          <w:szCs w:val="28"/>
          <w:highlight w:val="none"/>
          <w:lang w:eastAsia="zh-CN"/>
        </w:rPr>
        <w:t>库</w:t>
      </w:r>
      <w:r>
        <w:rPr>
          <w:rFonts w:hint="eastAsia" w:eastAsia="楷体"/>
          <w:color w:val="auto"/>
          <w:sz w:val="28"/>
          <w:szCs w:val="28"/>
          <w:highlight w:val="none"/>
        </w:rPr>
        <w:t>水位</w:t>
      </w:r>
      <w:r>
        <w:rPr>
          <w:rFonts w:hint="eastAsia" w:eastAsia="楷体"/>
          <w:color w:val="auto"/>
          <w:sz w:val="28"/>
          <w:szCs w:val="28"/>
          <w:highlight w:val="none"/>
          <w:lang w:eastAsia="zh-CN"/>
        </w:rPr>
        <w:t>较高</w:t>
      </w:r>
      <w:r>
        <w:rPr>
          <w:rFonts w:hint="eastAsia" w:eastAsia="楷体"/>
          <w:color w:val="auto"/>
          <w:sz w:val="28"/>
          <w:szCs w:val="28"/>
          <w:highlight w:val="none"/>
        </w:rPr>
        <w:t>时</w:t>
      </w:r>
      <w:r>
        <w:rPr>
          <w:rFonts w:hint="eastAsia" w:eastAsia="楷体"/>
          <w:color w:val="auto"/>
          <w:sz w:val="28"/>
          <w:szCs w:val="28"/>
          <w:highlight w:val="none"/>
          <w:lang w:eastAsia="zh-CN"/>
        </w:rPr>
        <w:t>，启闭</w:t>
      </w:r>
      <w:r>
        <w:rPr>
          <w:rFonts w:hint="eastAsia" w:eastAsia="楷体"/>
          <w:color w:val="auto"/>
          <w:sz w:val="28"/>
          <w:szCs w:val="28"/>
          <w:highlight w:val="none"/>
        </w:rPr>
        <w:t>机</w:t>
      </w:r>
      <w:r>
        <w:rPr>
          <w:rFonts w:hint="eastAsia" w:eastAsia="楷体"/>
          <w:color w:val="auto"/>
          <w:sz w:val="28"/>
          <w:szCs w:val="28"/>
          <w:highlight w:val="none"/>
          <w:lang w:eastAsia="zh-CN"/>
        </w:rPr>
        <w:t>手动操</w:t>
      </w:r>
      <w:r>
        <w:rPr>
          <w:rFonts w:hint="eastAsia" w:eastAsia="楷体"/>
          <w:color w:val="auto"/>
          <w:sz w:val="28"/>
          <w:szCs w:val="28"/>
          <w:highlight w:val="none"/>
        </w:rPr>
        <w:t>作</w:t>
      </w:r>
      <w:r>
        <w:rPr>
          <w:rFonts w:hint="eastAsia" w:eastAsia="楷体"/>
          <w:color w:val="auto"/>
          <w:sz w:val="28"/>
          <w:szCs w:val="28"/>
          <w:highlight w:val="none"/>
          <w:lang w:eastAsia="zh-CN"/>
        </w:rPr>
        <w:t>较困难</w:t>
      </w:r>
      <w:r>
        <w:rPr>
          <w:rFonts w:hint="eastAsia" w:eastAsia="楷体"/>
          <w:color w:val="auto"/>
          <w:sz w:val="28"/>
          <w:szCs w:val="28"/>
          <w:highlight w:val="none"/>
        </w:rPr>
        <w:t>。</w:t>
      </w:r>
    </w:p>
    <w:p w14:paraId="56FDF1F6">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eastAsia="zh-CN"/>
        </w:rPr>
        <w:t>库区</w:t>
      </w:r>
      <w:r>
        <w:rPr>
          <w:rFonts w:hint="eastAsia" w:eastAsia="楷体"/>
          <w:color w:val="auto"/>
          <w:sz w:val="28"/>
          <w:szCs w:val="28"/>
          <w:highlight w:val="none"/>
        </w:rPr>
        <w:t>：</w:t>
      </w:r>
      <w:r>
        <w:rPr>
          <w:rFonts w:hint="eastAsia" w:eastAsia="楷体"/>
          <w:color w:val="auto"/>
          <w:sz w:val="28"/>
          <w:szCs w:val="28"/>
          <w:highlight w:val="none"/>
          <w:lang w:eastAsia="zh-CN"/>
        </w:rPr>
        <w:t>库区山体岸坡植被较好，水库库岸总体稳定</w:t>
      </w:r>
      <w:r>
        <w:rPr>
          <w:rFonts w:hint="eastAsia" w:eastAsia="楷体"/>
          <w:color w:val="auto"/>
          <w:sz w:val="28"/>
          <w:szCs w:val="28"/>
          <w:highlight w:val="none"/>
        </w:rPr>
        <w:t>。</w:t>
      </w:r>
    </w:p>
    <w:p w14:paraId="51B4CFC9">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w:t>
      </w:r>
      <w:r>
        <w:rPr>
          <w:rFonts w:hint="eastAsia" w:eastAsia="楷体"/>
          <w:color w:val="auto"/>
          <w:sz w:val="28"/>
          <w:szCs w:val="28"/>
          <w:highlight w:val="none"/>
          <w:lang w:eastAsia="zh-CN"/>
        </w:rPr>
        <w:t>工程运行管理评价情况如下</w:t>
      </w:r>
      <w:r>
        <w:rPr>
          <w:rFonts w:hint="eastAsia" w:eastAsia="楷体"/>
          <w:color w:val="auto"/>
          <w:sz w:val="28"/>
          <w:szCs w:val="28"/>
          <w:highlight w:val="none"/>
        </w:rPr>
        <w:t>：</w:t>
      </w:r>
    </w:p>
    <w:p w14:paraId="0FEDC5B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1）水库的各项运行管理规章制度较齐</w:t>
      </w:r>
      <w:r>
        <w:rPr>
          <w:rFonts w:hint="eastAsia" w:eastAsia="楷体"/>
          <w:color w:val="auto"/>
          <w:sz w:val="28"/>
          <w:szCs w:val="28"/>
          <w:highlight w:val="none"/>
          <w:lang w:eastAsia="zh-CN"/>
        </w:rPr>
        <w:t>全</w:t>
      </w:r>
      <w:r>
        <w:rPr>
          <w:rFonts w:hint="eastAsia" w:eastAsia="楷体"/>
          <w:color w:val="auto"/>
          <w:sz w:val="28"/>
          <w:szCs w:val="28"/>
          <w:highlight w:val="none"/>
        </w:rPr>
        <w:t>；</w:t>
      </w:r>
    </w:p>
    <w:p w14:paraId="1C1D2F81">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2）按批复的运用调度计划运行，并按规定开展日常巡视、检查和养护等工作；</w:t>
      </w:r>
    </w:p>
    <w:p w14:paraId="184FFE26">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3）水库安装水雨情自动检测系统，布设位移沉降观测点；</w:t>
      </w:r>
    </w:p>
    <w:p w14:paraId="5A6944C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4）但水库无管理房，台风暴雨值守不便；未开展大坝沉降位移观测；</w:t>
      </w:r>
    </w:p>
    <w:p w14:paraId="609C384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5）滥洪道桩号0+60-0+68m</w:t>
      </w:r>
      <w:r>
        <w:rPr>
          <w:rFonts w:hint="eastAsia" w:eastAsia="楷体"/>
          <w:color w:val="auto"/>
          <w:sz w:val="28"/>
          <w:szCs w:val="28"/>
          <w:highlight w:val="none"/>
          <w:lang w:eastAsia="zh-CN"/>
        </w:rPr>
        <w:t>，</w:t>
      </w:r>
      <w:r>
        <w:rPr>
          <w:rFonts w:hint="eastAsia" w:eastAsia="楷体"/>
          <w:color w:val="auto"/>
          <w:sz w:val="28"/>
          <w:szCs w:val="28"/>
          <w:highlight w:val="none"/>
        </w:rPr>
        <w:t>违章建设石混结构民房，墙体直接砌筑在溢洪道泄槽侧墙上，且在泄槽砌筑台阶，并</w:t>
      </w:r>
      <w:r>
        <w:rPr>
          <w:rFonts w:hint="eastAsia" w:eastAsia="楷体"/>
          <w:color w:val="auto"/>
          <w:sz w:val="28"/>
          <w:szCs w:val="28"/>
          <w:highlight w:val="none"/>
          <w:lang w:eastAsia="zh-CN"/>
        </w:rPr>
        <w:t>拆</w:t>
      </w:r>
      <w:r>
        <w:rPr>
          <w:rFonts w:hint="eastAsia" w:eastAsia="楷体"/>
          <w:color w:val="auto"/>
          <w:sz w:val="28"/>
          <w:szCs w:val="28"/>
          <w:highlight w:val="none"/>
        </w:rPr>
        <w:t>除侧墙砌体，安装地下空铁门，影响侧墙稳定安全、</w:t>
      </w:r>
      <w:r>
        <w:rPr>
          <w:rFonts w:hint="eastAsia" w:eastAsia="楷体"/>
          <w:color w:val="auto"/>
          <w:sz w:val="28"/>
          <w:szCs w:val="28"/>
          <w:highlight w:val="none"/>
          <w:lang w:eastAsia="zh-CN"/>
        </w:rPr>
        <w:t>溢</w:t>
      </w:r>
      <w:r>
        <w:rPr>
          <w:rFonts w:hint="eastAsia" w:eastAsia="楷体"/>
          <w:color w:val="auto"/>
          <w:sz w:val="28"/>
          <w:szCs w:val="28"/>
          <w:highlight w:val="none"/>
        </w:rPr>
        <w:t xml:space="preserve">洪道泄洪安全，并存在重大安全隐患； </w:t>
      </w:r>
    </w:p>
    <w:p w14:paraId="7EA6FC99">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6）根据</w:t>
      </w:r>
      <w:r>
        <w:rPr>
          <w:rFonts w:hint="eastAsia" w:eastAsia="楷体"/>
          <w:color w:val="auto"/>
          <w:sz w:val="28"/>
          <w:szCs w:val="28"/>
          <w:highlight w:val="none"/>
          <w:lang w:eastAsia="zh-CN"/>
        </w:rPr>
        <w:t>《</w:t>
      </w:r>
      <w:r>
        <w:rPr>
          <w:rFonts w:hint="eastAsia" w:eastAsia="楷体"/>
          <w:color w:val="auto"/>
          <w:sz w:val="28"/>
          <w:szCs w:val="28"/>
          <w:highlight w:val="none"/>
        </w:rPr>
        <w:t>水库大坝安全评价导则》(SL2</w:t>
      </w:r>
      <w:r>
        <w:rPr>
          <w:rFonts w:hint="eastAsia" w:eastAsia="楷体"/>
          <w:color w:val="auto"/>
          <w:sz w:val="28"/>
          <w:szCs w:val="28"/>
          <w:highlight w:val="none"/>
          <w:lang w:val="en-US" w:eastAsia="zh-CN"/>
        </w:rPr>
        <w:t>5</w:t>
      </w:r>
      <w:r>
        <w:rPr>
          <w:rFonts w:hint="eastAsia" w:eastAsia="楷体"/>
          <w:color w:val="auto"/>
          <w:sz w:val="28"/>
          <w:szCs w:val="28"/>
          <w:highlight w:val="none"/>
        </w:rPr>
        <w:t>8</w:t>
      </w:r>
      <w:r>
        <w:rPr>
          <w:rFonts w:hint="eastAsia" w:eastAsia="楷体"/>
          <w:color w:val="auto"/>
          <w:sz w:val="28"/>
          <w:szCs w:val="28"/>
          <w:highlight w:val="none"/>
          <w:lang w:val="en-US" w:eastAsia="zh-CN"/>
        </w:rPr>
        <w:t>-</w:t>
      </w:r>
      <w:r>
        <w:rPr>
          <w:rFonts w:hint="eastAsia" w:eastAsia="楷体"/>
          <w:color w:val="auto"/>
          <w:sz w:val="28"/>
          <w:szCs w:val="28"/>
          <w:highlight w:val="none"/>
        </w:rPr>
        <w:t xml:space="preserve"> 2017)，大坝运行管理评价为不规范</w:t>
      </w:r>
      <w:r>
        <w:rPr>
          <w:rFonts w:hint="eastAsia" w:eastAsia="楷体"/>
          <w:color w:val="auto"/>
          <w:sz w:val="28"/>
          <w:szCs w:val="28"/>
          <w:highlight w:val="none"/>
          <w:lang w:eastAsia="zh-CN"/>
        </w:rPr>
        <w:t>。</w:t>
      </w:r>
    </w:p>
    <w:p w14:paraId="037AC72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（3）安全鉴定结论：</w:t>
      </w:r>
    </w:p>
    <w:p w14:paraId="5DC47F8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四清水库大坝经各专项分析评价，结论如下：</w:t>
      </w:r>
    </w:p>
    <w:p w14:paraId="3F6A6F6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1）工程质量评价为合格。</w:t>
      </w:r>
    </w:p>
    <w:p w14:paraId="70A3DEC5">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2）运行管理评价为</w:t>
      </w:r>
      <w:r>
        <w:rPr>
          <w:rFonts w:hint="eastAsia" w:eastAsia="楷体"/>
          <w:color w:val="auto"/>
          <w:sz w:val="28"/>
          <w:szCs w:val="28"/>
          <w:highlight w:val="none"/>
          <w:lang w:eastAsia="zh-CN"/>
        </w:rPr>
        <w:t>不规范</w:t>
      </w:r>
      <w:r>
        <w:rPr>
          <w:rFonts w:hint="eastAsia" w:eastAsia="楷体"/>
          <w:color w:val="auto"/>
          <w:sz w:val="28"/>
          <w:szCs w:val="28"/>
          <w:highlight w:val="none"/>
        </w:rPr>
        <w:t>。</w:t>
      </w:r>
    </w:p>
    <w:p w14:paraId="71D307D6">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3）防洪安全性评价为B级。</w:t>
      </w:r>
    </w:p>
    <w:p w14:paraId="370F0500">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4）渗流安全评价为</w:t>
      </w:r>
      <w:r>
        <w:rPr>
          <w:rFonts w:hint="eastAsia" w:eastAsia="楷体"/>
          <w:color w:val="auto"/>
          <w:sz w:val="28"/>
          <w:szCs w:val="28"/>
          <w:highlight w:val="none"/>
          <w:lang w:val="en-US" w:eastAsia="zh-CN"/>
        </w:rPr>
        <w:t>A</w:t>
      </w:r>
      <w:r>
        <w:rPr>
          <w:rFonts w:hint="eastAsia" w:eastAsia="楷体"/>
          <w:color w:val="auto"/>
          <w:sz w:val="28"/>
          <w:szCs w:val="28"/>
          <w:highlight w:val="none"/>
        </w:rPr>
        <w:t>级。</w:t>
      </w:r>
    </w:p>
    <w:p w14:paraId="146116D0">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5）结构安全评价为</w:t>
      </w:r>
      <w:r>
        <w:rPr>
          <w:rFonts w:hint="eastAsia" w:eastAsia="楷体"/>
          <w:color w:val="auto"/>
          <w:sz w:val="28"/>
          <w:szCs w:val="28"/>
          <w:highlight w:val="none"/>
          <w:lang w:val="en-US" w:eastAsia="zh-CN"/>
        </w:rPr>
        <w:t>B</w:t>
      </w:r>
      <w:r>
        <w:rPr>
          <w:rFonts w:hint="eastAsia" w:eastAsia="楷体"/>
          <w:color w:val="auto"/>
          <w:sz w:val="28"/>
          <w:szCs w:val="28"/>
          <w:highlight w:val="none"/>
        </w:rPr>
        <w:t>级。</w:t>
      </w:r>
    </w:p>
    <w:p w14:paraId="31EA048D">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6）抗震安全评价为</w:t>
      </w:r>
      <w:r>
        <w:rPr>
          <w:rFonts w:hint="eastAsia" w:eastAsia="楷体"/>
          <w:color w:val="auto"/>
          <w:sz w:val="28"/>
          <w:szCs w:val="28"/>
          <w:highlight w:val="none"/>
          <w:lang w:val="en-US" w:eastAsia="zh-CN"/>
        </w:rPr>
        <w:t>A</w:t>
      </w:r>
      <w:r>
        <w:rPr>
          <w:rFonts w:hint="eastAsia" w:eastAsia="楷体"/>
          <w:color w:val="auto"/>
          <w:sz w:val="28"/>
          <w:szCs w:val="28"/>
          <w:highlight w:val="none"/>
        </w:rPr>
        <w:t>级。</w:t>
      </w:r>
    </w:p>
    <w:p w14:paraId="653A872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7）金属</w:t>
      </w:r>
      <w:r>
        <w:rPr>
          <w:rFonts w:hint="eastAsia" w:eastAsia="楷体"/>
          <w:color w:val="auto"/>
          <w:sz w:val="28"/>
          <w:szCs w:val="28"/>
          <w:highlight w:val="none"/>
          <w:lang w:eastAsia="zh-CN"/>
        </w:rPr>
        <w:t>结构</w:t>
      </w:r>
      <w:r>
        <w:rPr>
          <w:rFonts w:hint="eastAsia" w:eastAsia="楷体"/>
          <w:color w:val="auto"/>
          <w:sz w:val="28"/>
          <w:szCs w:val="28"/>
          <w:highlight w:val="none"/>
        </w:rPr>
        <w:t>安全评价为B级。</w:t>
      </w:r>
    </w:p>
    <w:p w14:paraId="20612ECC">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综</w:t>
      </w:r>
      <w:r>
        <w:rPr>
          <w:rFonts w:hint="eastAsia" w:eastAsia="楷体"/>
          <w:color w:val="auto"/>
          <w:sz w:val="28"/>
          <w:szCs w:val="28"/>
          <w:highlight w:val="none"/>
          <w:lang w:eastAsia="zh-CN"/>
        </w:rPr>
        <w:t>上所</w:t>
      </w:r>
      <w:r>
        <w:rPr>
          <w:rFonts w:hint="eastAsia" w:eastAsia="楷体"/>
          <w:color w:val="auto"/>
          <w:sz w:val="28"/>
          <w:szCs w:val="28"/>
          <w:highlight w:val="none"/>
          <w:lang w:val="en-US" w:eastAsia="zh-CN"/>
        </w:rPr>
        <w:t>述</w:t>
      </w:r>
      <w:r>
        <w:rPr>
          <w:rFonts w:hint="eastAsia" w:eastAsia="楷体"/>
          <w:color w:val="auto"/>
          <w:sz w:val="28"/>
          <w:szCs w:val="28"/>
          <w:highlight w:val="none"/>
          <w:lang w:eastAsia="zh-CN"/>
        </w:rPr>
        <w:t>，在综合分析各评价报告后</w:t>
      </w:r>
      <w:r>
        <w:rPr>
          <w:rFonts w:hint="eastAsia" w:eastAsia="楷体"/>
          <w:color w:val="auto"/>
          <w:sz w:val="28"/>
          <w:szCs w:val="28"/>
          <w:highlight w:val="none"/>
        </w:rPr>
        <w:t>，</w:t>
      </w:r>
      <w:r>
        <w:rPr>
          <w:rFonts w:hint="eastAsia" w:eastAsia="楷体"/>
          <w:color w:val="auto"/>
          <w:sz w:val="28"/>
          <w:szCs w:val="28"/>
          <w:highlight w:val="none"/>
          <w:lang w:eastAsia="zh-CN"/>
        </w:rPr>
        <w:t>确定</w:t>
      </w:r>
      <w:r>
        <w:rPr>
          <w:rFonts w:hint="eastAsia" w:eastAsia="楷体"/>
          <w:color w:val="auto"/>
          <w:sz w:val="28"/>
          <w:szCs w:val="28"/>
          <w:highlight w:val="none"/>
        </w:rPr>
        <w:t>四清水库大坝为</w:t>
      </w:r>
      <w:r>
        <w:rPr>
          <w:rFonts w:hint="eastAsia" w:eastAsia="楷体"/>
          <w:color w:val="auto"/>
          <w:sz w:val="28"/>
          <w:szCs w:val="28"/>
          <w:highlight w:val="none"/>
          <w:lang w:eastAsia="zh-CN"/>
        </w:rPr>
        <w:t>二</w:t>
      </w:r>
      <w:r>
        <w:rPr>
          <w:rFonts w:hint="eastAsia" w:eastAsia="楷体"/>
          <w:color w:val="auto"/>
          <w:sz w:val="28"/>
          <w:szCs w:val="28"/>
          <w:highlight w:val="none"/>
        </w:rPr>
        <w:t>类坝。</w:t>
      </w:r>
    </w:p>
    <w:p w14:paraId="2F9D3BE7">
      <w:pPr>
        <w:adjustRightInd w:val="0"/>
        <w:snapToGrid w:val="0"/>
        <w:spacing w:line="520" w:lineRule="exact"/>
        <w:outlineLvl w:val="1"/>
        <w:rPr>
          <w:rFonts w:eastAsia="楷体"/>
          <w:b/>
          <w:color w:val="auto"/>
          <w:sz w:val="32"/>
          <w:szCs w:val="30"/>
          <w:highlight w:val="none"/>
        </w:rPr>
      </w:pPr>
      <w:bookmarkStart w:id="62" w:name="_Toc10972"/>
      <w:r>
        <w:rPr>
          <w:rFonts w:eastAsia="楷体"/>
          <w:b/>
          <w:color w:val="auto"/>
          <w:sz w:val="32"/>
          <w:szCs w:val="30"/>
          <w:highlight w:val="none"/>
        </w:rPr>
        <w:t>2.3 水文</w:t>
      </w:r>
      <w:bookmarkEnd w:id="61"/>
      <w:bookmarkEnd w:id="62"/>
    </w:p>
    <w:p w14:paraId="4D0638F1">
      <w:pPr>
        <w:spacing w:line="520" w:lineRule="exact"/>
        <w:outlineLvl w:val="2"/>
        <w:rPr>
          <w:rFonts w:eastAsia="楷体"/>
          <w:b/>
          <w:bCs/>
          <w:color w:val="auto"/>
          <w:sz w:val="32"/>
          <w:szCs w:val="30"/>
          <w:highlight w:val="none"/>
        </w:rPr>
      </w:pPr>
      <w:bookmarkStart w:id="63" w:name="_Toc28032"/>
      <w:r>
        <w:rPr>
          <w:rFonts w:eastAsia="楷体"/>
          <w:b/>
          <w:bCs/>
          <w:color w:val="auto"/>
          <w:sz w:val="32"/>
          <w:szCs w:val="30"/>
          <w:highlight w:val="none"/>
        </w:rPr>
        <w:t>2.3.1水库流域暴雨、洪水特征</w:t>
      </w:r>
      <w:bookmarkEnd w:id="63"/>
    </w:p>
    <w:p w14:paraId="52D412BF">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本地区属亚热带海洋性季风气候区，夏无酷暑，冬短无严寒，暖热湿润，温度日差较小，降雨量集中，季风明显，日照充足，蒸发量大，台风活动频繁。流域多年平均气温20.5℃，最热七月平均气温27.2℃，最冷一月份平均气温11.4℃，极端最高气温39℃（1996年8月），极端最低气温0.3℃（1957年2月），全年基本无霜。多年平均风速5.45m/s。年平均相对湿度77％，平均水气压19.9hPa；日照时数2150h，日照率48％；雾多发生于春季和秋季月份的下半夜到清晨，年平均雾日数约为6～7天。</w:t>
      </w:r>
    </w:p>
    <w:p w14:paraId="7C0D2B93">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本地区属亚热带海洋性季风气候区，季风明显，气候温热，气温日差小，蒸发量大，降雨量集中在夏秋之间。</w:t>
      </w:r>
    </w:p>
    <w:p w14:paraId="5B22AE1D">
      <w:pPr>
        <w:spacing w:line="520" w:lineRule="exact"/>
        <w:ind w:firstLine="561"/>
        <w:rPr>
          <w:rFonts w:eastAsia="楷体"/>
          <w:color w:val="auto"/>
          <w:sz w:val="28"/>
          <w:szCs w:val="28"/>
          <w:highlight w:val="none"/>
        </w:rPr>
      </w:pPr>
      <w:r>
        <w:rPr>
          <w:rFonts w:hint="eastAsia" w:eastAsia="楷体"/>
          <w:color w:val="auto"/>
          <w:sz w:val="28"/>
          <w:szCs w:val="28"/>
          <w:highlight w:val="none"/>
        </w:rPr>
        <w:t>本流域受南亚热带海洋性季风影响，降水充沛，但存在明显的季节性变化。降水年际及年内变化大，最丰年份和最枯年份之比各站均在3倍左右。主要降水为3～4月的春雨、5～6月的锋面雨和8～9月的台风雨，平均每年有3～5次台风登陆或影响本流域。流域多年平均降水量1400mm，最大年降雨量1942.1mm（1973年），年降水日数158.7天，年内分配不均，全年降水的75%集中在汛期（4～9月），其中5～7月占全年总水量的60%。而10～2月干旱少雨，仅占年降水量的15.5%。</w:t>
      </w:r>
    </w:p>
    <w:p w14:paraId="180ACE2D">
      <w:pPr>
        <w:spacing w:line="520" w:lineRule="exact"/>
        <w:outlineLvl w:val="1"/>
        <w:rPr>
          <w:rFonts w:eastAsia="楷体"/>
          <w:b/>
          <w:color w:val="auto"/>
          <w:sz w:val="32"/>
          <w:szCs w:val="30"/>
          <w:highlight w:val="none"/>
        </w:rPr>
      </w:pPr>
      <w:bookmarkStart w:id="64" w:name="_Toc2641"/>
      <w:bookmarkStart w:id="65" w:name="_Toc5455"/>
      <w:r>
        <w:rPr>
          <w:rFonts w:eastAsia="楷体"/>
          <w:b/>
          <w:color w:val="auto"/>
          <w:sz w:val="32"/>
          <w:szCs w:val="30"/>
          <w:highlight w:val="none"/>
        </w:rPr>
        <w:t>2.4  工程安全监测</w:t>
      </w:r>
      <w:bookmarkEnd w:id="64"/>
      <w:bookmarkEnd w:id="65"/>
    </w:p>
    <w:p w14:paraId="21D0C75E">
      <w:pPr>
        <w:pStyle w:val="26"/>
        <w:spacing w:line="600" w:lineRule="exact"/>
        <w:ind w:firstLine="560"/>
        <w:rPr>
          <w:rFonts w:eastAsia="楷体"/>
          <w:color w:val="auto"/>
          <w:sz w:val="28"/>
          <w:szCs w:val="28"/>
          <w:highlight w:val="none"/>
        </w:rPr>
      </w:pPr>
      <w:r>
        <w:rPr>
          <w:rFonts w:eastAsia="楷体"/>
          <w:color w:val="auto"/>
          <w:sz w:val="28"/>
          <w:szCs w:val="28"/>
          <w:highlight w:val="none"/>
        </w:rPr>
        <w:t>四清水库</w:t>
      </w:r>
      <w:r>
        <w:rPr>
          <w:rFonts w:hint="eastAsia" w:ascii="Times New Roman" w:hAnsi="Times New Roman" w:eastAsia="楷体" w:cs="Times New Roman"/>
          <w:color w:val="auto"/>
          <w:sz w:val="28"/>
          <w:szCs w:val="28"/>
          <w:highlight w:val="none"/>
          <w:lang w:eastAsia="zh-CN"/>
        </w:rPr>
        <w:t>已设置自动监测雨量水位站</w:t>
      </w:r>
      <w:r>
        <w:rPr>
          <w:rFonts w:eastAsia="楷体"/>
          <w:color w:val="auto"/>
          <w:sz w:val="28"/>
          <w:szCs w:val="28"/>
          <w:highlight w:val="none"/>
        </w:rPr>
        <w:t>。</w:t>
      </w:r>
    </w:p>
    <w:p w14:paraId="4F3F68E2">
      <w:pPr>
        <w:spacing w:line="520" w:lineRule="exact"/>
        <w:outlineLvl w:val="1"/>
        <w:rPr>
          <w:rFonts w:eastAsia="楷体"/>
          <w:b/>
          <w:color w:val="auto"/>
          <w:sz w:val="32"/>
          <w:szCs w:val="30"/>
          <w:highlight w:val="none"/>
        </w:rPr>
      </w:pPr>
      <w:bookmarkStart w:id="66" w:name="_Toc5343"/>
      <w:bookmarkStart w:id="67" w:name="_Toc5426"/>
      <w:r>
        <w:rPr>
          <w:rFonts w:eastAsia="楷体"/>
          <w:b/>
          <w:color w:val="auto"/>
          <w:sz w:val="32"/>
          <w:szCs w:val="30"/>
          <w:highlight w:val="none"/>
        </w:rPr>
        <w:t>2.5 水库汛期调度运用计划</w:t>
      </w:r>
      <w:bookmarkEnd w:id="66"/>
      <w:bookmarkEnd w:id="67"/>
    </w:p>
    <w:p w14:paraId="1B410664">
      <w:pPr>
        <w:outlineLvl w:val="2"/>
        <w:rPr>
          <w:rFonts w:eastAsia="楷体"/>
          <w:b/>
          <w:bCs/>
          <w:color w:val="auto"/>
          <w:sz w:val="32"/>
          <w:szCs w:val="30"/>
          <w:highlight w:val="none"/>
        </w:rPr>
      </w:pPr>
      <w:bookmarkStart w:id="68" w:name="_Toc477761804"/>
      <w:bookmarkStart w:id="69" w:name="_Toc7850"/>
      <w:bookmarkStart w:id="70" w:name="_Toc11125"/>
      <w:r>
        <w:rPr>
          <w:rFonts w:eastAsia="楷体"/>
          <w:b/>
          <w:bCs/>
          <w:color w:val="auto"/>
          <w:sz w:val="32"/>
          <w:szCs w:val="30"/>
          <w:highlight w:val="none"/>
        </w:rPr>
        <w:t>2.5.1汛期划分</w:t>
      </w:r>
      <w:bookmarkEnd w:id="68"/>
      <w:bookmarkEnd w:id="69"/>
    </w:p>
    <w:p w14:paraId="59DC50AE">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根据泉州市防洪防台风应急预案规定，4月1日至10月15日为汛期，其中前汛期为4月1日～6月30日，主汛期为7月1日～9月20日，后汛期为9月21日～10月15日。</w:t>
      </w:r>
    </w:p>
    <w:p w14:paraId="3BB1406E">
      <w:pPr>
        <w:outlineLvl w:val="2"/>
        <w:rPr>
          <w:rFonts w:eastAsia="楷体"/>
          <w:b/>
          <w:bCs/>
          <w:color w:val="auto"/>
          <w:sz w:val="32"/>
          <w:szCs w:val="30"/>
          <w:highlight w:val="none"/>
        </w:rPr>
      </w:pPr>
      <w:bookmarkStart w:id="71" w:name="_Toc477761805"/>
      <w:bookmarkStart w:id="72" w:name="_Toc24457"/>
      <w:r>
        <w:rPr>
          <w:rFonts w:eastAsia="楷体"/>
          <w:b/>
          <w:bCs/>
          <w:color w:val="auto"/>
          <w:sz w:val="32"/>
          <w:szCs w:val="30"/>
          <w:highlight w:val="none"/>
        </w:rPr>
        <w:t>2.5.2 洪水调度原则</w:t>
      </w:r>
      <w:bookmarkEnd w:id="71"/>
      <w:bookmarkEnd w:id="72"/>
    </w:p>
    <w:p w14:paraId="04A36F82">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67F23C4A">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根据时段不同，水库防洪调度原则如下：</w:t>
      </w:r>
    </w:p>
    <w:p w14:paraId="20A386B4">
      <w:pPr>
        <w:numPr>
          <w:ilvl w:val="0"/>
          <w:numId w:val="1"/>
        </w:numPr>
        <w:spacing w:line="520" w:lineRule="exact"/>
        <w:ind w:firstLine="560" w:firstLineChars="200"/>
        <w:rPr>
          <w:rFonts w:eastAsia="楷体"/>
          <w:color w:val="auto"/>
          <w:sz w:val="28"/>
          <w:szCs w:val="28"/>
          <w:highlight w:val="none"/>
        </w:rPr>
      </w:pPr>
      <w:r>
        <w:rPr>
          <w:rFonts w:eastAsia="楷体"/>
          <w:color w:val="auto"/>
          <w:sz w:val="28"/>
          <w:szCs w:val="28"/>
          <w:highlight w:val="none"/>
        </w:rPr>
        <w:t>非汛期防洪调度</w:t>
      </w:r>
    </w:p>
    <w:p w14:paraId="47C1D8C6">
      <w:pPr>
        <w:spacing w:line="520" w:lineRule="exact"/>
        <w:ind w:firstLine="560" w:firstLineChars="200"/>
        <w:rPr>
          <w:rFonts w:eastAsia="楷体"/>
          <w:color w:val="auto"/>
          <w:sz w:val="28"/>
          <w:szCs w:val="28"/>
          <w:highlight w:val="none"/>
        </w:rPr>
      </w:pPr>
      <w:r>
        <w:rPr>
          <w:rFonts w:eastAsia="楷体"/>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66C79C30">
      <w:pPr>
        <w:spacing w:line="520" w:lineRule="exact"/>
        <w:ind w:firstLine="560" w:firstLineChars="200"/>
        <w:rPr>
          <w:rFonts w:eastAsia="楷体"/>
          <w:color w:val="auto"/>
          <w:sz w:val="28"/>
          <w:szCs w:val="28"/>
          <w:highlight w:val="none"/>
        </w:rPr>
      </w:pPr>
      <w:r>
        <w:rPr>
          <w:rFonts w:eastAsia="楷体"/>
          <w:color w:val="auto"/>
          <w:sz w:val="28"/>
          <w:szCs w:val="28"/>
          <w:highlight w:val="none"/>
        </w:rPr>
        <w:t>2、加大工程巡查力度，对排洪启闭系统、通讯、交通、供电设备进行全面检查，始终保持良好状况，排除一切不安全因素，确保使用及时。</w:t>
      </w:r>
    </w:p>
    <w:p w14:paraId="16719258">
      <w:pPr>
        <w:spacing w:line="520" w:lineRule="exact"/>
        <w:ind w:firstLine="560" w:firstLineChars="200"/>
        <w:rPr>
          <w:rFonts w:eastAsia="楷体"/>
          <w:color w:val="auto"/>
          <w:sz w:val="28"/>
          <w:szCs w:val="28"/>
          <w:highlight w:val="none"/>
        </w:rPr>
      </w:pPr>
      <w:r>
        <w:rPr>
          <w:rFonts w:eastAsia="楷体"/>
          <w:color w:val="auto"/>
          <w:sz w:val="28"/>
          <w:szCs w:val="28"/>
          <w:highlight w:val="none"/>
        </w:rPr>
        <w:t>（二）汛期防洪调度</w:t>
      </w:r>
    </w:p>
    <w:p w14:paraId="30F8A366">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1、水库遭遇洪水时，要根据雨情分析，每半小时进行洪水预报，判别洪水标准，推求洪峰流量、洪水总量，进行科学合理调度。</w:t>
      </w:r>
    </w:p>
    <w:p w14:paraId="3F322E08">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2、提前2小时通知下游村落及相关单位做好水库排洪的准备。</w:t>
      </w:r>
    </w:p>
    <w:p w14:paraId="702DBFA1">
      <w:pPr>
        <w:spacing w:line="520" w:lineRule="exact"/>
        <w:ind w:firstLine="560" w:firstLineChars="200"/>
        <w:rPr>
          <w:rFonts w:eastAsia="楷体"/>
          <w:color w:val="auto"/>
          <w:sz w:val="28"/>
          <w:szCs w:val="28"/>
          <w:highlight w:val="none"/>
        </w:rPr>
      </w:pPr>
      <w:r>
        <w:rPr>
          <w:rFonts w:eastAsia="楷体"/>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利用工程措施拦截一部分洪水，缓解下游河道过流能力的不足。结合气象部门降雨预报，及时掌握气象趋势，在上级防汛部门统一指挥下，以保证安全、减少损失为原则，进行科学调度。</w:t>
      </w:r>
    </w:p>
    <w:p w14:paraId="615CE442">
      <w:pPr>
        <w:outlineLvl w:val="2"/>
        <w:rPr>
          <w:rFonts w:eastAsia="楷体"/>
          <w:b/>
          <w:bCs/>
          <w:color w:val="auto"/>
          <w:sz w:val="32"/>
          <w:szCs w:val="30"/>
          <w:highlight w:val="none"/>
        </w:rPr>
      </w:pPr>
      <w:bookmarkStart w:id="73" w:name="_Toc23318"/>
      <w:bookmarkStart w:id="74" w:name="_Toc477761806"/>
      <w:r>
        <w:rPr>
          <w:rFonts w:eastAsia="楷体"/>
          <w:b/>
          <w:bCs/>
          <w:color w:val="auto"/>
          <w:sz w:val="32"/>
          <w:szCs w:val="30"/>
          <w:highlight w:val="none"/>
        </w:rPr>
        <w:t>2.5.3 汛限水位确定</w:t>
      </w:r>
      <w:bookmarkEnd w:id="73"/>
      <w:bookmarkEnd w:id="74"/>
    </w:p>
    <w:p w14:paraId="1C6B15B1">
      <w:pPr>
        <w:spacing w:line="520" w:lineRule="exact"/>
        <w:ind w:firstLine="560" w:firstLineChars="200"/>
        <w:rPr>
          <w:rFonts w:hint="default" w:ascii="Times New Roman" w:hAnsi="Times New Roman" w:eastAsia="楷体" w:cs="Times New Roman"/>
          <w:color w:val="auto"/>
          <w:sz w:val="28"/>
          <w:szCs w:val="28"/>
          <w:highlight w:val="none"/>
        </w:rPr>
      </w:pPr>
      <w:bookmarkStart w:id="75" w:name="_Toc477761807"/>
      <w:r>
        <w:rPr>
          <w:rFonts w:hint="default" w:ascii="Times New Roman" w:hAnsi="Times New Roman" w:eastAsia="楷体" w:cs="Times New Roman"/>
          <w:color w:val="auto"/>
          <w:sz w:val="28"/>
          <w:szCs w:val="28"/>
          <w:highlight w:val="none"/>
        </w:rPr>
        <w:t>汛限水位的确定从以下几个方面来确定：</w:t>
      </w:r>
    </w:p>
    <w:p w14:paraId="4FC3E061">
      <w:pPr>
        <w:numPr>
          <w:ilvl w:val="0"/>
          <w:numId w:val="2"/>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根据《泉港区前黄镇</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水库除险加固工程初步设计报告（报批稿）》（泉州市水利水电勘测设计院，2013年5月）的设计内容可知，</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水库水位</w:t>
      </w:r>
      <w:r>
        <w:rPr>
          <w:rFonts w:hint="eastAsia" w:ascii="Times New Roman" w:hAnsi="Times New Roman" w:eastAsia="楷体" w:cs="Times New Roman"/>
          <w:color w:val="auto"/>
          <w:sz w:val="28"/>
          <w:szCs w:val="28"/>
          <w:highlight w:val="none"/>
          <w:lang w:eastAsia="zh-CN"/>
        </w:rPr>
        <w:t>28.04</w:t>
      </w:r>
      <w:r>
        <w:rPr>
          <w:rFonts w:hint="default" w:ascii="Times New Roman" w:hAnsi="Times New Roman" w:eastAsia="楷体" w:cs="Times New Roman"/>
          <w:color w:val="auto"/>
          <w:sz w:val="28"/>
          <w:szCs w:val="28"/>
          <w:highlight w:val="none"/>
        </w:rPr>
        <w:t>m对应的库容为</w:t>
      </w:r>
      <w:r>
        <w:rPr>
          <w:rFonts w:hint="eastAsia" w:ascii="Times New Roman" w:hAnsi="Times New Roman" w:eastAsia="楷体" w:cs="Times New Roman"/>
          <w:color w:val="auto"/>
          <w:sz w:val="28"/>
          <w:szCs w:val="28"/>
          <w:highlight w:val="none"/>
          <w:lang w:val="en-US" w:eastAsia="zh-CN"/>
        </w:rPr>
        <w:t>26.92</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，20</w:t>
      </w:r>
      <w:r>
        <w:rPr>
          <w:rFonts w:hint="eastAsia" w:ascii="Times New Roman" w:hAnsi="Times New Roman" w:eastAsia="楷体" w:cs="Times New Roman"/>
          <w:color w:val="auto"/>
          <w:sz w:val="28"/>
          <w:szCs w:val="28"/>
          <w:highlight w:val="none"/>
          <w:lang w:val="en-US" w:eastAsia="zh-CN"/>
        </w:rPr>
        <w:t>25</w:t>
      </w:r>
      <w:r>
        <w:rPr>
          <w:rFonts w:hint="default" w:ascii="Times New Roman" w:hAnsi="Times New Roman" w:eastAsia="楷体" w:cs="Times New Roman"/>
          <w:color w:val="auto"/>
          <w:sz w:val="28"/>
          <w:szCs w:val="28"/>
          <w:highlight w:val="none"/>
        </w:rPr>
        <w:t>年</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水库总体运行状况良好，即便在台风期，</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水库仍很好的完成了防汛任务；</w:t>
      </w:r>
    </w:p>
    <w:p w14:paraId="0FC8D9A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水库的正常蓄水位为</w:t>
      </w:r>
      <w:r>
        <w:rPr>
          <w:rFonts w:hint="eastAsia" w:ascii="Times New Roman" w:hAnsi="Times New Roman" w:eastAsia="楷体" w:cs="Times New Roman"/>
          <w:color w:val="auto"/>
          <w:sz w:val="28"/>
          <w:szCs w:val="28"/>
          <w:highlight w:val="none"/>
          <w:lang w:val="en-US" w:eastAsia="zh-CN"/>
        </w:rPr>
        <w:t>28.04</w:t>
      </w:r>
      <w:r>
        <w:rPr>
          <w:rFonts w:hint="default" w:ascii="Times New Roman" w:hAnsi="Times New Roman" w:eastAsia="楷体" w:cs="Times New Roman"/>
          <w:color w:val="auto"/>
          <w:sz w:val="28"/>
          <w:szCs w:val="28"/>
          <w:highlight w:val="none"/>
        </w:rPr>
        <w:t>m，根据</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水库初步设计中的设计要求，</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水库汛限水位设置为</w:t>
      </w:r>
      <w:r>
        <w:rPr>
          <w:rFonts w:hint="eastAsia" w:ascii="Times New Roman" w:hAnsi="Times New Roman" w:eastAsia="楷体" w:cs="Times New Roman"/>
          <w:color w:val="auto"/>
          <w:sz w:val="28"/>
          <w:szCs w:val="28"/>
          <w:highlight w:val="none"/>
          <w:lang w:eastAsia="zh-CN"/>
        </w:rPr>
        <w:t>28.04</w:t>
      </w:r>
      <w:r>
        <w:rPr>
          <w:rFonts w:hint="default" w:ascii="Times New Roman" w:hAnsi="Times New Roman" w:eastAsia="楷体" w:cs="Times New Roman"/>
          <w:color w:val="auto"/>
          <w:sz w:val="28"/>
          <w:szCs w:val="28"/>
          <w:highlight w:val="none"/>
        </w:rPr>
        <w:t>m，既符合水库防洪要求，又保障了</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水库的兴利功能要求。</w:t>
      </w:r>
    </w:p>
    <w:p w14:paraId="5F274747">
      <w:pPr>
        <w:spacing w:line="520" w:lineRule="exact"/>
        <w:ind w:firstLine="560" w:firstLineChars="200"/>
        <w:rPr>
          <w:rFonts w:eastAsia="楷体"/>
          <w:color w:val="auto"/>
          <w:kern w:val="0"/>
          <w:sz w:val="28"/>
          <w:szCs w:val="28"/>
          <w:highlight w:val="none"/>
        </w:rPr>
      </w:pPr>
      <w:r>
        <w:rPr>
          <w:rFonts w:hint="default" w:ascii="Times New Roman" w:hAnsi="Times New Roman" w:eastAsia="楷体" w:cs="Times New Roman"/>
          <w:color w:val="auto"/>
          <w:sz w:val="28"/>
          <w:szCs w:val="28"/>
          <w:highlight w:val="none"/>
        </w:rPr>
        <w:t>因此，20</w:t>
      </w:r>
      <w:r>
        <w:rPr>
          <w:rFonts w:hint="eastAsia" w:ascii="Times New Roman" w:hAnsi="Times New Roman" w:eastAsia="楷体" w:cs="Times New Roman"/>
          <w:color w:val="auto"/>
          <w:sz w:val="28"/>
          <w:szCs w:val="28"/>
          <w:highlight w:val="none"/>
          <w:lang w:val="en-US" w:eastAsia="zh-CN"/>
        </w:rPr>
        <w:t>26</w:t>
      </w:r>
      <w:r>
        <w:rPr>
          <w:rFonts w:hint="default" w:ascii="Times New Roman" w:hAnsi="Times New Roman" w:eastAsia="楷体" w:cs="Times New Roman"/>
          <w:color w:val="auto"/>
          <w:sz w:val="28"/>
          <w:szCs w:val="28"/>
          <w:highlight w:val="none"/>
        </w:rPr>
        <w:t>年将</w:t>
      </w:r>
      <w:r>
        <w:rPr>
          <w:rFonts w:hint="eastAsia" w:ascii="Times New Roman" w:hAnsi="Times New Roman" w:eastAsia="楷体" w:cs="Times New Roman"/>
          <w:color w:val="auto"/>
          <w:sz w:val="28"/>
          <w:szCs w:val="28"/>
          <w:highlight w:val="none"/>
          <w:lang w:eastAsia="zh-CN"/>
        </w:rPr>
        <w:t>2</w:t>
      </w:r>
      <w:r>
        <w:rPr>
          <w:rFonts w:hint="eastAsia" w:ascii="Times New Roman" w:hAnsi="Times New Roman" w:eastAsia="楷体" w:cs="Times New Roman"/>
          <w:color w:val="auto"/>
          <w:sz w:val="28"/>
          <w:szCs w:val="28"/>
          <w:highlight w:val="none"/>
          <w:lang w:val="en-US" w:eastAsia="zh-CN"/>
        </w:rPr>
        <w:t>8</w:t>
      </w:r>
      <w:r>
        <w:rPr>
          <w:rFonts w:hint="eastAsia" w:ascii="Times New Roman" w:hAnsi="Times New Roman" w:eastAsia="楷体" w:cs="Times New Roman"/>
          <w:color w:val="auto"/>
          <w:sz w:val="28"/>
          <w:szCs w:val="28"/>
          <w:highlight w:val="none"/>
          <w:lang w:eastAsia="zh-CN"/>
        </w:rPr>
        <w:t>.04</w:t>
      </w:r>
      <w:r>
        <w:rPr>
          <w:rFonts w:hint="default" w:ascii="Times New Roman" w:hAnsi="Times New Roman" w:eastAsia="楷体" w:cs="Times New Roman"/>
          <w:color w:val="auto"/>
          <w:sz w:val="28"/>
          <w:szCs w:val="28"/>
          <w:highlight w:val="none"/>
        </w:rPr>
        <w:t>m作为</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水库的汛限</w:t>
      </w:r>
      <w:r>
        <w:rPr>
          <w:rFonts w:hint="eastAsia" w:ascii="Times New Roman" w:hAnsi="Times New Roman" w:eastAsia="楷体" w:cs="Times New Roman"/>
          <w:color w:val="auto"/>
          <w:sz w:val="28"/>
          <w:szCs w:val="28"/>
          <w:highlight w:val="none"/>
          <w:lang w:eastAsia="zh-CN"/>
        </w:rPr>
        <w:t>水位</w:t>
      </w:r>
      <w:r>
        <w:rPr>
          <w:rFonts w:hint="default" w:ascii="Times New Roman" w:hAnsi="Times New Roman" w:eastAsia="楷体" w:cs="Times New Roman"/>
          <w:color w:val="auto"/>
          <w:sz w:val="28"/>
          <w:szCs w:val="28"/>
          <w:highlight w:val="none"/>
        </w:rPr>
        <w:t>。</w:t>
      </w:r>
    </w:p>
    <w:p w14:paraId="6BB791FB">
      <w:pPr>
        <w:outlineLvl w:val="2"/>
        <w:rPr>
          <w:rFonts w:eastAsia="楷体"/>
          <w:b/>
          <w:bCs/>
          <w:color w:val="auto"/>
          <w:sz w:val="32"/>
          <w:szCs w:val="30"/>
          <w:highlight w:val="none"/>
        </w:rPr>
      </w:pPr>
      <w:bookmarkStart w:id="76" w:name="_Toc25373"/>
      <w:r>
        <w:rPr>
          <w:rFonts w:eastAsia="楷体"/>
          <w:b/>
          <w:bCs/>
          <w:color w:val="auto"/>
          <w:sz w:val="32"/>
          <w:szCs w:val="30"/>
          <w:highlight w:val="none"/>
        </w:rPr>
        <w:t>2.5.4 汛期防洪调度方式</w:t>
      </w:r>
      <w:bookmarkEnd w:id="75"/>
      <w:bookmarkEnd w:id="76"/>
    </w:p>
    <w:bookmarkEnd w:id="70"/>
    <w:p w14:paraId="742C3774">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（1）水库调洪演算</w:t>
      </w:r>
    </w:p>
    <w:p w14:paraId="7C27554D">
      <w:pPr>
        <w:spacing w:line="520" w:lineRule="exact"/>
        <w:ind w:firstLine="640" w:firstLineChars="200"/>
        <w:rPr>
          <w:rFonts w:eastAsia="楷体"/>
          <w:color w:val="auto"/>
          <w:spacing w:val="20"/>
          <w:sz w:val="28"/>
          <w:szCs w:val="28"/>
          <w:highlight w:val="none"/>
        </w:rPr>
      </w:pPr>
      <w:r>
        <w:rPr>
          <w:rFonts w:eastAsia="楷体"/>
          <w:color w:val="auto"/>
          <w:spacing w:val="20"/>
          <w:sz w:val="28"/>
          <w:szCs w:val="28"/>
          <w:highlight w:val="none"/>
        </w:rPr>
        <w:t>调洪演算按水量平衡方程式逐时段进行试算，计算方程式如下：</w:t>
      </w:r>
    </w:p>
    <w:p w14:paraId="625B6D48">
      <w:pPr>
        <w:ind w:firstLine="2520" w:firstLineChars="900"/>
        <w:rPr>
          <w:rFonts w:eastAsia="楷体"/>
          <w:color w:val="auto"/>
          <w:sz w:val="28"/>
          <w:szCs w:val="28"/>
          <w:highlight w:val="none"/>
        </w:rPr>
      </w:pPr>
      <w:r>
        <w:rPr>
          <w:rFonts w:eastAsia="楷体"/>
          <w:color w:val="auto"/>
          <w:position w:val="-24"/>
          <w:sz w:val="28"/>
          <w:szCs w:val="28"/>
          <w:highlight w:val="none"/>
        </w:rPr>
        <w:object>
          <v:shape id="_x0000_i1057" o:spt="75" type="#_x0000_t75" style="height:33.3pt;width:161.95pt;" o:ole="t" filled="f" stroked="f" coordsize="21600,21600">
            <v:path/>
            <v:fill on="f" focussize="0,0"/>
            <v:stroke on="f"/>
            <v:imagedata r:id="rId34" o:title=""/>
            <o:lock v:ext="edit" grouping="f" rotation="f" text="f" aspectratio="t"/>
            <w10:wrap type="none"/>
            <w10:anchorlock/>
          </v:shape>
          <o:OLEObject Type="Embed" ProgID="Equation.DSMT4" ShapeID="_x0000_i1057" DrawAspect="Content" ObjectID="_1468075757" r:id="rId64">
            <o:LockedField>false</o:LockedField>
          </o:OLEObject>
        </w:object>
      </w:r>
      <w:r>
        <w:rPr>
          <w:rFonts w:eastAsia="楷体"/>
          <w:color w:val="auto"/>
          <w:sz w:val="28"/>
          <w:szCs w:val="28"/>
          <w:highlight w:val="none"/>
        </w:rPr>
        <w:t xml:space="preserve">          </w:t>
      </w:r>
    </w:p>
    <w:p w14:paraId="52BEF44E">
      <w:pPr>
        <w:spacing w:line="520" w:lineRule="exact"/>
        <w:rPr>
          <w:rFonts w:hint="eastAsia" w:eastAsia="楷体"/>
          <w:color w:val="auto"/>
          <w:sz w:val="28"/>
          <w:szCs w:val="28"/>
          <w:highlight w:val="none"/>
          <w:lang w:val="en-US" w:eastAsia="zh-CN"/>
        </w:rPr>
      </w:pPr>
      <w:r>
        <w:rPr>
          <w:rFonts w:eastAsia="楷体"/>
          <w:color w:val="auto"/>
          <w:sz w:val="28"/>
          <w:szCs w:val="28"/>
          <w:highlight w:val="none"/>
        </w:rPr>
        <w:t>式中：</w:t>
      </w:r>
      <w:r>
        <w:rPr>
          <w:rFonts w:eastAsia="楷体"/>
          <w:color w:val="auto"/>
          <w:position w:val="-12"/>
          <w:sz w:val="28"/>
          <w:szCs w:val="28"/>
          <w:highlight w:val="none"/>
        </w:rPr>
        <w:object>
          <v:shape id="_x0000_i1058" o:spt="75" type="#_x0000_t75" style="height:18pt;width:37pt;" o:ole="t" filled="f" stroked="f" coordsize="21600,21600">
            <v:path/>
            <v:fill on="f" focussize="0,0"/>
            <v:stroke on="f"/>
            <v:imagedata r:id="rId66" o:title=""/>
            <o:lock v:ext="edit" grouping="f" rotation="f" text="f" aspectratio="t"/>
            <w10:wrap type="none"/>
            <w10:anchorlock/>
          </v:shape>
          <o:OLEObject Type="Embed" ProgID="Equation.DSMT4" ShapeID="_x0000_i1058" DrawAspect="Content" ObjectID="_1468075758" r:id="rId65">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59" o:spt="75" type="#_x0000_t75" style="height:13.95pt;width:15pt;" o:ole="t" filled="f" stroked="f" coordsize="21600,21600">
            <v:path/>
            <v:fill on="f" focussize="0,0"/>
            <v:stroke on="f"/>
            <v:imagedata r:id="rId68" o:title=""/>
            <o:lock v:ext="edit" grouping="f" rotation="f" text="f" aspectratio="t"/>
            <w10:wrap type="none"/>
            <w10:anchorlock/>
          </v:shape>
          <o:OLEObject Type="Embed" ProgID="Equation.DSMT4" ShapeID="_x0000_i1059" DrawAspect="Content" ObjectID="_1468075759" r:id="rId67">
            <o:LockedField>false</o:LockedField>
          </o:OLEObject>
        </w:object>
      </w:r>
      <w:r>
        <w:rPr>
          <w:rFonts w:eastAsia="楷体"/>
          <w:color w:val="auto"/>
          <w:sz w:val="28"/>
          <w:szCs w:val="28"/>
          <w:highlight w:val="none"/>
        </w:rPr>
        <w:t>始、末的入库流量（</w:t>
      </w:r>
      <w:r>
        <w:rPr>
          <w:rFonts w:eastAsia="楷体"/>
          <w:color w:val="auto"/>
          <w:position w:val="-6"/>
          <w:sz w:val="28"/>
          <w:szCs w:val="28"/>
          <w:highlight w:val="none"/>
        </w:rPr>
        <w:object>
          <v:shape id="_x0000_i1060" o:spt="75" type="#_x0000_t75" style="height:16pt;width:30pt;" o:ole="t" filled="f" stroked="f" coordsize="21600,21600">
            <v:path/>
            <v:fill on="f" focussize="0,0"/>
            <v:stroke on="f"/>
            <v:imagedata r:id="rId70" o:title=""/>
            <o:lock v:ext="edit" grouping="f" rotation="f" text="f" aspectratio="t"/>
            <w10:wrap type="none"/>
            <w10:anchorlock/>
          </v:shape>
          <o:OLEObject Type="Embed" ProgID="Equation.DSMT4" ShapeID="_x0000_i1060" DrawAspect="Content" ObjectID="_1468075760" r:id="rId69">
            <o:LockedField>false</o:LockedField>
          </o:OLEObject>
        </w:object>
      </w:r>
      <w:r>
        <w:rPr>
          <w:rFonts w:eastAsia="楷体"/>
          <w:color w:val="auto"/>
          <w:sz w:val="28"/>
          <w:szCs w:val="28"/>
          <w:highlight w:val="none"/>
        </w:rPr>
        <w:t>）</w:t>
      </w:r>
      <w:r>
        <w:rPr>
          <w:rFonts w:hint="eastAsia" w:eastAsia="楷体"/>
          <w:color w:val="auto"/>
          <w:sz w:val="28"/>
          <w:szCs w:val="28"/>
          <w:highlight w:val="none"/>
          <w:lang w:val="en-US" w:eastAsia="zh-CN"/>
        </w:rPr>
        <w:t>；</w:t>
      </w:r>
    </w:p>
    <w:p w14:paraId="0332C38A">
      <w:pPr>
        <w:spacing w:line="520" w:lineRule="exact"/>
        <w:rPr>
          <w:rFonts w:hint="eastAsia" w:eastAsia="楷体"/>
          <w:color w:val="auto"/>
          <w:sz w:val="28"/>
          <w:szCs w:val="28"/>
          <w:highlight w:val="none"/>
          <w:lang w:val="en-US" w:eastAsia="zh-CN"/>
        </w:rPr>
      </w:pPr>
      <w:r>
        <w:rPr>
          <w:rFonts w:eastAsia="楷体"/>
          <w:color w:val="auto"/>
          <w:sz w:val="28"/>
          <w:szCs w:val="28"/>
          <w:highlight w:val="none"/>
        </w:rPr>
        <w:t xml:space="preserve">      </w:t>
      </w:r>
      <w:r>
        <w:rPr>
          <w:rFonts w:eastAsia="楷体"/>
          <w:color w:val="auto"/>
          <w:position w:val="-12"/>
          <w:sz w:val="28"/>
          <w:szCs w:val="28"/>
          <w:highlight w:val="none"/>
        </w:rPr>
        <w:object>
          <v:shape id="_x0000_i1061" o:spt="75" type="#_x0000_t75" style="height:18pt;width:33pt;" o:ole="t" filled="f" stroked="f" coordsize="21600,21600">
            <v:path/>
            <v:fill on="f" focussize="0,0"/>
            <v:stroke on="f"/>
            <v:imagedata r:id="rId72" o:title=""/>
            <o:lock v:ext="edit" grouping="f" rotation="f" text="f" aspectratio="t"/>
            <w10:wrap type="none"/>
            <w10:anchorlock/>
          </v:shape>
          <o:OLEObject Type="Embed" ProgID="Equation.DSMT4" ShapeID="_x0000_i1061" DrawAspect="Content" ObjectID="_1468075761" r:id="rId71">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62" o:spt="75" type="#_x0000_t75" style="height:13.95pt;width:15pt;" o:ole="t" filled="f" stroked="f" coordsize="21600,21600">
            <v:path/>
            <v:fill on="f" focussize="0,0"/>
            <v:stroke on="f"/>
            <v:imagedata r:id="rId74" o:title=""/>
            <o:lock v:ext="edit" grouping="f" rotation="f" text="f" aspectratio="t"/>
            <w10:wrap type="none"/>
            <w10:anchorlock/>
          </v:shape>
          <o:OLEObject Type="Embed" ProgID="Equation.DSMT4" ShapeID="_x0000_i1062" DrawAspect="Content" ObjectID="_1468075762" r:id="rId73">
            <o:LockedField>false</o:LockedField>
          </o:OLEObject>
        </w:object>
      </w:r>
      <w:r>
        <w:rPr>
          <w:rFonts w:eastAsia="楷体"/>
          <w:color w:val="auto"/>
          <w:sz w:val="28"/>
          <w:szCs w:val="28"/>
          <w:highlight w:val="none"/>
        </w:rPr>
        <w:t>始、末的出库流量（</w:t>
      </w:r>
      <w:r>
        <w:rPr>
          <w:rFonts w:eastAsia="楷体"/>
          <w:color w:val="auto"/>
          <w:position w:val="-6"/>
          <w:sz w:val="28"/>
          <w:szCs w:val="28"/>
          <w:highlight w:val="none"/>
        </w:rPr>
        <w:object>
          <v:shape id="_x0000_i1063" o:spt="75" type="#_x0000_t75" style="height:16pt;width:30pt;" o:ole="t" filled="f" stroked="f" coordsize="21600,21600">
            <v:path/>
            <v:fill on="f" focussize="0,0"/>
            <v:stroke on="f"/>
            <v:imagedata r:id="rId76" o:title=""/>
            <o:lock v:ext="edit" grouping="f" rotation="f" text="f" aspectratio="t"/>
            <w10:wrap type="none"/>
            <w10:anchorlock/>
          </v:shape>
          <o:OLEObject Type="Embed" ProgID="Equation.DSMT4" ShapeID="_x0000_i1063" DrawAspect="Content" ObjectID="_1468075763" r:id="rId75">
            <o:LockedField>false</o:LockedField>
          </o:OLEObject>
        </w:object>
      </w:r>
      <w:r>
        <w:rPr>
          <w:rFonts w:eastAsia="楷体"/>
          <w:color w:val="auto"/>
          <w:sz w:val="28"/>
          <w:szCs w:val="28"/>
          <w:highlight w:val="none"/>
        </w:rPr>
        <w:t>）</w:t>
      </w:r>
      <w:r>
        <w:rPr>
          <w:rFonts w:hint="eastAsia" w:eastAsia="楷体"/>
          <w:color w:val="auto"/>
          <w:sz w:val="28"/>
          <w:szCs w:val="28"/>
          <w:highlight w:val="none"/>
          <w:lang w:val="en-US" w:eastAsia="zh-CN"/>
        </w:rPr>
        <w:t>；</w:t>
      </w:r>
    </w:p>
    <w:p w14:paraId="47C22943">
      <w:pPr>
        <w:spacing w:line="520" w:lineRule="exact"/>
        <w:rPr>
          <w:rFonts w:eastAsia="楷体"/>
          <w:color w:val="auto"/>
          <w:sz w:val="28"/>
          <w:szCs w:val="28"/>
          <w:highlight w:val="none"/>
        </w:rPr>
      </w:pPr>
      <w:r>
        <w:rPr>
          <w:rFonts w:eastAsia="楷体"/>
          <w:color w:val="auto"/>
          <w:sz w:val="28"/>
          <w:szCs w:val="28"/>
          <w:highlight w:val="none"/>
        </w:rPr>
        <w:t xml:space="preserve">      </w:t>
      </w:r>
      <w:r>
        <w:rPr>
          <w:rFonts w:eastAsia="楷体"/>
          <w:color w:val="auto"/>
          <w:position w:val="-12"/>
          <w:sz w:val="28"/>
          <w:szCs w:val="28"/>
          <w:highlight w:val="none"/>
        </w:rPr>
        <w:object>
          <v:shape id="_x0000_i1064" o:spt="75" type="#_x0000_t75" style="height:18pt;width:34pt;" o:ole="t" filled="f" stroked="f" coordsize="21600,21600">
            <v:path/>
            <v:fill on="f" focussize="0,0"/>
            <v:stroke on="f"/>
            <v:imagedata r:id="rId78" o:title=""/>
            <o:lock v:ext="edit" grouping="f" rotation="f" text="f" aspectratio="t"/>
            <w10:wrap type="none"/>
            <w10:anchorlock/>
          </v:shape>
          <o:OLEObject Type="Embed" ProgID="Equation.DSMT4" ShapeID="_x0000_i1064" DrawAspect="Content" ObjectID="_1468075764" r:id="rId77">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65" o:spt="75" type="#_x0000_t75" style="height:13.95pt;width:15pt;" o:ole="t" filled="f" stroked="f" coordsize="21600,21600">
            <v:path/>
            <v:fill on="f" focussize="0,0"/>
            <v:stroke on="f"/>
            <v:imagedata r:id="rId80" o:title=""/>
            <o:lock v:ext="edit" grouping="f" rotation="f" text="f" aspectratio="t"/>
            <w10:wrap type="none"/>
            <w10:anchorlock/>
          </v:shape>
          <o:OLEObject Type="Embed" ProgID="Equation.DSMT4" ShapeID="_x0000_i1065" DrawAspect="Content" ObjectID="_1468075765" r:id="rId79">
            <o:LockedField>false</o:LockedField>
          </o:OLEObject>
        </w:object>
      </w:r>
      <w:r>
        <w:rPr>
          <w:rFonts w:eastAsia="楷体"/>
          <w:color w:val="auto"/>
          <w:sz w:val="28"/>
          <w:szCs w:val="28"/>
          <w:highlight w:val="none"/>
        </w:rPr>
        <w:t>始、末的库容（万</w:t>
      </w:r>
      <w:r>
        <w:rPr>
          <w:rFonts w:eastAsia="楷体"/>
          <w:i/>
          <w:color w:val="auto"/>
          <w:sz w:val="28"/>
          <w:szCs w:val="28"/>
          <w:highlight w:val="none"/>
        </w:rPr>
        <w:t xml:space="preserve"> </w:t>
      </w:r>
      <w:r>
        <w:rPr>
          <w:rFonts w:eastAsia="楷体"/>
          <w:color w:val="auto"/>
          <w:position w:val="-6"/>
          <w:sz w:val="28"/>
          <w:szCs w:val="28"/>
          <w:highlight w:val="none"/>
        </w:rPr>
        <w:object>
          <v:shape id="_x0000_i1066" o:spt="75" type="#_x0000_t75" style="height:16pt;width:16pt;" o:ole="t" filled="f" stroked="f" coordsize="21600,21600">
            <v:path/>
            <v:fill on="f" focussize="0,0"/>
            <v:stroke on="f"/>
            <v:imagedata r:id="rId82" o:title=""/>
            <o:lock v:ext="edit" grouping="f" rotation="f" text="f" aspectratio="t"/>
            <w10:wrap type="none"/>
            <w10:anchorlock/>
          </v:shape>
          <o:OLEObject Type="Embed" ProgID="Equation.DSMT4" ShapeID="_x0000_i1066" DrawAspect="Content" ObjectID="_1468075766" r:id="rId81">
            <o:LockedField>false</o:LockedField>
          </o:OLEObject>
        </w:object>
      </w:r>
      <w:r>
        <w:rPr>
          <w:rFonts w:eastAsia="楷体"/>
          <w:color w:val="auto"/>
          <w:sz w:val="28"/>
          <w:szCs w:val="28"/>
          <w:highlight w:val="none"/>
        </w:rPr>
        <w:t>）</w:t>
      </w:r>
    </w:p>
    <w:p w14:paraId="6BB4E84D">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四清水库的正常蓄水位为</w:t>
      </w:r>
      <w:r>
        <w:rPr>
          <w:rFonts w:hint="eastAsia" w:eastAsia="楷体"/>
          <w:color w:val="auto"/>
          <w:sz w:val="28"/>
          <w:szCs w:val="28"/>
          <w:highlight w:val="none"/>
          <w:lang w:val="en-US" w:eastAsia="zh-CN"/>
        </w:rPr>
        <w:t>28.04</w:t>
      </w:r>
      <w:r>
        <w:rPr>
          <w:rFonts w:eastAsia="楷体"/>
          <w:color w:val="auto"/>
          <w:sz w:val="28"/>
          <w:szCs w:val="28"/>
          <w:highlight w:val="none"/>
        </w:rPr>
        <w:t>m，汛期期间起调水位采用汛限水位</w:t>
      </w:r>
      <w:r>
        <w:rPr>
          <w:rFonts w:hint="eastAsia" w:eastAsia="楷体"/>
          <w:color w:val="auto"/>
          <w:sz w:val="28"/>
          <w:szCs w:val="28"/>
          <w:highlight w:val="none"/>
          <w:lang w:val="en-US" w:eastAsia="zh-CN"/>
        </w:rPr>
        <w:t>28.04</w:t>
      </w:r>
      <w:r>
        <w:rPr>
          <w:rFonts w:eastAsia="楷体"/>
          <w:color w:val="auto"/>
          <w:sz w:val="28"/>
          <w:szCs w:val="28"/>
          <w:highlight w:val="none"/>
        </w:rPr>
        <w:t>m，经调洪演算求得P=</w:t>
      </w:r>
      <w:r>
        <w:rPr>
          <w:rFonts w:hint="eastAsia" w:eastAsia="楷体"/>
          <w:color w:val="auto"/>
          <w:sz w:val="28"/>
          <w:szCs w:val="28"/>
          <w:highlight w:val="none"/>
          <w:lang w:val="en-US" w:eastAsia="zh-CN"/>
        </w:rPr>
        <w:t>5</w:t>
      </w:r>
      <w:r>
        <w:rPr>
          <w:rFonts w:eastAsia="楷体"/>
          <w:color w:val="auto"/>
          <w:sz w:val="28"/>
          <w:szCs w:val="28"/>
          <w:highlight w:val="none"/>
        </w:rPr>
        <w:t>%和P=0.</w:t>
      </w:r>
      <w:r>
        <w:rPr>
          <w:rFonts w:hint="eastAsia" w:eastAsia="楷体"/>
          <w:color w:val="auto"/>
          <w:sz w:val="28"/>
          <w:szCs w:val="28"/>
          <w:highlight w:val="none"/>
          <w:lang w:val="en-US" w:eastAsia="zh-CN"/>
        </w:rPr>
        <w:t>5</w:t>
      </w:r>
      <w:r>
        <w:rPr>
          <w:rFonts w:eastAsia="楷体"/>
          <w:color w:val="auto"/>
          <w:sz w:val="28"/>
          <w:szCs w:val="28"/>
          <w:highlight w:val="none"/>
        </w:rPr>
        <w:t>%两种设计频率洪水的调洪演算成果详见表</w:t>
      </w:r>
      <w:r>
        <w:rPr>
          <w:rFonts w:hint="eastAsia" w:eastAsia="楷体"/>
          <w:color w:val="auto"/>
          <w:sz w:val="28"/>
          <w:szCs w:val="28"/>
          <w:highlight w:val="none"/>
          <w:lang w:val="en-US" w:eastAsia="zh-CN"/>
        </w:rPr>
        <w:t>2</w:t>
      </w:r>
      <w:r>
        <w:rPr>
          <w:rFonts w:eastAsia="楷体"/>
          <w:color w:val="auto"/>
          <w:sz w:val="28"/>
          <w:szCs w:val="28"/>
          <w:highlight w:val="none"/>
        </w:rPr>
        <w:t>-</w:t>
      </w:r>
      <w:r>
        <w:rPr>
          <w:rFonts w:hint="eastAsia" w:eastAsia="楷体"/>
          <w:color w:val="auto"/>
          <w:sz w:val="28"/>
          <w:szCs w:val="28"/>
          <w:highlight w:val="none"/>
          <w:lang w:val="en-US" w:eastAsia="zh-CN"/>
        </w:rPr>
        <w:t>3</w:t>
      </w:r>
      <w:r>
        <w:rPr>
          <w:rFonts w:eastAsia="楷体"/>
          <w:color w:val="auto"/>
          <w:sz w:val="28"/>
          <w:szCs w:val="28"/>
          <w:highlight w:val="none"/>
        </w:rPr>
        <w:t>。</w:t>
      </w:r>
    </w:p>
    <w:p w14:paraId="3EE976AB">
      <w:pPr>
        <w:spacing w:line="520" w:lineRule="exact"/>
        <w:rPr>
          <w:rFonts w:eastAsia="楷体"/>
          <w:b/>
          <w:bCs/>
          <w:color w:val="auto"/>
          <w:spacing w:val="20"/>
          <w:kern w:val="0"/>
          <w:sz w:val="28"/>
          <w:szCs w:val="28"/>
          <w:highlight w:val="none"/>
        </w:rPr>
      </w:pPr>
      <w:r>
        <w:rPr>
          <w:rFonts w:eastAsia="楷体"/>
          <w:b/>
          <w:bCs/>
          <w:color w:val="auto"/>
          <w:spacing w:val="20"/>
          <w:kern w:val="0"/>
          <w:sz w:val="28"/>
          <w:szCs w:val="28"/>
          <w:highlight w:val="none"/>
        </w:rPr>
        <w:t>表</w:t>
      </w:r>
      <w:r>
        <w:rPr>
          <w:rFonts w:hint="eastAsia" w:eastAsia="楷体"/>
          <w:b/>
          <w:bCs/>
          <w:color w:val="auto"/>
          <w:spacing w:val="20"/>
          <w:kern w:val="0"/>
          <w:sz w:val="28"/>
          <w:szCs w:val="28"/>
          <w:highlight w:val="none"/>
          <w:lang w:val="en-US" w:eastAsia="zh-CN"/>
        </w:rPr>
        <w:t>2</w:t>
      </w:r>
      <w:r>
        <w:rPr>
          <w:rFonts w:eastAsia="楷体"/>
          <w:b/>
          <w:bCs/>
          <w:color w:val="auto"/>
          <w:spacing w:val="20"/>
          <w:kern w:val="0"/>
          <w:sz w:val="28"/>
          <w:szCs w:val="28"/>
          <w:highlight w:val="none"/>
        </w:rPr>
        <w:t>-</w:t>
      </w:r>
      <w:r>
        <w:rPr>
          <w:rFonts w:hint="eastAsia" w:eastAsia="楷体"/>
          <w:b/>
          <w:bCs/>
          <w:color w:val="auto"/>
          <w:spacing w:val="20"/>
          <w:kern w:val="0"/>
          <w:sz w:val="28"/>
          <w:szCs w:val="28"/>
          <w:highlight w:val="none"/>
          <w:lang w:val="en-US" w:eastAsia="zh-CN"/>
        </w:rPr>
        <w:t>3</w:t>
      </w:r>
      <w:r>
        <w:rPr>
          <w:rFonts w:eastAsia="楷体"/>
          <w:b/>
          <w:bCs/>
          <w:color w:val="auto"/>
          <w:spacing w:val="20"/>
          <w:kern w:val="0"/>
          <w:sz w:val="28"/>
          <w:szCs w:val="28"/>
          <w:highlight w:val="none"/>
        </w:rPr>
        <w:t xml:space="preserve">            四清水库调洪演算成果表</w:t>
      </w:r>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7"/>
        <w:gridCol w:w="2046"/>
        <w:gridCol w:w="1778"/>
        <w:gridCol w:w="1585"/>
        <w:gridCol w:w="1585"/>
      </w:tblGrid>
      <w:tr w14:paraId="414385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7" w:type="dxa"/>
            <w:noWrap w:val="0"/>
            <w:vAlign w:val="center"/>
          </w:tcPr>
          <w:p w14:paraId="4DCC9606">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设计频率</w:t>
            </w:r>
          </w:p>
        </w:tc>
        <w:tc>
          <w:tcPr>
            <w:tcW w:w="2046" w:type="dxa"/>
            <w:noWrap w:val="0"/>
            <w:vAlign w:val="center"/>
          </w:tcPr>
          <w:p w14:paraId="7223CEC4">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最大入库流量(m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778" w:type="dxa"/>
            <w:noWrap w:val="0"/>
            <w:vAlign w:val="center"/>
          </w:tcPr>
          <w:p w14:paraId="79FA0BD7">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最大下泄流量(m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585" w:type="dxa"/>
            <w:noWrap w:val="0"/>
            <w:vAlign w:val="center"/>
          </w:tcPr>
          <w:p w14:paraId="5F848919">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最高库水位（m）</w:t>
            </w:r>
          </w:p>
        </w:tc>
        <w:tc>
          <w:tcPr>
            <w:tcW w:w="1585" w:type="dxa"/>
            <w:noWrap w:val="0"/>
            <w:vAlign w:val="center"/>
          </w:tcPr>
          <w:p w14:paraId="01BD819E">
            <w:pPr>
              <w:widowControl/>
              <w:spacing w:line="440" w:lineRule="exact"/>
              <w:jc w:val="center"/>
              <w:textAlignment w:val="center"/>
              <w:rPr>
                <w:rFonts w:eastAsia="楷体"/>
                <w:b/>
                <w:color w:val="auto"/>
                <w:kern w:val="0"/>
                <w:sz w:val="24"/>
                <w:highlight w:val="none"/>
                <w:lang w:bidi="ar"/>
              </w:rPr>
            </w:pPr>
            <w:r>
              <w:rPr>
                <w:rFonts w:eastAsia="楷体"/>
                <w:b/>
                <w:color w:val="auto"/>
                <w:kern w:val="0"/>
                <w:sz w:val="24"/>
                <w:highlight w:val="none"/>
                <w:lang w:bidi="ar"/>
              </w:rPr>
              <w:t>设计库容</w:t>
            </w:r>
          </w:p>
          <w:p w14:paraId="66D580A3">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（万m</w:t>
            </w:r>
            <w:r>
              <w:rPr>
                <w:rFonts w:eastAsia="楷体"/>
                <w:b/>
                <w:color w:val="auto"/>
                <w:kern w:val="0"/>
                <w:sz w:val="24"/>
                <w:highlight w:val="none"/>
                <w:vertAlign w:val="superscript"/>
                <w:lang w:bidi="ar"/>
              </w:rPr>
              <w:t>3</w:t>
            </w:r>
            <w:r>
              <w:rPr>
                <w:rFonts w:eastAsia="楷体"/>
                <w:b/>
                <w:color w:val="auto"/>
                <w:kern w:val="0"/>
                <w:sz w:val="24"/>
                <w:highlight w:val="none"/>
                <w:lang w:bidi="ar"/>
              </w:rPr>
              <w:t>）</w:t>
            </w:r>
          </w:p>
        </w:tc>
      </w:tr>
      <w:tr w14:paraId="5294C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35B01F3F">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29A24E5B">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12.35</w:t>
            </w:r>
          </w:p>
        </w:tc>
        <w:tc>
          <w:tcPr>
            <w:tcW w:w="1778" w:type="dxa"/>
            <w:noWrap w:val="0"/>
            <w:vAlign w:val="center"/>
          </w:tcPr>
          <w:p w14:paraId="0D6E82E5">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5.84</w:t>
            </w:r>
          </w:p>
        </w:tc>
        <w:tc>
          <w:tcPr>
            <w:tcW w:w="1585" w:type="dxa"/>
            <w:noWrap w:val="0"/>
            <w:vAlign w:val="center"/>
          </w:tcPr>
          <w:p w14:paraId="4C1DCFB1">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28.56</w:t>
            </w:r>
          </w:p>
        </w:tc>
        <w:tc>
          <w:tcPr>
            <w:tcW w:w="1585" w:type="dxa"/>
            <w:noWrap w:val="0"/>
            <w:vAlign w:val="center"/>
          </w:tcPr>
          <w:p w14:paraId="7A12B514">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29.54</w:t>
            </w:r>
          </w:p>
        </w:tc>
      </w:tr>
      <w:tr w14:paraId="0FB8B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30A0476B">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P=0.</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06DB45AE">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20.64</w:t>
            </w:r>
          </w:p>
        </w:tc>
        <w:tc>
          <w:tcPr>
            <w:tcW w:w="1778" w:type="dxa"/>
            <w:noWrap w:val="0"/>
            <w:vAlign w:val="center"/>
          </w:tcPr>
          <w:p w14:paraId="56D0E5DB">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10.61</w:t>
            </w:r>
          </w:p>
        </w:tc>
        <w:tc>
          <w:tcPr>
            <w:tcW w:w="1585" w:type="dxa"/>
            <w:noWrap w:val="0"/>
            <w:vAlign w:val="center"/>
          </w:tcPr>
          <w:p w14:paraId="5C6255B1">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28.81</w:t>
            </w:r>
          </w:p>
        </w:tc>
        <w:tc>
          <w:tcPr>
            <w:tcW w:w="1585" w:type="dxa"/>
            <w:noWrap w:val="0"/>
            <w:vAlign w:val="center"/>
          </w:tcPr>
          <w:p w14:paraId="6480DA1B">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30.87</w:t>
            </w:r>
          </w:p>
        </w:tc>
      </w:tr>
    </w:tbl>
    <w:p w14:paraId="0BCDB009">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（2）四清水库防汛调度方案</w:t>
      </w:r>
    </w:p>
    <w:p w14:paraId="235E9B20">
      <w:pPr>
        <w:numPr>
          <w:ilvl w:val="0"/>
          <w:numId w:val="3"/>
        </w:numPr>
        <w:spacing w:line="520" w:lineRule="exact"/>
        <w:ind w:firstLine="560" w:firstLineChars="200"/>
        <w:rPr>
          <w:rFonts w:ascii="Times New Roman" w:hAnsi="Times New Roman" w:eastAsia="楷体" w:cs="Times New Roman"/>
          <w:color w:val="auto"/>
          <w:sz w:val="28"/>
          <w:szCs w:val="28"/>
          <w:highlight w:val="none"/>
        </w:rPr>
      </w:pPr>
      <w:r>
        <w:rPr>
          <w:rFonts w:ascii="Times New Roman" w:hAnsi="Times New Roman" w:eastAsia="楷体" w:cs="Times New Roman"/>
          <w:color w:val="auto"/>
          <w:sz w:val="28"/>
          <w:szCs w:val="28"/>
          <w:highlight w:val="none"/>
        </w:rPr>
        <w:t>四清水库汛限水位为</w:t>
      </w:r>
      <w:r>
        <w:rPr>
          <w:rFonts w:hint="eastAsia" w:ascii="Times New Roman" w:hAnsi="Times New Roman" w:eastAsia="楷体" w:cs="Times New Roman"/>
          <w:color w:val="auto"/>
          <w:sz w:val="28"/>
          <w:szCs w:val="28"/>
          <w:highlight w:val="none"/>
          <w:lang w:eastAsia="zh-CN"/>
        </w:rPr>
        <w:t>2</w:t>
      </w:r>
      <w:r>
        <w:rPr>
          <w:rFonts w:hint="eastAsia" w:ascii="Times New Roman" w:hAnsi="Times New Roman" w:eastAsia="楷体" w:cs="Times New Roman"/>
          <w:color w:val="auto"/>
          <w:sz w:val="28"/>
          <w:szCs w:val="28"/>
          <w:highlight w:val="none"/>
          <w:lang w:val="en-US" w:eastAsia="zh-CN"/>
        </w:rPr>
        <w:t>8.04</w:t>
      </w:r>
      <w:r>
        <w:rPr>
          <w:rFonts w:ascii="Times New Roman" w:hAnsi="Times New Roman" w:eastAsia="楷体" w:cs="Times New Roman"/>
          <w:color w:val="auto"/>
          <w:sz w:val="28"/>
          <w:szCs w:val="28"/>
          <w:highlight w:val="none"/>
        </w:rPr>
        <w:t>m，进入汛期前，若四清水库水位大于</w:t>
      </w:r>
      <w:r>
        <w:rPr>
          <w:rFonts w:hint="eastAsia" w:ascii="Times New Roman" w:hAnsi="Times New Roman" w:eastAsia="楷体" w:cs="Times New Roman"/>
          <w:color w:val="auto"/>
          <w:sz w:val="28"/>
          <w:szCs w:val="28"/>
          <w:highlight w:val="none"/>
          <w:lang w:val="en-US" w:eastAsia="zh-CN"/>
        </w:rPr>
        <w:t>28.04</w:t>
      </w:r>
      <w:r>
        <w:rPr>
          <w:rFonts w:ascii="Times New Roman" w:hAnsi="Times New Roman" w:eastAsia="楷体" w:cs="Times New Roman"/>
          <w:color w:val="auto"/>
          <w:sz w:val="28"/>
          <w:szCs w:val="28"/>
          <w:highlight w:val="none"/>
        </w:rPr>
        <w:t>m，则自由泄流，使四清水库在汛期开始即4月1日前的水库水位控制在</w:t>
      </w:r>
      <w:r>
        <w:rPr>
          <w:rFonts w:hint="eastAsia" w:ascii="Times New Roman" w:hAnsi="Times New Roman" w:eastAsia="楷体" w:cs="Times New Roman"/>
          <w:color w:val="auto"/>
          <w:sz w:val="28"/>
          <w:szCs w:val="28"/>
          <w:highlight w:val="none"/>
          <w:lang w:val="en-US" w:eastAsia="zh-CN"/>
        </w:rPr>
        <w:t>28.04</w:t>
      </w:r>
      <w:r>
        <w:rPr>
          <w:rFonts w:ascii="Times New Roman" w:hAnsi="Times New Roman" w:eastAsia="楷体" w:cs="Times New Roman"/>
          <w:color w:val="auto"/>
          <w:sz w:val="28"/>
          <w:szCs w:val="28"/>
          <w:highlight w:val="none"/>
        </w:rPr>
        <w:t>m以下；汛期期间，水库可根据需要进行蓄水，但不得超过</w:t>
      </w:r>
      <w:r>
        <w:rPr>
          <w:rFonts w:hint="eastAsia" w:ascii="Times New Roman" w:hAnsi="Times New Roman" w:eastAsia="楷体" w:cs="Times New Roman"/>
          <w:color w:val="auto"/>
          <w:sz w:val="28"/>
          <w:szCs w:val="28"/>
          <w:highlight w:val="none"/>
          <w:lang w:val="en-US" w:eastAsia="zh-CN"/>
        </w:rPr>
        <w:t>28.04</w:t>
      </w:r>
      <w:r>
        <w:rPr>
          <w:rFonts w:ascii="Times New Roman" w:hAnsi="Times New Roman" w:eastAsia="楷体" w:cs="Times New Roman"/>
          <w:color w:val="auto"/>
          <w:sz w:val="28"/>
          <w:szCs w:val="28"/>
          <w:highlight w:val="none"/>
        </w:rPr>
        <w:t>m。</w:t>
      </w:r>
    </w:p>
    <w:p w14:paraId="38337E3C">
      <w:pPr>
        <w:numPr>
          <w:ilvl w:val="0"/>
          <w:numId w:val="4"/>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在汛期期间遇到短历时强降雨时</w:t>
      </w:r>
    </w:p>
    <w:p w14:paraId="4E3617D6">
      <w:pPr>
        <w:numPr>
          <w:ilvl w:val="0"/>
          <w:numId w:val="3"/>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当四清水库遇到短历时小于50mm的强降雨时，入库最大洪水总量为</w:t>
      </w:r>
      <w:r>
        <w:rPr>
          <w:rFonts w:hint="eastAsia" w:eastAsia="楷体"/>
          <w:color w:val="auto"/>
          <w:sz w:val="28"/>
          <w:szCs w:val="28"/>
          <w:highlight w:val="none"/>
          <w:lang w:val="en-US" w:eastAsia="zh-CN"/>
        </w:rPr>
        <w:t>2.24</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27.6</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27.6</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27.6</w:t>
      </w:r>
      <w:r>
        <w:rPr>
          <w:rFonts w:eastAsia="楷体"/>
          <w:color w:val="auto"/>
          <w:sz w:val="28"/>
          <w:szCs w:val="28"/>
          <w:highlight w:val="none"/>
        </w:rPr>
        <w:t>m以下；</w:t>
      </w:r>
    </w:p>
    <w:p w14:paraId="4B4673DE">
      <w:pPr>
        <w:numPr>
          <w:ilvl w:val="0"/>
          <w:numId w:val="3"/>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当遇到有短历时小于75mm的强降雨时，入库最大洪水总量为</w:t>
      </w:r>
      <w:r>
        <w:rPr>
          <w:rFonts w:hint="eastAsia" w:eastAsia="楷体"/>
          <w:color w:val="auto"/>
          <w:sz w:val="28"/>
          <w:szCs w:val="28"/>
          <w:highlight w:val="none"/>
          <w:lang w:val="en-US" w:eastAsia="zh-CN"/>
        </w:rPr>
        <w:t>3.37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27.34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27.34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27.34</w:t>
      </w:r>
      <w:r>
        <w:rPr>
          <w:rFonts w:eastAsia="楷体"/>
          <w:color w:val="auto"/>
          <w:sz w:val="28"/>
          <w:szCs w:val="28"/>
          <w:highlight w:val="none"/>
        </w:rPr>
        <w:t>m以下；</w:t>
      </w:r>
    </w:p>
    <w:p w14:paraId="7812194E">
      <w:pPr>
        <w:numPr>
          <w:ilvl w:val="0"/>
          <w:numId w:val="3"/>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当遇到有短历时小于100mm的强降雨时，入库最大洪水总量为</w:t>
      </w:r>
      <w:r>
        <w:rPr>
          <w:rFonts w:hint="eastAsia" w:eastAsia="楷体"/>
          <w:color w:val="auto"/>
          <w:sz w:val="28"/>
          <w:szCs w:val="28"/>
          <w:highlight w:val="none"/>
          <w:lang w:val="en-US" w:eastAsia="zh-CN"/>
        </w:rPr>
        <w:t>4.5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27.07</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27.07</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27.07</w:t>
      </w:r>
      <w:r>
        <w:rPr>
          <w:rFonts w:eastAsia="楷体"/>
          <w:color w:val="auto"/>
          <w:sz w:val="28"/>
          <w:szCs w:val="28"/>
          <w:highlight w:val="none"/>
        </w:rPr>
        <w:t>m以下；</w:t>
      </w:r>
    </w:p>
    <w:p w14:paraId="6499842E">
      <w:pPr>
        <w:numPr>
          <w:ilvl w:val="0"/>
          <w:numId w:val="7"/>
        </w:numPr>
        <w:spacing w:line="520" w:lineRule="exact"/>
        <w:ind w:firstLine="560" w:firstLineChars="200"/>
        <w:rPr>
          <w:rFonts w:eastAsia="楷体"/>
          <w:b/>
          <w:bCs/>
          <w:color w:val="auto"/>
          <w:sz w:val="28"/>
          <w:szCs w:val="28"/>
          <w:highlight w:val="none"/>
        </w:rPr>
      </w:pPr>
      <w:r>
        <w:rPr>
          <w:rFonts w:ascii="Times New Roman" w:hAnsi="Times New Roman" w:eastAsia="楷体" w:cs="Times New Roman"/>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2B3F4D36">
      <w:pPr>
        <w:numPr>
          <w:ilvl w:val="0"/>
          <w:numId w:val="5"/>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当遇到台风对我市降雨影响预计达到100mm的强降雨时，单日入库最大洪水总量为</w:t>
      </w:r>
      <w:r>
        <w:rPr>
          <w:rFonts w:hint="eastAsia" w:eastAsia="楷体"/>
          <w:color w:val="auto"/>
          <w:sz w:val="28"/>
          <w:szCs w:val="28"/>
          <w:highlight w:val="none"/>
          <w:lang w:val="en-US" w:eastAsia="zh-CN"/>
        </w:rPr>
        <w:t>4.25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27.14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27.14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27.14</w:t>
      </w:r>
      <w:r>
        <w:rPr>
          <w:rFonts w:eastAsia="楷体"/>
          <w:color w:val="auto"/>
          <w:sz w:val="28"/>
          <w:szCs w:val="28"/>
          <w:highlight w:val="none"/>
        </w:rPr>
        <w:t>m以下。</w:t>
      </w:r>
    </w:p>
    <w:p w14:paraId="4CC3A017">
      <w:pPr>
        <w:numPr>
          <w:ilvl w:val="0"/>
          <w:numId w:val="5"/>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当遇到台风对我市降雨影响预计达到150mm的强降雨时，单日入库最大洪水总量为</w:t>
      </w:r>
      <w:r>
        <w:rPr>
          <w:rFonts w:hint="eastAsia" w:eastAsia="楷体"/>
          <w:color w:val="auto"/>
          <w:sz w:val="28"/>
          <w:szCs w:val="28"/>
          <w:highlight w:val="none"/>
          <w:lang w:val="en-US" w:eastAsia="zh-CN"/>
        </w:rPr>
        <w:t>6.36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26.64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26.64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26.64</w:t>
      </w:r>
      <w:r>
        <w:rPr>
          <w:rFonts w:eastAsia="楷体"/>
          <w:color w:val="auto"/>
          <w:sz w:val="28"/>
          <w:szCs w:val="28"/>
          <w:highlight w:val="none"/>
        </w:rPr>
        <w:t>m以下。</w:t>
      </w:r>
    </w:p>
    <w:p w14:paraId="4029BA37">
      <w:pPr>
        <w:spacing w:line="520" w:lineRule="exact"/>
        <w:ind w:firstLine="560" w:firstLineChars="200"/>
        <w:rPr>
          <w:rFonts w:eastAsia="楷体"/>
          <w:color w:val="auto"/>
          <w:sz w:val="28"/>
          <w:szCs w:val="28"/>
          <w:highlight w:val="none"/>
        </w:rPr>
      </w:pPr>
      <w:r>
        <w:rPr>
          <w:rFonts w:eastAsia="楷体"/>
          <w:color w:val="auto"/>
          <w:sz w:val="28"/>
          <w:szCs w:val="28"/>
          <w:highlight w:val="none"/>
        </w:rPr>
        <w:t>3）当遇到台风对我市降雨影响预计达到200mm的强降雨时，单日入库最大洪水总量为</w:t>
      </w:r>
      <w:r>
        <w:rPr>
          <w:rFonts w:hint="eastAsia" w:eastAsia="楷体"/>
          <w:color w:val="auto"/>
          <w:sz w:val="28"/>
          <w:szCs w:val="28"/>
          <w:highlight w:val="none"/>
          <w:lang w:val="en-US" w:eastAsia="zh-CN"/>
        </w:rPr>
        <w:t>8.46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26.17</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26.17</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26.17</w:t>
      </w:r>
      <w:r>
        <w:rPr>
          <w:rFonts w:eastAsia="楷体"/>
          <w:color w:val="auto"/>
          <w:sz w:val="28"/>
          <w:szCs w:val="28"/>
          <w:highlight w:val="none"/>
        </w:rPr>
        <w:t>m以下。</w:t>
      </w:r>
    </w:p>
    <w:p w14:paraId="182300BF">
      <w:pPr>
        <w:spacing w:line="520" w:lineRule="exact"/>
        <w:ind w:firstLine="560" w:firstLineChars="200"/>
        <w:rPr>
          <w:rFonts w:eastAsia="楷体"/>
          <w:color w:val="auto"/>
          <w:sz w:val="28"/>
          <w:szCs w:val="28"/>
          <w:highlight w:val="none"/>
        </w:rPr>
      </w:pPr>
      <w:r>
        <w:rPr>
          <w:rFonts w:eastAsia="楷体"/>
          <w:color w:val="auto"/>
          <w:sz w:val="28"/>
          <w:szCs w:val="28"/>
          <w:highlight w:val="none"/>
        </w:rPr>
        <w:t>4）当遇到台风对我市降雨影响预计达到250mm的强降雨时，单日入库最大洪水总量为</w:t>
      </w:r>
      <w:r>
        <w:rPr>
          <w:rFonts w:hint="eastAsia" w:eastAsia="楷体"/>
          <w:color w:val="auto"/>
          <w:sz w:val="28"/>
          <w:szCs w:val="28"/>
          <w:highlight w:val="none"/>
          <w:lang w:val="en-US" w:eastAsia="zh-CN"/>
        </w:rPr>
        <w:t>10.56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，如水库水位在水位</w:t>
      </w:r>
      <w:r>
        <w:rPr>
          <w:rFonts w:hint="eastAsia" w:eastAsia="楷体"/>
          <w:color w:val="auto"/>
          <w:sz w:val="28"/>
          <w:szCs w:val="28"/>
          <w:highlight w:val="none"/>
          <w:lang w:val="en-US" w:eastAsia="zh-CN"/>
        </w:rPr>
        <w:t>25.69</w:t>
      </w:r>
      <w:r>
        <w:rPr>
          <w:rFonts w:eastAsia="楷体"/>
          <w:color w:val="auto"/>
          <w:sz w:val="28"/>
          <w:szCs w:val="28"/>
          <w:highlight w:val="none"/>
        </w:rPr>
        <w:t>m以下，可不考虑水库泄洪；如水库水位在水位</w:t>
      </w:r>
      <w:r>
        <w:rPr>
          <w:rFonts w:hint="eastAsia" w:eastAsia="楷体"/>
          <w:color w:val="auto"/>
          <w:sz w:val="28"/>
          <w:szCs w:val="28"/>
          <w:highlight w:val="none"/>
          <w:lang w:val="en-US" w:eastAsia="zh-CN"/>
        </w:rPr>
        <w:t>25.69</w:t>
      </w:r>
      <w:r>
        <w:rPr>
          <w:rFonts w:eastAsia="楷体"/>
          <w:color w:val="auto"/>
          <w:sz w:val="28"/>
          <w:szCs w:val="28"/>
          <w:highlight w:val="none"/>
        </w:rPr>
        <w:t>m以上，可在收到泉州市气象部门预警后，先预泄腾空库容迎峰，使水库水位降至水位</w:t>
      </w:r>
      <w:r>
        <w:rPr>
          <w:rFonts w:hint="eastAsia" w:eastAsia="楷体"/>
          <w:color w:val="auto"/>
          <w:sz w:val="28"/>
          <w:szCs w:val="28"/>
          <w:highlight w:val="none"/>
          <w:lang w:val="en-US" w:eastAsia="zh-CN"/>
        </w:rPr>
        <w:t>25.69</w:t>
      </w:r>
      <w:r>
        <w:rPr>
          <w:rFonts w:eastAsia="楷体"/>
          <w:color w:val="auto"/>
          <w:sz w:val="28"/>
          <w:szCs w:val="28"/>
          <w:highlight w:val="none"/>
        </w:rPr>
        <w:t>m以下。</w:t>
      </w:r>
    </w:p>
    <w:p w14:paraId="2CFEC325">
      <w:pPr>
        <w:spacing w:line="520" w:lineRule="exact"/>
        <w:ind w:firstLine="560" w:firstLineChars="200"/>
        <w:rPr>
          <w:rFonts w:eastAsia="楷体"/>
          <w:color w:val="auto"/>
          <w:sz w:val="28"/>
          <w:szCs w:val="28"/>
          <w:highlight w:val="none"/>
        </w:rPr>
      </w:pPr>
      <w:r>
        <w:rPr>
          <w:rFonts w:eastAsia="楷体"/>
          <w:color w:val="auto"/>
          <w:sz w:val="28"/>
          <w:szCs w:val="28"/>
          <w:highlight w:val="none"/>
        </w:rPr>
        <w:t>5）当遇到台风对我市降雨影响预计达到300mm的强降雨时，单日入库最大洪水总量为</w:t>
      </w:r>
      <w:r>
        <w:rPr>
          <w:rFonts w:hint="eastAsia" w:eastAsia="楷体"/>
          <w:color w:val="auto"/>
          <w:sz w:val="28"/>
          <w:szCs w:val="28"/>
          <w:highlight w:val="none"/>
          <w:lang w:val="en-US" w:eastAsia="zh-CN"/>
        </w:rPr>
        <w:t>12.7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，如水库水位在水位</w:t>
      </w:r>
      <w:r>
        <w:rPr>
          <w:rFonts w:hint="eastAsia" w:eastAsia="楷体"/>
          <w:color w:val="auto"/>
          <w:sz w:val="28"/>
          <w:szCs w:val="28"/>
          <w:highlight w:val="none"/>
          <w:lang w:val="en-US" w:eastAsia="zh-CN"/>
        </w:rPr>
        <w:t>25.1</w:t>
      </w:r>
      <w:r>
        <w:rPr>
          <w:rFonts w:eastAsia="楷体"/>
          <w:color w:val="auto"/>
          <w:sz w:val="28"/>
          <w:szCs w:val="28"/>
          <w:highlight w:val="none"/>
        </w:rPr>
        <w:t>m以下，可不考虑水库泄洪；如水库水位在水位</w:t>
      </w:r>
      <w:r>
        <w:rPr>
          <w:rFonts w:hint="eastAsia" w:eastAsia="楷体"/>
          <w:color w:val="auto"/>
          <w:sz w:val="28"/>
          <w:szCs w:val="28"/>
          <w:highlight w:val="none"/>
          <w:lang w:val="en-US" w:eastAsia="zh-CN"/>
        </w:rPr>
        <w:t>25.1</w:t>
      </w:r>
      <w:r>
        <w:rPr>
          <w:rFonts w:eastAsia="楷体"/>
          <w:color w:val="auto"/>
          <w:sz w:val="28"/>
          <w:szCs w:val="28"/>
          <w:highlight w:val="none"/>
        </w:rPr>
        <w:t>m以上，可在收到泉州市气象部门预警后，先预泄腾空库容迎峰，使水库水位降至水位</w:t>
      </w:r>
      <w:r>
        <w:rPr>
          <w:rFonts w:hint="eastAsia" w:eastAsia="楷体"/>
          <w:color w:val="auto"/>
          <w:sz w:val="28"/>
          <w:szCs w:val="28"/>
          <w:highlight w:val="none"/>
          <w:lang w:val="en-US" w:eastAsia="zh-CN"/>
        </w:rPr>
        <w:t>25.1</w:t>
      </w:r>
      <w:r>
        <w:rPr>
          <w:rFonts w:eastAsia="楷体"/>
          <w:color w:val="auto"/>
          <w:sz w:val="28"/>
          <w:szCs w:val="28"/>
          <w:highlight w:val="none"/>
        </w:rPr>
        <w:t>m以下。</w:t>
      </w:r>
    </w:p>
    <w:p w14:paraId="5AE24034">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4、预警预报制度</w:t>
      </w:r>
    </w:p>
    <w:p w14:paraId="588043A0">
      <w:pPr>
        <w:spacing w:line="520" w:lineRule="exact"/>
        <w:ind w:firstLine="560" w:firstLineChars="200"/>
        <w:rPr>
          <w:rFonts w:eastAsia="楷体"/>
          <w:color w:val="auto"/>
          <w:sz w:val="28"/>
          <w:szCs w:val="28"/>
          <w:highlight w:val="none"/>
        </w:rPr>
      </w:pPr>
      <w:r>
        <w:rPr>
          <w:rFonts w:hint="default" w:ascii="Times New Roman" w:hAnsi="Times New Roman" w:eastAsia="楷体" w:cs="Times New Roman"/>
          <w:color w:val="auto"/>
          <w:sz w:val="28"/>
          <w:szCs w:val="28"/>
          <w:highlight w:val="none"/>
          <w:lang w:val="en-US" w:eastAsia="zh-CN"/>
        </w:rPr>
        <w:t>由于下游沿岸有</w:t>
      </w:r>
      <w:r>
        <w:rPr>
          <w:rFonts w:hint="eastAsia" w:eastAsia="楷体" w:cs="Times New Roman"/>
          <w:color w:val="auto"/>
          <w:sz w:val="28"/>
          <w:szCs w:val="28"/>
          <w:highlight w:val="none"/>
          <w:lang w:val="en-US" w:eastAsia="zh-CN"/>
        </w:rPr>
        <w:t>一定的</w:t>
      </w:r>
      <w:r>
        <w:rPr>
          <w:rFonts w:hint="default" w:ascii="Times New Roman" w:hAnsi="Times New Roman" w:eastAsia="楷体" w:cs="Times New Roman"/>
          <w:color w:val="auto"/>
          <w:sz w:val="28"/>
          <w:szCs w:val="28"/>
          <w:highlight w:val="none"/>
          <w:lang w:val="en-US" w:eastAsia="zh-CN"/>
        </w:rPr>
        <w:t>居民，沿河人类活动较为频繁，为避免发生意外事件，若泄流量大于10m</w:t>
      </w:r>
      <w:r>
        <w:rPr>
          <w:rFonts w:hint="default" w:ascii="Times New Roman" w:hAnsi="Times New Roman" w:eastAsia="楷体" w:cs="Times New Roman"/>
          <w:color w:val="auto"/>
          <w:sz w:val="28"/>
          <w:szCs w:val="28"/>
          <w:highlight w:val="none"/>
          <w:vertAlign w:val="superscript"/>
          <w:lang w:val="en-US" w:eastAsia="zh-CN"/>
        </w:rPr>
        <w:t>3</w:t>
      </w:r>
      <w:r>
        <w:rPr>
          <w:rFonts w:hint="default" w:ascii="Times New Roman" w:hAnsi="Times New Roman" w:eastAsia="楷体" w:cs="Times New Roman"/>
          <w:color w:val="auto"/>
          <w:sz w:val="28"/>
          <w:szCs w:val="28"/>
          <w:highlight w:val="none"/>
          <w:lang w:val="en-US" w:eastAsia="zh-CN"/>
        </w:rPr>
        <w:t>/s，</w:t>
      </w:r>
      <w:r>
        <w:rPr>
          <w:rFonts w:hint="eastAsia" w:eastAsia="楷体" w:cs="Times New Roman"/>
          <w:color w:val="auto"/>
          <w:sz w:val="28"/>
          <w:szCs w:val="28"/>
          <w:highlight w:val="none"/>
          <w:lang w:val="en-US" w:eastAsia="zh-CN"/>
        </w:rPr>
        <w:t>即水库水位大于28.78m时，</w:t>
      </w:r>
      <w:r>
        <w:rPr>
          <w:rFonts w:hint="default" w:ascii="Times New Roman" w:hAnsi="Times New Roman" w:eastAsia="楷体" w:cs="Times New Roman"/>
          <w:color w:val="auto"/>
          <w:sz w:val="28"/>
          <w:szCs w:val="28"/>
          <w:highlight w:val="none"/>
          <w:lang w:val="en-US" w:eastAsia="zh-CN"/>
        </w:rPr>
        <w:t>要</w:t>
      </w:r>
      <w:r>
        <w:rPr>
          <w:rFonts w:hint="eastAsia" w:ascii="Times New Roman" w:hAnsi="Times New Roman" w:eastAsia="楷体" w:cs="Times New Roman"/>
          <w:color w:val="auto"/>
          <w:sz w:val="28"/>
          <w:szCs w:val="28"/>
          <w:highlight w:val="none"/>
          <w:lang w:val="en-US" w:eastAsia="zh-CN"/>
        </w:rPr>
        <w:t>立即</w:t>
      </w:r>
      <w:r>
        <w:rPr>
          <w:rFonts w:hint="eastAsia" w:eastAsia="楷体" w:cs="Times New Roman"/>
          <w:color w:val="auto"/>
          <w:sz w:val="28"/>
          <w:szCs w:val="28"/>
          <w:highlight w:val="none"/>
          <w:lang w:val="en-US" w:eastAsia="zh-CN"/>
        </w:rPr>
        <w:t>将水位情况</w:t>
      </w:r>
      <w:r>
        <w:rPr>
          <w:rFonts w:hint="default" w:ascii="Times New Roman" w:hAnsi="Times New Roman" w:eastAsia="楷体" w:cs="Times New Roman"/>
          <w:color w:val="auto"/>
          <w:sz w:val="28"/>
          <w:szCs w:val="28"/>
          <w:highlight w:val="none"/>
          <w:lang w:val="en-US" w:eastAsia="zh-CN"/>
        </w:rPr>
        <w:t>上报</w:t>
      </w:r>
      <w:r>
        <w:rPr>
          <w:rFonts w:hint="eastAsia" w:eastAsia="楷体" w:cs="Times New Roman"/>
          <w:color w:val="auto"/>
          <w:sz w:val="28"/>
          <w:szCs w:val="28"/>
          <w:highlight w:val="none"/>
          <w:lang w:val="en-US" w:eastAsia="zh-CN"/>
        </w:rPr>
        <w:t>泉港区农水局</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并</w:t>
      </w:r>
      <w:r>
        <w:rPr>
          <w:rFonts w:hint="default" w:ascii="Times New Roman" w:hAnsi="Times New Roman" w:eastAsia="楷体" w:cs="Times New Roman"/>
          <w:color w:val="auto"/>
          <w:sz w:val="28"/>
          <w:szCs w:val="28"/>
          <w:highlight w:val="none"/>
          <w:lang w:val="en-US" w:eastAsia="zh-CN"/>
        </w:rPr>
        <w:t>通知</w:t>
      </w:r>
      <w:r>
        <w:rPr>
          <w:rFonts w:hint="eastAsia" w:eastAsia="楷体" w:cs="Times New Roman"/>
          <w:color w:val="auto"/>
          <w:sz w:val="28"/>
          <w:szCs w:val="28"/>
          <w:highlight w:val="none"/>
          <w:lang w:val="en-US" w:eastAsia="zh-CN"/>
        </w:rPr>
        <w:t>下游各村庄</w:t>
      </w:r>
      <w:r>
        <w:rPr>
          <w:rFonts w:hint="default" w:ascii="Times New Roman" w:hAnsi="Times New Roman" w:eastAsia="楷体" w:cs="Times New Roman"/>
          <w:color w:val="auto"/>
          <w:sz w:val="28"/>
          <w:szCs w:val="28"/>
          <w:highlight w:val="none"/>
          <w:lang w:val="en-US" w:eastAsia="zh-CN"/>
        </w:rPr>
        <w:t>，做好防范工作</w:t>
      </w:r>
      <w:r>
        <w:rPr>
          <w:rFonts w:hint="eastAsia" w:eastAsia="楷体"/>
          <w:color w:val="auto"/>
          <w:sz w:val="28"/>
          <w:szCs w:val="28"/>
          <w:highlight w:val="none"/>
          <w:lang w:val="en-US" w:eastAsia="zh-CN"/>
        </w:rPr>
        <w:t>。</w:t>
      </w:r>
    </w:p>
    <w:p w14:paraId="11B94E0B">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5、四清水库泄洪对下游河道的防洪调度影响</w:t>
      </w:r>
    </w:p>
    <w:p w14:paraId="26998F5B">
      <w:pPr>
        <w:spacing w:line="520" w:lineRule="exact"/>
        <w:ind w:firstLine="560" w:firstLineChars="200"/>
        <w:rPr>
          <w:rFonts w:eastAsia="楷体"/>
          <w:color w:val="auto"/>
          <w:sz w:val="28"/>
          <w:szCs w:val="28"/>
          <w:highlight w:val="none"/>
        </w:rPr>
      </w:pPr>
      <w:r>
        <w:rPr>
          <w:rFonts w:eastAsia="楷体"/>
          <w:color w:val="auto"/>
          <w:sz w:val="28"/>
          <w:highlight w:val="none"/>
        </w:rPr>
        <w:t>四清水库在一定程度上提高了下游罗溪河道的防洪能力，起到了一定的削峰调洪作用，在</w:t>
      </w:r>
      <w:r>
        <w:rPr>
          <w:rFonts w:hint="eastAsia" w:eastAsia="楷体"/>
          <w:color w:val="auto"/>
          <w:sz w:val="28"/>
          <w:highlight w:val="none"/>
          <w:lang w:val="en-US" w:eastAsia="zh-CN"/>
        </w:rPr>
        <w:t>2</w:t>
      </w:r>
      <w:r>
        <w:rPr>
          <w:rFonts w:eastAsia="楷体"/>
          <w:color w:val="auto"/>
          <w:sz w:val="28"/>
          <w:highlight w:val="none"/>
        </w:rPr>
        <w:t>0年一遇情况下，四清水库的削峰值达</w:t>
      </w:r>
      <w:r>
        <w:rPr>
          <w:rFonts w:hint="eastAsia" w:eastAsia="楷体"/>
          <w:color w:val="auto"/>
          <w:sz w:val="28"/>
          <w:highlight w:val="none"/>
          <w:lang w:val="en-US" w:eastAsia="zh-CN"/>
        </w:rPr>
        <w:t>6.51</w:t>
      </w:r>
      <w:r>
        <w:rPr>
          <w:rFonts w:eastAsia="楷体"/>
          <w:color w:val="auto"/>
          <w:sz w:val="28"/>
          <w:highlight w:val="none"/>
        </w:rPr>
        <w:t>m</w:t>
      </w:r>
      <w:r>
        <w:rPr>
          <w:rFonts w:eastAsia="楷体"/>
          <w:color w:val="auto"/>
          <w:sz w:val="28"/>
          <w:highlight w:val="none"/>
          <w:vertAlign w:val="superscript"/>
        </w:rPr>
        <w:t>3</w:t>
      </w:r>
      <w:r>
        <w:rPr>
          <w:rFonts w:eastAsia="楷体"/>
          <w:color w:val="auto"/>
          <w:sz w:val="28"/>
          <w:highlight w:val="none"/>
        </w:rPr>
        <w:t>/s。</w:t>
      </w:r>
    </w:p>
    <w:p w14:paraId="2963ADDB">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6、突发事件调度</w:t>
      </w:r>
    </w:p>
    <w:p w14:paraId="06D3881A">
      <w:pPr>
        <w:spacing w:line="520" w:lineRule="exact"/>
        <w:ind w:firstLine="560" w:firstLineChars="200"/>
        <w:rPr>
          <w:rFonts w:eastAsia="楷体"/>
          <w:color w:val="auto"/>
          <w:sz w:val="28"/>
          <w:szCs w:val="28"/>
          <w:highlight w:val="none"/>
        </w:rPr>
      </w:pPr>
      <w:r>
        <w:rPr>
          <w:rFonts w:eastAsia="楷体"/>
          <w:color w:val="auto"/>
          <w:sz w:val="28"/>
          <w:szCs w:val="28"/>
          <w:highlight w:val="none"/>
        </w:rPr>
        <w:t>一旦突发性事件发生时，立即启动应急预案，服从</w:t>
      </w:r>
      <w:r>
        <w:rPr>
          <w:rFonts w:hint="eastAsia" w:eastAsia="楷体"/>
          <w:color w:val="auto"/>
          <w:sz w:val="28"/>
          <w:szCs w:val="28"/>
          <w:highlight w:val="none"/>
        </w:rPr>
        <w:t>泉港区</w:t>
      </w:r>
      <w:r>
        <w:rPr>
          <w:rFonts w:eastAsia="楷体"/>
          <w:color w:val="auto"/>
          <w:sz w:val="28"/>
          <w:szCs w:val="28"/>
          <w:highlight w:val="none"/>
        </w:rPr>
        <w:t>人民政府防汛抗旱指挥部调度安排，水库具体应急措施包括：</w:t>
      </w:r>
    </w:p>
    <w:p w14:paraId="1CD9D8FB">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07DD8DDB">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2、提前2个小时通知下游的有关村落及有关单位等，主要是坑内村及前黄镇政府。</w:t>
      </w:r>
    </w:p>
    <w:p w14:paraId="125E1A1D">
      <w:pPr>
        <w:spacing w:line="520" w:lineRule="exact"/>
        <w:ind w:firstLine="560" w:firstLineChars="200"/>
        <w:rPr>
          <w:rFonts w:eastAsia="楷体"/>
          <w:color w:val="auto"/>
          <w:sz w:val="28"/>
          <w:szCs w:val="28"/>
          <w:highlight w:val="none"/>
        </w:rPr>
      </w:pPr>
      <w:r>
        <w:rPr>
          <w:rFonts w:eastAsia="楷体"/>
          <w:color w:val="auto"/>
          <w:sz w:val="28"/>
          <w:szCs w:val="28"/>
          <w:highlight w:val="none"/>
        </w:rPr>
        <w:t>3、动员邻近乡村的抗洪抢险队伍编好梯队，并调动交通运输工具待命。</w:t>
      </w:r>
    </w:p>
    <w:p w14:paraId="0EB28A3E">
      <w:pPr>
        <w:spacing w:line="520" w:lineRule="exact"/>
        <w:ind w:firstLine="562" w:firstLineChars="200"/>
        <w:rPr>
          <w:rFonts w:eastAsia="楷体"/>
          <w:bCs/>
          <w:color w:val="auto"/>
          <w:sz w:val="28"/>
          <w:szCs w:val="28"/>
          <w:highlight w:val="none"/>
        </w:rPr>
      </w:pPr>
      <w:r>
        <w:rPr>
          <w:rFonts w:eastAsia="楷体"/>
          <w:b/>
          <w:bCs/>
          <w:color w:val="auto"/>
          <w:sz w:val="28"/>
          <w:szCs w:val="28"/>
          <w:highlight w:val="none"/>
        </w:rPr>
        <w:t>防洪调度注意事项：</w:t>
      </w:r>
      <w:r>
        <w:rPr>
          <w:rFonts w:eastAsia="楷体"/>
          <w:bCs/>
          <w:color w:val="auto"/>
          <w:sz w:val="28"/>
          <w:szCs w:val="28"/>
          <w:highlight w:val="none"/>
        </w:rPr>
        <w:t>四清水库防洪调度注意事项：一是要严格执行上级防汛部门下达的调指</w:t>
      </w:r>
      <w:r>
        <w:rPr>
          <w:rFonts w:eastAsia="楷体"/>
          <w:color w:val="auto"/>
          <w:sz w:val="28"/>
          <w:szCs w:val="28"/>
          <w:highlight w:val="none"/>
        </w:rPr>
        <w:t>令；二是要</w:t>
      </w:r>
      <w:r>
        <w:rPr>
          <w:rFonts w:eastAsia="楷体"/>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012C679C">
      <w:pPr>
        <w:spacing w:line="520" w:lineRule="exact"/>
        <w:ind w:firstLine="560" w:firstLineChars="200"/>
        <w:rPr>
          <w:rFonts w:eastAsia="楷体"/>
          <w:color w:val="auto"/>
          <w:sz w:val="28"/>
          <w:szCs w:val="28"/>
          <w:highlight w:val="none"/>
        </w:rPr>
      </w:pPr>
    </w:p>
    <w:p w14:paraId="46479C19">
      <w:pPr>
        <w:spacing w:line="520" w:lineRule="exact"/>
        <w:ind w:firstLine="560" w:firstLineChars="200"/>
        <w:rPr>
          <w:rFonts w:eastAsia="楷体"/>
          <w:color w:val="auto"/>
          <w:sz w:val="28"/>
          <w:szCs w:val="28"/>
          <w:highlight w:val="none"/>
        </w:rPr>
      </w:pPr>
    </w:p>
    <w:p w14:paraId="0F286F3C">
      <w:pPr>
        <w:spacing w:line="520" w:lineRule="exact"/>
        <w:ind w:firstLine="560" w:firstLineChars="200"/>
        <w:rPr>
          <w:rFonts w:eastAsia="楷体"/>
          <w:color w:val="auto"/>
          <w:sz w:val="28"/>
          <w:szCs w:val="28"/>
          <w:highlight w:val="none"/>
        </w:rPr>
      </w:pPr>
    </w:p>
    <w:p w14:paraId="27551A48">
      <w:pPr>
        <w:spacing w:line="520" w:lineRule="exact"/>
        <w:ind w:firstLine="560" w:firstLineChars="200"/>
        <w:rPr>
          <w:rFonts w:eastAsia="楷体"/>
          <w:color w:val="auto"/>
          <w:sz w:val="28"/>
          <w:szCs w:val="28"/>
          <w:highlight w:val="none"/>
        </w:rPr>
      </w:pPr>
    </w:p>
    <w:p w14:paraId="390DEFC9">
      <w:pPr>
        <w:adjustRightInd w:val="0"/>
        <w:snapToGrid w:val="0"/>
        <w:spacing w:before="156" w:beforeLines="50" w:after="156" w:afterLines="50"/>
        <w:jc w:val="center"/>
        <w:outlineLvl w:val="0"/>
        <w:rPr>
          <w:rStyle w:val="50"/>
          <w:rFonts w:eastAsia="楷体"/>
          <w:b/>
          <w:bCs/>
          <w:color w:val="auto"/>
          <w:sz w:val="36"/>
          <w:szCs w:val="36"/>
          <w:highlight w:val="none"/>
        </w:rPr>
        <w:sectPr>
          <w:footerReference r:id="rId9" w:type="default"/>
          <w:pgSz w:w="11907" w:h="16840"/>
          <w:pgMar w:top="1418" w:right="1418" w:bottom="1418" w:left="1418" w:header="851" w:footer="992" w:gutter="0"/>
          <w:pgNumType w:fmt="numberInDash"/>
          <w:cols w:space="720" w:num="1"/>
          <w:docGrid w:type="lines" w:linePitch="312" w:charSpace="0"/>
        </w:sectPr>
      </w:pPr>
      <w:bookmarkStart w:id="77" w:name="_Toc21184"/>
    </w:p>
    <w:p w14:paraId="41BC9CE4">
      <w:pPr>
        <w:adjustRightInd w:val="0"/>
        <w:snapToGrid w:val="0"/>
        <w:spacing w:before="156" w:beforeLines="50" w:after="156" w:afterLines="50"/>
        <w:jc w:val="center"/>
        <w:outlineLvl w:val="0"/>
        <w:rPr>
          <w:rStyle w:val="50"/>
          <w:rFonts w:eastAsia="楷体"/>
          <w:b/>
          <w:bCs/>
          <w:color w:val="auto"/>
          <w:sz w:val="36"/>
          <w:szCs w:val="36"/>
          <w:highlight w:val="none"/>
        </w:rPr>
      </w:pPr>
      <w:bookmarkStart w:id="78" w:name="_Toc31600"/>
      <w:r>
        <w:rPr>
          <w:rStyle w:val="50"/>
          <w:rFonts w:eastAsia="楷体"/>
          <w:b/>
          <w:bCs/>
          <w:color w:val="auto"/>
          <w:sz w:val="36"/>
          <w:szCs w:val="36"/>
          <w:highlight w:val="none"/>
        </w:rPr>
        <w:t>3突发事件危害性分析</w:t>
      </w:r>
      <w:bookmarkEnd w:id="77"/>
      <w:bookmarkEnd w:id="78"/>
    </w:p>
    <w:p w14:paraId="28FD40EF">
      <w:pPr>
        <w:spacing w:before="156" w:beforeLines="50" w:after="156" w:afterLines="50"/>
        <w:outlineLvl w:val="1"/>
        <w:rPr>
          <w:rFonts w:eastAsia="楷体"/>
          <w:b/>
          <w:color w:val="auto"/>
          <w:sz w:val="32"/>
          <w:szCs w:val="30"/>
          <w:highlight w:val="none"/>
        </w:rPr>
      </w:pPr>
      <w:bookmarkStart w:id="79" w:name="_Toc32753"/>
      <w:bookmarkStart w:id="80" w:name="_Toc10930"/>
      <w:r>
        <w:rPr>
          <w:rFonts w:eastAsia="楷体"/>
          <w:b/>
          <w:color w:val="auto"/>
          <w:sz w:val="32"/>
          <w:szCs w:val="30"/>
          <w:highlight w:val="none"/>
        </w:rPr>
        <w:t>3.1 重大工程险情分析</w:t>
      </w:r>
      <w:bookmarkEnd w:id="79"/>
      <w:bookmarkEnd w:id="80"/>
    </w:p>
    <w:p w14:paraId="7081CBC5">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四清水库属于</w:t>
      </w:r>
      <w:r>
        <w:rPr>
          <w:rFonts w:hint="eastAsia" w:eastAsia="楷体"/>
          <w:color w:val="auto"/>
          <w:sz w:val="28"/>
          <w:szCs w:val="28"/>
          <w:highlight w:val="none"/>
        </w:rPr>
        <w:t>小（2）</w:t>
      </w:r>
      <w:r>
        <w:rPr>
          <w:rFonts w:eastAsia="楷体"/>
          <w:color w:val="auto"/>
          <w:sz w:val="28"/>
          <w:szCs w:val="28"/>
          <w:highlight w:val="none"/>
        </w:rPr>
        <w:t>型水库，根据以往水库运行情况，可能导致水库工程出现重大险情的主要因素有：超标准洪水、地质灾害、地震灾害等，以上因素可能导致水库出现重大险情的种类有：水库库区周边山体出现滑坡，坝基渗漏、失稳，溃坝。若出现水库周边山体滑坡，坝基渗漏、失稳，启闭设备失灵等重大险情，可能导致坝体受损变得单薄，水库水位迅速升高，大坝本身无法承受巨大压力而发生倾覆或溃决，致使水库工程受损无法发挥其效益，同时也会对下游的城镇、人民群众的生命及财产安全、电力设施、通讯设施造成不可估量的损失。</w:t>
      </w:r>
    </w:p>
    <w:p w14:paraId="05608D5F">
      <w:pPr>
        <w:spacing w:before="156" w:beforeLines="50" w:after="156" w:afterLines="50"/>
        <w:outlineLvl w:val="1"/>
        <w:rPr>
          <w:rFonts w:eastAsia="楷体"/>
          <w:b/>
          <w:color w:val="auto"/>
          <w:sz w:val="32"/>
          <w:szCs w:val="30"/>
          <w:highlight w:val="none"/>
        </w:rPr>
      </w:pPr>
      <w:bookmarkStart w:id="81" w:name="_Toc11763"/>
      <w:bookmarkStart w:id="82" w:name="_Toc12151"/>
      <w:r>
        <w:rPr>
          <w:rFonts w:eastAsia="楷体"/>
          <w:b/>
          <w:color w:val="auto"/>
          <w:sz w:val="32"/>
          <w:szCs w:val="30"/>
          <w:highlight w:val="none"/>
        </w:rPr>
        <w:t>3.2 突发事件（溃坝）危害性分析</w:t>
      </w:r>
      <w:bookmarkEnd w:id="81"/>
      <w:bookmarkEnd w:id="82"/>
    </w:p>
    <w:p w14:paraId="3D229688">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四清水库总库容</w:t>
      </w:r>
      <w:r>
        <w:rPr>
          <w:rFonts w:hint="eastAsia" w:eastAsia="楷体"/>
          <w:color w:val="auto"/>
          <w:sz w:val="28"/>
          <w:szCs w:val="28"/>
          <w:highlight w:val="none"/>
        </w:rPr>
        <w:t>30.87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，为小（</w:t>
      </w:r>
      <w:r>
        <w:rPr>
          <w:rFonts w:hint="eastAsia" w:eastAsia="楷体"/>
          <w:color w:val="auto"/>
          <w:sz w:val="28"/>
          <w:szCs w:val="28"/>
          <w:highlight w:val="none"/>
        </w:rPr>
        <w:t>2</w:t>
      </w:r>
      <w:r>
        <w:rPr>
          <w:rFonts w:eastAsia="楷体"/>
          <w:color w:val="auto"/>
          <w:sz w:val="28"/>
          <w:szCs w:val="28"/>
          <w:highlight w:val="none"/>
        </w:rPr>
        <w:t>）型水库，主要建筑物的设计标准按洪水重现期为</w:t>
      </w:r>
      <w:r>
        <w:rPr>
          <w:rFonts w:hint="eastAsia" w:eastAsia="楷体"/>
          <w:color w:val="auto"/>
          <w:sz w:val="28"/>
          <w:szCs w:val="28"/>
          <w:highlight w:val="none"/>
        </w:rPr>
        <w:t>2</w:t>
      </w:r>
      <w:r>
        <w:rPr>
          <w:rFonts w:eastAsia="楷体"/>
          <w:color w:val="auto"/>
          <w:sz w:val="28"/>
          <w:szCs w:val="28"/>
          <w:highlight w:val="none"/>
        </w:rPr>
        <w:t>0年，相应的洪水位</w:t>
      </w:r>
      <w:r>
        <w:rPr>
          <w:rFonts w:hint="eastAsia" w:eastAsia="楷体"/>
          <w:color w:val="auto"/>
          <w:sz w:val="28"/>
          <w:szCs w:val="28"/>
          <w:highlight w:val="none"/>
        </w:rPr>
        <w:t>28.56</w:t>
      </w:r>
      <w:r>
        <w:rPr>
          <w:rFonts w:eastAsia="楷体"/>
          <w:color w:val="auto"/>
          <w:sz w:val="28"/>
          <w:szCs w:val="28"/>
          <w:highlight w:val="none"/>
        </w:rPr>
        <w:t>m，校核标准按洪水重现期为</w:t>
      </w:r>
      <w:r>
        <w:rPr>
          <w:rFonts w:hint="eastAsia" w:eastAsia="楷体"/>
          <w:color w:val="auto"/>
          <w:sz w:val="28"/>
          <w:szCs w:val="28"/>
          <w:highlight w:val="none"/>
        </w:rPr>
        <w:t>3</w:t>
      </w:r>
      <w:r>
        <w:rPr>
          <w:rFonts w:eastAsia="楷体"/>
          <w:color w:val="auto"/>
          <w:sz w:val="28"/>
          <w:szCs w:val="28"/>
          <w:highlight w:val="none"/>
        </w:rPr>
        <w:t>00年，相应的洪水位</w:t>
      </w:r>
      <w:r>
        <w:rPr>
          <w:rFonts w:hint="eastAsia" w:eastAsia="楷体"/>
          <w:color w:val="auto"/>
          <w:sz w:val="28"/>
          <w:szCs w:val="28"/>
          <w:highlight w:val="none"/>
        </w:rPr>
        <w:t>28.81</w:t>
      </w:r>
      <w:r>
        <w:rPr>
          <w:rFonts w:eastAsia="楷体"/>
          <w:color w:val="auto"/>
          <w:sz w:val="28"/>
          <w:szCs w:val="28"/>
          <w:highlight w:val="none"/>
        </w:rPr>
        <w:t>m。水库在正常蓄水位下运行，一般不会出现超标准洪水漫顶溃决的情况。</w:t>
      </w:r>
    </w:p>
    <w:p w14:paraId="5E068C6F">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四清水库近几年的运行情况，正常运行时发生溃坝的可能极小，可能导致水库大坝溃决的主要因素有：超标准洪水、工程隐患、地质灾害、地震灾害、战争或恐怖事件等，以上因素可能导致水库出现重大险情的种类有：水库库区周边山体出现滑坡，坝基渗漏、失稳，溃坝。当引起大坝溃坝时，其坝址处的最大溃坝流量可达到</w:t>
      </w:r>
      <w:r>
        <w:rPr>
          <w:rFonts w:hint="eastAsia" w:eastAsia="楷体"/>
          <w:color w:val="auto"/>
          <w:sz w:val="28"/>
          <w:szCs w:val="28"/>
          <w:highlight w:val="none"/>
          <w:lang w:val="en-US" w:eastAsia="zh-CN"/>
        </w:rPr>
        <w:t>3590</w:t>
      </w:r>
      <w:r>
        <w:rPr>
          <w:rFonts w:eastAsia="楷体"/>
          <w:color w:val="auto"/>
          <w:sz w:val="28"/>
          <w:szCs w:val="28"/>
          <w:highlight w:val="none"/>
        </w:rPr>
        <w:t>m</w:t>
      </w:r>
      <w:r>
        <w:rPr>
          <w:rFonts w:eastAsia="楷体"/>
          <w:color w:val="auto"/>
          <w:sz w:val="28"/>
          <w:szCs w:val="28"/>
          <w:highlight w:val="none"/>
          <w:vertAlign w:val="superscript"/>
        </w:rPr>
        <w:t>3</w:t>
      </w:r>
      <w:r>
        <w:rPr>
          <w:rFonts w:eastAsia="楷体"/>
          <w:color w:val="auto"/>
          <w:sz w:val="28"/>
          <w:szCs w:val="28"/>
          <w:highlight w:val="none"/>
        </w:rPr>
        <w:t>/s，将直接威胁到水库下游沿岸人民的生命财产安全。</w:t>
      </w:r>
    </w:p>
    <w:p w14:paraId="5C1CBDCC">
      <w:pPr>
        <w:spacing w:before="156" w:beforeLines="50" w:after="156" w:afterLines="50"/>
        <w:outlineLvl w:val="1"/>
        <w:rPr>
          <w:rFonts w:eastAsia="楷体"/>
          <w:b/>
          <w:color w:val="auto"/>
          <w:sz w:val="32"/>
          <w:szCs w:val="30"/>
          <w:highlight w:val="none"/>
        </w:rPr>
      </w:pPr>
      <w:bookmarkStart w:id="83" w:name="_Toc13"/>
      <w:bookmarkStart w:id="84" w:name="_Toc17799"/>
      <w:r>
        <w:rPr>
          <w:rFonts w:eastAsia="楷体"/>
          <w:b/>
          <w:color w:val="auto"/>
          <w:sz w:val="32"/>
          <w:szCs w:val="30"/>
          <w:highlight w:val="none"/>
        </w:rPr>
        <w:t>3.3 溃坝失事造成下游经济和社会损失影响分析</w:t>
      </w:r>
      <w:bookmarkEnd w:id="83"/>
      <w:bookmarkEnd w:id="84"/>
    </w:p>
    <w:p w14:paraId="39B87494">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四清水库溃坝将直接威胁到水库下游</w:t>
      </w:r>
      <w:r>
        <w:rPr>
          <w:rFonts w:hint="eastAsia" w:eastAsia="楷体"/>
          <w:color w:val="auto"/>
          <w:sz w:val="28"/>
          <w:szCs w:val="28"/>
          <w:highlight w:val="none"/>
          <w:lang w:eastAsia="zh-CN"/>
        </w:rPr>
        <w:t>前黄</w:t>
      </w:r>
      <w:r>
        <w:rPr>
          <w:rFonts w:eastAsia="楷体"/>
          <w:color w:val="auto"/>
          <w:sz w:val="28"/>
          <w:szCs w:val="28"/>
          <w:highlight w:val="none"/>
        </w:rPr>
        <w:t>镇镇区的人民群众生命、财产的安全。通过四清水库溃坝流量演算至下游，</w:t>
      </w:r>
      <w:r>
        <w:rPr>
          <w:rFonts w:hint="eastAsia" w:eastAsia="楷体"/>
          <w:color w:val="auto"/>
          <w:sz w:val="28"/>
          <w:szCs w:val="28"/>
          <w:highlight w:val="none"/>
        </w:rPr>
        <w:t>坑内村</w:t>
      </w:r>
      <w:r>
        <w:rPr>
          <w:rFonts w:eastAsia="楷体"/>
          <w:color w:val="auto"/>
          <w:sz w:val="28"/>
          <w:szCs w:val="28"/>
          <w:highlight w:val="none"/>
        </w:rPr>
        <w:t>处的流量将达到</w:t>
      </w:r>
      <w:r>
        <w:rPr>
          <w:rFonts w:hint="eastAsia" w:eastAsia="楷体"/>
          <w:color w:val="auto"/>
          <w:sz w:val="28"/>
          <w:szCs w:val="28"/>
          <w:highlight w:val="none"/>
          <w:lang w:val="en-US" w:eastAsia="zh-CN"/>
        </w:rPr>
        <w:t>950</w:t>
      </w:r>
      <w:r>
        <w:rPr>
          <w:rFonts w:eastAsia="楷体"/>
          <w:color w:val="auto"/>
          <w:sz w:val="28"/>
          <w:szCs w:val="28"/>
          <w:highlight w:val="none"/>
        </w:rPr>
        <w:t>m</w:t>
      </w:r>
      <w:r>
        <w:rPr>
          <w:rFonts w:eastAsia="楷体"/>
          <w:color w:val="auto"/>
          <w:sz w:val="28"/>
          <w:szCs w:val="28"/>
          <w:highlight w:val="none"/>
          <w:vertAlign w:val="superscript"/>
        </w:rPr>
        <w:t>3</w:t>
      </w:r>
      <w:r>
        <w:rPr>
          <w:rFonts w:eastAsia="楷体"/>
          <w:color w:val="auto"/>
          <w:sz w:val="28"/>
          <w:szCs w:val="28"/>
          <w:highlight w:val="none"/>
        </w:rPr>
        <w:t>/s，超2000年一遇以上流量，可见，溃坝流量传播速度之快，流量之大，给下游造成损失是不可估量。</w:t>
      </w:r>
    </w:p>
    <w:p w14:paraId="63D8139E">
      <w:pPr>
        <w:spacing w:line="520" w:lineRule="exact"/>
        <w:ind w:firstLine="640" w:firstLineChars="200"/>
        <w:rPr>
          <w:rFonts w:eastAsia="楷体"/>
          <w:color w:val="auto"/>
          <w:sz w:val="32"/>
          <w:szCs w:val="32"/>
          <w:highlight w:val="none"/>
        </w:rPr>
      </w:pPr>
    </w:p>
    <w:p w14:paraId="2E8D97F0">
      <w:pPr>
        <w:spacing w:line="520" w:lineRule="exact"/>
        <w:ind w:firstLine="640" w:firstLineChars="200"/>
        <w:rPr>
          <w:rFonts w:eastAsia="楷体"/>
          <w:color w:val="auto"/>
          <w:sz w:val="32"/>
          <w:szCs w:val="32"/>
          <w:highlight w:val="none"/>
        </w:rPr>
      </w:pPr>
    </w:p>
    <w:p w14:paraId="310499F2">
      <w:pPr>
        <w:spacing w:line="520" w:lineRule="exact"/>
        <w:ind w:firstLine="640" w:firstLineChars="200"/>
        <w:rPr>
          <w:rFonts w:eastAsia="楷体"/>
          <w:color w:val="auto"/>
          <w:sz w:val="32"/>
          <w:szCs w:val="32"/>
          <w:highlight w:val="none"/>
        </w:rPr>
      </w:pPr>
    </w:p>
    <w:p w14:paraId="171AD577">
      <w:pPr>
        <w:spacing w:line="520" w:lineRule="exact"/>
        <w:ind w:firstLine="640" w:firstLineChars="200"/>
        <w:rPr>
          <w:rFonts w:eastAsia="楷体"/>
          <w:color w:val="auto"/>
          <w:sz w:val="32"/>
          <w:szCs w:val="32"/>
          <w:highlight w:val="none"/>
        </w:rPr>
      </w:pPr>
    </w:p>
    <w:p w14:paraId="071E9DA4">
      <w:pPr>
        <w:spacing w:line="520" w:lineRule="exact"/>
        <w:ind w:firstLine="640" w:firstLineChars="200"/>
        <w:rPr>
          <w:rFonts w:eastAsia="楷体"/>
          <w:color w:val="auto"/>
          <w:sz w:val="32"/>
          <w:szCs w:val="32"/>
          <w:highlight w:val="none"/>
        </w:rPr>
      </w:pPr>
    </w:p>
    <w:p w14:paraId="7ECBA347">
      <w:pPr>
        <w:spacing w:line="520" w:lineRule="exact"/>
        <w:ind w:firstLine="640" w:firstLineChars="200"/>
        <w:rPr>
          <w:rFonts w:eastAsia="楷体"/>
          <w:color w:val="auto"/>
          <w:sz w:val="32"/>
          <w:szCs w:val="32"/>
          <w:highlight w:val="none"/>
        </w:rPr>
      </w:pPr>
    </w:p>
    <w:p w14:paraId="00427AE4">
      <w:pPr>
        <w:spacing w:line="520" w:lineRule="exact"/>
        <w:ind w:firstLine="640" w:firstLineChars="200"/>
        <w:rPr>
          <w:rFonts w:eastAsia="楷体"/>
          <w:color w:val="auto"/>
          <w:sz w:val="32"/>
          <w:szCs w:val="32"/>
          <w:highlight w:val="none"/>
        </w:rPr>
      </w:pPr>
    </w:p>
    <w:p w14:paraId="5D054D7C">
      <w:pPr>
        <w:spacing w:line="520" w:lineRule="exact"/>
        <w:ind w:firstLine="640" w:firstLineChars="200"/>
        <w:rPr>
          <w:rFonts w:eastAsia="楷体"/>
          <w:color w:val="auto"/>
          <w:sz w:val="32"/>
          <w:szCs w:val="32"/>
          <w:highlight w:val="none"/>
        </w:rPr>
      </w:pPr>
    </w:p>
    <w:p w14:paraId="01C19614">
      <w:pPr>
        <w:spacing w:line="520" w:lineRule="exact"/>
        <w:ind w:firstLine="640" w:firstLineChars="200"/>
        <w:rPr>
          <w:rFonts w:eastAsia="楷体"/>
          <w:color w:val="auto"/>
          <w:sz w:val="32"/>
          <w:szCs w:val="32"/>
          <w:highlight w:val="none"/>
        </w:rPr>
      </w:pPr>
    </w:p>
    <w:p w14:paraId="1252DDDA">
      <w:pPr>
        <w:spacing w:line="520" w:lineRule="exact"/>
        <w:ind w:firstLine="640" w:firstLineChars="200"/>
        <w:rPr>
          <w:rFonts w:eastAsia="楷体"/>
          <w:color w:val="auto"/>
          <w:sz w:val="32"/>
          <w:szCs w:val="32"/>
          <w:highlight w:val="none"/>
        </w:rPr>
      </w:pPr>
    </w:p>
    <w:p w14:paraId="0A3EBB6B">
      <w:pPr>
        <w:spacing w:line="520" w:lineRule="exact"/>
        <w:ind w:firstLine="640" w:firstLineChars="200"/>
        <w:rPr>
          <w:rFonts w:eastAsia="楷体"/>
          <w:color w:val="auto"/>
          <w:sz w:val="32"/>
          <w:szCs w:val="32"/>
          <w:highlight w:val="none"/>
        </w:rPr>
      </w:pPr>
    </w:p>
    <w:p w14:paraId="5E360AE3">
      <w:pPr>
        <w:spacing w:line="520" w:lineRule="exact"/>
        <w:ind w:firstLine="640" w:firstLineChars="200"/>
        <w:rPr>
          <w:rFonts w:eastAsia="楷体"/>
          <w:color w:val="auto"/>
          <w:sz w:val="32"/>
          <w:szCs w:val="32"/>
          <w:highlight w:val="none"/>
        </w:rPr>
      </w:pPr>
    </w:p>
    <w:p w14:paraId="7248B1A3">
      <w:pPr>
        <w:spacing w:line="520" w:lineRule="exact"/>
        <w:ind w:firstLine="640" w:firstLineChars="200"/>
        <w:rPr>
          <w:rFonts w:eastAsia="楷体"/>
          <w:color w:val="auto"/>
          <w:sz w:val="32"/>
          <w:szCs w:val="32"/>
          <w:highlight w:val="none"/>
        </w:rPr>
      </w:pPr>
    </w:p>
    <w:p w14:paraId="44619FF6">
      <w:pPr>
        <w:spacing w:line="520" w:lineRule="exact"/>
        <w:ind w:firstLine="640" w:firstLineChars="200"/>
        <w:rPr>
          <w:rFonts w:eastAsia="楷体"/>
          <w:color w:val="auto"/>
          <w:sz w:val="32"/>
          <w:szCs w:val="32"/>
          <w:highlight w:val="none"/>
        </w:rPr>
      </w:pPr>
    </w:p>
    <w:p w14:paraId="0029957B">
      <w:pPr>
        <w:spacing w:line="520" w:lineRule="exact"/>
        <w:ind w:firstLine="640" w:firstLineChars="200"/>
        <w:rPr>
          <w:rFonts w:eastAsia="楷体"/>
          <w:color w:val="auto"/>
          <w:sz w:val="32"/>
          <w:szCs w:val="32"/>
          <w:highlight w:val="none"/>
        </w:rPr>
      </w:pPr>
    </w:p>
    <w:p w14:paraId="3FFEAA33">
      <w:pPr>
        <w:spacing w:line="520" w:lineRule="exact"/>
        <w:ind w:firstLine="640" w:firstLineChars="200"/>
        <w:rPr>
          <w:rFonts w:eastAsia="楷体"/>
          <w:color w:val="auto"/>
          <w:sz w:val="32"/>
          <w:szCs w:val="32"/>
          <w:highlight w:val="none"/>
        </w:rPr>
      </w:pPr>
    </w:p>
    <w:p w14:paraId="15A27B84">
      <w:pPr>
        <w:spacing w:line="520" w:lineRule="exact"/>
        <w:ind w:firstLine="640" w:firstLineChars="200"/>
        <w:rPr>
          <w:rFonts w:eastAsia="楷体"/>
          <w:color w:val="auto"/>
          <w:sz w:val="32"/>
          <w:szCs w:val="32"/>
          <w:highlight w:val="none"/>
        </w:rPr>
      </w:pPr>
    </w:p>
    <w:p w14:paraId="34EDF002">
      <w:pPr>
        <w:spacing w:line="520" w:lineRule="exact"/>
        <w:ind w:firstLine="640" w:firstLineChars="200"/>
        <w:rPr>
          <w:rFonts w:eastAsia="楷体"/>
          <w:color w:val="auto"/>
          <w:sz w:val="32"/>
          <w:szCs w:val="32"/>
          <w:highlight w:val="none"/>
        </w:rPr>
      </w:pPr>
    </w:p>
    <w:p w14:paraId="5EC0488A">
      <w:pPr>
        <w:spacing w:line="520" w:lineRule="exact"/>
        <w:ind w:firstLine="640" w:firstLineChars="200"/>
        <w:rPr>
          <w:rFonts w:eastAsia="楷体"/>
          <w:color w:val="auto"/>
          <w:sz w:val="32"/>
          <w:szCs w:val="32"/>
          <w:highlight w:val="none"/>
        </w:rPr>
      </w:pPr>
    </w:p>
    <w:p w14:paraId="159A8677">
      <w:pPr>
        <w:spacing w:line="520" w:lineRule="exact"/>
        <w:ind w:firstLine="640" w:firstLineChars="200"/>
        <w:rPr>
          <w:rFonts w:eastAsia="楷体"/>
          <w:color w:val="auto"/>
          <w:sz w:val="32"/>
          <w:szCs w:val="32"/>
          <w:highlight w:val="none"/>
        </w:rPr>
      </w:pPr>
    </w:p>
    <w:p w14:paraId="4A76910E">
      <w:pPr>
        <w:spacing w:line="520" w:lineRule="exact"/>
        <w:ind w:firstLine="640" w:firstLineChars="200"/>
        <w:rPr>
          <w:rFonts w:eastAsia="楷体"/>
          <w:color w:val="auto"/>
          <w:sz w:val="32"/>
          <w:szCs w:val="32"/>
          <w:highlight w:val="none"/>
        </w:rPr>
      </w:pPr>
    </w:p>
    <w:p w14:paraId="5F177713">
      <w:pPr>
        <w:spacing w:line="520" w:lineRule="exact"/>
        <w:ind w:firstLine="640" w:firstLineChars="200"/>
        <w:rPr>
          <w:rFonts w:eastAsia="楷体"/>
          <w:color w:val="auto"/>
          <w:sz w:val="32"/>
          <w:szCs w:val="32"/>
          <w:highlight w:val="none"/>
        </w:rPr>
      </w:pPr>
    </w:p>
    <w:p w14:paraId="6A0D24AE">
      <w:pPr>
        <w:spacing w:line="520" w:lineRule="exact"/>
        <w:ind w:firstLine="640" w:firstLineChars="200"/>
        <w:rPr>
          <w:rFonts w:eastAsia="楷体"/>
          <w:color w:val="auto"/>
          <w:sz w:val="32"/>
          <w:szCs w:val="32"/>
          <w:highlight w:val="none"/>
        </w:rPr>
      </w:pPr>
    </w:p>
    <w:p w14:paraId="6582D0EC">
      <w:pPr>
        <w:spacing w:line="520" w:lineRule="exact"/>
        <w:ind w:firstLine="640" w:firstLineChars="200"/>
        <w:rPr>
          <w:rFonts w:eastAsia="楷体"/>
          <w:color w:val="auto"/>
          <w:sz w:val="32"/>
          <w:szCs w:val="32"/>
          <w:highlight w:val="none"/>
        </w:rPr>
      </w:pPr>
    </w:p>
    <w:p w14:paraId="59CC5866">
      <w:pPr>
        <w:adjustRightInd w:val="0"/>
        <w:snapToGrid w:val="0"/>
        <w:spacing w:line="520" w:lineRule="exact"/>
        <w:jc w:val="center"/>
        <w:outlineLvl w:val="0"/>
        <w:rPr>
          <w:rStyle w:val="50"/>
          <w:rFonts w:eastAsia="楷体"/>
          <w:b/>
          <w:bCs/>
          <w:color w:val="auto"/>
          <w:sz w:val="36"/>
          <w:szCs w:val="36"/>
          <w:highlight w:val="none"/>
        </w:rPr>
      </w:pPr>
      <w:bookmarkStart w:id="85" w:name="_Toc23917"/>
      <w:bookmarkStart w:id="86" w:name="_Toc9103"/>
      <w:r>
        <w:rPr>
          <w:rStyle w:val="50"/>
          <w:rFonts w:eastAsia="楷体"/>
          <w:b/>
          <w:bCs/>
          <w:color w:val="auto"/>
          <w:sz w:val="36"/>
          <w:szCs w:val="36"/>
          <w:highlight w:val="none"/>
        </w:rPr>
        <w:t>4 险情监测与报告</w:t>
      </w:r>
      <w:bookmarkEnd w:id="85"/>
      <w:bookmarkEnd w:id="86"/>
    </w:p>
    <w:p w14:paraId="2F4A8052">
      <w:pPr>
        <w:spacing w:before="156" w:beforeLines="50" w:after="156" w:afterLines="50"/>
        <w:jc w:val="left"/>
        <w:outlineLvl w:val="1"/>
        <w:rPr>
          <w:rFonts w:eastAsia="楷体"/>
          <w:b/>
          <w:color w:val="auto"/>
          <w:sz w:val="32"/>
          <w:szCs w:val="30"/>
          <w:highlight w:val="none"/>
        </w:rPr>
      </w:pPr>
      <w:bookmarkStart w:id="87" w:name="_Toc9065"/>
      <w:bookmarkStart w:id="88" w:name="_Toc28551"/>
      <w:r>
        <w:rPr>
          <w:rFonts w:eastAsia="楷体"/>
          <w:b/>
          <w:color w:val="auto"/>
          <w:sz w:val="32"/>
          <w:szCs w:val="30"/>
          <w:highlight w:val="none"/>
        </w:rPr>
        <w:t>4.1险情监测和巡视</w:t>
      </w:r>
      <w:bookmarkEnd w:id="87"/>
      <w:bookmarkEnd w:id="88"/>
    </w:p>
    <w:p w14:paraId="4E92CBC5">
      <w:pPr>
        <w:spacing w:before="156" w:beforeLines="50" w:after="156" w:afterLines="50"/>
        <w:jc w:val="left"/>
        <w:outlineLvl w:val="2"/>
        <w:rPr>
          <w:rFonts w:eastAsia="楷体"/>
          <w:b/>
          <w:color w:val="auto"/>
          <w:sz w:val="32"/>
          <w:szCs w:val="32"/>
          <w:highlight w:val="none"/>
        </w:rPr>
      </w:pPr>
      <w:bookmarkStart w:id="89" w:name="_Toc2760"/>
      <w:r>
        <w:rPr>
          <w:rFonts w:eastAsia="楷体"/>
          <w:b/>
          <w:color w:val="auto"/>
          <w:sz w:val="32"/>
          <w:szCs w:val="32"/>
          <w:highlight w:val="none"/>
        </w:rPr>
        <w:t>4.1.1 水库工程险情监测、巡查</w:t>
      </w:r>
      <w:bookmarkEnd w:id="89"/>
    </w:p>
    <w:p w14:paraId="03F422E8">
      <w:pPr>
        <w:widowControl/>
        <w:spacing w:line="520" w:lineRule="exact"/>
        <w:ind w:firstLine="560"/>
        <w:rPr>
          <w:rFonts w:eastAsia="楷体"/>
          <w:color w:val="auto"/>
          <w:sz w:val="28"/>
          <w:szCs w:val="28"/>
          <w:highlight w:val="none"/>
        </w:rPr>
      </w:pPr>
      <w:r>
        <w:rPr>
          <w:rFonts w:eastAsia="楷体"/>
          <w:color w:val="auto"/>
          <w:sz w:val="28"/>
          <w:szCs w:val="28"/>
          <w:highlight w:val="none"/>
        </w:rPr>
        <w:t>水库工程险情监测、巡查的部位主要为：水工建筑物、混凝土建筑物、金属结构、启闭机（有重叠）、水流形态、水库附属工程、动力、照明、交通、通讯、安全防护，避雷设施和观测设备等。</w:t>
      </w:r>
    </w:p>
    <w:p w14:paraId="4D449CB4">
      <w:pPr>
        <w:widowControl/>
        <w:spacing w:line="520" w:lineRule="exact"/>
        <w:ind w:firstLine="560"/>
        <w:rPr>
          <w:rFonts w:eastAsia="楷体"/>
          <w:color w:val="auto"/>
          <w:sz w:val="28"/>
          <w:szCs w:val="28"/>
          <w:highlight w:val="none"/>
        </w:rPr>
      </w:pPr>
      <w:r>
        <w:rPr>
          <w:rFonts w:eastAsia="楷体"/>
          <w:color w:val="auto"/>
          <w:sz w:val="28"/>
          <w:szCs w:val="28"/>
          <w:highlight w:val="none"/>
        </w:rPr>
        <w:t>水库工程险情监测、巡查的内容主要为：</w:t>
      </w:r>
    </w:p>
    <w:p w14:paraId="1D7B7A9F">
      <w:pPr>
        <w:widowControl/>
        <w:spacing w:line="520" w:lineRule="exact"/>
        <w:ind w:firstLine="560"/>
        <w:rPr>
          <w:rFonts w:eastAsia="楷体"/>
          <w:color w:val="auto"/>
          <w:sz w:val="28"/>
          <w:szCs w:val="28"/>
          <w:highlight w:val="none"/>
        </w:rPr>
      </w:pPr>
      <w:r>
        <w:rPr>
          <w:rFonts w:eastAsia="楷体"/>
          <w:color w:val="auto"/>
          <w:sz w:val="28"/>
          <w:szCs w:val="28"/>
          <w:highlight w:val="none"/>
        </w:rPr>
        <w:t>（1）对水工建筑物的检查和观察中，应注意坝身有无裂缝、塌坑隆起现象；迎水坡有无风浪冲刷；背水坡有无散浸及集中渗漏；坝头岸坡有无绕渗；排水导渗设施有无堵塞、破坏、失效等。</w:t>
      </w:r>
    </w:p>
    <w:p w14:paraId="76E8EF78">
      <w:pPr>
        <w:widowControl/>
        <w:spacing w:line="520" w:lineRule="exact"/>
        <w:ind w:firstLine="560"/>
        <w:rPr>
          <w:rFonts w:eastAsia="楷体"/>
          <w:color w:val="auto"/>
          <w:sz w:val="28"/>
          <w:szCs w:val="28"/>
          <w:highlight w:val="none"/>
        </w:rPr>
      </w:pPr>
      <w:r>
        <w:rPr>
          <w:rFonts w:eastAsia="楷体"/>
          <w:color w:val="auto"/>
          <w:sz w:val="28"/>
          <w:szCs w:val="28"/>
          <w:highlight w:val="none"/>
        </w:rPr>
        <w:t>（2）对混凝土建筑物的检查和观察中，应针对不同的工程部位和容易发生的问题，注意有无裂缝、渗漏、剥蚀、冲刷、磨损、气蚀及脱碱等现象；伸缩缝止水有无损坏、填充物有无流失；基座岩体是否稳固；坝头岸坡及坝趾有无集中渗漏等。</w:t>
      </w:r>
    </w:p>
    <w:p w14:paraId="55A7F057">
      <w:pPr>
        <w:widowControl/>
        <w:spacing w:line="520" w:lineRule="exact"/>
        <w:ind w:firstLine="560"/>
        <w:rPr>
          <w:rFonts w:eastAsia="楷体"/>
          <w:color w:val="auto"/>
          <w:sz w:val="28"/>
          <w:szCs w:val="28"/>
          <w:highlight w:val="none"/>
        </w:rPr>
      </w:pPr>
      <w:r>
        <w:rPr>
          <w:rFonts w:eastAsia="楷体"/>
          <w:color w:val="auto"/>
          <w:sz w:val="28"/>
          <w:szCs w:val="28"/>
          <w:highlight w:val="none"/>
        </w:rPr>
        <w:t>（3）对金属结构的检查和观察，应结合构件部位受外界因素影响条件，注意结构有无变形、裂纹、锈蚀、气蚀、油漆剥落、磨损、振动以及焊缝开裂、铆钉或螺栓松动等现象。</w:t>
      </w:r>
    </w:p>
    <w:p w14:paraId="4E47B6A5">
      <w:pPr>
        <w:widowControl/>
        <w:spacing w:line="520" w:lineRule="exact"/>
        <w:ind w:firstLine="560"/>
        <w:rPr>
          <w:rFonts w:eastAsia="楷体"/>
          <w:color w:val="auto"/>
          <w:sz w:val="28"/>
          <w:szCs w:val="28"/>
          <w:highlight w:val="none"/>
        </w:rPr>
      </w:pPr>
      <w:r>
        <w:rPr>
          <w:rFonts w:eastAsia="楷体"/>
          <w:color w:val="auto"/>
          <w:sz w:val="28"/>
          <w:szCs w:val="28"/>
          <w:highlight w:val="none"/>
        </w:rPr>
        <w:t>（4）对启闭机的检查和观察，除按金属结构的检查和观察内容外，主要应注意启闭机运转是否灵活，有无不正常音响和振动，丝杠是否弯曲、磨损、锈蚀；机械转动部分润滑油是否充足以及机电安全保护设施是否完好等。</w:t>
      </w:r>
    </w:p>
    <w:p w14:paraId="24F861F9">
      <w:pPr>
        <w:widowControl/>
        <w:spacing w:line="520" w:lineRule="exact"/>
        <w:ind w:firstLine="560"/>
        <w:rPr>
          <w:rFonts w:eastAsia="楷体"/>
          <w:color w:val="auto"/>
          <w:sz w:val="28"/>
          <w:szCs w:val="28"/>
          <w:highlight w:val="none"/>
        </w:rPr>
      </w:pPr>
      <w:r>
        <w:rPr>
          <w:rFonts w:eastAsia="楷体"/>
          <w:color w:val="auto"/>
          <w:sz w:val="28"/>
          <w:szCs w:val="28"/>
          <w:highlight w:val="none"/>
        </w:rPr>
        <w:t>（5）水流形态的观察，主要应注意进口段水流是否平顺，堰后水流形态是否正常，水流是否平稳；有无不正常流态和冲刷淤积现象。拦污栅、拦鱼设施、漂浮物有否壅水或堵塞现象等。</w:t>
      </w:r>
    </w:p>
    <w:p w14:paraId="570C8095">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（6）检查水库附属工程、动力、照明、交通、通讯、安全防护，避雷设施和观测设备等是否完好。</w:t>
      </w:r>
    </w:p>
    <w:p w14:paraId="41EDD106">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水库工程险情监测、巡查的方式主要为：人工巡查和设备监测。</w:t>
      </w:r>
    </w:p>
    <w:p w14:paraId="530DD61F">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水库工程险情监测、巡查的频次严格按照水库工程管理规定执行，监测主要分：坝体表面水平位移、沉降根据实际情况定期进行观测；渗流量观测根据实际情况每月观测1次；监测数据应第一时间进行记录，整理分析，并归档成册。</w:t>
      </w:r>
    </w:p>
    <w:p w14:paraId="487964EA">
      <w:pPr>
        <w:widowControl/>
        <w:spacing w:line="520" w:lineRule="exact"/>
        <w:ind w:firstLine="560" w:firstLineChars="200"/>
        <w:rPr>
          <w:rFonts w:eastAsia="楷体"/>
          <w:color w:val="auto"/>
          <w:sz w:val="32"/>
          <w:szCs w:val="32"/>
          <w:highlight w:val="none"/>
        </w:rPr>
      </w:pPr>
      <w:r>
        <w:rPr>
          <w:rFonts w:eastAsia="楷体"/>
          <w:color w:val="auto"/>
          <w:sz w:val="28"/>
          <w:szCs w:val="28"/>
          <w:highlight w:val="none"/>
        </w:rPr>
        <w:t>日常检查频次每周1次；定期检查分汛前检查和汛后检查，频次一般汛前检查为3月上旬，汛后检查为10月中旬；特别检查指遇特大洪水、台风、地震等需及时监测，频次不限；大坝巡查频次则根据库水位的变化相应调整。</w:t>
      </w:r>
    </w:p>
    <w:p w14:paraId="13E2471B">
      <w:pPr>
        <w:spacing w:before="156" w:beforeLines="50" w:after="156" w:afterLines="50"/>
        <w:jc w:val="left"/>
        <w:outlineLvl w:val="2"/>
        <w:rPr>
          <w:rFonts w:eastAsia="楷体"/>
          <w:b/>
          <w:color w:val="auto"/>
          <w:sz w:val="32"/>
          <w:szCs w:val="32"/>
          <w:highlight w:val="none"/>
        </w:rPr>
      </w:pPr>
      <w:bookmarkStart w:id="90" w:name="_Toc26505"/>
      <w:r>
        <w:rPr>
          <w:rFonts w:eastAsia="楷体"/>
          <w:b/>
          <w:color w:val="auto"/>
          <w:sz w:val="32"/>
          <w:szCs w:val="32"/>
          <w:highlight w:val="none"/>
        </w:rPr>
        <w:t>4.1.2 规定监测、巡查人员组成及监测、巡查结果的处理程序</w:t>
      </w:r>
      <w:bookmarkEnd w:id="90"/>
    </w:p>
    <w:p w14:paraId="6FE1FCC0">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监测、巡查人员由水库管理所关人员为主，必要时也可从其它部门抽调人员补充。</w:t>
      </w:r>
    </w:p>
    <w:p w14:paraId="72E23459">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巡查结果必须要以书面形式形成文字材料存档和逐级上报，遇重大险情可先电话上报</w:t>
      </w:r>
      <w:r>
        <w:rPr>
          <w:rFonts w:hint="eastAsia" w:eastAsia="楷体"/>
          <w:color w:val="auto"/>
          <w:sz w:val="28"/>
          <w:szCs w:val="28"/>
          <w:highlight w:val="none"/>
        </w:rPr>
        <w:t>泉港区</w:t>
      </w:r>
      <w:r>
        <w:rPr>
          <w:rFonts w:eastAsia="楷体"/>
          <w:color w:val="auto"/>
          <w:sz w:val="28"/>
          <w:szCs w:val="28"/>
          <w:highlight w:val="none"/>
        </w:rPr>
        <w:t>防汛抗旱指挥部。</w:t>
      </w:r>
    </w:p>
    <w:p w14:paraId="40818CD5">
      <w:pPr>
        <w:spacing w:before="156" w:beforeLines="50" w:after="156" w:afterLines="50"/>
        <w:jc w:val="left"/>
        <w:outlineLvl w:val="1"/>
        <w:rPr>
          <w:rFonts w:eastAsia="楷体"/>
          <w:b/>
          <w:color w:val="auto"/>
          <w:sz w:val="32"/>
          <w:szCs w:val="30"/>
          <w:highlight w:val="none"/>
        </w:rPr>
      </w:pPr>
      <w:bookmarkStart w:id="91" w:name="_Toc7213"/>
      <w:bookmarkStart w:id="92" w:name="_Toc9767"/>
      <w:r>
        <w:rPr>
          <w:rFonts w:eastAsia="楷体"/>
          <w:b/>
          <w:color w:val="auto"/>
          <w:sz w:val="32"/>
          <w:szCs w:val="30"/>
          <w:highlight w:val="none"/>
        </w:rPr>
        <w:t>4.2 险情上报与通报</w:t>
      </w:r>
      <w:bookmarkEnd w:id="91"/>
      <w:bookmarkEnd w:id="92"/>
    </w:p>
    <w:p w14:paraId="5945087C">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遇到突发事件时，管理处人员实行24小时汛情、工情、险情零汇报制度，险情上报、通报的方式一般采用书面形式汇报，遇重大险情可电话汇报。险情上报、通报的程序：险情发生后，要按照分级负责、条块结合，逐级向上汇报。水库防汛领导小组得到洪水灾害报告后，应及时向泉港区防汛防旱指挥部和泉州市防汛抗旱指挥部汇报。</w:t>
      </w:r>
    </w:p>
    <w:p w14:paraId="2F727235">
      <w:pPr>
        <w:widowControl/>
        <w:spacing w:line="360" w:lineRule="auto"/>
        <w:ind w:firstLine="560"/>
        <w:rPr>
          <w:rFonts w:eastAsia="楷体"/>
          <w:color w:val="auto"/>
          <w:sz w:val="32"/>
          <w:szCs w:val="32"/>
          <w:highlight w:val="none"/>
        </w:rPr>
      </w:pPr>
    </w:p>
    <w:p w14:paraId="3AA2C79C">
      <w:pPr>
        <w:widowControl/>
        <w:spacing w:line="360" w:lineRule="auto"/>
        <w:ind w:firstLine="560"/>
        <w:rPr>
          <w:rFonts w:eastAsia="楷体"/>
          <w:color w:val="auto"/>
          <w:sz w:val="32"/>
          <w:szCs w:val="32"/>
          <w:highlight w:val="none"/>
        </w:rPr>
      </w:pPr>
    </w:p>
    <w:p w14:paraId="757364E1">
      <w:pPr>
        <w:adjustRightInd w:val="0"/>
        <w:snapToGrid w:val="0"/>
        <w:spacing w:line="520" w:lineRule="exact"/>
        <w:jc w:val="center"/>
        <w:outlineLvl w:val="0"/>
        <w:rPr>
          <w:rStyle w:val="50"/>
          <w:rFonts w:eastAsia="楷体"/>
          <w:b/>
          <w:bCs/>
          <w:color w:val="auto"/>
          <w:sz w:val="36"/>
          <w:szCs w:val="36"/>
          <w:highlight w:val="none"/>
        </w:rPr>
      </w:pPr>
      <w:bookmarkStart w:id="93" w:name="_Toc23097"/>
      <w:bookmarkStart w:id="94" w:name="_Toc4797"/>
      <w:r>
        <w:rPr>
          <w:rStyle w:val="50"/>
          <w:rFonts w:eastAsia="楷体"/>
          <w:b/>
          <w:bCs/>
          <w:color w:val="auto"/>
          <w:sz w:val="36"/>
          <w:szCs w:val="36"/>
          <w:highlight w:val="none"/>
        </w:rPr>
        <w:t>5 险情抢护</w:t>
      </w:r>
      <w:bookmarkEnd w:id="93"/>
      <w:bookmarkEnd w:id="94"/>
    </w:p>
    <w:p w14:paraId="675DDB28">
      <w:pPr>
        <w:spacing w:before="156" w:beforeLines="50" w:after="156" w:afterLines="50"/>
        <w:outlineLvl w:val="1"/>
        <w:rPr>
          <w:rFonts w:eastAsia="楷体"/>
          <w:b/>
          <w:color w:val="auto"/>
          <w:sz w:val="32"/>
          <w:szCs w:val="30"/>
          <w:highlight w:val="none"/>
        </w:rPr>
      </w:pPr>
      <w:bookmarkStart w:id="95" w:name="_Toc5658"/>
      <w:bookmarkStart w:id="96" w:name="_Toc15232"/>
      <w:r>
        <w:rPr>
          <w:rFonts w:eastAsia="楷体"/>
          <w:b/>
          <w:color w:val="auto"/>
          <w:sz w:val="32"/>
          <w:szCs w:val="30"/>
          <w:highlight w:val="none"/>
        </w:rPr>
        <w:t>5.1 抢险调度</w:t>
      </w:r>
      <w:bookmarkEnd w:id="95"/>
      <w:bookmarkEnd w:id="96"/>
    </w:p>
    <w:p w14:paraId="694B4BC9">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运行期间管理处人员应加强水库的管理和巡查，在巡查中发现险情，应将险情发生部位、范围、原因等具体情况以最有效的方式向水库防洪抢险应急指挥部汇报。当水库水位未超过汛限水位时，应做好对发生险情部位的监测和保护，防止险情进一步扩大，并积极组织抢险人员排除险情，一旦库水位超过汛限水位时，与市防办取得联系并下达开闸泄洪指令，管理处工情执行小组应立即执行指令开闸泄洪，确保水库工程安全，同时要向上级主管部门汇报，迅速组织相关人员对险情周围的群众进行疏散、转移，以免群众遭受不必要的损失。为保证泄洪时下游的安全。水库抢险、行洪调度指令严格按调度审批程序进行。</w:t>
      </w:r>
    </w:p>
    <w:p w14:paraId="67933BA0">
      <w:pPr>
        <w:spacing w:before="156" w:beforeLines="50" w:after="156" w:afterLines="50"/>
        <w:outlineLvl w:val="1"/>
        <w:rPr>
          <w:rFonts w:eastAsia="楷体"/>
          <w:b/>
          <w:color w:val="auto"/>
          <w:sz w:val="32"/>
          <w:szCs w:val="30"/>
          <w:highlight w:val="none"/>
        </w:rPr>
      </w:pPr>
      <w:bookmarkStart w:id="97" w:name="_Toc20185"/>
      <w:bookmarkStart w:id="98" w:name="_Toc8862"/>
      <w:r>
        <w:rPr>
          <w:rFonts w:eastAsia="楷体"/>
          <w:b/>
          <w:color w:val="auto"/>
          <w:sz w:val="32"/>
          <w:szCs w:val="30"/>
          <w:highlight w:val="none"/>
        </w:rPr>
        <w:t>5.2抢险措施</w:t>
      </w:r>
      <w:bookmarkEnd w:id="97"/>
      <w:bookmarkEnd w:id="98"/>
    </w:p>
    <w:p w14:paraId="45E53472">
      <w:pPr>
        <w:spacing w:line="520" w:lineRule="exact"/>
        <w:ind w:firstLine="560" w:firstLineChars="200"/>
        <w:rPr>
          <w:rFonts w:eastAsia="楷体"/>
          <w:color w:val="auto"/>
          <w:sz w:val="28"/>
          <w:szCs w:val="28"/>
          <w:highlight w:val="none"/>
        </w:rPr>
      </w:pPr>
      <w:r>
        <w:rPr>
          <w:rFonts w:eastAsia="楷体"/>
          <w:color w:val="auto"/>
          <w:sz w:val="28"/>
          <w:szCs w:val="28"/>
          <w:highlight w:val="none"/>
        </w:rPr>
        <w:t>若水库发生如下险情时，由</w:t>
      </w:r>
      <w:r>
        <w:rPr>
          <w:rFonts w:hint="eastAsia" w:eastAsia="楷体"/>
          <w:color w:val="auto"/>
          <w:sz w:val="28"/>
          <w:szCs w:val="28"/>
          <w:highlight w:val="none"/>
          <w:lang w:eastAsia="zh-CN"/>
        </w:rPr>
        <w:t>农水局</w:t>
      </w:r>
      <w:r>
        <w:rPr>
          <w:rFonts w:eastAsia="楷体"/>
          <w:color w:val="auto"/>
          <w:sz w:val="28"/>
          <w:szCs w:val="28"/>
          <w:highlight w:val="none"/>
        </w:rPr>
        <w:t>负责现场抢险部位的技术指导。</w:t>
      </w:r>
    </w:p>
    <w:p w14:paraId="16C8EAE3">
      <w:pPr>
        <w:spacing w:before="156" w:beforeLines="50" w:after="156" w:afterLines="50"/>
        <w:outlineLvl w:val="2"/>
        <w:rPr>
          <w:rFonts w:eastAsia="楷体"/>
          <w:b/>
          <w:bCs/>
          <w:color w:val="auto"/>
          <w:sz w:val="32"/>
          <w:szCs w:val="30"/>
          <w:highlight w:val="none"/>
        </w:rPr>
      </w:pPr>
      <w:bookmarkStart w:id="99" w:name="_Toc5644"/>
      <w:r>
        <w:rPr>
          <w:rFonts w:eastAsia="楷体"/>
          <w:b/>
          <w:bCs/>
          <w:color w:val="auto"/>
          <w:sz w:val="32"/>
          <w:szCs w:val="30"/>
          <w:highlight w:val="none"/>
        </w:rPr>
        <w:t>5.2.1水库大坝坝体发生漏洞时应急抢险措施</w:t>
      </w:r>
      <w:bookmarkEnd w:id="99"/>
    </w:p>
    <w:p w14:paraId="08546A09">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1.出现漏洞时应及时查清发生漏洞部位，并上报水库防洪抢险应急指挥部。</w:t>
      </w:r>
    </w:p>
    <w:p w14:paraId="098EC781">
      <w:pPr>
        <w:spacing w:line="520" w:lineRule="exact"/>
        <w:ind w:firstLine="560" w:firstLineChars="200"/>
        <w:rPr>
          <w:rFonts w:eastAsia="楷体"/>
          <w:color w:val="auto"/>
          <w:sz w:val="28"/>
          <w:szCs w:val="28"/>
          <w:highlight w:val="none"/>
        </w:rPr>
      </w:pPr>
      <w:r>
        <w:rPr>
          <w:rFonts w:eastAsia="楷体"/>
          <w:color w:val="auto"/>
          <w:sz w:val="28"/>
          <w:szCs w:val="28"/>
          <w:highlight w:val="none"/>
        </w:rPr>
        <w:t>2.组织抢险人员在大坝迎水面抛填砂袋、块石封堵漏洞入口防止库水继续渗入，提高坝体与坝基的防渗能力；在大坝下游做好导流设施，防止险情进一步扩大。</w:t>
      </w:r>
    </w:p>
    <w:p w14:paraId="2DB8253E">
      <w:pPr>
        <w:spacing w:line="520" w:lineRule="exact"/>
        <w:ind w:firstLine="560" w:firstLineChars="200"/>
        <w:rPr>
          <w:rFonts w:eastAsia="楷体"/>
          <w:color w:val="auto"/>
          <w:sz w:val="28"/>
          <w:szCs w:val="28"/>
          <w:highlight w:val="none"/>
        </w:rPr>
      </w:pPr>
      <w:r>
        <w:rPr>
          <w:rFonts w:eastAsia="楷体"/>
          <w:color w:val="auto"/>
          <w:sz w:val="28"/>
          <w:szCs w:val="28"/>
          <w:highlight w:val="none"/>
        </w:rPr>
        <w:t>3.条件允许的情况下开启泄洪设施降低库水位，保证抢险工作顺利进行。</w:t>
      </w:r>
    </w:p>
    <w:p w14:paraId="228A2EB8">
      <w:pPr>
        <w:spacing w:line="520" w:lineRule="exact"/>
        <w:ind w:firstLine="560" w:firstLineChars="200"/>
        <w:rPr>
          <w:rFonts w:eastAsia="楷体"/>
          <w:color w:val="auto"/>
          <w:sz w:val="28"/>
          <w:szCs w:val="28"/>
          <w:highlight w:val="none"/>
        </w:rPr>
      </w:pPr>
      <w:r>
        <w:rPr>
          <w:rFonts w:eastAsia="楷体"/>
          <w:color w:val="auto"/>
          <w:sz w:val="28"/>
          <w:szCs w:val="28"/>
          <w:highlight w:val="none"/>
        </w:rPr>
        <w:t>4.拉响防洪警报，及时转移和疏散区域内的群众，保障人民生命、财产安全。</w:t>
      </w:r>
    </w:p>
    <w:p w14:paraId="15FD0038">
      <w:pPr>
        <w:spacing w:line="520" w:lineRule="exact"/>
        <w:ind w:firstLine="560" w:firstLineChars="200"/>
        <w:rPr>
          <w:rFonts w:eastAsia="楷体"/>
          <w:color w:val="auto"/>
          <w:sz w:val="28"/>
          <w:szCs w:val="28"/>
          <w:highlight w:val="none"/>
        </w:rPr>
      </w:pPr>
      <w:r>
        <w:rPr>
          <w:rFonts w:eastAsia="楷体"/>
          <w:color w:val="auto"/>
          <w:sz w:val="28"/>
          <w:szCs w:val="28"/>
          <w:highlight w:val="none"/>
        </w:rPr>
        <w:t>5.险情排除后，工程管理单位应加强防洪期间的日常管理并派专人负责，防止再次出现险情。</w:t>
      </w:r>
    </w:p>
    <w:p w14:paraId="6D301CBC">
      <w:pPr>
        <w:spacing w:before="156" w:beforeLines="50" w:after="156" w:afterLines="50"/>
        <w:outlineLvl w:val="2"/>
        <w:rPr>
          <w:rFonts w:eastAsia="楷体"/>
          <w:b/>
          <w:bCs/>
          <w:color w:val="auto"/>
          <w:sz w:val="32"/>
          <w:szCs w:val="30"/>
          <w:highlight w:val="none"/>
        </w:rPr>
      </w:pPr>
      <w:bookmarkStart w:id="100" w:name="_Toc9350"/>
      <w:r>
        <w:rPr>
          <w:rFonts w:eastAsia="楷体"/>
          <w:b/>
          <w:bCs/>
          <w:color w:val="auto"/>
          <w:sz w:val="32"/>
          <w:szCs w:val="30"/>
          <w:highlight w:val="none"/>
        </w:rPr>
        <w:t>5.2.2 水库大坝上游发生滑坡时应急抢险措施</w:t>
      </w:r>
      <w:bookmarkEnd w:id="100"/>
    </w:p>
    <w:p w14:paraId="30C5B7DA">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1.出现滑坡时应及时查清原因，并上报水库防洪抢险应急指挥部。</w:t>
      </w:r>
    </w:p>
    <w:p w14:paraId="568567C9">
      <w:pPr>
        <w:spacing w:line="520" w:lineRule="exact"/>
        <w:ind w:firstLine="560" w:firstLineChars="200"/>
        <w:rPr>
          <w:rFonts w:eastAsia="楷体"/>
          <w:color w:val="auto"/>
          <w:sz w:val="28"/>
          <w:szCs w:val="28"/>
          <w:highlight w:val="none"/>
        </w:rPr>
      </w:pPr>
      <w:r>
        <w:rPr>
          <w:rFonts w:eastAsia="楷体"/>
          <w:color w:val="auto"/>
          <w:sz w:val="28"/>
          <w:szCs w:val="28"/>
          <w:highlight w:val="none"/>
        </w:rPr>
        <w:t>2.因库水位骤降而引起的滑坡时，应立即停止放水或减缓放水速度，在不影响防汛安全的前提下，可在滑坡体上部削坡减载，在可能的滑坡底部位置抛投砂袋、石料进行压重固脚。</w:t>
      </w:r>
    </w:p>
    <w:p w14:paraId="5749D330">
      <w:pPr>
        <w:spacing w:line="520" w:lineRule="exact"/>
        <w:ind w:firstLine="560" w:firstLineChars="200"/>
        <w:rPr>
          <w:rFonts w:eastAsia="楷体"/>
          <w:color w:val="auto"/>
          <w:sz w:val="28"/>
          <w:szCs w:val="28"/>
          <w:highlight w:val="none"/>
        </w:rPr>
      </w:pPr>
      <w:r>
        <w:rPr>
          <w:rFonts w:eastAsia="楷体"/>
          <w:color w:val="auto"/>
          <w:sz w:val="28"/>
          <w:szCs w:val="28"/>
          <w:highlight w:val="none"/>
        </w:rPr>
        <w:t>3.在高水位作用下发生滑坡时，应开启泄洪设施尽可能降低库水位，但同时也要控制好库水降落的速度，防止因库水位骤降而影响上游坝坡的稳定。</w:t>
      </w:r>
    </w:p>
    <w:p w14:paraId="05AB1F8D">
      <w:pPr>
        <w:spacing w:line="520" w:lineRule="exact"/>
        <w:ind w:firstLine="560" w:firstLineChars="200"/>
        <w:rPr>
          <w:rFonts w:eastAsia="楷体"/>
          <w:color w:val="auto"/>
          <w:sz w:val="28"/>
          <w:szCs w:val="28"/>
          <w:highlight w:val="none"/>
        </w:rPr>
      </w:pPr>
      <w:r>
        <w:rPr>
          <w:rFonts w:eastAsia="楷体"/>
          <w:color w:val="auto"/>
          <w:sz w:val="28"/>
          <w:szCs w:val="28"/>
          <w:highlight w:val="none"/>
        </w:rPr>
        <w:t>4.及时转移和疏散区域内的群众，保障人民生命、财产安全。</w:t>
      </w:r>
    </w:p>
    <w:p w14:paraId="2610B72F">
      <w:pPr>
        <w:spacing w:line="520" w:lineRule="exact"/>
        <w:ind w:firstLine="560" w:firstLineChars="200"/>
        <w:rPr>
          <w:rFonts w:eastAsia="楷体"/>
          <w:color w:val="auto"/>
          <w:sz w:val="28"/>
          <w:szCs w:val="28"/>
          <w:highlight w:val="none"/>
        </w:rPr>
      </w:pPr>
      <w:r>
        <w:rPr>
          <w:rFonts w:eastAsia="楷体"/>
          <w:color w:val="auto"/>
          <w:sz w:val="28"/>
          <w:szCs w:val="28"/>
          <w:highlight w:val="none"/>
        </w:rPr>
        <w:t>5.险情排除后，工程管理单位应加强防洪期间的日常管理并派专人负责，防止再次出现险情。</w:t>
      </w:r>
    </w:p>
    <w:p w14:paraId="3CB49E19">
      <w:pPr>
        <w:spacing w:before="156" w:beforeLines="50" w:after="156" w:afterLines="50"/>
        <w:outlineLvl w:val="2"/>
        <w:rPr>
          <w:rFonts w:eastAsia="楷体"/>
          <w:b/>
          <w:bCs/>
          <w:color w:val="auto"/>
          <w:sz w:val="32"/>
          <w:szCs w:val="30"/>
          <w:highlight w:val="none"/>
        </w:rPr>
      </w:pPr>
      <w:bookmarkStart w:id="101" w:name="_Toc25530"/>
      <w:r>
        <w:rPr>
          <w:rFonts w:eastAsia="楷体"/>
          <w:b/>
          <w:bCs/>
          <w:color w:val="auto"/>
          <w:sz w:val="32"/>
          <w:szCs w:val="30"/>
          <w:highlight w:val="none"/>
        </w:rPr>
        <w:t>5.2.3 发生超标准洪水应急抢险措施</w:t>
      </w:r>
      <w:bookmarkEnd w:id="101"/>
    </w:p>
    <w:p w14:paraId="7EB4B282">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1.出现超过设计的校核防洪标准的洪水时，应及时上报水库防洪抢险应急指挥部。</w:t>
      </w:r>
    </w:p>
    <w:p w14:paraId="0A911A8B">
      <w:pPr>
        <w:spacing w:line="520" w:lineRule="exact"/>
        <w:ind w:firstLine="560" w:firstLineChars="200"/>
        <w:rPr>
          <w:rFonts w:eastAsia="楷体"/>
          <w:color w:val="auto"/>
          <w:sz w:val="28"/>
          <w:szCs w:val="28"/>
          <w:highlight w:val="none"/>
        </w:rPr>
      </w:pPr>
      <w:r>
        <w:rPr>
          <w:rFonts w:eastAsia="楷体"/>
          <w:color w:val="auto"/>
          <w:sz w:val="28"/>
          <w:szCs w:val="28"/>
          <w:highlight w:val="none"/>
        </w:rPr>
        <w:t>2.选择适宜的山凹破口泄洪，保障大坝避免洪水漫溢而发生溃决事故。</w:t>
      </w:r>
    </w:p>
    <w:p w14:paraId="69724163">
      <w:pPr>
        <w:spacing w:line="520" w:lineRule="exact"/>
        <w:ind w:firstLine="560" w:firstLineChars="200"/>
        <w:rPr>
          <w:rFonts w:eastAsia="楷体"/>
          <w:color w:val="auto"/>
          <w:sz w:val="28"/>
          <w:szCs w:val="28"/>
          <w:highlight w:val="none"/>
        </w:rPr>
      </w:pPr>
      <w:r>
        <w:rPr>
          <w:rFonts w:eastAsia="楷体"/>
          <w:color w:val="auto"/>
          <w:sz w:val="28"/>
          <w:szCs w:val="28"/>
          <w:highlight w:val="none"/>
        </w:rPr>
        <w:t>3.及时转移和疏散泄洪区域内的群众，确保人民群众生命、财产安全。</w:t>
      </w:r>
    </w:p>
    <w:p w14:paraId="36334983">
      <w:pPr>
        <w:spacing w:before="156" w:beforeLines="50" w:after="156" w:afterLines="50"/>
        <w:outlineLvl w:val="2"/>
        <w:rPr>
          <w:rFonts w:eastAsia="楷体"/>
          <w:b/>
          <w:bCs/>
          <w:color w:val="auto"/>
          <w:sz w:val="32"/>
          <w:szCs w:val="30"/>
          <w:highlight w:val="none"/>
        </w:rPr>
      </w:pPr>
      <w:bookmarkStart w:id="102" w:name="_Toc14183"/>
      <w:r>
        <w:rPr>
          <w:rFonts w:eastAsia="楷体"/>
          <w:b/>
          <w:bCs/>
          <w:color w:val="auto"/>
          <w:sz w:val="32"/>
          <w:szCs w:val="30"/>
          <w:highlight w:val="none"/>
        </w:rPr>
        <w:t>5.2.4 发生库区山体滑坡导致水库水位严重壅高等危及大坝安全的险情抢险措施</w:t>
      </w:r>
      <w:bookmarkEnd w:id="102"/>
    </w:p>
    <w:p w14:paraId="3860261D">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1.出现库区山体滑坡导致水库水位严重壅高等危及大坝安全的险情时，应及时上报水库防洪应急指挥部。</w:t>
      </w:r>
    </w:p>
    <w:p w14:paraId="42A7565D">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2.提前降低库水位，保障水库的安全运行。</w:t>
      </w:r>
    </w:p>
    <w:p w14:paraId="7148C8BC">
      <w:pPr>
        <w:spacing w:line="520" w:lineRule="exact"/>
        <w:ind w:firstLine="560" w:firstLineChars="200"/>
        <w:rPr>
          <w:rFonts w:eastAsia="楷体"/>
          <w:color w:val="auto"/>
          <w:sz w:val="28"/>
          <w:szCs w:val="28"/>
          <w:highlight w:val="none"/>
        </w:rPr>
      </w:pPr>
      <w:r>
        <w:rPr>
          <w:rFonts w:eastAsia="楷体"/>
          <w:color w:val="auto"/>
          <w:sz w:val="28"/>
          <w:szCs w:val="28"/>
          <w:highlight w:val="none"/>
        </w:rPr>
        <w:t>3.开启泄洪设施仍不能有效降低库水位时，选择适宜的山凹破口泄洪，保障水库及大坝的安全。</w:t>
      </w:r>
    </w:p>
    <w:p w14:paraId="74EF7E9D">
      <w:pPr>
        <w:spacing w:line="520" w:lineRule="exact"/>
        <w:ind w:firstLine="560" w:firstLineChars="200"/>
        <w:rPr>
          <w:rFonts w:eastAsia="楷体"/>
          <w:color w:val="auto"/>
          <w:sz w:val="28"/>
          <w:szCs w:val="28"/>
          <w:highlight w:val="none"/>
        </w:rPr>
      </w:pPr>
      <w:r>
        <w:rPr>
          <w:rFonts w:eastAsia="楷体"/>
          <w:color w:val="auto"/>
          <w:sz w:val="28"/>
          <w:szCs w:val="28"/>
          <w:highlight w:val="none"/>
        </w:rPr>
        <w:t>4.为防止再次滑坡，在滑坡体外围布置排水沟槽，截断流至滑坡体上水流，确保滑坡体的稳定。</w:t>
      </w:r>
    </w:p>
    <w:p w14:paraId="6AC840ED">
      <w:pPr>
        <w:spacing w:line="520" w:lineRule="exact"/>
        <w:ind w:firstLine="560" w:firstLineChars="200"/>
        <w:rPr>
          <w:rFonts w:eastAsia="楷体"/>
          <w:color w:val="auto"/>
          <w:sz w:val="28"/>
          <w:szCs w:val="28"/>
          <w:highlight w:val="none"/>
        </w:rPr>
      </w:pPr>
      <w:r>
        <w:rPr>
          <w:rFonts w:eastAsia="楷体"/>
          <w:color w:val="auto"/>
          <w:sz w:val="28"/>
          <w:szCs w:val="28"/>
          <w:highlight w:val="none"/>
        </w:rPr>
        <w:t>5.对滑坡体进行削坡、减载，防止滑坡体产生进一步的滑动。</w:t>
      </w:r>
    </w:p>
    <w:p w14:paraId="29849C3C">
      <w:pPr>
        <w:spacing w:line="520" w:lineRule="exact"/>
        <w:ind w:firstLine="560" w:firstLineChars="200"/>
        <w:rPr>
          <w:rFonts w:eastAsia="楷体"/>
          <w:color w:val="auto"/>
          <w:sz w:val="28"/>
          <w:szCs w:val="28"/>
          <w:highlight w:val="none"/>
        </w:rPr>
      </w:pPr>
      <w:r>
        <w:rPr>
          <w:rFonts w:eastAsia="楷体"/>
          <w:color w:val="auto"/>
          <w:sz w:val="28"/>
          <w:szCs w:val="28"/>
          <w:highlight w:val="none"/>
        </w:rPr>
        <w:t>6.及时转移和疏散滑坡体周围的群众安全撤离，将险情带来的危害降低到最小程度。</w:t>
      </w:r>
    </w:p>
    <w:p w14:paraId="236EBBB4">
      <w:pPr>
        <w:spacing w:before="156" w:beforeLines="50" w:after="156" w:afterLines="50"/>
        <w:outlineLvl w:val="2"/>
        <w:rPr>
          <w:rFonts w:eastAsia="楷体"/>
          <w:b/>
          <w:bCs/>
          <w:color w:val="auto"/>
          <w:sz w:val="32"/>
          <w:szCs w:val="30"/>
          <w:highlight w:val="none"/>
        </w:rPr>
      </w:pPr>
      <w:bookmarkStart w:id="103" w:name="_Toc21750"/>
      <w:r>
        <w:rPr>
          <w:rFonts w:eastAsia="楷体"/>
          <w:b/>
          <w:bCs/>
          <w:color w:val="auto"/>
          <w:sz w:val="32"/>
          <w:szCs w:val="30"/>
          <w:highlight w:val="none"/>
        </w:rPr>
        <w:t>5.2.5 发生溃坝应急抢险措施</w:t>
      </w:r>
      <w:bookmarkEnd w:id="103"/>
    </w:p>
    <w:p w14:paraId="6B7F2CE7">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根据溃坝洪水演算成果分析，溃口坝址最大流量为</w:t>
      </w:r>
      <w:r>
        <w:rPr>
          <w:rFonts w:hint="eastAsia" w:eastAsia="楷体"/>
          <w:color w:val="auto"/>
          <w:sz w:val="28"/>
          <w:szCs w:val="28"/>
          <w:highlight w:val="none"/>
          <w:lang w:val="en-US" w:eastAsia="zh-CN"/>
        </w:rPr>
        <w:t>3590</w:t>
      </w:r>
      <w:r>
        <w:rPr>
          <w:rFonts w:eastAsia="楷体"/>
          <w:color w:val="auto"/>
          <w:sz w:val="28"/>
          <w:szCs w:val="28"/>
          <w:highlight w:val="none"/>
        </w:rPr>
        <w:t>m</w:t>
      </w:r>
      <w:r>
        <w:rPr>
          <w:rFonts w:eastAsia="楷体"/>
          <w:color w:val="auto"/>
          <w:sz w:val="28"/>
          <w:szCs w:val="28"/>
          <w:highlight w:val="none"/>
          <w:vertAlign w:val="superscript"/>
        </w:rPr>
        <w:t>3</w:t>
      </w:r>
      <w:r>
        <w:rPr>
          <w:rFonts w:eastAsia="楷体"/>
          <w:color w:val="auto"/>
          <w:sz w:val="28"/>
          <w:szCs w:val="28"/>
          <w:highlight w:val="none"/>
        </w:rPr>
        <w:t>/s，可导致下游附近镇村被淹没，在接到撤离通知后相关部门应及时组织车辆、人员将淹没区内的群众在洪峰到达前撤离至安全高程以上，具体撤离方式和路线由地方防办制定并组织执行。</w:t>
      </w:r>
    </w:p>
    <w:p w14:paraId="1B24209F">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如果出现超标准洪水重大突发事件，危及大坝的安全时，向社会发布紧急状态应采取以下预警措施：一是利用宣传媒体通过有线广播和电视台来发布；二是采用流动车宣传沿着水库下村庄进行广播；三是组成预警小组采用话筒深入到偏僻的村寨进行宣传；四是拉警报器或沿途敲锣打鼓进行预警。水库抢险队伍人员按照“水库防汛抢险应急预案”立即到位上岗，全力投入抗洪抢险，尽最大能力确保大坝的安全，减少洪水的危害，把下游人民群众的生命财产安全放在首位，力争把损失降到最低限度。</w:t>
      </w:r>
    </w:p>
    <w:p w14:paraId="1471F66E">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1.警报形式</w:t>
      </w:r>
    </w:p>
    <w:p w14:paraId="7C4387BA">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由泉港区防汛指挥部受权给广播电视部门向社会发出警报，采用广播、电视台、发信号弹。</w:t>
      </w:r>
    </w:p>
    <w:p w14:paraId="6E4B7921">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2.出险标志</w:t>
      </w:r>
    </w:p>
    <w:p w14:paraId="41D4FF6F">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在险段部位用小红旗围住四周，在夜间可采用灯光预警提示。</w:t>
      </w:r>
    </w:p>
    <w:p w14:paraId="5AD0AD09">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3.解除警报</w:t>
      </w:r>
    </w:p>
    <w:p w14:paraId="7F48D8BF">
      <w:pPr>
        <w:spacing w:line="520" w:lineRule="exact"/>
        <w:ind w:firstLine="560" w:firstLineChars="200"/>
        <w:rPr>
          <w:rFonts w:eastAsia="楷体"/>
          <w:color w:val="auto"/>
          <w:sz w:val="28"/>
          <w:szCs w:val="28"/>
          <w:highlight w:val="none"/>
        </w:rPr>
      </w:pPr>
      <w:r>
        <w:rPr>
          <w:rFonts w:eastAsia="楷体"/>
          <w:color w:val="auto"/>
          <w:sz w:val="28"/>
          <w:szCs w:val="28"/>
          <w:highlight w:val="none"/>
        </w:rPr>
        <w:t xml:space="preserve"> 警报解除时，由市防汛应急指挥部受权广播电视部门及有关乡镇通过电视、广播、发信号弹等形式，向社会宣布解除警报。</w:t>
      </w:r>
    </w:p>
    <w:p w14:paraId="7E857D0E">
      <w:pPr>
        <w:spacing w:line="520" w:lineRule="exact"/>
        <w:ind w:firstLine="560" w:firstLineChars="200"/>
        <w:rPr>
          <w:rFonts w:eastAsia="楷体"/>
          <w:color w:val="auto"/>
          <w:sz w:val="28"/>
          <w:szCs w:val="28"/>
          <w:highlight w:val="none"/>
        </w:rPr>
      </w:pPr>
    </w:p>
    <w:p w14:paraId="7A45BABF">
      <w:pPr>
        <w:spacing w:line="520" w:lineRule="exact"/>
        <w:outlineLvl w:val="1"/>
        <w:rPr>
          <w:rFonts w:eastAsia="楷体"/>
          <w:b/>
          <w:color w:val="auto"/>
          <w:sz w:val="32"/>
          <w:szCs w:val="30"/>
          <w:highlight w:val="none"/>
        </w:rPr>
      </w:pPr>
      <w:bookmarkStart w:id="104" w:name="_Toc8277"/>
      <w:bookmarkStart w:id="105" w:name="_Toc3382"/>
      <w:r>
        <w:rPr>
          <w:rFonts w:eastAsia="楷体"/>
          <w:b/>
          <w:color w:val="auto"/>
          <w:sz w:val="32"/>
          <w:szCs w:val="30"/>
          <w:highlight w:val="none"/>
        </w:rPr>
        <w:t>5.3 应急转移</w:t>
      </w:r>
      <w:bookmarkEnd w:id="104"/>
      <w:bookmarkEnd w:id="105"/>
    </w:p>
    <w:p w14:paraId="676C673F">
      <w:pPr>
        <w:spacing w:before="156" w:beforeLines="50" w:after="156" w:afterLines="50"/>
        <w:rPr>
          <w:rFonts w:eastAsia="楷体"/>
          <w:color w:val="auto"/>
          <w:sz w:val="32"/>
          <w:szCs w:val="30"/>
          <w:highlight w:val="none"/>
        </w:rPr>
      </w:pPr>
      <w:r>
        <w:rPr>
          <w:rFonts w:eastAsia="楷体"/>
          <w:b/>
          <w:bCs/>
          <w:color w:val="auto"/>
          <w:sz w:val="32"/>
          <w:szCs w:val="30"/>
          <w:highlight w:val="none"/>
        </w:rPr>
        <w:t>5.3.1转移安置方案</w:t>
      </w:r>
    </w:p>
    <w:p w14:paraId="57544874">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险情发生时，及时做好下游人员、财产的转移，保证人民生命财产的安全，车辆调度由民政局负责。根据险村、险户、人口的分布分别向不同的地点、方向转移，根据具体情况就近选择地势高的宽广的平地安置，按各乡镇“预案到乡、预警到村”具体方案进行人员转移和安置。</w:t>
      </w:r>
    </w:p>
    <w:p w14:paraId="56700F37">
      <w:pPr>
        <w:spacing w:before="156" w:beforeLines="50" w:after="156" w:afterLines="50"/>
        <w:rPr>
          <w:rFonts w:eastAsia="楷体"/>
          <w:color w:val="auto"/>
          <w:sz w:val="32"/>
          <w:szCs w:val="30"/>
          <w:highlight w:val="none"/>
        </w:rPr>
      </w:pPr>
      <w:r>
        <w:rPr>
          <w:rFonts w:eastAsia="楷体"/>
          <w:b/>
          <w:bCs/>
          <w:color w:val="auto"/>
          <w:sz w:val="32"/>
          <w:szCs w:val="30"/>
          <w:highlight w:val="none"/>
        </w:rPr>
        <w:t>5.3.2转移安置的组织实施</w:t>
      </w:r>
    </w:p>
    <w:p w14:paraId="1E345052">
      <w:pPr>
        <w:spacing w:line="520" w:lineRule="exact"/>
        <w:ind w:firstLine="560" w:firstLineChars="200"/>
        <w:rPr>
          <w:rFonts w:eastAsia="楷体"/>
          <w:color w:val="auto"/>
          <w:sz w:val="28"/>
          <w:szCs w:val="28"/>
          <w:highlight w:val="none"/>
        </w:rPr>
      </w:pPr>
      <w:r>
        <w:rPr>
          <w:rFonts w:eastAsia="楷体"/>
          <w:color w:val="auto"/>
          <w:sz w:val="28"/>
          <w:szCs w:val="28"/>
          <w:highlight w:val="none"/>
        </w:rPr>
        <w:t>下游群众的转移，财产撤离由镇武装部负责。抢险现场的警戒、安全保卫、非防汛的车辆和人员进入由公安局具体负责，同时负责抢险期间枢纽工程建筑物、财产等的安全保卫工作。</w:t>
      </w:r>
    </w:p>
    <w:p w14:paraId="45C262C0">
      <w:pPr>
        <w:widowControl/>
        <w:spacing w:line="520" w:lineRule="exact"/>
        <w:rPr>
          <w:rFonts w:eastAsia="楷体"/>
          <w:b/>
          <w:bCs/>
          <w:color w:val="auto"/>
          <w:kern w:val="0"/>
          <w:sz w:val="28"/>
          <w:szCs w:val="28"/>
          <w:highlight w:val="none"/>
        </w:rPr>
      </w:pPr>
      <w:r>
        <w:rPr>
          <w:rFonts w:eastAsia="楷体"/>
          <w:b/>
          <w:bCs/>
          <w:color w:val="auto"/>
          <w:kern w:val="0"/>
          <w:sz w:val="28"/>
          <w:szCs w:val="28"/>
          <w:highlight w:val="none"/>
        </w:rPr>
        <w:t xml:space="preserve">表5-1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各威胁区域撤退点一览表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60"/>
        <w:gridCol w:w="4258"/>
        <w:gridCol w:w="1323"/>
      </w:tblGrid>
      <w:tr w14:paraId="054ED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center"/>
          </w:tcPr>
          <w:p w14:paraId="74EBEF84">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序号</w:t>
            </w:r>
          </w:p>
        </w:tc>
        <w:tc>
          <w:tcPr>
            <w:tcW w:w="2760" w:type="dxa"/>
            <w:noWrap w:val="0"/>
            <w:vAlign w:val="center"/>
          </w:tcPr>
          <w:p w14:paraId="2CBC7F2B">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受威胁区域</w:t>
            </w:r>
          </w:p>
        </w:tc>
        <w:tc>
          <w:tcPr>
            <w:tcW w:w="4258" w:type="dxa"/>
            <w:noWrap w:val="0"/>
            <w:vAlign w:val="center"/>
          </w:tcPr>
          <w:p w14:paraId="65C3B8DA">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撤退点</w:t>
            </w:r>
          </w:p>
        </w:tc>
        <w:tc>
          <w:tcPr>
            <w:tcW w:w="1323" w:type="dxa"/>
            <w:noWrap w:val="0"/>
            <w:vAlign w:val="center"/>
          </w:tcPr>
          <w:p w14:paraId="0BF2859F">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备注</w:t>
            </w:r>
          </w:p>
        </w:tc>
      </w:tr>
      <w:tr w14:paraId="38220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center"/>
          </w:tcPr>
          <w:p w14:paraId="3FD003A3">
            <w:pPr>
              <w:widowControl/>
              <w:snapToGrid w:val="0"/>
              <w:spacing w:line="440" w:lineRule="exact"/>
              <w:jc w:val="center"/>
              <w:rPr>
                <w:rFonts w:eastAsia="楷体"/>
                <w:color w:val="auto"/>
                <w:kern w:val="0"/>
                <w:sz w:val="24"/>
                <w:highlight w:val="none"/>
              </w:rPr>
            </w:pPr>
            <w:r>
              <w:rPr>
                <w:rFonts w:eastAsia="楷体"/>
                <w:color w:val="auto"/>
                <w:kern w:val="0"/>
                <w:sz w:val="24"/>
                <w:highlight w:val="none"/>
              </w:rPr>
              <w:t>1</w:t>
            </w:r>
          </w:p>
        </w:tc>
        <w:tc>
          <w:tcPr>
            <w:tcW w:w="2760" w:type="dxa"/>
            <w:noWrap w:val="0"/>
            <w:vAlign w:val="center"/>
          </w:tcPr>
          <w:p w14:paraId="2809915D">
            <w:pPr>
              <w:widowControl/>
              <w:snapToGrid w:val="0"/>
              <w:spacing w:line="440" w:lineRule="exact"/>
              <w:jc w:val="center"/>
              <w:rPr>
                <w:rFonts w:hint="eastAsia" w:eastAsia="楷体"/>
                <w:color w:val="auto"/>
                <w:kern w:val="0"/>
                <w:sz w:val="24"/>
                <w:highlight w:val="none"/>
              </w:rPr>
            </w:pPr>
            <w:r>
              <w:rPr>
                <w:rFonts w:hint="eastAsia" w:eastAsia="楷体"/>
                <w:color w:val="auto"/>
                <w:kern w:val="0"/>
                <w:sz w:val="24"/>
                <w:highlight w:val="none"/>
              </w:rPr>
              <w:t>坑内村</w:t>
            </w:r>
          </w:p>
        </w:tc>
        <w:tc>
          <w:tcPr>
            <w:tcW w:w="4258" w:type="dxa"/>
            <w:noWrap w:val="0"/>
            <w:vAlign w:val="center"/>
          </w:tcPr>
          <w:p w14:paraId="0A825780">
            <w:pPr>
              <w:widowControl/>
              <w:snapToGrid w:val="0"/>
              <w:spacing w:line="440" w:lineRule="exact"/>
              <w:jc w:val="center"/>
              <w:rPr>
                <w:rFonts w:eastAsia="楷体"/>
                <w:color w:val="auto"/>
                <w:kern w:val="0"/>
                <w:sz w:val="24"/>
                <w:highlight w:val="none"/>
              </w:rPr>
            </w:pPr>
            <w:r>
              <w:rPr>
                <w:rFonts w:hint="eastAsia" w:eastAsia="楷体"/>
                <w:color w:val="auto"/>
                <w:kern w:val="0"/>
                <w:sz w:val="24"/>
                <w:highlight w:val="none"/>
              </w:rPr>
              <w:t>前黄镇</w:t>
            </w:r>
            <w:r>
              <w:rPr>
                <w:rFonts w:eastAsia="楷体"/>
                <w:color w:val="auto"/>
                <w:kern w:val="0"/>
                <w:sz w:val="24"/>
                <w:highlight w:val="none"/>
              </w:rPr>
              <w:t>政府、</w:t>
            </w:r>
          </w:p>
          <w:p w14:paraId="0A094B79">
            <w:pPr>
              <w:widowControl/>
              <w:snapToGrid w:val="0"/>
              <w:spacing w:line="440" w:lineRule="exact"/>
              <w:jc w:val="center"/>
              <w:rPr>
                <w:rFonts w:eastAsia="楷体"/>
                <w:color w:val="auto"/>
                <w:kern w:val="0"/>
                <w:sz w:val="24"/>
                <w:highlight w:val="none"/>
              </w:rPr>
            </w:pPr>
            <w:r>
              <w:rPr>
                <w:rFonts w:hint="eastAsia" w:eastAsia="楷体"/>
                <w:color w:val="auto"/>
                <w:kern w:val="0"/>
                <w:sz w:val="24"/>
                <w:highlight w:val="none"/>
              </w:rPr>
              <w:t>各中小学</w:t>
            </w:r>
            <w:r>
              <w:rPr>
                <w:rFonts w:eastAsia="楷体"/>
                <w:color w:val="auto"/>
                <w:kern w:val="0"/>
                <w:sz w:val="24"/>
                <w:highlight w:val="none"/>
              </w:rPr>
              <w:t>等</w:t>
            </w:r>
          </w:p>
        </w:tc>
        <w:tc>
          <w:tcPr>
            <w:tcW w:w="1323" w:type="dxa"/>
            <w:noWrap w:val="0"/>
            <w:vAlign w:val="center"/>
          </w:tcPr>
          <w:p w14:paraId="29A1E8FE">
            <w:pPr>
              <w:widowControl/>
              <w:snapToGrid w:val="0"/>
              <w:spacing w:line="440" w:lineRule="exact"/>
              <w:jc w:val="center"/>
              <w:rPr>
                <w:rFonts w:eastAsia="楷体"/>
                <w:color w:val="auto"/>
                <w:kern w:val="0"/>
                <w:sz w:val="24"/>
                <w:highlight w:val="none"/>
              </w:rPr>
            </w:pPr>
          </w:p>
        </w:tc>
      </w:tr>
    </w:tbl>
    <w:p w14:paraId="5D2D71B0">
      <w:pPr>
        <w:spacing w:line="520" w:lineRule="exact"/>
        <w:rPr>
          <w:rFonts w:eastAsia="楷体"/>
          <w:b/>
          <w:bCs/>
          <w:color w:val="auto"/>
          <w:sz w:val="32"/>
          <w:szCs w:val="30"/>
          <w:highlight w:val="none"/>
        </w:rPr>
      </w:pPr>
    </w:p>
    <w:p w14:paraId="012FA86F">
      <w:pPr>
        <w:spacing w:line="520" w:lineRule="exact"/>
        <w:rPr>
          <w:rFonts w:eastAsia="楷体"/>
          <w:b/>
          <w:bCs/>
          <w:color w:val="auto"/>
          <w:sz w:val="32"/>
          <w:szCs w:val="30"/>
          <w:highlight w:val="none"/>
        </w:rPr>
      </w:pPr>
    </w:p>
    <w:p w14:paraId="335ECA63">
      <w:pPr>
        <w:spacing w:line="520" w:lineRule="exact"/>
        <w:rPr>
          <w:rFonts w:eastAsia="楷体"/>
          <w:b/>
          <w:bCs/>
          <w:color w:val="auto"/>
          <w:sz w:val="32"/>
          <w:szCs w:val="30"/>
          <w:highlight w:val="none"/>
        </w:rPr>
      </w:pPr>
    </w:p>
    <w:p w14:paraId="55514DF0">
      <w:pPr>
        <w:spacing w:line="520" w:lineRule="exact"/>
        <w:rPr>
          <w:rFonts w:eastAsia="楷体"/>
          <w:b/>
          <w:bCs/>
          <w:color w:val="auto"/>
          <w:sz w:val="32"/>
          <w:szCs w:val="30"/>
          <w:highlight w:val="none"/>
        </w:rPr>
      </w:pPr>
    </w:p>
    <w:p w14:paraId="36CF35A4">
      <w:pPr>
        <w:spacing w:line="520" w:lineRule="exact"/>
        <w:rPr>
          <w:rFonts w:eastAsia="楷体"/>
          <w:b/>
          <w:bCs/>
          <w:color w:val="auto"/>
          <w:sz w:val="32"/>
          <w:szCs w:val="30"/>
          <w:highlight w:val="none"/>
        </w:rPr>
      </w:pPr>
    </w:p>
    <w:p w14:paraId="6CAADCB7">
      <w:pPr>
        <w:spacing w:line="520" w:lineRule="exact"/>
        <w:rPr>
          <w:rFonts w:eastAsia="楷体"/>
          <w:b/>
          <w:bCs/>
          <w:color w:val="auto"/>
          <w:sz w:val="32"/>
          <w:szCs w:val="30"/>
          <w:highlight w:val="none"/>
        </w:rPr>
      </w:pPr>
    </w:p>
    <w:p w14:paraId="1A9A80ED">
      <w:pPr>
        <w:spacing w:line="520" w:lineRule="exact"/>
        <w:rPr>
          <w:rFonts w:eastAsia="楷体"/>
          <w:b/>
          <w:bCs/>
          <w:color w:val="auto"/>
          <w:sz w:val="32"/>
          <w:szCs w:val="30"/>
          <w:highlight w:val="none"/>
        </w:rPr>
      </w:pPr>
    </w:p>
    <w:p w14:paraId="1D192F6B">
      <w:pPr>
        <w:spacing w:line="520" w:lineRule="exact"/>
        <w:rPr>
          <w:rFonts w:eastAsia="楷体"/>
          <w:b/>
          <w:bCs/>
          <w:color w:val="auto"/>
          <w:sz w:val="32"/>
          <w:szCs w:val="30"/>
          <w:highlight w:val="none"/>
        </w:rPr>
      </w:pPr>
    </w:p>
    <w:p w14:paraId="1335E555">
      <w:pPr>
        <w:spacing w:line="520" w:lineRule="exact"/>
        <w:rPr>
          <w:rFonts w:eastAsia="楷体"/>
          <w:b/>
          <w:bCs/>
          <w:color w:val="auto"/>
          <w:sz w:val="32"/>
          <w:szCs w:val="30"/>
          <w:highlight w:val="none"/>
        </w:rPr>
      </w:pPr>
    </w:p>
    <w:p w14:paraId="3B66C7AE">
      <w:pPr>
        <w:spacing w:line="520" w:lineRule="exact"/>
        <w:rPr>
          <w:rFonts w:eastAsia="楷体"/>
          <w:b/>
          <w:bCs/>
          <w:color w:val="auto"/>
          <w:sz w:val="32"/>
          <w:szCs w:val="30"/>
          <w:highlight w:val="none"/>
        </w:rPr>
      </w:pPr>
    </w:p>
    <w:p w14:paraId="5060F88D">
      <w:pPr>
        <w:spacing w:line="520" w:lineRule="exact"/>
        <w:rPr>
          <w:rFonts w:eastAsia="楷体"/>
          <w:b/>
          <w:bCs/>
          <w:color w:val="auto"/>
          <w:sz w:val="32"/>
          <w:szCs w:val="30"/>
          <w:highlight w:val="none"/>
        </w:rPr>
      </w:pPr>
    </w:p>
    <w:p w14:paraId="56328E43">
      <w:pPr>
        <w:adjustRightInd w:val="0"/>
        <w:snapToGrid w:val="0"/>
        <w:spacing w:before="156" w:beforeLines="50" w:after="156" w:afterLines="50" w:line="360" w:lineRule="auto"/>
        <w:jc w:val="center"/>
        <w:outlineLvl w:val="0"/>
        <w:rPr>
          <w:rStyle w:val="50"/>
          <w:rFonts w:eastAsia="楷体"/>
          <w:b/>
          <w:bCs/>
          <w:color w:val="auto"/>
          <w:sz w:val="36"/>
          <w:szCs w:val="36"/>
          <w:highlight w:val="none"/>
        </w:rPr>
      </w:pPr>
      <w:bookmarkStart w:id="106" w:name="_Toc11254"/>
      <w:bookmarkStart w:id="107" w:name="_Toc24996"/>
      <w:r>
        <w:rPr>
          <w:rStyle w:val="50"/>
          <w:rFonts w:eastAsia="楷体"/>
          <w:b/>
          <w:bCs/>
          <w:color w:val="auto"/>
          <w:sz w:val="36"/>
          <w:szCs w:val="36"/>
          <w:highlight w:val="none"/>
        </w:rPr>
        <w:t>6 应急保障</w:t>
      </w:r>
      <w:bookmarkEnd w:id="106"/>
      <w:bookmarkEnd w:id="107"/>
    </w:p>
    <w:p w14:paraId="68DAF9BC">
      <w:pPr>
        <w:spacing w:line="520" w:lineRule="exact"/>
        <w:ind w:firstLine="560" w:firstLineChars="200"/>
        <w:rPr>
          <w:rFonts w:eastAsia="楷体"/>
          <w:color w:val="auto"/>
          <w:sz w:val="28"/>
          <w:szCs w:val="28"/>
          <w:highlight w:val="none"/>
        </w:rPr>
      </w:pPr>
      <w:r>
        <w:rPr>
          <w:rFonts w:eastAsia="楷体"/>
          <w:color w:val="auto"/>
          <w:sz w:val="28"/>
          <w:szCs w:val="28"/>
          <w:highlight w:val="none"/>
        </w:rPr>
        <w:t>依照《防洪法》规定，防洪抢险必须实行行政首长负责，根据分级分部门负责的原则，成立四清水库防洪抢险应急指挥部，指挥部成员由四清水库防汛工作领导小组成员组成，具体负责水库防洪抢险、防灾减灾及灾后恢复工作的统一领导和指挥，在保障工作全面、有序开展的同时，各领导成员按照职责必须负责具体的工作。</w:t>
      </w:r>
    </w:p>
    <w:p w14:paraId="261D6C1A">
      <w:pPr>
        <w:spacing w:before="156" w:beforeLines="50" w:after="156" w:afterLines="50" w:line="360" w:lineRule="auto"/>
        <w:outlineLvl w:val="1"/>
        <w:rPr>
          <w:rFonts w:eastAsia="楷体"/>
          <w:b/>
          <w:color w:val="auto"/>
          <w:sz w:val="32"/>
          <w:szCs w:val="30"/>
          <w:highlight w:val="none"/>
        </w:rPr>
      </w:pPr>
      <w:bookmarkStart w:id="108" w:name="_Toc7422"/>
      <w:bookmarkStart w:id="109" w:name="_Toc24772"/>
      <w:r>
        <w:rPr>
          <w:rFonts w:eastAsia="楷体"/>
          <w:b/>
          <w:color w:val="auto"/>
          <w:sz w:val="32"/>
          <w:szCs w:val="30"/>
          <w:highlight w:val="none"/>
        </w:rPr>
        <w:t>6.1 组织保障</w:t>
      </w:r>
      <w:bookmarkEnd w:id="108"/>
      <w:bookmarkEnd w:id="109"/>
    </w:p>
    <w:p w14:paraId="3D387E3C">
      <w:pPr>
        <w:spacing w:line="520" w:lineRule="exact"/>
        <w:ind w:firstLine="560" w:firstLineChars="200"/>
        <w:rPr>
          <w:rFonts w:hint="eastAsia" w:eastAsia="楷体"/>
          <w:color w:val="auto"/>
          <w:sz w:val="28"/>
          <w:szCs w:val="28"/>
          <w:highlight w:val="none"/>
        </w:rPr>
      </w:pPr>
      <w:r>
        <w:rPr>
          <w:rFonts w:eastAsia="楷体"/>
          <w:color w:val="auto"/>
          <w:sz w:val="28"/>
          <w:szCs w:val="28"/>
          <w:highlight w:val="none"/>
        </w:rPr>
        <w:t>为保障</w:t>
      </w:r>
      <w:r>
        <w:rPr>
          <w:rFonts w:hint="eastAsia" w:eastAsia="楷体"/>
          <w:color w:val="auto"/>
          <w:sz w:val="28"/>
          <w:szCs w:val="28"/>
          <w:highlight w:val="none"/>
          <w:lang w:eastAsia="zh-CN"/>
        </w:rPr>
        <w:t>四清</w:t>
      </w:r>
      <w:r>
        <w:rPr>
          <w:rFonts w:eastAsia="楷体"/>
          <w:color w:val="auto"/>
          <w:sz w:val="28"/>
          <w:szCs w:val="28"/>
          <w:highlight w:val="none"/>
        </w:rPr>
        <w:t>水库20</w:t>
      </w:r>
      <w:r>
        <w:rPr>
          <w:rFonts w:hint="eastAsia" w:eastAsia="楷体"/>
          <w:color w:val="auto"/>
          <w:sz w:val="28"/>
          <w:szCs w:val="28"/>
          <w:highlight w:val="none"/>
          <w:lang w:val="en-US" w:eastAsia="zh-CN"/>
        </w:rPr>
        <w:t>26</w:t>
      </w:r>
      <w:r>
        <w:rPr>
          <w:rFonts w:eastAsia="楷体"/>
          <w:color w:val="auto"/>
          <w:sz w:val="28"/>
          <w:szCs w:val="28"/>
          <w:highlight w:val="none"/>
        </w:rPr>
        <w:t>年防汛工作的顺利进行，成立</w:t>
      </w:r>
      <w:r>
        <w:rPr>
          <w:rFonts w:hint="eastAsia" w:eastAsia="楷体"/>
          <w:color w:val="auto"/>
          <w:sz w:val="28"/>
          <w:szCs w:val="28"/>
          <w:highlight w:val="none"/>
          <w:lang w:eastAsia="zh-CN"/>
        </w:rPr>
        <w:t>四清</w:t>
      </w:r>
      <w:r>
        <w:rPr>
          <w:rFonts w:eastAsia="楷体"/>
          <w:color w:val="auto"/>
          <w:sz w:val="28"/>
          <w:szCs w:val="28"/>
          <w:highlight w:val="none"/>
        </w:rPr>
        <w:t>水库大坝安全应急指挥部，</w:t>
      </w:r>
      <w:r>
        <w:rPr>
          <w:rFonts w:hint="eastAsia" w:eastAsia="楷体"/>
          <w:color w:val="auto"/>
          <w:sz w:val="28"/>
          <w:szCs w:val="28"/>
          <w:highlight w:val="none"/>
        </w:rPr>
        <w:t>明确水库防汛领导小组组长、副组长及成员单位负责人，明确实施《应急预案》的职责分工和工作方式。</w:t>
      </w:r>
    </w:p>
    <w:p w14:paraId="487C1356">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eastAsia" w:ascii="Times New Roman" w:hAnsi="Times New Roman" w:eastAsia="楷体" w:cs="Times New Roman"/>
          <w:b/>
          <w:bCs/>
          <w:color w:val="auto"/>
          <w:kern w:val="0"/>
          <w:sz w:val="28"/>
          <w:szCs w:val="28"/>
          <w:highlight w:val="none"/>
          <w:lang w:val="en-US" w:eastAsia="zh-CN"/>
        </w:rPr>
        <w:t>6-1</w:t>
      </w:r>
      <w:r>
        <w:rPr>
          <w:rFonts w:hint="default" w:ascii="Times New Roman" w:hAnsi="Times New Roman" w:eastAsia="楷体" w:cs="Times New Roman"/>
          <w:b/>
          <w:bCs/>
          <w:color w:val="auto"/>
          <w:kern w:val="0"/>
          <w:sz w:val="28"/>
          <w:szCs w:val="28"/>
          <w:highlight w:val="none"/>
          <w:lang w:val="en-US" w:eastAsia="zh-CN"/>
        </w:rPr>
        <w:t xml:space="preserve">      </w:t>
      </w:r>
      <w:r>
        <w:rPr>
          <w:rFonts w:hint="eastAsia" w:ascii="Times New Roman" w:hAnsi="Times New Roman" w:eastAsia="楷体" w:cs="Times New Roman"/>
          <w:b/>
          <w:bCs/>
          <w:color w:val="auto"/>
          <w:kern w:val="0"/>
          <w:sz w:val="28"/>
          <w:szCs w:val="28"/>
          <w:highlight w:val="none"/>
          <w:lang w:val="en-US" w:eastAsia="zh-CN"/>
        </w:rPr>
        <w:t xml:space="preserve">   防汛领导小组有关单位及责任人名单</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893"/>
        <w:gridCol w:w="2885"/>
        <w:gridCol w:w="1858"/>
      </w:tblGrid>
      <w:tr w14:paraId="0F9B6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1A5E70E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507" w:type="dxa"/>
            <w:noWrap w:val="0"/>
            <w:vAlign w:val="center"/>
          </w:tcPr>
          <w:p w14:paraId="19B3364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1893" w:type="dxa"/>
            <w:noWrap w:val="0"/>
            <w:vAlign w:val="center"/>
          </w:tcPr>
          <w:p w14:paraId="5828A6D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2885" w:type="dxa"/>
            <w:noWrap w:val="0"/>
            <w:vAlign w:val="center"/>
          </w:tcPr>
          <w:p w14:paraId="34A7543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7671639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0B4B9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EA3C51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507" w:type="dxa"/>
            <w:noWrap w:val="0"/>
            <w:vAlign w:val="center"/>
          </w:tcPr>
          <w:p w14:paraId="6D195FD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893" w:type="dxa"/>
            <w:noWrap w:val="0"/>
            <w:vAlign w:val="center"/>
          </w:tcPr>
          <w:p w14:paraId="4EDE99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林志伟</w:t>
            </w:r>
          </w:p>
        </w:tc>
        <w:tc>
          <w:tcPr>
            <w:tcW w:w="2885" w:type="dxa"/>
            <w:noWrap w:val="0"/>
            <w:vAlign w:val="center"/>
          </w:tcPr>
          <w:p w14:paraId="7F10C91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镇党委副书记、政法委员</w:t>
            </w:r>
          </w:p>
        </w:tc>
        <w:tc>
          <w:tcPr>
            <w:tcW w:w="1858" w:type="dxa"/>
            <w:noWrap w:val="0"/>
            <w:vAlign w:val="center"/>
          </w:tcPr>
          <w:p w14:paraId="4FADD30B">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735DA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07FB360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507" w:type="dxa"/>
            <w:noWrap w:val="0"/>
            <w:vAlign w:val="center"/>
          </w:tcPr>
          <w:p w14:paraId="393F628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1893" w:type="dxa"/>
            <w:noWrap w:val="0"/>
            <w:vAlign w:val="center"/>
          </w:tcPr>
          <w:p w14:paraId="53B368B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曾荣桂</w:t>
            </w:r>
          </w:p>
        </w:tc>
        <w:tc>
          <w:tcPr>
            <w:tcW w:w="2885" w:type="dxa"/>
            <w:noWrap w:val="0"/>
            <w:vAlign w:val="center"/>
          </w:tcPr>
          <w:p w14:paraId="005B472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镇党委二级主任科员</w:t>
            </w:r>
          </w:p>
        </w:tc>
        <w:tc>
          <w:tcPr>
            <w:tcW w:w="1858" w:type="dxa"/>
            <w:noWrap w:val="0"/>
            <w:vAlign w:val="center"/>
          </w:tcPr>
          <w:p w14:paraId="2093CF1C">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87966068</w:t>
            </w:r>
          </w:p>
        </w:tc>
      </w:tr>
      <w:tr w14:paraId="6C17C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7538C8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507" w:type="dxa"/>
            <w:noWrap w:val="0"/>
            <w:vAlign w:val="center"/>
          </w:tcPr>
          <w:p w14:paraId="5655531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1893" w:type="dxa"/>
            <w:noWrap w:val="0"/>
            <w:vAlign w:val="center"/>
          </w:tcPr>
          <w:p w14:paraId="1F241A0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庄增加</w:t>
            </w:r>
          </w:p>
        </w:tc>
        <w:tc>
          <w:tcPr>
            <w:tcW w:w="2885" w:type="dxa"/>
            <w:noWrap w:val="0"/>
            <w:vAlign w:val="center"/>
          </w:tcPr>
          <w:p w14:paraId="192B165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镇党委二级主任科员</w:t>
            </w:r>
          </w:p>
        </w:tc>
        <w:tc>
          <w:tcPr>
            <w:tcW w:w="1858" w:type="dxa"/>
            <w:noWrap w:val="0"/>
            <w:vAlign w:val="center"/>
          </w:tcPr>
          <w:p w14:paraId="5B1352B0">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87966211</w:t>
            </w:r>
          </w:p>
        </w:tc>
      </w:tr>
      <w:tr w14:paraId="58EDF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78C9445E">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4</w:t>
            </w:r>
          </w:p>
        </w:tc>
        <w:tc>
          <w:tcPr>
            <w:tcW w:w="1507" w:type="dxa"/>
            <w:noWrap w:val="0"/>
            <w:vAlign w:val="center"/>
          </w:tcPr>
          <w:p w14:paraId="512965C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1893" w:type="dxa"/>
            <w:noWrap w:val="0"/>
            <w:vAlign w:val="center"/>
          </w:tcPr>
          <w:p w14:paraId="2AFF0FB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贾义海</w:t>
            </w:r>
          </w:p>
        </w:tc>
        <w:tc>
          <w:tcPr>
            <w:tcW w:w="2885" w:type="dxa"/>
            <w:noWrap w:val="0"/>
            <w:vAlign w:val="center"/>
          </w:tcPr>
          <w:p w14:paraId="601EF15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镇党委委员、人武部部长</w:t>
            </w:r>
          </w:p>
        </w:tc>
        <w:tc>
          <w:tcPr>
            <w:tcW w:w="1858" w:type="dxa"/>
            <w:noWrap w:val="0"/>
            <w:vAlign w:val="center"/>
          </w:tcPr>
          <w:p w14:paraId="1DA53471">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87039666</w:t>
            </w:r>
          </w:p>
        </w:tc>
      </w:tr>
      <w:tr w14:paraId="404A4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7EF70E9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507" w:type="dxa"/>
            <w:noWrap w:val="0"/>
            <w:vAlign w:val="center"/>
          </w:tcPr>
          <w:p w14:paraId="5592F02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893" w:type="dxa"/>
            <w:noWrap w:val="0"/>
            <w:vAlign w:val="center"/>
          </w:tcPr>
          <w:p w14:paraId="6F792AE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连毅伟</w:t>
            </w:r>
          </w:p>
        </w:tc>
        <w:tc>
          <w:tcPr>
            <w:tcW w:w="2885" w:type="dxa"/>
            <w:noWrap w:val="0"/>
            <w:vAlign w:val="center"/>
          </w:tcPr>
          <w:p w14:paraId="32BA091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i w:val="0"/>
                <w:color w:val="auto"/>
                <w:kern w:val="0"/>
                <w:sz w:val="24"/>
                <w:szCs w:val="24"/>
                <w:highlight w:val="none"/>
                <w:u w:val="none"/>
                <w:lang w:val="en-US" w:eastAsia="zh-CN" w:bidi="ar"/>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858" w:type="dxa"/>
            <w:noWrap w:val="0"/>
            <w:vAlign w:val="center"/>
          </w:tcPr>
          <w:p w14:paraId="6D509453">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87966081</w:t>
            </w:r>
          </w:p>
        </w:tc>
      </w:tr>
    </w:tbl>
    <w:p w14:paraId="45852C25">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4AA9EE73">
      <w:pPr>
        <w:spacing w:line="520" w:lineRule="exact"/>
        <w:ind w:firstLine="560" w:firstLineChars="200"/>
        <w:rPr>
          <w:rFonts w:eastAsia="楷体"/>
          <w:bCs/>
          <w:color w:val="auto"/>
          <w:sz w:val="28"/>
          <w:szCs w:val="28"/>
          <w:highlight w:val="none"/>
        </w:rPr>
      </w:pPr>
      <w:r>
        <w:rPr>
          <w:rFonts w:eastAsia="楷体"/>
          <w:bCs/>
          <w:color w:val="auto"/>
          <w:sz w:val="28"/>
          <w:szCs w:val="28"/>
          <w:highlight w:val="none"/>
        </w:rPr>
        <w:t>要制定汛期值班和工程的巡查制度，关注气象预报，掌握雨情、水情变化情况，认真执行本防洪调度方案措施。</w:t>
      </w:r>
    </w:p>
    <w:p w14:paraId="049FD9A8">
      <w:pPr>
        <w:widowControl/>
        <w:spacing w:line="520" w:lineRule="exact"/>
        <w:ind w:firstLine="560" w:firstLineChars="200"/>
        <w:jc w:val="left"/>
        <w:rPr>
          <w:rFonts w:eastAsia="楷体"/>
          <w:color w:val="auto"/>
          <w:sz w:val="28"/>
          <w:szCs w:val="28"/>
          <w:highlight w:val="none"/>
        </w:rPr>
      </w:pPr>
      <w:r>
        <w:rPr>
          <w:rFonts w:eastAsia="楷体"/>
          <w:color w:val="auto"/>
          <w:sz w:val="28"/>
          <w:szCs w:val="28"/>
          <w:highlight w:val="none"/>
        </w:rPr>
        <w:t xml:space="preserve">各部门的职责如下： </w:t>
      </w:r>
    </w:p>
    <w:p w14:paraId="0D836009">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水库管理单位：组织日常的防汛值班和水库大坝等三大建筑物的巡视检查等。</w:t>
      </w:r>
    </w:p>
    <w:p w14:paraId="39B5285F">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水利部门：负责水库调度，作出具体的防洪度汛部署并监督检查确保其防汛体系的有效运转。</w:t>
      </w:r>
    </w:p>
    <w:p w14:paraId="0C3AF03E">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电力部门：负责供电保障，主要负责抗洪抢险、救灾等方面的供电需要和应急</w:t>
      </w:r>
      <w:r>
        <w:rPr>
          <w:rFonts w:hint="eastAsia" w:eastAsia="楷体" w:cs="Times New Roman"/>
          <w:color w:val="auto"/>
          <w:sz w:val="28"/>
          <w:szCs w:val="28"/>
          <w:highlight w:val="none"/>
          <w:lang w:val="en-US" w:eastAsia="zh-CN"/>
        </w:rPr>
        <w:t>救</w:t>
      </w:r>
      <w:r>
        <w:rPr>
          <w:rFonts w:hint="default" w:ascii="Times New Roman" w:hAnsi="Times New Roman" w:eastAsia="楷体" w:cs="Times New Roman"/>
          <w:color w:val="auto"/>
          <w:sz w:val="28"/>
          <w:szCs w:val="28"/>
          <w:highlight w:val="none"/>
        </w:rPr>
        <w:t>援现场的临时供电。</w:t>
      </w:r>
    </w:p>
    <w:p w14:paraId="0E2B6B2B">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交通部门：主要负责优先保证防汛抢险人员、防汛救灾物资运输和群众安全转移所需车辆的调配。</w:t>
      </w:r>
    </w:p>
    <w:p w14:paraId="0F265CB2">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通讯与信息部门：维护通讯设施完好，出现突发事件，迅速调集力量抢修，确保信息畅通，必要时，调度应急通讯设备，为防汛通信和现场指挥提供通信保障。在紧急情况下，应充分利用公共广播和电视等媒体以及手机短信等手段发布信息，通知群众快速撤离，确保人民生命的安全。</w:t>
      </w:r>
    </w:p>
    <w:p w14:paraId="11934C99">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卫生部门：主要负责灾区疾病防治的业务技术指导；组织医疗卫生队赴灾区巡医问诊，负责灾区防疫消毒、抢救伤员等工作。</w:t>
      </w:r>
    </w:p>
    <w:p w14:paraId="461AE31A">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公安部门：主要负责做好灾区的治安管理工作，依法严厉打击破坏抗洪救灾行动和工程设施安全的行为，保证抗灾救灾工作的顺利进行；负责组织搞好防汛抢险、分洪爆破时的戒严、警卫工作，维护灾区的社会治安秩序。</w:t>
      </w:r>
    </w:p>
    <w:p w14:paraId="08421D44">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宣传部门：负责思想政治工作。</w:t>
      </w:r>
    </w:p>
    <w:p w14:paraId="3883D28A">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其它有关部门在汛期均应根据县级及以上防汛部门的抢险指令，无条件地提供服务，配合相关部门共同完成防汛抢险任务。</w:t>
      </w:r>
    </w:p>
    <w:p w14:paraId="7CB8B110">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防汛领导小组下设调度组、情报组、维护组、巡逻组、后勤组等5个小组。应加强观测，密切关注水情、雨情、工情，坚持24小时值班，发现险情及时向县防汛抗旱指挥部汇报。</w:t>
      </w:r>
    </w:p>
    <w:p w14:paraId="31B1F075">
      <w:pPr>
        <w:widowControl/>
        <w:spacing w:line="360" w:lineRule="auto"/>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水库抢险专家组由</w:t>
      </w:r>
      <w:r>
        <w:rPr>
          <w:rFonts w:hint="default" w:ascii="Times New Roman" w:hAnsi="Times New Roman" w:eastAsia="楷体" w:cs="Times New Roman"/>
          <w:color w:val="auto"/>
          <w:kern w:val="0"/>
          <w:sz w:val="28"/>
          <w:szCs w:val="28"/>
          <w:highlight w:val="none"/>
          <w:lang w:eastAsia="zh-CN"/>
        </w:rPr>
        <w:t>区农林水</w:t>
      </w:r>
      <w:r>
        <w:rPr>
          <w:rFonts w:hint="default" w:ascii="Times New Roman" w:hAnsi="Times New Roman" w:eastAsia="楷体" w:cs="Times New Roman"/>
          <w:color w:val="auto"/>
          <w:kern w:val="0"/>
          <w:sz w:val="28"/>
          <w:szCs w:val="28"/>
          <w:highlight w:val="none"/>
        </w:rPr>
        <w:t>局有关专家组成，必要时可请省、市权威专家。</w:t>
      </w:r>
    </w:p>
    <w:p w14:paraId="4B348CA1">
      <w:pPr>
        <w:spacing w:before="156" w:beforeLines="50" w:after="156" w:afterLines="50" w:line="360" w:lineRule="auto"/>
        <w:outlineLvl w:val="1"/>
        <w:rPr>
          <w:rFonts w:eastAsia="楷体"/>
          <w:b/>
          <w:color w:val="auto"/>
          <w:sz w:val="32"/>
          <w:szCs w:val="30"/>
          <w:highlight w:val="none"/>
        </w:rPr>
      </w:pPr>
      <w:bookmarkStart w:id="110" w:name="_Toc28784"/>
      <w:bookmarkStart w:id="111" w:name="_Toc29561"/>
      <w:r>
        <w:rPr>
          <w:rFonts w:eastAsia="楷体"/>
          <w:b/>
          <w:color w:val="auto"/>
          <w:sz w:val="32"/>
          <w:szCs w:val="30"/>
          <w:highlight w:val="none"/>
        </w:rPr>
        <w:t>6.2 队伍保障</w:t>
      </w:r>
      <w:bookmarkEnd w:id="110"/>
      <w:bookmarkEnd w:id="111"/>
    </w:p>
    <w:p w14:paraId="6BBCB4BB">
      <w:pPr>
        <w:spacing w:before="156" w:beforeLines="50" w:after="156" w:afterLines="50"/>
        <w:outlineLvl w:val="2"/>
        <w:rPr>
          <w:rFonts w:eastAsia="楷体"/>
          <w:b/>
          <w:bCs/>
          <w:color w:val="auto"/>
          <w:sz w:val="32"/>
          <w:szCs w:val="30"/>
          <w:highlight w:val="none"/>
        </w:rPr>
      </w:pPr>
      <w:bookmarkStart w:id="112" w:name="_Toc5960"/>
      <w:r>
        <w:rPr>
          <w:rFonts w:eastAsia="楷体"/>
          <w:b/>
          <w:bCs/>
          <w:color w:val="auto"/>
          <w:sz w:val="32"/>
          <w:szCs w:val="30"/>
          <w:highlight w:val="none"/>
        </w:rPr>
        <w:t>6.2.1 专业抢险队</w:t>
      </w:r>
      <w:bookmarkEnd w:id="112"/>
    </w:p>
    <w:p w14:paraId="54B2864C">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由水库行政主管部门、水库工程管理单位的技术人员、武装部、武警中队、属地乡镇民兵组成，主要负责对大坝、溢洪道重点部位的抢险，采取切实有效的保坝措施，保证大坝的安全，尽力减少洪水灾害。</w:t>
      </w:r>
    </w:p>
    <w:p w14:paraId="7660FAB1">
      <w:pPr>
        <w:spacing w:before="156" w:beforeLines="50" w:after="156" w:afterLines="50"/>
        <w:outlineLvl w:val="2"/>
        <w:rPr>
          <w:rFonts w:eastAsia="楷体"/>
          <w:b/>
          <w:bCs/>
          <w:color w:val="auto"/>
          <w:sz w:val="32"/>
          <w:szCs w:val="30"/>
          <w:highlight w:val="none"/>
        </w:rPr>
      </w:pPr>
      <w:bookmarkStart w:id="113" w:name="_Toc27175"/>
      <w:r>
        <w:rPr>
          <w:rFonts w:eastAsia="楷体"/>
          <w:b/>
          <w:bCs/>
          <w:color w:val="auto"/>
          <w:sz w:val="32"/>
          <w:szCs w:val="30"/>
          <w:highlight w:val="none"/>
        </w:rPr>
        <w:t>6.2.2 群众抢险队</w:t>
      </w:r>
      <w:bookmarkEnd w:id="113"/>
    </w:p>
    <w:p w14:paraId="683963D8">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由</w:t>
      </w:r>
      <w:r>
        <w:rPr>
          <w:rFonts w:hint="eastAsia" w:eastAsia="楷体"/>
          <w:color w:val="auto"/>
          <w:kern w:val="0"/>
          <w:sz w:val="28"/>
          <w:szCs w:val="28"/>
          <w:highlight w:val="none"/>
        </w:rPr>
        <w:t>前黄镇</w:t>
      </w:r>
      <w:r>
        <w:rPr>
          <w:rFonts w:eastAsia="楷体"/>
          <w:color w:val="auto"/>
          <w:kern w:val="0"/>
          <w:sz w:val="28"/>
          <w:szCs w:val="28"/>
          <w:highlight w:val="none"/>
        </w:rPr>
        <w:t>人民政府、各属村委会干部、广大群众和青年民兵组成，当水库大坝出现险情时，要配合专业抢险队共同做好出险重点部位的抢险工作。当水库大坝出现可能溃坝时，负责通知和做好水库下游人员、财产撤离，保证水库下游的人民生命财产安全。</w:t>
      </w:r>
    </w:p>
    <w:p w14:paraId="35E7A931">
      <w:pPr>
        <w:spacing w:before="156" w:beforeLines="50" w:after="156" w:afterLines="50"/>
        <w:outlineLvl w:val="2"/>
        <w:rPr>
          <w:rFonts w:eastAsia="楷体"/>
          <w:b/>
          <w:bCs/>
          <w:color w:val="auto"/>
          <w:sz w:val="32"/>
          <w:szCs w:val="30"/>
          <w:highlight w:val="none"/>
        </w:rPr>
      </w:pPr>
      <w:bookmarkStart w:id="114" w:name="_Toc23176"/>
      <w:r>
        <w:rPr>
          <w:rFonts w:eastAsia="楷体"/>
          <w:b/>
          <w:bCs/>
          <w:color w:val="auto"/>
          <w:sz w:val="32"/>
          <w:szCs w:val="30"/>
          <w:highlight w:val="none"/>
        </w:rPr>
        <w:t>6.2.3 人民解放军、武警部队</w:t>
      </w:r>
      <w:bookmarkEnd w:id="114"/>
    </w:p>
    <w:p w14:paraId="540ABA42">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依据《中华人民共和国防洪法》第四十三条规定，人民解放军、武警部队应当执行国家赋予的抢险任务。在水库发生重大危险时，充分发挥主力军的作用，必要时加强防汛抗洪抢险演习，提高抗洪抢险的作战能力，随时做好抗洪抢险的思想准备，保证人民生命财产的安全。</w:t>
      </w:r>
    </w:p>
    <w:p w14:paraId="2FFE7823">
      <w:pPr>
        <w:spacing w:before="156" w:beforeLines="50" w:after="156" w:afterLines="50" w:line="360" w:lineRule="auto"/>
        <w:outlineLvl w:val="1"/>
        <w:rPr>
          <w:rFonts w:eastAsia="楷体"/>
          <w:b/>
          <w:color w:val="auto"/>
          <w:sz w:val="32"/>
          <w:szCs w:val="30"/>
          <w:highlight w:val="none"/>
        </w:rPr>
      </w:pPr>
      <w:bookmarkStart w:id="115" w:name="_Toc20700"/>
      <w:bookmarkStart w:id="116" w:name="_Toc16237"/>
      <w:r>
        <w:rPr>
          <w:rFonts w:eastAsia="楷体"/>
          <w:b/>
          <w:color w:val="auto"/>
          <w:sz w:val="32"/>
          <w:szCs w:val="30"/>
          <w:highlight w:val="none"/>
        </w:rPr>
        <w:t>6.3 物资保障</w:t>
      </w:r>
      <w:bookmarkEnd w:id="115"/>
      <w:bookmarkEnd w:id="116"/>
    </w:p>
    <w:p w14:paraId="0B2C6DE2">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防洪期间为保证抢险工作落到实处，抢险物资的储备是必不可少的。根据四清水库工程情况，在水库防汛仓库派专人负责储备物资的管理工作。</w:t>
      </w:r>
    </w:p>
    <w:p w14:paraId="35D5D7E6">
      <w:pPr>
        <w:widowControl/>
        <w:spacing w:line="520" w:lineRule="exact"/>
        <w:ind w:firstLine="560"/>
        <w:rPr>
          <w:rFonts w:eastAsia="楷体"/>
          <w:color w:val="auto"/>
          <w:kern w:val="0"/>
          <w:sz w:val="28"/>
          <w:szCs w:val="28"/>
          <w:highlight w:val="none"/>
        </w:rPr>
      </w:pPr>
    </w:p>
    <w:p w14:paraId="326B4D53">
      <w:pPr>
        <w:widowControl/>
        <w:spacing w:line="520" w:lineRule="exact"/>
        <w:ind w:firstLine="560"/>
        <w:rPr>
          <w:rFonts w:eastAsia="楷体"/>
          <w:color w:val="auto"/>
          <w:kern w:val="0"/>
          <w:sz w:val="28"/>
          <w:szCs w:val="28"/>
          <w:highlight w:val="none"/>
        </w:rPr>
      </w:pPr>
    </w:p>
    <w:p w14:paraId="34FFE8C3">
      <w:pPr>
        <w:widowControl/>
        <w:spacing w:line="520" w:lineRule="exact"/>
        <w:ind w:firstLine="560"/>
        <w:rPr>
          <w:rFonts w:eastAsia="楷体"/>
          <w:color w:val="auto"/>
          <w:kern w:val="0"/>
          <w:sz w:val="28"/>
          <w:szCs w:val="28"/>
          <w:highlight w:val="none"/>
        </w:rPr>
      </w:pPr>
    </w:p>
    <w:p w14:paraId="21D9E010">
      <w:pPr>
        <w:widowControl/>
        <w:spacing w:line="520" w:lineRule="exact"/>
        <w:ind w:firstLine="560"/>
        <w:rPr>
          <w:rFonts w:eastAsia="楷体"/>
          <w:color w:val="auto"/>
          <w:kern w:val="0"/>
          <w:sz w:val="28"/>
          <w:szCs w:val="28"/>
          <w:highlight w:val="none"/>
        </w:rPr>
      </w:pPr>
    </w:p>
    <w:p w14:paraId="2356FCDE">
      <w:pPr>
        <w:widowControl/>
        <w:spacing w:line="520" w:lineRule="exact"/>
        <w:ind w:firstLine="560"/>
        <w:rPr>
          <w:rFonts w:eastAsia="楷体"/>
          <w:color w:val="auto"/>
          <w:kern w:val="0"/>
          <w:sz w:val="28"/>
          <w:szCs w:val="28"/>
          <w:highlight w:val="none"/>
        </w:rPr>
      </w:pPr>
    </w:p>
    <w:p w14:paraId="48A63257">
      <w:pPr>
        <w:widowControl/>
        <w:spacing w:line="520" w:lineRule="exact"/>
        <w:rPr>
          <w:rFonts w:eastAsia="楷体"/>
          <w:b/>
          <w:bCs/>
          <w:color w:val="auto"/>
          <w:sz w:val="28"/>
          <w:szCs w:val="28"/>
          <w:highlight w:val="none"/>
        </w:rPr>
      </w:pPr>
      <w:bookmarkStart w:id="117" w:name="_Toc18695"/>
      <w:r>
        <w:rPr>
          <w:rFonts w:eastAsia="楷体"/>
          <w:b/>
          <w:bCs/>
          <w:color w:val="auto"/>
          <w:sz w:val="28"/>
          <w:szCs w:val="28"/>
          <w:highlight w:val="none"/>
        </w:rPr>
        <w:t xml:space="preserve">表6-2        </w:t>
      </w:r>
      <w:r>
        <w:rPr>
          <w:rFonts w:hint="eastAsia" w:eastAsia="楷体"/>
          <w:b/>
          <w:bCs/>
          <w:color w:val="auto"/>
          <w:sz w:val="28"/>
          <w:szCs w:val="28"/>
          <w:highlight w:val="none"/>
        </w:rPr>
        <w:t xml:space="preserve">     </w:t>
      </w:r>
      <w:r>
        <w:rPr>
          <w:rFonts w:eastAsia="楷体"/>
          <w:b/>
          <w:bCs/>
          <w:color w:val="auto"/>
          <w:sz w:val="28"/>
          <w:szCs w:val="28"/>
          <w:highlight w:val="none"/>
        </w:rPr>
        <w:t>水库现场抢险物资配备明细表</w:t>
      </w:r>
      <w:bookmarkEnd w:id="117"/>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58"/>
        <w:gridCol w:w="3367"/>
        <w:gridCol w:w="1937"/>
        <w:gridCol w:w="1939"/>
      </w:tblGrid>
      <w:tr w14:paraId="74431C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65155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bookmarkStart w:id="118" w:name="_Toc14017"/>
            <w:r>
              <w:rPr>
                <w:rFonts w:hint="default" w:ascii="Times New Roman" w:hAnsi="Times New Roman" w:eastAsia="楷体" w:cs="Times New Roman"/>
                <w:i w:val="0"/>
                <w:color w:val="auto"/>
                <w:kern w:val="0"/>
                <w:sz w:val="24"/>
                <w:szCs w:val="24"/>
                <w:highlight w:val="none"/>
                <w:u w:val="none"/>
                <w:lang w:val="en-US" w:eastAsia="zh-CN" w:bidi="ar"/>
              </w:rPr>
              <w:t>序号</w:t>
            </w:r>
          </w:p>
        </w:tc>
        <w:tc>
          <w:tcPr>
            <w:tcW w:w="3367" w:type="dxa"/>
            <w:tcBorders>
              <w:tl2br w:val="nil"/>
              <w:tr2bl w:val="nil"/>
            </w:tcBorders>
            <w:noWrap w:val="0"/>
            <w:vAlign w:val="center"/>
          </w:tcPr>
          <w:p w14:paraId="5EA5F3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品  名</w:t>
            </w:r>
          </w:p>
        </w:tc>
        <w:tc>
          <w:tcPr>
            <w:tcW w:w="1937" w:type="dxa"/>
            <w:tcBorders>
              <w:tl2br w:val="nil"/>
              <w:tr2bl w:val="nil"/>
            </w:tcBorders>
            <w:noWrap w:val="0"/>
            <w:vAlign w:val="center"/>
          </w:tcPr>
          <w:p w14:paraId="1A4366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单位</w:t>
            </w:r>
          </w:p>
        </w:tc>
        <w:tc>
          <w:tcPr>
            <w:tcW w:w="1939" w:type="dxa"/>
            <w:tcBorders>
              <w:tl2br w:val="nil"/>
              <w:tr2bl w:val="nil"/>
            </w:tcBorders>
            <w:noWrap w:val="0"/>
            <w:vAlign w:val="center"/>
          </w:tcPr>
          <w:p w14:paraId="2DDB3A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S</w:t>
            </w:r>
            <w:r>
              <w:rPr>
                <w:rFonts w:hint="default" w:ascii="Times New Roman" w:hAnsi="Times New Roman" w:eastAsia="楷体" w:cs="Times New Roman"/>
                <w:i w:val="0"/>
                <w:color w:val="auto"/>
                <w:kern w:val="0"/>
                <w:sz w:val="24"/>
                <w:szCs w:val="24"/>
                <w:highlight w:val="none"/>
                <w:u w:val="none"/>
                <w:vertAlign w:val="subscript"/>
                <w:lang w:val="en-US" w:eastAsia="zh-CN" w:bidi="ar"/>
              </w:rPr>
              <w:t>库</w:t>
            </w:r>
          </w:p>
        </w:tc>
      </w:tr>
      <w:tr w14:paraId="7AE6A6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549AA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一</w:t>
            </w:r>
          </w:p>
        </w:tc>
        <w:tc>
          <w:tcPr>
            <w:tcW w:w="3367" w:type="dxa"/>
            <w:tcBorders>
              <w:tl2br w:val="nil"/>
              <w:tr2bl w:val="nil"/>
            </w:tcBorders>
            <w:noWrap w:val="0"/>
            <w:vAlign w:val="center"/>
          </w:tcPr>
          <w:p w14:paraId="0BB4C5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抢险物料</w:t>
            </w:r>
          </w:p>
        </w:tc>
        <w:tc>
          <w:tcPr>
            <w:tcW w:w="1937" w:type="dxa"/>
            <w:tcBorders>
              <w:tl2br w:val="nil"/>
              <w:tr2bl w:val="nil"/>
            </w:tcBorders>
            <w:noWrap w:val="0"/>
            <w:vAlign w:val="center"/>
          </w:tcPr>
          <w:p w14:paraId="3CDA65E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6787C02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5238C3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E712A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492E52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袋类</w:t>
            </w:r>
          </w:p>
        </w:tc>
        <w:tc>
          <w:tcPr>
            <w:tcW w:w="1937" w:type="dxa"/>
            <w:tcBorders>
              <w:tl2br w:val="nil"/>
              <w:tr2bl w:val="nil"/>
            </w:tcBorders>
            <w:noWrap w:val="0"/>
            <w:vAlign w:val="center"/>
          </w:tcPr>
          <w:p w14:paraId="5E776B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条</w:t>
            </w:r>
          </w:p>
        </w:tc>
        <w:tc>
          <w:tcPr>
            <w:tcW w:w="1939" w:type="dxa"/>
            <w:tcBorders>
              <w:tl2br w:val="nil"/>
              <w:tr2bl w:val="nil"/>
            </w:tcBorders>
            <w:noWrap w:val="0"/>
            <w:vAlign w:val="center"/>
          </w:tcPr>
          <w:p w14:paraId="4D7095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4500</w:t>
            </w:r>
          </w:p>
        </w:tc>
      </w:tr>
      <w:tr w14:paraId="5A8450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F1040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50ADEF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土工布</w:t>
            </w:r>
          </w:p>
        </w:tc>
        <w:tc>
          <w:tcPr>
            <w:tcW w:w="1937" w:type="dxa"/>
            <w:tcBorders>
              <w:tl2br w:val="nil"/>
              <w:tr2bl w:val="nil"/>
            </w:tcBorders>
            <w:noWrap w:val="0"/>
            <w:vAlign w:val="center"/>
          </w:tcPr>
          <w:p w14:paraId="3DDCFD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2</w:t>
            </w:r>
          </w:p>
        </w:tc>
        <w:tc>
          <w:tcPr>
            <w:tcW w:w="1939" w:type="dxa"/>
            <w:tcBorders>
              <w:tl2br w:val="nil"/>
              <w:tr2bl w:val="nil"/>
            </w:tcBorders>
            <w:noWrap w:val="0"/>
            <w:vAlign w:val="center"/>
          </w:tcPr>
          <w:p w14:paraId="64FE40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2000</w:t>
            </w:r>
          </w:p>
        </w:tc>
      </w:tr>
      <w:tr w14:paraId="35CFF1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68BD0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3</w:t>
            </w:r>
          </w:p>
        </w:tc>
        <w:tc>
          <w:tcPr>
            <w:tcW w:w="3367" w:type="dxa"/>
            <w:tcBorders>
              <w:tl2br w:val="nil"/>
              <w:tr2bl w:val="nil"/>
            </w:tcBorders>
            <w:noWrap w:val="0"/>
            <w:vAlign w:val="center"/>
          </w:tcPr>
          <w:p w14:paraId="2D9C64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砂石料</w:t>
            </w:r>
          </w:p>
        </w:tc>
        <w:tc>
          <w:tcPr>
            <w:tcW w:w="1937" w:type="dxa"/>
            <w:tcBorders>
              <w:tl2br w:val="nil"/>
              <w:tr2bl w:val="nil"/>
            </w:tcBorders>
            <w:noWrap w:val="0"/>
            <w:vAlign w:val="center"/>
          </w:tcPr>
          <w:p w14:paraId="01A45E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124558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7CA5E6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B4F10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w:t>
            </w:r>
          </w:p>
        </w:tc>
        <w:tc>
          <w:tcPr>
            <w:tcW w:w="3367" w:type="dxa"/>
            <w:tcBorders>
              <w:tl2br w:val="nil"/>
              <w:tr2bl w:val="nil"/>
            </w:tcBorders>
            <w:noWrap w:val="0"/>
            <w:vAlign w:val="center"/>
          </w:tcPr>
          <w:p w14:paraId="73ECC7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块石</w:t>
            </w:r>
          </w:p>
        </w:tc>
        <w:tc>
          <w:tcPr>
            <w:tcW w:w="1937" w:type="dxa"/>
            <w:tcBorders>
              <w:tl2br w:val="nil"/>
              <w:tr2bl w:val="nil"/>
            </w:tcBorders>
            <w:noWrap w:val="0"/>
            <w:vAlign w:val="center"/>
          </w:tcPr>
          <w:p w14:paraId="78F40C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096686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009AF0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0CCAA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w:t>
            </w:r>
          </w:p>
        </w:tc>
        <w:tc>
          <w:tcPr>
            <w:tcW w:w="3367" w:type="dxa"/>
            <w:tcBorders>
              <w:tl2br w:val="nil"/>
              <w:tr2bl w:val="nil"/>
            </w:tcBorders>
            <w:noWrap w:val="0"/>
            <w:vAlign w:val="center"/>
          </w:tcPr>
          <w:p w14:paraId="03C3B5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铅丝</w:t>
            </w:r>
          </w:p>
        </w:tc>
        <w:tc>
          <w:tcPr>
            <w:tcW w:w="1937" w:type="dxa"/>
            <w:tcBorders>
              <w:tl2br w:val="nil"/>
              <w:tr2bl w:val="nil"/>
            </w:tcBorders>
            <w:noWrap w:val="0"/>
            <w:vAlign w:val="center"/>
          </w:tcPr>
          <w:p w14:paraId="0F2268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kg</w:t>
            </w:r>
          </w:p>
        </w:tc>
        <w:tc>
          <w:tcPr>
            <w:tcW w:w="1939" w:type="dxa"/>
            <w:tcBorders>
              <w:tl2br w:val="nil"/>
              <w:tr2bl w:val="nil"/>
            </w:tcBorders>
            <w:noWrap w:val="0"/>
            <w:vAlign w:val="center"/>
          </w:tcPr>
          <w:p w14:paraId="78CA88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76DC2E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48D47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6</w:t>
            </w:r>
          </w:p>
        </w:tc>
        <w:tc>
          <w:tcPr>
            <w:tcW w:w="3367" w:type="dxa"/>
            <w:tcBorders>
              <w:tl2br w:val="nil"/>
              <w:tr2bl w:val="nil"/>
            </w:tcBorders>
            <w:noWrap w:val="0"/>
            <w:vAlign w:val="center"/>
          </w:tcPr>
          <w:p w14:paraId="3EF0AF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桩木</w:t>
            </w:r>
          </w:p>
        </w:tc>
        <w:tc>
          <w:tcPr>
            <w:tcW w:w="1937" w:type="dxa"/>
            <w:tcBorders>
              <w:tl2br w:val="nil"/>
              <w:tr2bl w:val="nil"/>
            </w:tcBorders>
            <w:noWrap w:val="0"/>
            <w:vAlign w:val="center"/>
          </w:tcPr>
          <w:p w14:paraId="344536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2C6542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r>
      <w:tr w14:paraId="3038A8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5C32A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二</w:t>
            </w:r>
          </w:p>
        </w:tc>
        <w:tc>
          <w:tcPr>
            <w:tcW w:w="3367" w:type="dxa"/>
            <w:tcBorders>
              <w:tl2br w:val="nil"/>
              <w:tr2bl w:val="nil"/>
            </w:tcBorders>
            <w:noWrap w:val="0"/>
            <w:vAlign w:val="center"/>
          </w:tcPr>
          <w:p w14:paraId="68369D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救生器材</w:t>
            </w:r>
          </w:p>
        </w:tc>
        <w:tc>
          <w:tcPr>
            <w:tcW w:w="1937" w:type="dxa"/>
            <w:tcBorders>
              <w:tl2br w:val="nil"/>
              <w:tr2bl w:val="nil"/>
            </w:tcBorders>
            <w:noWrap w:val="0"/>
            <w:vAlign w:val="center"/>
          </w:tcPr>
          <w:p w14:paraId="5EE07AB8">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3299368A">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4F5910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8114D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02478F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救生衣（圈）</w:t>
            </w:r>
          </w:p>
        </w:tc>
        <w:tc>
          <w:tcPr>
            <w:tcW w:w="1937" w:type="dxa"/>
            <w:tcBorders>
              <w:tl2br w:val="nil"/>
              <w:tr2bl w:val="nil"/>
            </w:tcBorders>
            <w:noWrap w:val="0"/>
            <w:vAlign w:val="center"/>
          </w:tcPr>
          <w:p w14:paraId="5AFC1D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件</w:t>
            </w:r>
          </w:p>
        </w:tc>
        <w:tc>
          <w:tcPr>
            <w:tcW w:w="1939" w:type="dxa"/>
            <w:tcBorders>
              <w:tl2br w:val="nil"/>
              <w:tr2bl w:val="nil"/>
            </w:tcBorders>
            <w:noWrap w:val="0"/>
            <w:vAlign w:val="center"/>
          </w:tcPr>
          <w:p w14:paraId="4E182B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r w14:paraId="582771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5628C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三</w:t>
            </w:r>
          </w:p>
        </w:tc>
        <w:tc>
          <w:tcPr>
            <w:tcW w:w="3367" w:type="dxa"/>
            <w:tcBorders>
              <w:tl2br w:val="nil"/>
              <w:tr2bl w:val="nil"/>
            </w:tcBorders>
            <w:noWrap w:val="0"/>
            <w:vAlign w:val="center"/>
          </w:tcPr>
          <w:p w14:paraId="761A08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小型抢险机具</w:t>
            </w:r>
          </w:p>
        </w:tc>
        <w:tc>
          <w:tcPr>
            <w:tcW w:w="1937" w:type="dxa"/>
            <w:tcBorders>
              <w:tl2br w:val="nil"/>
              <w:tr2bl w:val="nil"/>
            </w:tcBorders>
            <w:noWrap w:val="0"/>
            <w:vAlign w:val="center"/>
          </w:tcPr>
          <w:p w14:paraId="1E96A8DF">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1E1DEE98">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512ADE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9BD68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4B16C3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发电机组</w:t>
            </w:r>
          </w:p>
        </w:tc>
        <w:tc>
          <w:tcPr>
            <w:tcW w:w="1937" w:type="dxa"/>
            <w:tcBorders>
              <w:tl2br w:val="nil"/>
              <w:tr2bl w:val="nil"/>
            </w:tcBorders>
            <w:noWrap w:val="0"/>
            <w:vAlign w:val="center"/>
          </w:tcPr>
          <w:p w14:paraId="356E0C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kw</w:t>
            </w:r>
          </w:p>
        </w:tc>
        <w:tc>
          <w:tcPr>
            <w:tcW w:w="1939" w:type="dxa"/>
            <w:tcBorders>
              <w:tl2br w:val="nil"/>
              <w:tr2bl w:val="nil"/>
            </w:tcBorders>
            <w:noWrap w:val="0"/>
            <w:vAlign w:val="center"/>
          </w:tcPr>
          <w:p w14:paraId="2D64F3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10</w:t>
            </w:r>
          </w:p>
        </w:tc>
      </w:tr>
      <w:tr w14:paraId="794E10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C28D4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58FCC8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便携式工作灯</w:t>
            </w:r>
          </w:p>
        </w:tc>
        <w:tc>
          <w:tcPr>
            <w:tcW w:w="1937" w:type="dxa"/>
            <w:tcBorders>
              <w:tl2br w:val="nil"/>
              <w:tr2bl w:val="nil"/>
            </w:tcBorders>
            <w:noWrap w:val="0"/>
            <w:vAlign w:val="center"/>
          </w:tcPr>
          <w:p w14:paraId="518818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只</w:t>
            </w:r>
          </w:p>
        </w:tc>
        <w:tc>
          <w:tcPr>
            <w:tcW w:w="1939" w:type="dxa"/>
            <w:tcBorders>
              <w:tl2br w:val="nil"/>
              <w:tr2bl w:val="nil"/>
            </w:tcBorders>
            <w:noWrap w:val="0"/>
            <w:vAlign w:val="center"/>
          </w:tcPr>
          <w:p w14:paraId="534263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10</w:t>
            </w:r>
          </w:p>
        </w:tc>
      </w:tr>
      <w:tr w14:paraId="76F2A9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DAEE9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3</w:t>
            </w:r>
          </w:p>
        </w:tc>
        <w:tc>
          <w:tcPr>
            <w:tcW w:w="3367" w:type="dxa"/>
            <w:tcBorders>
              <w:tl2br w:val="nil"/>
              <w:tr2bl w:val="nil"/>
            </w:tcBorders>
            <w:noWrap w:val="0"/>
            <w:vAlign w:val="center"/>
          </w:tcPr>
          <w:p w14:paraId="0FA7C5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投光灯</w:t>
            </w:r>
          </w:p>
        </w:tc>
        <w:tc>
          <w:tcPr>
            <w:tcW w:w="1937" w:type="dxa"/>
            <w:tcBorders>
              <w:tl2br w:val="nil"/>
              <w:tr2bl w:val="nil"/>
            </w:tcBorders>
            <w:noWrap w:val="0"/>
            <w:vAlign w:val="center"/>
          </w:tcPr>
          <w:p w14:paraId="2885A1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只</w:t>
            </w:r>
          </w:p>
        </w:tc>
        <w:tc>
          <w:tcPr>
            <w:tcW w:w="1939" w:type="dxa"/>
            <w:tcBorders>
              <w:tl2br w:val="nil"/>
              <w:tr2bl w:val="nil"/>
            </w:tcBorders>
            <w:noWrap w:val="0"/>
            <w:vAlign w:val="center"/>
          </w:tcPr>
          <w:p w14:paraId="67FA65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r>
      <w:tr w14:paraId="57E0BE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EF4F2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w:t>
            </w:r>
          </w:p>
        </w:tc>
        <w:tc>
          <w:tcPr>
            <w:tcW w:w="3367" w:type="dxa"/>
            <w:tcBorders>
              <w:tl2br w:val="nil"/>
              <w:tr2bl w:val="nil"/>
            </w:tcBorders>
            <w:noWrap w:val="0"/>
            <w:vAlign w:val="center"/>
          </w:tcPr>
          <w:p w14:paraId="29A9B6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电缆</w:t>
            </w:r>
          </w:p>
        </w:tc>
        <w:tc>
          <w:tcPr>
            <w:tcW w:w="1937" w:type="dxa"/>
            <w:tcBorders>
              <w:tl2br w:val="nil"/>
              <w:tr2bl w:val="nil"/>
            </w:tcBorders>
            <w:noWrap w:val="0"/>
            <w:vAlign w:val="center"/>
          </w:tcPr>
          <w:p w14:paraId="1F9BA7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p>
        </w:tc>
        <w:tc>
          <w:tcPr>
            <w:tcW w:w="1939" w:type="dxa"/>
            <w:tcBorders>
              <w:tl2br w:val="nil"/>
              <w:tr2bl w:val="nil"/>
            </w:tcBorders>
            <w:noWrap w:val="0"/>
            <w:vAlign w:val="center"/>
          </w:tcPr>
          <w:p w14:paraId="7D04EF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150</w:t>
            </w:r>
          </w:p>
        </w:tc>
      </w:tr>
      <w:tr w14:paraId="51515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F88C5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四</w:t>
            </w:r>
          </w:p>
        </w:tc>
        <w:tc>
          <w:tcPr>
            <w:tcW w:w="3367" w:type="dxa"/>
            <w:tcBorders>
              <w:tl2br w:val="nil"/>
              <w:tr2bl w:val="nil"/>
            </w:tcBorders>
            <w:noWrap w:val="0"/>
            <w:vAlign w:val="center"/>
          </w:tcPr>
          <w:p w14:paraId="4D5796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其他专用设备及配件</w:t>
            </w:r>
          </w:p>
        </w:tc>
        <w:tc>
          <w:tcPr>
            <w:tcW w:w="1937" w:type="dxa"/>
            <w:tcBorders>
              <w:tl2br w:val="nil"/>
              <w:tr2bl w:val="nil"/>
            </w:tcBorders>
            <w:noWrap w:val="0"/>
            <w:vAlign w:val="center"/>
          </w:tcPr>
          <w:p w14:paraId="7A5EF6B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66EE5E4D">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045DCD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03D62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3B4E90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雨衣</w:t>
            </w:r>
          </w:p>
        </w:tc>
        <w:tc>
          <w:tcPr>
            <w:tcW w:w="1937" w:type="dxa"/>
            <w:tcBorders>
              <w:tl2br w:val="nil"/>
              <w:tr2bl w:val="nil"/>
            </w:tcBorders>
            <w:noWrap w:val="0"/>
            <w:vAlign w:val="center"/>
          </w:tcPr>
          <w:p w14:paraId="743764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件</w:t>
            </w:r>
          </w:p>
        </w:tc>
        <w:tc>
          <w:tcPr>
            <w:tcW w:w="1939" w:type="dxa"/>
            <w:tcBorders>
              <w:tl2br w:val="nil"/>
              <w:tr2bl w:val="nil"/>
            </w:tcBorders>
            <w:noWrap w:val="0"/>
            <w:vAlign w:val="center"/>
          </w:tcPr>
          <w:p w14:paraId="51EC05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r w14:paraId="0F2C4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D3B17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311607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雨鞋</w:t>
            </w:r>
          </w:p>
        </w:tc>
        <w:tc>
          <w:tcPr>
            <w:tcW w:w="1937" w:type="dxa"/>
            <w:tcBorders>
              <w:tl2br w:val="nil"/>
              <w:tr2bl w:val="nil"/>
            </w:tcBorders>
            <w:noWrap w:val="0"/>
            <w:vAlign w:val="center"/>
          </w:tcPr>
          <w:p w14:paraId="7BE0CC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双</w:t>
            </w:r>
          </w:p>
        </w:tc>
        <w:tc>
          <w:tcPr>
            <w:tcW w:w="1939" w:type="dxa"/>
            <w:tcBorders>
              <w:tl2br w:val="nil"/>
              <w:tr2bl w:val="nil"/>
            </w:tcBorders>
            <w:noWrap w:val="0"/>
            <w:vAlign w:val="center"/>
          </w:tcPr>
          <w:p w14:paraId="3A5944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bl>
    <w:p w14:paraId="201D5579">
      <w:pPr>
        <w:spacing w:before="156" w:beforeLines="50" w:after="156" w:afterLines="50" w:line="360" w:lineRule="auto"/>
        <w:outlineLvl w:val="1"/>
        <w:rPr>
          <w:rFonts w:eastAsia="楷体"/>
          <w:b/>
          <w:color w:val="auto"/>
          <w:sz w:val="32"/>
          <w:szCs w:val="30"/>
          <w:highlight w:val="none"/>
        </w:rPr>
      </w:pPr>
      <w:bookmarkStart w:id="119" w:name="_Toc20524"/>
      <w:r>
        <w:rPr>
          <w:rFonts w:eastAsia="楷体"/>
          <w:b/>
          <w:color w:val="auto"/>
          <w:sz w:val="32"/>
          <w:szCs w:val="30"/>
          <w:highlight w:val="none"/>
        </w:rPr>
        <w:t>6.4通讯保障</w:t>
      </w:r>
      <w:bookmarkEnd w:id="118"/>
      <w:bookmarkEnd w:id="119"/>
    </w:p>
    <w:p w14:paraId="5D135FA3">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四清水库防洪期间一旦出现防洪险情，工程管理单位要以各种有效的方式（有线通讯、无线通讯、移动通讯）将情况上报四清水库防洪抢险应急指挥部，并保持通讯畅通及时、准确传递水库应急指挥部的抢险指令，随时向指挥部汇报抢险情况，保证抢险工作的顺利进行。</w:t>
      </w:r>
    </w:p>
    <w:p w14:paraId="2F6A9619">
      <w:pPr>
        <w:spacing w:before="156" w:beforeLines="50" w:after="156" w:afterLines="50" w:line="360" w:lineRule="auto"/>
        <w:outlineLvl w:val="1"/>
        <w:rPr>
          <w:rFonts w:eastAsia="楷体"/>
          <w:b/>
          <w:color w:val="auto"/>
          <w:sz w:val="32"/>
          <w:szCs w:val="30"/>
          <w:highlight w:val="none"/>
        </w:rPr>
      </w:pPr>
      <w:bookmarkStart w:id="120" w:name="_Toc16710"/>
      <w:bookmarkStart w:id="121" w:name="_Toc5419"/>
      <w:r>
        <w:rPr>
          <w:rFonts w:eastAsia="楷体"/>
          <w:b/>
          <w:color w:val="auto"/>
          <w:sz w:val="32"/>
          <w:szCs w:val="30"/>
          <w:highlight w:val="none"/>
        </w:rPr>
        <w:t>6.5其他保障</w:t>
      </w:r>
      <w:bookmarkEnd w:id="120"/>
      <w:bookmarkEnd w:id="121"/>
    </w:p>
    <w:p w14:paraId="79B99CA7">
      <w:pPr>
        <w:spacing w:before="156" w:beforeLines="50" w:after="156" w:afterLines="50"/>
        <w:outlineLvl w:val="2"/>
        <w:rPr>
          <w:rFonts w:eastAsia="楷体"/>
          <w:b/>
          <w:bCs/>
          <w:color w:val="auto"/>
          <w:sz w:val="32"/>
          <w:szCs w:val="30"/>
          <w:highlight w:val="none"/>
        </w:rPr>
      </w:pPr>
      <w:bookmarkStart w:id="122" w:name="_Toc7945"/>
      <w:r>
        <w:rPr>
          <w:rFonts w:eastAsia="楷体"/>
          <w:b/>
          <w:bCs/>
          <w:color w:val="auto"/>
          <w:sz w:val="32"/>
          <w:szCs w:val="30"/>
          <w:highlight w:val="none"/>
        </w:rPr>
        <w:t>6.5.1卫生保障</w:t>
      </w:r>
      <w:bookmarkEnd w:id="122"/>
    </w:p>
    <w:p w14:paraId="5FA3F331">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救灾防疫所需的物资、药品由所在地县级卫生防疫部门负责组织、调拨，并实行集中储存和管理，统一发放，确保救灾防疫物资和药品能够在发生灾害后及时、安全发放到每个受灾群众的手中，保障每个因发生灾害而受灾的群众能得到有效救助。</w:t>
      </w:r>
    </w:p>
    <w:p w14:paraId="795E2D2E">
      <w:pPr>
        <w:spacing w:before="156" w:beforeLines="50" w:after="156" w:afterLines="50"/>
        <w:outlineLvl w:val="2"/>
        <w:rPr>
          <w:rFonts w:eastAsia="楷体"/>
          <w:b/>
          <w:color w:val="auto"/>
          <w:sz w:val="32"/>
          <w:szCs w:val="30"/>
          <w:highlight w:val="none"/>
        </w:rPr>
      </w:pPr>
      <w:bookmarkStart w:id="123" w:name="_Toc14328"/>
      <w:r>
        <w:rPr>
          <w:rFonts w:eastAsia="楷体"/>
          <w:b/>
          <w:color w:val="auto"/>
          <w:sz w:val="32"/>
          <w:szCs w:val="30"/>
          <w:highlight w:val="none"/>
        </w:rPr>
        <w:t>6.5.2 交通保障</w:t>
      </w:r>
      <w:bookmarkEnd w:id="123"/>
    </w:p>
    <w:p w14:paraId="2B36BE2C">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救灾期间所需交通工具由所在地县级交通运输管理部门负责协商、落实安排相关事项。</w:t>
      </w:r>
    </w:p>
    <w:p w14:paraId="69477BB3">
      <w:pPr>
        <w:spacing w:before="156" w:beforeLines="50" w:after="156" w:afterLines="50"/>
        <w:outlineLvl w:val="2"/>
        <w:rPr>
          <w:rFonts w:eastAsia="楷体"/>
          <w:b/>
          <w:color w:val="auto"/>
          <w:sz w:val="32"/>
          <w:szCs w:val="30"/>
          <w:highlight w:val="none"/>
        </w:rPr>
      </w:pPr>
      <w:bookmarkStart w:id="124" w:name="_Toc17970"/>
      <w:r>
        <w:rPr>
          <w:rFonts w:eastAsia="楷体"/>
          <w:b/>
          <w:color w:val="auto"/>
          <w:sz w:val="32"/>
          <w:szCs w:val="30"/>
          <w:highlight w:val="none"/>
        </w:rPr>
        <w:t>6.5.3 安全保障</w:t>
      </w:r>
      <w:bookmarkEnd w:id="124"/>
    </w:p>
    <w:p w14:paraId="595E3138">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救灾期间的安全保障，由所在地县级公安部门负责落实受灾转移群众的安全保卫和灾区的治安工作，维护社会治安秩序。有关抢险救灾情况的宣传报道实行统一管理，任何人未经防洪抢险指挥部门的批准不得擅自对外发布任何消息。</w:t>
      </w:r>
    </w:p>
    <w:p w14:paraId="35601E0F">
      <w:pPr>
        <w:adjustRightInd w:val="0"/>
        <w:snapToGrid w:val="0"/>
        <w:spacing w:line="520" w:lineRule="exact"/>
        <w:jc w:val="center"/>
        <w:outlineLvl w:val="0"/>
        <w:rPr>
          <w:rStyle w:val="50"/>
          <w:rFonts w:eastAsia="楷体"/>
          <w:b/>
          <w:bCs/>
          <w:color w:val="auto"/>
          <w:sz w:val="36"/>
          <w:szCs w:val="36"/>
          <w:highlight w:val="none"/>
        </w:rPr>
        <w:sectPr>
          <w:pgSz w:w="11907" w:h="16840"/>
          <w:pgMar w:top="1418" w:right="1418" w:bottom="1418" w:left="1418" w:header="851" w:footer="992" w:gutter="0"/>
          <w:pgNumType w:fmt="numberInDash"/>
          <w:cols w:space="720" w:num="1"/>
          <w:docGrid w:type="lines" w:linePitch="312" w:charSpace="0"/>
        </w:sectPr>
      </w:pPr>
      <w:bookmarkStart w:id="125" w:name="_Toc28054"/>
    </w:p>
    <w:p w14:paraId="4B165C8A">
      <w:pPr>
        <w:adjustRightInd w:val="0"/>
        <w:snapToGrid w:val="0"/>
        <w:spacing w:line="520" w:lineRule="exact"/>
        <w:jc w:val="center"/>
        <w:outlineLvl w:val="0"/>
        <w:rPr>
          <w:rStyle w:val="50"/>
          <w:rFonts w:eastAsia="楷体"/>
          <w:b/>
          <w:bCs/>
          <w:color w:val="auto"/>
          <w:sz w:val="36"/>
          <w:szCs w:val="36"/>
          <w:highlight w:val="none"/>
        </w:rPr>
      </w:pPr>
      <w:bookmarkStart w:id="126" w:name="_Toc351"/>
      <w:r>
        <w:rPr>
          <w:rStyle w:val="50"/>
          <w:rFonts w:eastAsia="楷体"/>
          <w:b/>
          <w:bCs/>
          <w:color w:val="auto"/>
          <w:sz w:val="36"/>
          <w:szCs w:val="36"/>
          <w:highlight w:val="none"/>
        </w:rPr>
        <w:t>7 《应急预案》启动和结束</w:t>
      </w:r>
      <w:bookmarkEnd w:id="125"/>
      <w:bookmarkEnd w:id="126"/>
    </w:p>
    <w:p w14:paraId="39E03669">
      <w:pPr>
        <w:pStyle w:val="3"/>
        <w:spacing w:before="120" w:beforeLines="0" w:after="120" w:afterLines="0" w:line="360" w:lineRule="auto"/>
        <w:rPr>
          <w:rFonts w:ascii="Times New Roman" w:hAnsi="Times New Roman" w:eastAsia="楷体"/>
          <w:color w:val="auto"/>
          <w:kern w:val="0"/>
          <w:sz w:val="28"/>
          <w:szCs w:val="28"/>
          <w:highlight w:val="none"/>
        </w:rPr>
      </w:pPr>
      <w:bookmarkStart w:id="127" w:name="_Toc2941"/>
      <w:bookmarkStart w:id="128" w:name="_Toc2574"/>
      <w:bookmarkStart w:id="129" w:name="_Toc475106539"/>
      <w:r>
        <w:rPr>
          <w:rFonts w:ascii="Times New Roman" w:hAnsi="Times New Roman" w:eastAsia="楷体"/>
          <w:bCs w:val="0"/>
          <w:color w:val="auto"/>
          <w:highlight w:val="none"/>
        </w:rPr>
        <w:t>7.1 启动与结束条件</w:t>
      </w:r>
      <w:bookmarkEnd w:id="127"/>
      <w:bookmarkEnd w:id="128"/>
      <w:bookmarkEnd w:id="129"/>
    </w:p>
    <w:p w14:paraId="76791942">
      <w:pPr>
        <w:pStyle w:val="4"/>
        <w:spacing w:before="93" w:beforeLines="30" w:after="93" w:afterLines="30" w:line="360" w:lineRule="auto"/>
        <w:rPr>
          <w:rFonts w:eastAsia="楷体"/>
          <w:bCs w:val="0"/>
          <w:color w:val="auto"/>
          <w:highlight w:val="none"/>
        </w:rPr>
      </w:pPr>
      <w:bookmarkStart w:id="130" w:name="_Toc12969"/>
      <w:r>
        <w:rPr>
          <w:rFonts w:eastAsia="楷体"/>
          <w:bCs w:val="0"/>
          <w:color w:val="auto"/>
          <w:highlight w:val="none"/>
        </w:rPr>
        <w:t>7.1.1 启动《应急预案》的条件</w:t>
      </w:r>
      <w:bookmarkEnd w:id="130"/>
    </w:p>
    <w:p w14:paraId="1F56FB0F">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（1）大坝发生严重的贯穿性裂缝、滑坡、冲刷、坝肩失稳等可能导致决口、垮坝等重大险情。</w:t>
      </w:r>
    </w:p>
    <w:p w14:paraId="75DD3F8C">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（2）水库库区内发生超标准洪水，导致水库水位超过校核洪水位</w:t>
      </w:r>
      <w:bookmarkStart w:id="153" w:name="_GoBack"/>
      <w:bookmarkEnd w:id="153"/>
      <w:r>
        <w:rPr>
          <w:rFonts w:eastAsia="楷体"/>
          <w:color w:val="auto"/>
          <w:sz w:val="28"/>
          <w:szCs w:val="28"/>
          <w:highlight w:val="none"/>
        </w:rPr>
        <w:t>的险情。</w:t>
      </w:r>
    </w:p>
    <w:p w14:paraId="1DA2F8C2">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（3）因地震、地质灾害可能导致水库大坝决口、垮坝等重大险情。</w:t>
      </w:r>
    </w:p>
    <w:p w14:paraId="1FA1F8E2">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（4）因战争或恐怖活动而引发导致水库大坝决口、垮坝等重大险情。</w:t>
      </w:r>
    </w:p>
    <w:p w14:paraId="0B78BE47">
      <w:pPr>
        <w:pStyle w:val="4"/>
        <w:snapToGrid w:val="0"/>
        <w:spacing w:before="93" w:beforeLines="30" w:after="93" w:afterLines="30" w:line="360" w:lineRule="auto"/>
        <w:rPr>
          <w:rFonts w:eastAsia="楷体"/>
          <w:bCs w:val="0"/>
          <w:color w:val="auto"/>
          <w:highlight w:val="none"/>
        </w:rPr>
      </w:pPr>
      <w:bookmarkStart w:id="131" w:name="_Toc17219"/>
      <w:r>
        <w:rPr>
          <w:rFonts w:eastAsia="楷体"/>
          <w:bCs w:val="0"/>
          <w:color w:val="auto"/>
          <w:highlight w:val="none"/>
        </w:rPr>
        <w:t>7.1.2 终止《应急预案》的条件</w:t>
      </w:r>
      <w:bookmarkEnd w:id="131"/>
    </w:p>
    <w:p w14:paraId="13576A34">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当洪水灾害、大坝险情、泄水建筑物险情、地震地质灾害导致水库大坝垮坝的险情、战争或恐怖活动而引发导致水库大坝垮坝的险情，得到有效控制。</w:t>
      </w:r>
    </w:p>
    <w:p w14:paraId="0AA2C787">
      <w:pPr>
        <w:pStyle w:val="3"/>
        <w:spacing w:before="120" w:beforeLines="0" w:after="120" w:afterLines="0" w:line="360" w:lineRule="auto"/>
        <w:rPr>
          <w:rFonts w:ascii="Times New Roman" w:hAnsi="Times New Roman" w:eastAsia="楷体"/>
          <w:bCs w:val="0"/>
          <w:color w:val="auto"/>
          <w:highlight w:val="none"/>
        </w:rPr>
      </w:pPr>
      <w:bookmarkStart w:id="132" w:name="_Toc475106540"/>
      <w:bookmarkStart w:id="133" w:name="_Toc15114"/>
      <w:bookmarkStart w:id="134" w:name="_Toc369"/>
      <w:r>
        <w:rPr>
          <w:rFonts w:ascii="Times New Roman" w:hAnsi="Times New Roman" w:eastAsia="楷体"/>
          <w:bCs w:val="0"/>
          <w:color w:val="auto"/>
          <w:highlight w:val="none"/>
        </w:rPr>
        <w:t>7.2 决策机构与程序</w:t>
      </w:r>
      <w:bookmarkEnd w:id="132"/>
      <w:bookmarkEnd w:id="133"/>
      <w:bookmarkEnd w:id="134"/>
    </w:p>
    <w:p w14:paraId="05F89E54">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7.2.1 启动《应急预案》的决策机构与程序</w:t>
      </w:r>
    </w:p>
    <w:p w14:paraId="1F52325D">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四清水库《应急预案》的启动，是根据水库出现险情的危害性，由“防洪应急指挥部”研究决定启动《应急预案》。</w:t>
      </w:r>
    </w:p>
    <w:p w14:paraId="12CF0194">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7.2.2 终止《应急预案》的决策机构与程序</w:t>
      </w:r>
    </w:p>
    <w:p w14:paraId="0742B624">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当水库险情通过科学调度抢险，使险情得到有效控制时，由“防洪应急指挥部”决定终止《应急预案》响应。</w:t>
      </w:r>
      <w:bookmarkStart w:id="135" w:name="_Toc133397989"/>
    </w:p>
    <w:p w14:paraId="53BADAE8">
      <w:pPr>
        <w:widowControl/>
        <w:spacing w:line="360" w:lineRule="auto"/>
        <w:ind w:firstLine="560"/>
        <w:jc w:val="left"/>
        <w:rPr>
          <w:rFonts w:eastAsia="楷体"/>
          <w:color w:val="auto"/>
          <w:sz w:val="32"/>
          <w:szCs w:val="32"/>
          <w:highlight w:val="none"/>
        </w:rPr>
      </w:pPr>
    </w:p>
    <w:p w14:paraId="0DF76008">
      <w:pPr>
        <w:widowControl/>
        <w:spacing w:line="360" w:lineRule="auto"/>
        <w:ind w:firstLine="560"/>
        <w:jc w:val="left"/>
        <w:rPr>
          <w:rFonts w:eastAsia="楷体"/>
          <w:color w:val="auto"/>
          <w:sz w:val="32"/>
          <w:szCs w:val="32"/>
          <w:highlight w:val="none"/>
        </w:rPr>
      </w:pPr>
    </w:p>
    <w:p w14:paraId="4F2CF9EE">
      <w:pPr>
        <w:widowControl/>
        <w:spacing w:line="360" w:lineRule="auto"/>
        <w:ind w:firstLine="560"/>
        <w:jc w:val="left"/>
        <w:rPr>
          <w:rFonts w:eastAsia="楷体"/>
          <w:color w:val="auto"/>
          <w:sz w:val="32"/>
          <w:szCs w:val="32"/>
          <w:highlight w:val="none"/>
        </w:rPr>
      </w:pPr>
    </w:p>
    <w:p w14:paraId="3C0A448D">
      <w:pPr>
        <w:widowControl/>
        <w:spacing w:line="360" w:lineRule="auto"/>
        <w:ind w:firstLine="560"/>
        <w:jc w:val="left"/>
        <w:rPr>
          <w:rFonts w:eastAsia="楷体"/>
          <w:color w:val="auto"/>
          <w:sz w:val="32"/>
          <w:szCs w:val="32"/>
          <w:highlight w:val="none"/>
        </w:rPr>
      </w:pPr>
    </w:p>
    <w:p w14:paraId="214C8049">
      <w:pPr>
        <w:adjustRightInd w:val="0"/>
        <w:snapToGrid w:val="0"/>
        <w:spacing w:line="520" w:lineRule="exact"/>
        <w:jc w:val="center"/>
        <w:outlineLvl w:val="0"/>
        <w:rPr>
          <w:rStyle w:val="50"/>
          <w:rFonts w:eastAsia="楷体"/>
          <w:b/>
          <w:bCs/>
          <w:color w:val="auto"/>
          <w:sz w:val="36"/>
          <w:szCs w:val="36"/>
          <w:highlight w:val="none"/>
        </w:rPr>
      </w:pPr>
      <w:bookmarkStart w:id="136" w:name="_Toc15125"/>
      <w:bookmarkStart w:id="137" w:name="_Toc25380"/>
      <w:r>
        <w:rPr>
          <w:rStyle w:val="50"/>
          <w:rFonts w:eastAsia="楷体"/>
          <w:b/>
          <w:bCs/>
          <w:color w:val="auto"/>
          <w:sz w:val="36"/>
          <w:szCs w:val="36"/>
          <w:highlight w:val="none"/>
        </w:rPr>
        <w:t>8 附件</w:t>
      </w:r>
      <w:bookmarkEnd w:id="135"/>
      <w:bookmarkEnd w:id="136"/>
      <w:bookmarkEnd w:id="137"/>
    </w:p>
    <w:p w14:paraId="395ED040">
      <w:pPr>
        <w:jc w:val="center"/>
        <w:outlineLvl w:val="1"/>
        <w:rPr>
          <w:rFonts w:eastAsia="楷体"/>
          <w:b/>
          <w:color w:val="auto"/>
          <w:sz w:val="28"/>
          <w:szCs w:val="28"/>
          <w:highlight w:val="none"/>
        </w:rPr>
      </w:pPr>
      <w:bookmarkStart w:id="138" w:name="_Toc23604"/>
      <w:bookmarkStart w:id="139" w:name="_Toc22519"/>
      <w:bookmarkStart w:id="140" w:name="_Toc219720619"/>
      <w:bookmarkStart w:id="141" w:name="_Toc208384482"/>
      <w:bookmarkStart w:id="142" w:name="_Toc209594979"/>
      <w:bookmarkStart w:id="143" w:name="_Toc208810953"/>
      <w:r>
        <w:rPr>
          <w:rFonts w:eastAsia="楷体"/>
          <w:b/>
          <w:color w:val="auto"/>
          <w:sz w:val="28"/>
          <w:szCs w:val="28"/>
          <w:highlight w:val="none"/>
        </w:rPr>
        <w:t>表1    四清水库工程特性表</w:t>
      </w:r>
      <w:bookmarkEnd w:id="138"/>
      <w:bookmarkEnd w:id="139"/>
    </w:p>
    <w:bookmarkEnd w:id="140"/>
    <w:bookmarkEnd w:id="141"/>
    <w:bookmarkEnd w:id="142"/>
    <w:bookmarkEnd w:id="143"/>
    <w:tbl>
      <w:tblPr>
        <w:tblStyle w:val="19"/>
        <w:tblW w:w="0" w:type="auto"/>
        <w:tblInd w:w="0" w:type="dxa"/>
        <w:tblLayout w:type="fixed"/>
        <w:tblCellMar>
          <w:top w:w="15" w:type="dxa"/>
          <w:left w:w="15" w:type="dxa"/>
          <w:bottom w:w="15" w:type="dxa"/>
          <w:right w:w="15" w:type="dxa"/>
        </w:tblCellMar>
      </w:tblPr>
      <w:tblGrid>
        <w:gridCol w:w="816"/>
        <w:gridCol w:w="368"/>
        <w:gridCol w:w="1041"/>
        <w:gridCol w:w="1655"/>
        <w:gridCol w:w="865"/>
        <w:gridCol w:w="1893"/>
        <w:gridCol w:w="617"/>
        <w:gridCol w:w="437"/>
        <w:gridCol w:w="1411"/>
      </w:tblGrid>
      <w:tr w14:paraId="41FBF72B">
        <w:tblPrEx>
          <w:tblCellMar>
            <w:top w:w="15" w:type="dxa"/>
            <w:left w:w="15" w:type="dxa"/>
            <w:bottom w:w="15" w:type="dxa"/>
            <w:right w:w="15" w:type="dxa"/>
          </w:tblCellMar>
        </w:tblPrEx>
        <w:trPr>
          <w:trHeight w:val="286" w:hRule="atLeast"/>
        </w:trPr>
        <w:tc>
          <w:tcPr>
            <w:tcW w:w="2225" w:type="dxa"/>
            <w:gridSpan w:val="3"/>
            <w:tcBorders>
              <w:top w:val="single" w:color="000000" w:sz="12" w:space="0"/>
              <w:left w:val="single" w:color="000000" w:sz="12" w:space="0"/>
              <w:bottom w:val="single" w:color="000000" w:sz="4" w:space="0"/>
              <w:right w:val="single" w:color="000000" w:sz="4" w:space="0"/>
            </w:tcBorders>
            <w:noWrap w:val="0"/>
            <w:vAlign w:val="center"/>
          </w:tcPr>
          <w:p w14:paraId="20E242A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水库名称</w:t>
            </w:r>
          </w:p>
        </w:tc>
        <w:tc>
          <w:tcPr>
            <w:tcW w:w="1655" w:type="dxa"/>
            <w:tcBorders>
              <w:top w:val="single" w:color="000000" w:sz="12" w:space="0"/>
              <w:left w:val="single" w:color="000000" w:sz="4" w:space="0"/>
              <w:bottom w:val="single" w:color="000000" w:sz="4" w:space="0"/>
              <w:right w:val="single" w:color="000000" w:sz="4" w:space="0"/>
            </w:tcBorders>
            <w:noWrap w:val="0"/>
            <w:vAlign w:val="center"/>
          </w:tcPr>
          <w:p w14:paraId="13C6977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四清水库</w:t>
            </w:r>
          </w:p>
        </w:tc>
        <w:tc>
          <w:tcPr>
            <w:tcW w:w="3375" w:type="dxa"/>
            <w:gridSpan w:val="3"/>
            <w:tcBorders>
              <w:top w:val="single" w:color="000000" w:sz="12" w:space="0"/>
              <w:left w:val="single" w:color="000000" w:sz="4" w:space="0"/>
              <w:bottom w:val="single" w:color="000000" w:sz="4" w:space="0"/>
              <w:right w:val="single" w:color="000000" w:sz="4" w:space="0"/>
            </w:tcBorders>
            <w:noWrap w:val="0"/>
            <w:vAlign w:val="center"/>
          </w:tcPr>
          <w:p w14:paraId="6BC7457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主管部门</w:t>
            </w:r>
          </w:p>
        </w:tc>
        <w:tc>
          <w:tcPr>
            <w:tcW w:w="1848" w:type="dxa"/>
            <w:gridSpan w:val="2"/>
            <w:tcBorders>
              <w:top w:val="single" w:color="000000" w:sz="12" w:space="0"/>
              <w:left w:val="single" w:color="000000" w:sz="4" w:space="0"/>
              <w:bottom w:val="single" w:color="000000" w:sz="4" w:space="0"/>
              <w:right w:val="single" w:color="000000" w:sz="12" w:space="0"/>
            </w:tcBorders>
            <w:noWrap w:val="0"/>
            <w:vAlign w:val="center"/>
          </w:tcPr>
          <w:p w14:paraId="2753AC2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泉港</w:t>
            </w:r>
            <w:r>
              <w:rPr>
                <w:rFonts w:eastAsia="楷体"/>
                <w:color w:val="auto"/>
                <w:kern w:val="0"/>
                <w:sz w:val="18"/>
                <w:szCs w:val="18"/>
                <w:highlight w:val="none"/>
                <w:lang w:bidi="ar"/>
              </w:rPr>
              <w:t>区农水局</w:t>
            </w:r>
          </w:p>
        </w:tc>
      </w:tr>
      <w:tr w14:paraId="235FE9C3">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A0807A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管理机构名称</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E80820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前黄镇人民政府</w:t>
            </w:r>
          </w:p>
        </w:tc>
        <w:tc>
          <w:tcPr>
            <w:tcW w:w="3375" w:type="dxa"/>
            <w:gridSpan w:val="3"/>
            <w:tcBorders>
              <w:top w:val="single" w:color="000000" w:sz="4" w:space="0"/>
              <w:left w:val="single" w:color="000000" w:sz="4" w:space="0"/>
              <w:bottom w:val="single" w:color="000000" w:sz="4" w:space="0"/>
              <w:right w:val="single" w:color="000000" w:sz="4" w:space="0"/>
            </w:tcBorders>
            <w:noWrap w:val="0"/>
            <w:vAlign w:val="center"/>
          </w:tcPr>
          <w:p w14:paraId="2F9F561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所在地点</w:t>
            </w:r>
          </w:p>
        </w:tc>
        <w:tc>
          <w:tcPr>
            <w:tcW w:w="1848" w:type="dxa"/>
            <w:gridSpan w:val="2"/>
            <w:tcBorders>
              <w:top w:val="single" w:color="000000" w:sz="4" w:space="0"/>
              <w:left w:val="single" w:color="000000" w:sz="4" w:space="0"/>
              <w:bottom w:val="single" w:color="000000" w:sz="4" w:space="0"/>
              <w:right w:val="single" w:color="000000" w:sz="12" w:space="0"/>
            </w:tcBorders>
            <w:noWrap w:val="0"/>
            <w:vAlign w:val="center"/>
          </w:tcPr>
          <w:p w14:paraId="5538B31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前黄镇坑内村</w:t>
            </w:r>
          </w:p>
        </w:tc>
      </w:tr>
      <w:tr w14:paraId="4345DB5A">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22A6383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地理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2EB599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东经</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C7DCF6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118°</w:t>
            </w:r>
            <w:r>
              <w:rPr>
                <w:rFonts w:hint="eastAsia" w:eastAsia="楷体"/>
                <w:color w:val="auto"/>
                <w:kern w:val="0"/>
                <w:sz w:val="18"/>
                <w:szCs w:val="18"/>
                <w:highlight w:val="none"/>
                <w:lang w:bidi="ar"/>
              </w:rPr>
              <w:t>53</w:t>
            </w:r>
            <w:r>
              <w:rPr>
                <w:rFonts w:eastAsia="楷体"/>
                <w:color w:val="auto"/>
                <w:kern w:val="0"/>
                <w:sz w:val="18"/>
                <w:szCs w:val="18"/>
                <w:highlight w:val="none"/>
                <w:lang w:bidi="ar"/>
              </w:rPr>
              <w:t>′22″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37EC66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开工日期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55C6B6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1964</w:t>
            </w:r>
            <w:r>
              <w:rPr>
                <w:rFonts w:eastAsia="楷体"/>
                <w:color w:val="auto"/>
                <w:kern w:val="0"/>
                <w:sz w:val="18"/>
                <w:szCs w:val="18"/>
                <w:highlight w:val="none"/>
                <w:lang w:bidi="ar"/>
              </w:rPr>
              <w:t>年</w:t>
            </w:r>
            <w:r>
              <w:rPr>
                <w:rFonts w:hint="eastAsia" w:eastAsia="楷体"/>
                <w:color w:val="auto"/>
                <w:kern w:val="0"/>
                <w:sz w:val="18"/>
                <w:szCs w:val="18"/>
                <w:highlight w:val="none"/>
                <w:lang w:bidi="ar"/>
              </w:rPr>
              <w:t>2</w:t>
            </w:r>
            <w:r>
              <w:rPr>
                <w:rFonts w:eastAsia="楷体"/>
                <w:color w:val="auto"/>
                <w:kern w:val="0"/>
                <w:sz w:val="18"/>
                <w:szCs w:val="18"/>
                <w:highlight w:val="none"/>
                <w:lang w:bidi="ar"/>
              </w:rPr>
              <w:t>月</w:t>
            </w:r>
          </w:p>
        </w:tc>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14:paraId="2C57B2F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所在河流</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57E291F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坝头溪流域</w:t>
            </w:r>
          </w:p>
        </w:tc>
      </w:tr>
      <w:tr w14:paraId="4EB1942A">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43032B4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位置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27B0D3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北纬</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F51F1B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25°</w:t>
            </w:r>
            <w:r>
              <w:rPr>
                <w:rFonts w:hint="eastAsia" w:eastAsia="楷体"/>
                <w:color w:val="auto"/>
                <w:kern w:val="0"/>
                <w:sz w:val="18"/>
                <w:szCs w:val="18"/>
                <w:highlight w:val="none"/>
                <w:lang w:bidi="ar"/>
              </w:rPr>
              <w:t>10</w:t>
            </w:r>
            <w:r>
              <w:rPr>
                <w:rFonts w:eastAsia="楷体"/>
                <w:color w:val="auto"/>
                <w:kern w:val="0"/>
                <w:sz w:val="18"/>
                <w:szCs w:val="18"/>
                <w:highlight w:val="none"/>
                <w:lang w:bidi="ar"/>
              </w:rPr>
              <w:t>′03″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924323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竣工日期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1DACB0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1966</w:t>
            </w:r>
            <w:r>
              <w:rPr>
                <w:rFonts w:eastAsia="楷体"/>
                <w:color w:val="auto"/>
                <w:kern w:val="0"/>
                <w:sz w:val="18"/>
                <w:szCs w:val="18"/>
                <w:highlight w:val="none"/>
                <w:lang w:bidi="ar"/>
              </w:rPr>
              <w:t>年</w:t>
            </w:r>
            <w:r>
              <w:rPr>
                <w:rFonts w:hint="eastAsia" w:eastAsia="楷体"/>
                <w:color w:val="auto"/>
                <w:kern w:val="0"/>
                <w:sz w:val="18"/>
                <w:szCs w:val="18"/>
                <w:highlight w:val="none"/>
                <w:lang w:bidi="ar"/>
              </w:rPr>
              <w:t>8月</w:t>
            </w:r>
          </w:p>
        </w:tc>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14:paraId="1AE045E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高程基准</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11F0939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1985国家高程基准</w:t>
            </w:r>
          </w:p>
        </w:tc>
      </w:tr>
      <w:tr w14:paraId="416B0953">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280363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集雨面积(km</w:t>
            </w:r>
            <w:r>
              <w:rPr>
                <w:rStyle w:val="33"/>
                <w:rFonts w:hint="default" w:eastAsia="楷体"/>
                <w:color w:val="auto"/>
                <w:sz w:val="18"/>
                <w:szCs w:val="18"/>
                <w:highlight w:val="none"/>
                <w:lang w:bidi="ar"/>
              </w:rPr>
              <w:t>2</w:t>
            </w:r>
            <w:r>
              <w:rPr>
                <w:rStyle w:val="38"/>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6ED084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0.47</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AF04A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主坝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D78523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坝型</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57AD8BA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均质土坝</w:t>
            </w:r>
          </w:p>
        </w:tc>
      </w:tr>
      <w:tr w14:paraId="0D4FCBAB">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F527B6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河流比降(‰)</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55C728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39.89</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C2AFB">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84FF7C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坝顶高程(m)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EF1B63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30.58</w:t>
            </w:r>
          </w:p>
        </w:tc>
      </w:tr>
      <w:tr w14:paraId="2DD7A6AD">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1B8235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主河道长度(km)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B6EA5D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0.9</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FC674">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CF8B21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墙顶高程(m)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54FD9B5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w:t>
            </w:r>
          </w:p>
        </w:tc>
      </w:tr>
      <w:tr w14:paraId="1ECB0B1A">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E65150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多年平均降水量(mm)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EE23CF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1350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BB99D">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B09442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最大坝高(m)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04D5A62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17.49</w:t>
            </w:r>
          </w:p>
        </w:tc>
      </w:tr>
      <w:tr w14:paraId="4C35F352">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3EEFAE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多年平均径流量(万m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BE80A2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38.07</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A6A9A">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A1ED9E4">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坝顶长度(m)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6A335D9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200</w:t>
            </w:r>
          </w:p>
        </w:tc>
      </w:tr>
      <w:tr w14:paraId="09859076">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F2EA098">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正常蓄水位(m)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FF54D8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28.04</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E804A">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CF862D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坝顶宽度(m)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0BB512B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4.0～9.0</w:t>
            </w:r>
          </w:p>
        </w:tc>
      </w:tr>
      <w:tr w14:paraId="33DECBB4">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F05EAE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死水位(m)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483A71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21.70</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39C1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副坝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C6593E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坝型</w:t>
            </w:r>
          </w:p>
        </w:tc>
        <w:tc>
          <w:tcPr>
            <w:tcW w:w="2465" w:type="dxa"/>
            <w:gridSpan w:val="3"/>
            <w:vMerge w:val="restart"/>
            <w:tcBorders>
              <w:top w:val="single" w:color="000000" w:sz="4" w:space="0"/>
              <w:left w:val="single" w:color="000000" w:sz="4" w:space="0"/>
              <w:bottom w:val="single" w:color="000000" w:sz="4" w:space="0"/>
              <w:right w:val="single" w:color="000000" w:sz="12" w:space="0"/>
            </w:tcBorders>
            <w:noWrap w:val="0"/>
            <w:vAlign w:val="center"/>
          </w:tcPr>
          <w:p w14:paraId="1117643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无</w:t>
            </w:r>
          </w:p>
        </w:tc>
      </w:tr>
      <w:tr w14:paraId="0E68534E">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5AC897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23A4C5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FA782">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6C7BFF8">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坝顶高程(m)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7F46F511">
            <w:pPr>
              <w:jc w:val="center"/>
              <w:rPr>
                <w:rFonts w:eastAsia="楷体"/>
                <w:color w:val="auto"/>
                <w:sz w:val="18"/>
                <w:szCs w:val="18"/>
                <w:highlight w:val="none"/>
              </w:rPr>
            </w:pPr>
          </w:p>
        </w:tc>
      </w:tr>
      <w:tr w14:paraId="72A7C357">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C6ED4E4">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校核重现期(年)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1B48E7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w:t>
            </w:r>
            <w:r>
              <w:rPr>
                <w:rFonts w:eastAsia="楷体"/>
                <w:color w:val="auto"/>
                <w:kern w:val="0"/>
                <w:sz w:val="18"/>
                <w:szCs w:val="18"/>
                <w:highlight w:val="none"/>
                <w:lang w:bidi="ar"/>
              </w:rPr>
              <w:t>00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CBCD6">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B70C37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墙顶高程(m)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2063BC8F">
            <w:pPr>
              <w:jc w:val="center"/>
              <w:rPr>
                <w:rFonts w:eastAsia="楷体"/>
                <w:color w:val="auto"/>
                <w:sz w:val="18"/>
                <w:szCs w:val="18"/>
                <w:highlight w:val="none"/>
              </w:rPr>
            </w:pPr>
          </w:p>
        </w:tc>
      </w:tr>
      <w:tr w14:paraId="4D696CEF">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99E1A2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AC3329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28.56</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4781E">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CEEE388">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最大坝高(m)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1FF6AAED">
            <w:pPr>
              <w:jc w:val="center"/>
              <w:rPr>
                <w:rFonts w:eastAsia="楷体"/>
                <w:color w:val="auto"/>
                <w:sz w:val="18"/>
                <w:szCs w:val="18"/>
                <w:highlight w:val="none"/>
              </w:rPr>
            </w:pPr>
          </w:p>
        </w:tc>
      </w:tr>
      <w:tr w14:paraId="75CEAFF7">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37873D3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相应洪峰流量(m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FF8052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12.35</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734FC">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598901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坝顶长度(m)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07A1EAF8">
            <w:pPr>
              <w:jc w:val="center"/>
              <w:rPr>
                <w:rFonts w:eastAsia="楷体"/>
                <w:color w:val="auto"/>
                <w:sz w:val="18"/>
                <w:szCs w:val="18"/>
                <w:highlight w:val="none"/>
              </w:rPr>
            </w:pPr>
          </w:p>
        </w:tc>
      </w:tr>
      <w:tr w14:paraId="4A004A01">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DC3CB4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相应洪水总量(万m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532FAC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12.61</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E42DA">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9F46DC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坝顶宽度(m)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1B29D35E">
            <w:pPr>
              <w:jc w:val="center"/>
              <w:rPr>
                <w:rFonts w:eastAsia="楷体"/>
                <w:color w:val="auto"/>
                <w:sz w:val="18"/>
                <w:szCs w:val="18"/>
                <w:highlight w:val="none"/>
              </w:rPr>
            </w:pPr>
          </w:p>
        </w:tc>
      </w:tr>
      <w:tr w14:paraId="4A039A04">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113162A8">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校核洪水位(m)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22E92F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28.81</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F498B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溢洪道</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18C80E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6CC97A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开敞式宽顶堰</w:t>
            </w:r>
          </w:p>
        </w:tc>
      </w:tr>
      <w:tr w14:paraId="4EFE1140">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9F758B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相应洪峰流量(m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D1AF62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20.64</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92795">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D7211D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堰顶高程(m)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3C177C8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28.04</w:t>
            </w:r>
          </w:p>
        </w:tc>
      </w:tr>
      <w:tr w14:paraId="1A706BB7">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7A5647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相应洪水总量(万m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C792A1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20.01</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2B3FE">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3EA822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净宽(m)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35A8940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5.0</w:t>
            </w:r>
          </w:p>
        </w:tc>
      </w:tr>
      <w:tr w14:paraId="3B676D04">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5B89D9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地震基本烈度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82208C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04CE0">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A56661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最大下泄流量(m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/s)</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6D5B7A3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10.61</w:t>
            </w:r>
          </w:p>
        </w:tc>
      </w:tr>
      <w:tr w14:paraId="7CA392A7">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FB49CF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设计抗震烈度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C17E60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1AF73">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7F8CDF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最大单宽流量(m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/s.m)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5C12AD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2.12</w:t>
            </w:r>
          </w:p>
        </w:tc>
      </w:tr>
      <w:tr w14:paraId="40D19959">
        <w:tblPrEx>
          <w:tblCellMar>
            <w:top w:w="15" w:type="dxa"/>
            <w:left w:w="15" w:type="dxa"/>
            <w:bottom w:w="15" w:type="dxa"/>
            <w:right w:w="15" w:type="dxa"/>
          </w:tblCellMar>
        </w:tblPrEx>
        <w:trPr>
          <w:trHeight w:val="286" w:hRule="atLeast"/>
        </w:trPr>
        <w:tc>
          <w:tcPr>
            <w:tcW w:w="816" w:type="dxa"/>
            <w:vMerge w:val="restart"/>
            <w:tcBorders>
              <w:top w:val="single" w:color="000000" w:sz="4" w:space="0"/>
              <w:left w:val="single" w:color="000000" w:sz="12" w:space="0"/>
              <w:bottom w:val="single" w:color="000000" w:sz="4" w:space="0"/>
              <w:right w:val="single" w:color="000000" w:sz="4" w:space="0"/>
            </w:tcBorders>
            <w:noWrap w:val="0"/>
            <w:vAlign w:val="center"/>
          </w:tcPr>
          <w:p w14:paraId="73B40F3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库容特性</w:t>
            </w: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9973404">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总库容(万m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D56541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30.87</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358BD">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583095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消能型式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73E3B0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w:t>
            </w:r>
          </w:p>
        </w:tc>
      </w:tr>
      <w:tr w14:paraId="532E7D8E">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4" w:space="0"/>
              <w:right w:val="single" w:color="000000" w:sz="4" w:space="0"/>
            </w:tcBorders>
            <w:noWrap w:val="0"/>
            <w:vAlign w:val="center"/>
          </w:tcPr>
          <w:p w14:paraId="1E6A33EE">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6AA15FF4">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调洪库容(万m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1675E8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3.95</w:t>
            </w:r>
          </w:p>
        </w:tc>
        <w:tc>
          <w:tcPr>
            <w:tcW w:w="865" w:type="dxa"/>
            <w:vMerge w:val="restart"/>
            <w:tcBorders>
              <w:top w:val="single" w:color="000000" w:sz="4" w:space="0"/>
              <w:left w:val="single" w:color="000000" w:sz="4" w:space="0"/>
              <w:bottom w:val="single" w:color="000000" w:sz="12" w:space="0"/>
              <w:right w:val="single" w:color="000000" w:sz="4" w:space="0"/>
            </w:tcBorders>
            <w:noWrap w:val="0"/>
            <w:vAlign w:val="center"/>
          </w:tcPr>
          <w:p w14:paraId="443A159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取水建筑物</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474EED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3686DE4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无压箱涵</w:t>
            </w:r>
          </w:p>
        </w:tc>
      </w:tr>
      <w:tr w14:paraId="776CE8D3">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4" w:space="0"/>
              <w:right w:val="single" w:color="000000" w:sz="4" w:space="0"/>
            </w:tcBorders>
            <w:noWrap w:val="0"/>
            <w:vAlign w:val="center"/>
          </w:tcPr>
          <w:p w14:paraId="39C0EF8C">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53CD65B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兴利库容(万m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BDE869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22.82</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31BEFE79">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FF4B64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长度</w:t>
            </w:r>
            <w:r>
              <w:rPr>
                <w:rFonts w:eastAsia="楷体"/>
                <w:color w:val="auto"/>
                <w:kern w:val="0"/>
                <w:sz w:val="18"/>
                <w:szCs w:val="18"/>
                <w:highlight w:val="none"/>
                <w:lang w:bidi="ar"/>
              </w:rPr>
              <w:t>(m)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444C697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35</w:t>
            </w:r>
          </w:p>
        </w:tc>
      </w:tr>
      <w:tr w14:paraId="55B9EF7D">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4" w:space="0"/>
              <w:right w:val="single" w:color="000000" w:sz="4" w:space="0"/>
            </w:tcBorders>
            <w:noWrap w:val="0"/>
            <w:vAlign w:val="center"/>
          </w:tcPr>
          <w:p w14:paraId="03B20204">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69AF775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死库容(万m</w:t>
            </w:r>
            <w:r>
              <w:rPr>
                <w:rStyle w:val="33"/>
                <w:rFonts w:hint="default" w:eastAsia="楷体"/>
                <w:color w:val="auto"/>
                <w:sz w:val="18"/>
                <w:szCs w:val="18"/>
                <w:highlight w:val="none"/>
                <w:lang w:bidi="ar"/>
              </w:rPr>
              <w:t>3</w:t>
            </w:r>
            <w:r>
              <w:rPr>
                <w:rStyle w:val="38"/>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AA9C81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4.10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5FD4F61D">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11975D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断面尺寸</w:t>
            </w:r>
            <w:r>
              <w:rPr>
                <w:rFonts w:eastAsia="楷体"/>
                <w:color w:val="auto"/>
                <w:kern w:val="0"/>
                <w:sz w:val="18"/>
                <w:szCs w:val="18"/>
                <w:highlight w:val="none"/>
                <w:lang w:bidi="ar"/>
              </w:rPr>
              <w:t>(m)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1B5C17A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0.5×0.8</w:t>
            </w:r>
          </w:p>
        </w:tc>
      </w:tr>
      <w:tr w14:paraId="36CAF00E">
        <w:tblPrEx>
          <w:tblCellMar>
            <w:top w:w="15" w:type="dxa"/>
            <w:left w:w="15" w:type="dxa"/>
            <w:bottom w:w="15" w:type="dxa"/>
            <w:right w:w="15" w:type="dxa"/>
          </w:tblCellMar>
        </w:tblPrEx>
        <w:trPr>
          <w:trHeight w:val="286" w:hRule="atLeast"/>
        </w:trPr>
        <w:tc>
          <w:tcPr>
            <w:tcW w:w="816" w:type="dxa"/>
            <w:vMerge w:val="restart"/>
            <w:tcBorders>
              <w:top w:val="single" w:color="000000" w:sz="4" w:space="0"/>
              <w:left w:val="single" w:color="000000" w:sz="12" w:space="0"/>
              <w:bottom w:val="single" w:color="000000" w:sz="12" w:space="0"/>
              <w:right w:val="single" w:color="000000" w:sz="4" w:space="0"/>
            </w:tcBorders>
            <w:noWrap w:val="0"/>
            <w:vAlign w:val="center"/>
          </w:tcPr>
          <w:p w14:paraId="357B44C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工程效益</w:t>
            </w: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3A7F4AC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有效灌溉面积（亩）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41CA6C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700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7BEF7AF6">
            <w:pPr>
              <w:jc w:val="center"/>
              <w:rPr>
                <w:rFonts w:eastAsia="楷体"/>
                <w:color w:val="auto"/>
                <w:sz w:val="18"/>
                <w:szCs w:val="18"/>
                <w:highlight w:val="none"/>
              </w:rPr>
            </w:pPr>
          </w:p>
        </w:tc>
        <w:tc>
          <w:tcPr>
            <w:tcW w:w="1893" w:type="dxa"/>
            <w:tcBorders>
              <w:top w:val="single" w:color="000000" w:sz="4" w:space="0"/>
              <w:left w:val="single" w:color="000000" w:sz="4" w:space="0"/>
              <w:bottom w:val="single" w:color="auto" w:sz="4" w:space="0"/>
              <w:right w:val="single" w:color="000000" w:sz="4" w:space="0"/>
            </w:tcBorders>
            <w:noWrap w:val="0"/>
            <w:vAlign w:val="center"/>
          </w:tcPr>
          <w:p w14:paraId="0E7895E3">
            <w:pPr>
              <w:widowControl/>
              <w:jc w:val="center"/>
              <w:textAlignment w:val="center"/>
              <w:rPr>
                <w:rFonts w:eastAsia="楷体"/>
                <w:color w:val="auto"/>
                <w:sz w:val="18"/>
                <w:szCs w:val="18"/>
                <w:highlight w:val="none"/>
              </w:rPr>
            </w:pPr>
            <w:r>
              <w:rPr>
                <w:rFonts w:hint="eastAsia" w:eastAsia="楷体"/>
                <w:color w:val="auto"/>
                <w:sz w:val="18"/>
                <w:szCs w:val="18"/>
                <w:highlight w:val="none"/>
              </w:rPr>
              <w:t>进口底高程(m)</w:t>
            </w:r>
          </w:p>
        </w:tc>
        <w:tc>
          <w:tcPr>
            <w:tcW w:w="2465" w:type="dxa"/>
            <w:gridSpan w:val="3"/>
            <w:tcBorders>
              <w:top w:val="single" w:color="000000" w:sz="4" w:space="0"/>
              <w:left w:val="single" w:color="000000" w:sz="4" w:space="0"/>
              <w:bottom w:val="single" w:color="auto" w:sz="4" w:space="0"/>
              <w:right w:val="single" w:color="000000" w:sz="12" w:space="0"/>
            </w:tcBorders>
            <w:noWrap w:val="0"/>
            <w:vAlign w:val="center"/>
          </w:tcPr>
          <w:p w14:paraId="4AE660A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21.70</w:t>
            </w:r>
          </w:p>
        </w:tc>
      </w:tr>
      <w:tr w14:paraId="22F8D97E">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7F143FEA">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6C79E3E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509DC0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700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518B3017">
            <w:pPr>
              <w:jc w:val="center"/>
              <w:rPr>
                <w:rFonts w:eastAsia="楷体"/>
                <w:color w:val="auto"/>
                <w:sz w:val="18"/>
                <w:szCs w:val="18"/>
                <w:highlight w:val="none"/>
              </w:rPr>
            </w:pPr>
          </w:p>
        </w:tc>
        <w:tc>
          <w:tcPr>
            <w:tcW w:w="1893" w:type="dxa"/>
            <w:tcBorders>
              <w:top w:val="single" w:color="auto" w:sz="4" w:space="0"/>
              <w:left w:val="single" w:color="000000" w:sz="4" w:space="0"/>
              <w:bottom w:val="single" w:color="auto" w:sz="4" w:space="0"/>
              <w:right w:val="single" w:color="000000" w:sz="4" w:space="0"/>
            </w:tcBorders>
            <w:noWrap w:val="0"/>
            <w:vAlign w:val="center"/>
          </w:tcPr>
          <w:p w14:paraId="7EB617B3">
            <w:pPr>
              <w:jc w:val="center"/>
              <w:rPr>
                <w:rFonts w:eastAsia="楷体"/>
                <w:color w:val="auto"/>
                <w:sz w:val="18"/>
                <w:szCs w:val="18"/>
                <w:highlight w:val="none"/>
              </w:rPr>
            </w:pPr>
            <w:r>
              <w:rPr>
                <w:rFonts w:hint="eastAsia" w:eastAsia="楷体"/>
                <w:color w:val="auto"/>
                <w:sz w:val="18"/>
                <w:szCs w:val="18"/>
                <w:highlight w:val="none"/>
              </w:rPr>
              <w:t>出口底高程(m)</w:t>
            </w:r>
          </w:p>
        </w:tc>
        <w:tc>
          <w:tcPr>
            <w:tcW w:w="2465" w:type="dxa"/>
            <w:gridSpan w:val="3"/>
            <w:tcBorders>
              <w:top w:val="single" w:color="auto" w:sz="4" w:space="0"/>
              <w:left w:val="single" w:color="000000" w:sz="4" w:space="0"/>
              <w:bottom w:val="single" w:color="auto" w:sz="4" w:space="0"/>
              <w:right w:val="single" w:color="000000" w:sz="12" w:space="0"/>
            </w:tcBorders>
            <w:noWrap w:val="0"/>
            <w:vAlign w:val="center"/>
          </w:tcPr>
          <w:p w14:paraId="18D74AB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21.69</w:t>
            </w:r>
          </w:p>
        </w:tc>
      </w:tr>
      <w:tr w14:paraId="3389DC13">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4C91FDCF">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5F93169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保护人口（人）</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FDE763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2500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1DFE30DC">
            <w:pPr>
              <w:jc w:val="center"/>
              <w:rPr>
                <w:rFonts w:eastAsia="楷体"/>
                <w:color w:val="auto"/>
                <w:sz w:val="18"/>
                <w:szCs w:val="18"/>
                <w:highlight w:val="none"/>
              </w:rPr>
            </w:pPr>
          </w:p>
        </w:tc>
        <w:tc>
          <w:tcPr>
            <w:tcW w:w="1893" w:type="dxa"/>
            <w:tcBorders>
              <w:top w:val="single" w:color="auto" w:sz="4" w:space="0"/>
              <w:left w:val="single" w:color="000000" w:sz="4" w:space="0"/>
              <w:bottom w:val="single" w:color="000000" w:sz="4" w:space="0"/>
              <w:right w:val="single" w:color="000000" w:sz="4" w:space="0"/>
            </w:tcBorders>
            <w:noWrap w:val="0"/>
            <w:vAlign w:val="center"/>
          </w:tcPr>
          <w:p w14:paraId="109629C1">
            <w:pPr>
              <w:jc w:val="center"/>
              <w:rPr>
                <w:rFonts w:eastAsia="楷体"/>
                <w:color w:val="auto"/>
                <w:sz w:val="18"/>
                <w:szCs w:val="18"/>
                <w:highlight w:val="none"/>
              </w:rPr>
            </w:pPr>
            <w:r>
              <w:rPr>
                <w:rFonts w:hint="eastAsia" w:eastAsia="楷体"/>
                <w:color w:val="auto"/>
                <w:sz w:val="18"/>
                <w:szCs w:val="18"/>
                <w:highlight w:val="none"/>
              </w:rPr>
              <w:t>最大输水流量（m</w:t>
            </w:r>
            <w:r>
              <w:rPr>
                <w:rFonts w:hint="eastAsia" w:eastAsia="楷体"/>
                <w:color w:val="auto"/>
                <w:sz w:val="18"/>
                <w:szCs w:val="18"/>
                <w:highlight w:val="none"/>
                <w:vertAlign w:val="superscript"/>
              </w:rPr>
              <w:t>3</w:t>
            </w:r>
            <w:r>
              <w:rPr>
                <w:rFonts w:hint="eastAsia" w:eastAsia="楷体"/>
                <w:color w:val="auto"/>
                <w:sz w:val="18"/>
                <w:szCs w:val="18"/>
                <w:highlight w:val="none"/>
              </w:rPr>
              <w:t>/s）</w:t>
            </w:r>
          </w:p>
        </w:tc>
        <w:tc>
          <w:tcPr>
            <w:tcW w:w="2465" w:type="dxa"/>
            <w:gridSpan w:val="3"/>
            <w:tcBorders>
              <w:top w:val="single" w:color="auto" w:sz="4" w:space="0"/>
              <w:left w:val="single" w:color="000000" w:sz="4" w:space="0"/>
              <w:bottom w:val="single" w:color="000000" w:sz="4" w:space="0"/>
              <w:right w:val="single" w:color="000000" w:sz="12" w:space="0"/>
            </w:tcBorders>
            <w:noWrap w:val="0"/>
            <w:vAlign w:val="center"/>
          </w:tcPr>
          <w:p w14:paraId="1166E96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0.2</w:t>
            </w:r>
          </w:p>
        </w:tc>
      </w:tr>
      <w:tr w14:paraId="1B9C8AA5">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2E9E2228">
            <w:pPr>
              <w:jc w:val="center"/>
              <w:rPr>
                <w:rFonts w:eastAsia="楷体"/>
                <w:color w:val="auto"/>
                <w:sz w:val="18"/>
                <w:szCs w:val="18"/>
                <w:highlight w:val="none"/>
              </w:rPr>
            </w:pPr>
          </w:p>
        </w:tc>
        <w:tc>
          <w:tcPr>
            <w:tcW w:w="140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95F12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保护耕地（亩）</w:t>
            </w: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8CC0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700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0A3A9EB5">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DA7859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放水型式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0F535F7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转动门盖</w:t>
            </w:r>
          </w:p>
        </w:tc>
      </w:tr>
      <w:tr w14:paraId="3DFDC30D">
        <w:tblPrEx>
          <w:tblCellMar>
            <w:top w:w="15" w:type="dxa"/>
            <w:left w:w="15" w:type="dxa"/>
            <w:bottom w:w="15" w:type="dxa"/>
            <w:right w:w="15" w:type="dxa"/>
          </w:tblCellMar>
        </w:tblPrEx>
        <w:trPr>
          <w:trHeight w:val="312"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25B93A1C">
            <w:pPr>
              <w:jc w:val="center"/>
              <w:rPr>
                <w:rFonts w:eastAsia="楷体"/>
                <w:color w:val="auto"/>
                <w:sz w:val="18"/>
                <w:szCs w:val="18"/>
                <w:highlight w:val="none"/>
              </w:rPr>
            </w:pPr>
          </w:p>
        </w:tc>
        <w:tc>
          <w:tcPr>
            <w:tcW w:w="14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EE3D94">
            <w:pPr>
              <w:jc w:val="center"/>
              <w:rPr>
                <w:rFonts w:eastAsia="楷体"/>
                <w:color w:val="auto"/>
                <w:sz w:val="18"/>
                <w:szCs w:val="18"/>
                <w:highlight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0411E">
            <w:pPr>
              <w:jc w:val="center"/>
              <w:rPr>
                <w:rFonts w:eastAsia="楷体"/>
                <w:color w:val="auto"/>
                <w:sz w:val="18"/>
                <w:szCs w:val="18"/>
                <w:highlight w:val="none"/>
              </w:rPr>
            </w:pP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2DEC8C2F">
            <w:pPr>
              <w:jc w:val="center"/>
              <w:rPr>
                <w:rFonts w:eastAsia="楷体"/>
                <w:color w:val="auto"/>
                <w:sz w:val="18"/>
                <w:szCs w:val="18"/>
                <w:highlight w:val="none"/>
              </w:rPr>
            </w:pPr>
          </w:p>
        </w:tc>
        <w:tc>
          <w:tcPr>
            <w:tcW w:w="1893" w:type="dxa"/>
            <w:vMerge w:val="restart"/>
            <w:tcBorders>
              <w:top w:val="single" w:color="000000" w:sz="4" w:space="0"/>
              <w:left w:val="single" w:color="000000" w:sz="4" w:space="0"/>
              <w:bottom w:val="single" w:color="000000" w:sz="12" w:space="0"/>
              <w:right w:val="single" w:color="000000" w:sz="4" w:space="0"/>
            </w:tcBorders>
            <w:noWrap w:val="0"/>
            <w:vAlign w:val="center"/>
          </w:tcPr>
          <w:p w14:paraId="79E9A59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启闭设备</w:t>
            </w:r>
          </w:p>
        </w:tc>
        <w:tc>
          <w:tcPr>
            <w:tcW w:w="2465" w:type="dxa"/>
            <w:gridSpan w:val="3"/>
            <w:vMerge w:val="restart"/>
            <w:tcBorders>
              <w:top w:val="single" w:color="000000" w:sz="4" w:space="0"/>
              <w:left w:val="single" w:color="000000" w:sz="4" w:space="0"/>
              <w:bottom w:val="single" w:color="000000" w:sz="12" w:space="0"/>
              <w:right w:val="single" w:color="000000" w:sz="12" w:space="0"/>
            </w:tcBorders>
            <w:noWrap w:val="0"/>
            <w:vAlign w:val="center"/>
          </w:tcPr>
          <w:p w14:paraId="7778066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卷扬式启闭机</w:t>
            </w:r>
          </w:p>
        </w:tc>
      </w:tr>
      <w:tr w14:paraId="24D08CA0">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33D0B44E">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12" w:space="0"/>
              <w:right w:val="single" w:color="000000" w:sz="4" w:space="0"/>
            </w:tcBorders>
            <w:noWrap w:val="0"/>
            <w:vAlign w:val="center"/>
          </w:tcPr>
          <w:p w14:paraId="219366C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总装机功率（kw）</w:t>
            </w:r>
          </w:p>
        </w:tc>
        <w:tc>
          <w:tcPr>
            <w:tcW w:w="1655" w:type="dxa"/>
            <w:tcBorders>
              <w:top w:val="single" w:color="000000" w:sz="4" w:space="0"/>
              <w:left w:val="single" w:color="000000" w:sz="4" w:space="0"/>
              <w:bottom w:val="single" w:color="000000" w:sz="12" w:space="0"/>
              <w:right w:val="single" w:color="000000" w:sz="4" w:space="0"/>
            </w:tcBorders>
            <w:noWrap w:val="0"/>
            <w:vAlign w:val="center"/>
          </w:tcPr>
          <w:p w14:paraId="17C20C2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2C451047">
            <w:pPr>
              <w:jc w:val="center"/>
              <w:rPr>
                <w:rFonts w:eastAsia="楷体"/>
                <w:color w:val="auto"/>
                <w:sz w:val="18"/>
                <w:szCs w:val="18"/>
                <w:highlight w:val="none"/>
              </w:rPr>
            </w:pPr>
          </w:p>
        </w:tc>
        <w:tc>
          <w:tcPr>
            <w:tcW w:w="1893" w:type="dxa"/>
            <w:vMerge w:val="continue"/>
            <w:tcBorders>
              <w:top w:val="single" w:color="000000" w:sz="4" w:space="0"/>
              <w:left w:val="single" w:color="000000" w:sz="4" w:space="0"/>
              <w:bottom w:val="single" w:color="000000" w:sz="12" w:space="0"/>
              <w:right w:val="single" w:color="000000" w:sz="4" w:space="0"/>
            </w:tcBorders>
            <w:noWrap w:val="0"/>
            <w:vAlign w:val="center"/>
          </w:tcPr>
          <w:p w14:paraId="72C8EFDA">
            <w:pPr>
              <w:jc w:val="center"/>
              <w:rPr>
                <w:rFonts w:eastAsia="楷体"/>
                <w:color w:val="auto"/>
                <w:sz w:val="18"/>
                <w:szCs w:val="18"/>
                <w:highlight w:val="none"/>
              </w:rPr>
            </w:pPr>
          </w:p>
        </w:tc>
        <w:tc>
          <w:tcPr>
            <w:tcW w:w="2465" w:type="dxa"/>
            <w:gridSpan w:val="3"/>
            <w:vMerge w:val="continue"/>
            <w:tcBorders>
              <w:top w:val="single" w:color="000000" w:sz="4" w:space="0"/>
              <w:left w:val="single" w:color="000000" w:sz="4" w:space="0"/>
              <w:bottom w:val="single" w:color="000000" w:sz="12" w:space="0"/>
              <w:right w:val="single" w:color="000000" w:sz="12" w:space="0"/>
            </w:tcBorders>
            <w:noWrap w:val="0"/>
            <w:vAlign w:val="center"/>
          </w:tcPr>
          <w:p w14:paraId="78C1DE92">
            <w:pPr>
              <w:jc w:val="center"/>
              <w:rPr>
                <w:rFonts w:eastAsia="楷体"/>
                <w:color w:val="auto"/>
                <w:sz w:val="18"/>
                <w:szCs w:val="18"/>
                <w:highlight w:val="none"/>
              </w:rPr>
            </w:pPr>
          </w:p>
        </w:tc>
      </w:tr>
    </w:tbl>
    <w:p w14:paraId="77EF4870">
      <w:pPr>
        <w:rPr>
          <w:rFonts w:eastAsia="楷体"/>
          <w:vanish/>
          <w:color w:val="auto"/>
          <w:highlight w:val="none"/>
        </w:rPr>
      </w:pPr>
    </w:p>
    <w:p w14:paraId="3ADA7071">
      <w:pPr>
        <w:jc w:val="center"/>
        <w:rPr>
          <w:rFonts w:eastAsia="楷体"/>
          <w:b/>
          <w:color w:val="auto"/>
          <w:sz w:val="28"/>
          <w:szCs w:val="28"/>
          <w:highlight w:val="none"/>
        </w:rPr>
      </w:pPr>
    </w:p>
    <w:p w14:paraId="7262349C">
      <w:pPr>
        <w:jc w:val="center"/>
        <w:outlineLvl w:val="1"/>
        <w:rPr>
          <w:rFonts w:eastAsia="楷体"/>
          <w:b/>
          <w:color w:val="auto"/>
          <w:sz w:val="28"/>
          <w:szCs w:val="28"/>
          <w:highlight w:val="none"/>
        </w:rPr>
      </w:pPr>
      <w:bookmarkStart w:id="144" w:name="_Toc18024"/>
      <w:bookmarkStart w:id="145" w:name="_Toc8143"/>
      <w:r>
        <w:rPr>
          <w:rFonts w:eastAsia="楷体"/>
          <w:b/>
          <w:color w:val="auto"/>
          <w:sz w:val="28"/>
          <w:szCs w:val="28"/>
          <w:highlight w:val="none"/>
        </w:rPr>
        <w:t>表2    四清水库水位～库容关系曲线表</w:t>
      </w:r>
      <w:bookmarkEnd w:id="144"/>
      <w:bookmarkEnd w:id="145"/>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7D530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26E27760">
            <w:pPr>
              <w:pStyle w:val="27"/>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高程(m)</w:t>
            </w:r>
          </w:p>
        </w:tc>
        <w:tc>
          <w:tcPr>
            <w:tcW w:w="4645" w:type="dxa"/>
            <w:noWrap w:val="0"/>
            <w:vAlign w:val="center"/>
          </w:tcPr>
          <w:p w14:paraId="57AE33A9">
            <w:pPr>
              <w:pStyle w:val="27"/>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库容(万m</w:t>
            </w:r>
            <w:r>
              <w:rPr>
                <w:rFonts w:ascii="Times New Roman" w:hAnsi="Times New Roman" w:eastAsia="楷体"/>
                <w:bCs/>
                <w:color w:val="auto"/>
                <w:highlight w:val="none"/>
                <w:vertAlign w:val="superscript"/>
              </w:rPr>
              <w:t>3</w:t>
            </w:r>
            <w:r>
              <w:rPr>
                <w:rFonts w:ascii="Times New Roman" w:hAnsi="Times New Roman" w:eastAsia="楷体"/>
                <w:bCs/>
                <w:color w:val="auto"/>
                <w:highlight w:val="none"/>
              </w:rPr>
              <w:t>)</w:t>
            </w:r>
          </w:p>
        </w:tc>
      </w:tr>
      <w:tr w14:paraId="0220D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7FC92BAB">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17.00</w:t>
            </w:r>
          </w:p>
        </w:tc>
        <w:tc>
          <w:tcPr>
            <w:tcW w:w="4645" w:type="dxa"/>
            <w:noWrap w:val="0"/>
            <w:vAlign w:val="center"/>
          </w:tcPr>
          <w:p w14:paraId="70CF5CA2">
            <w:pPr>
              <w:pStyle w:val="27"/>
              <w:spacing w:line="460" w:lineRule="exact"/>
              <w:rPr>
                <w:rFonts w:ascii="Times New Roman" w:hAnsi="Times New Roman" w:eastAsia="楷体"/>
                <w:color w:val="auto"/>
                <w:highlight w:val="none"/>
              </w:rPr>
            </w:pPr>
            <w:r>
              <w:rPr>
                <w:rFonts w:ascii="Times New Roman" w:hAnsi="Times New Roman" w:eastAsia="楷体"/>
                <w:color w:val="auto"/>
                <w:highlight w:val="none"/>
              </w:rPr>
              <w:t>0</w:t>
            </w:r>
          </w:p>
        </w:tc>
      </w:tr>
      <w:tr w14:paraId="7BE6C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1917203C">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21.00</w:t>
            </w:r>
          </w:p>
        </w:tc>
        <w:tc>
          <w:tcPr>
            <w:tcW w:w="4645" w:type="dxa"/>
            <w:noWrap w:val="0"/>
            <w:vAlign w:val="center"/>
          </w:tcPr>
          <w:p w14:paraId="1CDD60E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2.12</w:t>
            </w:r>
          </w:p>
        </w:tc>
      </w:tr>
      <w:tr w14:paraId="14BBF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7DAFDF79">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22.00</w:t>
            </w:r>
          </w:p>
        </w:tc>
        <w:tc>
          <w:tcPr>
            <w:tcW w:w="4645" w:type="dxa"/>
            <w:noWrap w:val="0"/>
            <w:vAlign w:val="center"/>
          </w:tcPr>
          <w:p w14:paraId="4AF86B4B">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4.16</w:t>
            </w:r>
          </w:p>
        </w:tc>
      </w:tr>
      <w:tr w14:paraId="3AF34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0D237DD4">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23.00</w:t>
            </w:r>
          </w:p>
        </w:tc>
        <w:tc>
          <w:tcPr>
            <w:tcW w:w="4645" w:type="dxa"/>
            <w:noWrap w:val="0"/>
            <w:vAlign w:val="center"/>
          </w:tcPr>
          <w:p w14:paraId="462A410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6.94</w:t>
            </w:r>
          </w:p>
        </w:tc>
      </w:tr>
      <w:tr w14:paraId="57D0D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0F619F06">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24.00</w:t>
            </w:r>
          </w:p>
        </w:tc>
        <w:tc>
          <w:tcPr>
            <w:tcW w:w="4645" w:type="dxa"/>
            <w:noWrap w:val="0"/>
            <w:vAlign w:val="center"/>
          </w:tcPr>
          <w:p w14:paraId="74D57481">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10.21</w:t>
            </w:r>
          </w:p>
        </w:tc>
      </w:tr>
      <w:tr w14:paraId="6D4F7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4D8D665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25.00</w:t>
            </w:r>
          </w:p>
        </w:tc>
        <w:tc>
          <w:tcPr>
            <w:tcW w:w="4645" w:type="dxa"/>
            <w:noWrap w:val="0"/>
            <w:vAlign w:val="center"/>
          </w:tcPr>
          <w:p w14:paraId="0136A694">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13.84</w:t>
            </w:r>
            <w:r>
              <w:rPr>
                <w:rFonts w:ascii="Times New Roman" w:hAnsi="Times New Roman" w:eastAsia="楷体"/>
                <w:color w:val="auto"/>
                <w:highlight w:val="none"/>
              </w:rPr>
              <w:t xml:space="preserve"> </w:t>
            </w:r>
          </w:p>
        </w:tc>
      </w:tr>
      <w:tr w14:paraId="5B3B8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011FCB47">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26.00</w:t>
            </w:r>
          </w:p>
        </w:tc>
        <w:tc>
          <w:tcPr>
            <w:tcW w:w="4645" w:type="dxa"/>
            <w:noWrap w:val="0"/>
            <w:vAlign w:val="center"/>
          </w:tcPr>
          <w:p w14:paraId="22C5D8C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17.80</w:t>
            </w:r>
          </w:p>
        </w:tc>
      </w:tr>
      <w:tr w14:paraId="7AD3E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30BCA55B">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27.00</w:t>
            </w:r>
          </w:p>
        </w:tc>
        <w:tc>
          <w:tcPr>
            <w:tcW w:w="4645" w:type="dxa"/>
            <w:noWrap w:val="0"/>
            <w:vAlign w:val="center"/>
          </w:tcPr>
          <w:p w14:paraId="0CD63BE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22.09</w:t>
            </w:r>
          </w:p>
        </w:tc>
      </w:tr>
      <w:tr w14:paraId="1BD6E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5E24B81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28.00</w:t>
            </w:r>
          </w:p>
        </w:tc>
        <w:tc>
          <w:tcPr>
            <w:tcW w:w="4645" w:type="dxa"/>
            <w:noWrap w:val="0"/>
            <w:vAlign w:val="center"/>
          </w:tcPr>
          <w:p w14:paraId="3055F9F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26.74</w:t>
            </w:r>
          </w:p>
        </w:tc>
      </w:tr>
      <w:tr w14:paraId="5F9EF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29857BC9">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29.00</w:t>
            </w:r>
          </w:p>
        </w:tc>
        <w:tc>
          <w:tcPr>
            <w:tcW w:w="4645" w:type="dxa"/>
            <w:noWrap w:val="0"/>
            <w:vAlign w:val="center"/>
          </w:tcPr>
          <w:p w14:paraId="227D6832">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31.91</w:t>
            </w:r>
          </w:p>
        </w:tc>
      </w:tr>
      <w:tr w14:paraId="1A1D4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2CC18C9D">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30.00</w:t>
            </w:r>
          </w:p>
        </w:tc>
        <w:tc>
          <w:tcPr>
            <w:tcW w:w="4645" w:type="dxa"/>
            <w:noWrap w:val="0"/>
            <w:vAlign w:val="center"/>
          </w:tcPr>
          <w:p w14:paraId="7D8703C6">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37.63</w:t>
            </w:r>
          </w:p>
        </w:tc>
      </w:tr>
    </w:tbl>
    <w:p w14:paraId="710AF0C9">
      <w:pPr>
        <w:jc w:val="center"/>
        <w:outlineLvl w:val="1"/>
        <w:rPr>
          <w:rFonts w:eastAsia="楷体"/>
          <w:b/>
          <w:color w:val="auto"/>
          <w:sz w:val="28"/>
          <w:szCs w:val="28"/>
          <w:highlight w:val="none"/>
        </w:rPr>
      </w:pPr>
      <w:r>
        <w:rPr>
          <w:color w:val="auto"/>
          <w:highlight w:val="none"/>
        </w:rPr>
        <w:pict>
          <v:shape id="图片 75" o:spid="_x0000_s2050" o:spt="75" type="#_x0000_t75" style="position:absolute;left:0pt;margin-left:2.65pt;margin-top:24pt;height:266.8pt;width:453.35pt;mso-wrap-distance-bottom:0pt;mso-wrap-distance-left:9pt;mso-wrap-distance-right:9pt;mso-wrap-distance-top:0pt;z-index:251659264;mso-width-relative:page;mso-height-relative:page;" filled="f" o:preferrelative="t" stroked="f" coordsize="21600,21600">
            <v:path/>
            <v:fill on="f" focussize="0,0"/>
            <v:stroke on="f"/>
            <v:imagedata r:id="rId83" o:title=""/>
            <o:lock v:ext="edit" grouping="f" rotation="f" text="f" aspectratio="t"/>
            <w10:wrap type="square"/>
          </v:shape>
        </w:pict>
      </w:r>
    </w:p>
    <w:p w14:paraId="7163B742">
      <w:pPr>
        <w:jc w:val="center"/>
        <w:rPr>
          <w:rFonts w:eastAsia="楷体"/>
          <w:b/>
          <w:color w:val="auto"/>
          <w:sz w:val="28"/>
          <w:szCs w:val="28"/>
          <w:highlight w:val="none"/>
        </w:rPr>
      </w:pPr>
    </w:p>
    <w:p w14:paraId="75280059">
      <w:pPr>
        <w:rPr>
          <w:rFonts w:eastAsia="楷体"/>
          <w:color w:val="auto"/>
          <w:spacing w:val="20"/>
          <w:kern w:val="0"/>
          <w:sz w:val="28"/>
          <w:szCs w:val="28"/>
          <w:highlight w:val="none"/>
        </w:rPr>
      </w:pPr>
    </w:p>
    <w:p w14:paraId="25B7D686">
      <w:pPr>
        <w:spacing w:line="520" w:lineRule="exact"/>
        <w:jc w:val="center"/>
        <w:outlineLvl w:val="1"/>
        <w:rPr>
          <w:rFonts w:eastAsia="楷体"/>
          <w:b/>
          <w:bCs/>
          <w:color w:val="auto"/>
          <w:sz w:val="28"/>
          <w:szCs w:val="28"/>
          <w:highlight w:val="none"/>
        </w:rPr>
      </w:pPr>
      <w:bookmarkStart w:id="146" w:name="_Toc5661"/>
      <w:bookmarkStart w:id="147" w:name="_Toc14341"/>
      <w:r>
        <w:rPr>
          <w:rFonts w:eastAsia="楷体"/>
          <w:b/>
          <w:bCs/>
          <w:color w:val="auto"/>
          <w:sz w:val="28"/>
          <w:szCs w:val="28"/>
          <w:highlight w:val="none"/>
        </w:rPr>
        <w:t>表3    四清水库溢洪道下泄流量表</w:t>
      </w:r>
      <w:bookmarkEnd w:id="146"/>
      <w:bookmarkEnd w:id="147"/>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2760"/>
        <w:gridCol w:w="1171"/>
        <w:gridCol w:w="1293"/>
        <w:gridCol w:w="1293"/>
        <w:gridCol w:w="1293"/>
        <w:gridCol w:w="1293"/>
      </w:tblGrid>
      <w:tr w14:paraId="29E7E2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5E99839E">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1171" w:type="dxa"/>
            <w:noWrap w:val="0"/>
            <w:vAlign w:val="center"/>
          </w:tcPr>
          <w:p w14:paraId="52F2081A">
            <w:pPr>
              <w:widowControl/>
              <w:jc w:val="center"/>
              <w:textAlignment w:val="center"/>
              <w:rPr>
                <w:rFonts w:eastAsia="楷体"/>
                <w:color w:val="auto"/>
                <w:sz w:val="24"/>
                <w:highlight w:val="none"/>
              </w:rPr>
            </w:pPr>
            <w:r>
              <w:rPr>
                <w:rFonts w:hint="eastAsia" w:eastAsia="楷体"/>
                <w:color w:val="auto"/>
                <w:kern w:val="0"/>
                <w:sz w:val="24"/>
                <w:highlight w:val="none"/>
                <w:lang w:bidi="ar"/>
              </w:rPr>
              <w:t>28.04</w:t>
            </w:r>
          </w:p>
        </w:tc>
        <w:tc>
          <w:tcPr>
            <w:tcW w:w="1293" w:type="dxa"/>
            <w:noWrap w:val="0"/>
            <w:vAlign w:val="center"/>
          </w:tcPr>
          <w:p w14:paraId="69B8F4C7">
            <w:pPr>
              <w:widowControl/>
              <w:jc w:val="center"/>
              <w:textAlignment w:val="center"/>
              <w:rPr>
                <w:rFonts w:eastAsia="楷体"/>
                <w:color w:val="auto"/>
                <w:sz w:val="24"/>
                <w:highlight w:val="none"/>
              </w:rPr>
            </w:pPr>
            <w:r>
              <w:rPr>
                <w:rFonts w:hint="eastAsia" w:eastAsia="楷体"/>
                <w:color w:val="auto"/>
                <w:kern w:val="0"/>
                <w:sz w:val="24"/>
                <w:highlight w:val="none"/>
                <w:lang w:bidi="ar"/>
              </w:rPr>
              <w:t>28.16</w:t>
            </w:r>
          </w:p>
        </w:tc>
        <w:tc>
          <w:tcPr>
            <w:tcW w:w="1293" w:type="dxa"/>
            <w:noWrap w:val="0"/>
            <w:vAlign w:val="center"/>
          </w:tcPr>
          <w:p w14:paraId="1FA6CE84">
            <w:pPr>
              <w:widowControl/>
              <w:jc w:val="center"/>
              <w:textAlignment w:val="center"/>
              <w:rPr>
                <w:rFonts w:eastAsia="楷体"/>
                <w:color w:val="auto"/>
                <w:sz w:val="24"/>
                <w:highlight w:val="none"/>
              </w:rPr>
            </w:pPr>
            <w:r>
              <w:rPr>
                <w:rFonts w:hint="eastAsia" w:eastAsia="楷体"/>
                <w:color w:val="auto"/>
                <w:kern w:val="0"/>
                <w:sz w:val="24"/>
                <w:highlight w:val="none"/>
                <w:lang w:bidi="ar"/>
              </w:rPr>
              <w:t>28.20</w:t>
            </w:r>
          </w:p>
        </w:tc>
        <w:tc>
          <w:tcPr>
            <w:tcW w:w="1293" w:type="dxa"/>
            <w:noWrap w:val="0"/>
            <w:vAlign w:val="center"/>
          </w:tcPr>
          <w:p w14:paraId="2EE979C1">
            <w:pPr>
              <w:widowControl/>
              <w:jc w:val="center"/>
              <w:textAlignment w:val="center"/>
              <w:rPr>
                <w:rFonts w:eastAsia="楷体"/>
                <w:color w:val="auto"/>
                <w:sz w:val="24"/>
                <w:highlight w:val="none"/>
              </w:rPr>
            </w:pPr>
            <w:r>
              <w:rPr>
                <w:rFonts w:hint="eastAsia" w:eastAsia="楷体"/>
                <w:color w:val="auto"/>
                <w:kern w:val="0"/>
                <w:sz w:val="24"/>
                <w:highlight w:val="none"/>
                <w:lang w:bidi="ar"/>
              </w:rPr>
              <w:t>28.30</w:t>
            </w:r>
          </w:p>
        </w:tc>
        <w:tc>
          <w:tcPr>
            <w:tcW w:w="1293" w:type="dxa"/>
            <w:noWrap w:val="0"/>
            <w:vAlign w:val="center"/>
          </w:tcPr>
          <w:p w14:paraId="14AD2356">
            <w:pPr>
              <w:widowControl/>
              <w:jc w:val="center"/>
              <w:textAlignment w:val="center"/>
              <w:rPr>
                <w:rFonts w:eastAsia="楷体"/>
                <w:color w:val="auto"/>
                <w:sz w:val="24"/>
                <w:highlight w:val="none"/>
              </w:rPr>
            </w:pPr>
            <w:r>
              <w:rPr>
                <w:rFonts w:hint="eastAsia" w:eastAsia="楷体"/>
                <w:color w:val="auto"/>
                <w:kern w:val="0"/>
                <w:sz w:val="24"/>
                <w:highlight w:val="none"/>
                <w:lang w:bidi="ar"/>
              </w:rPr>
              <w:t>28.37</w:t>
            </w:r>
          </w:p>
        </w:tc>
      </w:tr>
      <w:tr w14:paraId="4C762C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19829F83">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1171" w:type="dxa"/>
            <w:noWrap w:val="0"/>
            <w:vAlign w:val="center"/>
          </w:tcPr>
          <w:p w14:paraId="581AC362">
            <w:pPr>
              <w:widowControl/>
              <w:jc w:val="center"/>
              <w:textAlignment w:val="center"/>
              <w:rPr>
                <w:rFonts w:eastAsia="楷体"/>
                <w:color w:val="auto"/>
                <w:sz w:val="24"/>
                <w:highlight w:val="none"/>
              </w:rPr>
            </w:pPr>
            <w:r>
              <w:rPr>
                <w:rFonts w:eastAsia="楷体"/>
                <w:color w:val="auto"/>
                <w:kern w:val="0"/>
                <w:sz w:val="24"/>
                <w:highlight w:val="none"/>
                <w:lang w:bidi="ar"/>
              </w:rPr>
              <w:t>0</w:t>
            </w:r>
          </w:p>
        </w:tc>
        <w:tc>
          <w:tcPr>
            <w:tcW w:w="1293" w:type="dxa"/>
            <w:noWrap w:val="0"/>
            <w:vAlign w:val="center"/>
          </w:tcPr>
          <w:p w14:paraId="1691ECD4">
            <w:pPr>
              <w:widowControl/>
              <w:jc w:val="center"/>
              <w:textAlignment w:val="center"/>
              <w:rPr>
                <w:rFonts w:eastAsia="楷体"/>
                <w:color w:val="auto"/>
                <w:sz w:val="24"/>
                <w:highlight w:val="none"/>
              </w:rPr>
            </w:pPr>
            <w:r>
              <w:rPr>
                <w:rFonts w:hint="eastAsia" w:eastAsia="楷体"/>
                <w:color w:val="auto"/>
                <w:kern w:val="0"/>
                <w:sz w:val="24"/>
                <w:highlight w:val="none"/>
                <w:lang w:bidi="ar"/>
              </w:rPr>
              <w:t>0.5</w:t>
            </w:r>
          </w:p>
        </w:tc>
        <w:tc>
          <w:tcPr>
            <w:tcW w:w="1293" w:type="dxa"/>
            <w:noWrap w:val="0"/>
            <w:vAlign w:val="center"/>
          </w:tcPr>
          <w:p w14:paraId="0B78C550">
            <w:pPr>
              <w:widowControl/>
              <w:jc w:val="center"/>
              <w:textAlignment w:val="center"/>
              <w:rPr>
                <w:rFonts w:eastAsia="楷体"/>
                <w:color w:val="auto"/>
                <w:sz w:val="24"/>
                <w:highlight w:val="none"/>
              </w:rPr>
            </w:pPr>
            <w:r>
              <w:rPr>
                <w:rFonts w:hint="eastAsia" w:eastAsia="楷体"/>
                <w:color w:val="auto"/>
                <w:kern w:val="0"/>
                <w:sz w:val="24"/>
                <w:highlight w:val="none"/>
                <w:lang w:bidi="ar"/>
              </w:rPr>
              <w:t>1</w:t>
            </w:r>
          </w:p>
        </w:tc>
        <w:tc>
          <w:tcPr>
            <w:tcW w:w="1293" w:type="dxa"/>
            <w:noWrap w:val="0"/>
            <w:vAlign w:val="center"/>
          </w:tcPr>
          <w:p w14:paraId="70691EC0">
            <w:pPr>
              <w:widowControl/>
              <w:jc w:val="center"/>
              <w:textAlignment w:val="center"/>
              <w:rPr>
                <w:rFonts w:eastAsia="楷体"/>
                <w:color w:val="auto"/>
                <w:sz w:val="24"/>
                <w:highlight w:val="none"/>
              </w:rPr>
            </w:pPr>
            <w:r>
              <w:rPr>
                <w:rFonts w:hint="eastAsia" w:eastAsia="楷体"/>
                <w:color w:val="auto"/>
                <w:kern w:val="0"/>
                <w:sz w:val="24"/>
                <w:highlight w:val="none"/>
                <w:lang w:bidi="ar"/>
              </w:rPr>
              <w:t>2</w:t>
            </w:r>
          </w:p>
        </w:tc>
        <w:tc>
          <w:tcPr>
            <w:tcW w:w="1293" w:type="dxa"/>
            <w:noWrap w:val="0"/>
            <w:vAlign w:val="center"/>
          </w:tcPr>
          <w:p w14:paraId="3472513C">
            <w:pPr>
              <w:widowControl/>
              <w:jc w:val="center"/>
              <w:textAlignment w:val="center"/>
              <w:rPr>
                <w:rFonts w:eastAsia="楷体"/>
                <w:color w:val="auto"/>
                <w:sz w:val="24"/>
                <w:highlight w:val="none"/>
              </w:rPr>
            </w:pPr>
            <w:r>
              <w:rPr>
                <w:rFonts w:hint="eastAsia" w:eastAsia="楷体"/>
                <w:color w:val="auto"/>
                <w:kern w:val="0"/>
                <w:sz w:val="24"/>
                <w:highlight w:val="none"/>
                <w:lang w:bidi="ar"/>
              </w:rPr>
              <w:t>3</w:t>
            </w:r>
          </w:p>
        </w:tc>
      </w:tr>
      <w:tr w14:paraId="694EE3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586A732D">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1171" w:type="dxa"/>
            <w:noWrap w:val="0"/>
            <w:vAlign w:val="center"/>
          </w:tcPr>
          <w:p w14:paraId="0A10F5E8">
            <w:pPr>
              <w:widowControl/>
              <w:jc w:val="center"/>
              <w:textAlignment w:val="center"/>
              <w:rPr>
                <w:rFonts w:eastAsia="楷体"/>
                <w:color w:val="auto"/>
                <w:sz w:val="24"/>
                <w:highlight w:val="none"/>
              </w:rPr>
            </w:pPr>
            <w:r>
              <w:rPr>
                <w:rFonts w:hint="eastAsia" w:eastAsia="楷体"/>
                <w:color w:val="auto"/>
                <w:kern w:val="0"/>
                <w:sz w:val="24"/>
                <w:highlight w:val="none"/>
                <w:lang w:bidi="ar"/>
              </w:rPr>
              <w:t>28.51</w:t>
            </w:r>
          </w:p>
        </w:tc>
        <w:tc>
          <w:tcPr>
            <w:tcW w:w="1293" w:type="dxa"/>
            <w:noWrap w:val="0"/>
            <w:vAlign w:val="center"/>
          </w:tcPr>
          <w:p w14:paraId="79D8A48D">
            <w:pPr>
              <w:widowControl/>
              <w:jc w:val="center"/>
              <w:textAlignment w:val="center"/>
              <w:rPr>
                <w:rFonts w:eastAsia="楷体"/>
                <w:color w:val="auto"/>
                <w:sz w:val="24"/>
                <w:highlight w:val="none"/>
              </w:rPr>
            </w:pPr>
            <w:r>
              <w:rPr>
                <w:rFonts w:hint="eastAsia" w:eastAsia="楷体"/>
                <w:color w:val="auto"/>
                <w:kern w:val="0"/>
                <w:sz w:val="24"/>
                <w:highlight w:val="none"/>
                <w:lang w:bidi="ar"/>
              </w:rPr>
              <w:t>28.62</w:t>
            </w:r>
          </w:p>
        </w:tc>
        <w:tc>
          <w:tcPr>
            <w:tcW w:w="1293" w:type="dxa"/>
            <w:noWrap w:val="0"/>
            <w:vAlign w:val="center"/>
          </w:tcPr>
          <w:p w14:paraId="33217F37">
            <w:pPr>
              <w:widowControl/>
              <w:jc w:val="center"/>
              <w:textAlignment w:val="center"/>
              <w:rPr>
                <w:rFonts w:eastAsia="楷体"/>
                <w:color w:val="auto"/>
                <w:sz w:val="24"/>
                <w:highlight w:val="none"/>
              </w:rPr>
            </w:pPr>
            <w:r>
              <w:rPr>
                <w:rFonts w:hint="eastAsia" w:eastAsia="楷体"/>
                <w:color w:val="auto"/>
                <w:kern w:val="0"/>
                <w:sz w:val="24"/>
                <w:highlight w:val="none"/>
                <w:lang w:bidi="ar"/>
              </w:rPr>
              <w:t>28.78</w:t>
            </w:r>
          </w:p>
        </w:tc>
        <w:tc>
          <w:tcPr>
            <w:tcW w:w="1293" w:type="dxa"/>
            <w:noWrap w:val="0"/>
            <w:vAlign w:val="center"/>
          </w:tcPr>
          <w:p w14:paraId="20290BF8">
            <w:pPr>
              <w:widowControl/>
              <w:jc w:val="center"/>
              <w:textAlignment w:val="center"/>
              <w:rPr>
                <w:rFonts w:eastAsia="楷体"/>
                <w:color w:val="auto"/>
                <w:sz w:val="24"/>
                <w:highlight w:val="none"/>
              </w:rPr>
            </w:pPr>
            <w:r>
              <w:rPr>
                <w:rFonts w:hint="eastAsia" w:eastAsia="楷体"/>
                <w:color w:val="auto"/>
                <w:kern w:val="0"/>
                <w:sz w:val="24"/>
                <w:highlight w:val="none"/>
                <w:lang w:bidi="ar"/>
              </w:rPr>
              <w:t>29.01</w:t>
            </w:r>
          </w:p>
        </w:tc>
        <w:tc>
          <w:tcPr>
            <w:tcW w:w="1293" w:type="dxa"/>
            <w:noWrap w:val="0"/>
            <w:vAlign w:val="center"/>
          </w:tcPr>
          <w:p w14:paraId="77041114">
            <w:pPr>
              <w:widowControl/>
              <w:jc w:val="center"/>
              <w:textAlignment w:val="center"/>
              <w:rPr>
                <w:rFonts w:eastAsia="楷体"/>
                <w:color w:val="auto"/>
                <w:sz w:val="24"/>
                <w:highlight w:val="none"/>
              </w:rPr>
            </w:pPr>
          </w:p>
        </w:tc>
      </w:tr>
      <w:tr w14:paraId="3A8508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1CD0A3D1">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1171" w:type="dxa"/>
            <w:noWrap w:val="0"/>
            <w:vAlign w:val="center"/>
          </w:tcPr>
          <w:p w14:paraId="51EA79AF">
            <w:pPr>
              <w:widowControl/>
              <w:jc w:val="center"/>
              <w:textAlignment w:val="center"/>
              <w:rPr>
                <w:rFonts w:eastAsia="楷体"/>
                <w:color w:val="auto"/>
                <w:sz w:val="24"/>
                <w:highlight w:val="none"/>
              </w:rPr>
            </w:pPr>
            <w:r>
              <w:rPr>
                <w:rFonts w:hint="eastAsia" w:eastAsia="楷体"/>
                <w:color w:val="auto"/>
                <w:kern w:val="0"/>
                <w:sz w:val="24"/>
                <w:highlight w:val="none"/>
                <w:lang w:bidi="ar"/>
              </w:rPr>
              <w:t>5</w:t>
            </w:r>
          </w:p>
        </w:tc>
        <w:tc>
          <w:tcPr>
            <w:tcW w:w="1293" w:type="dxa"/>
            <w:noWrap w:val="0"/>
            <w:vAlign w:val="center"/>
          </w:tcPr>
          <w:p w14:paraId="079A9E12">
            <w:pPr>
              <w:widowControl/>
              <w:jc w:val="center"/>
              <w:textAlignment w:val="center"/>
              <w:rPr>
                <w:rFonts w:eastAsia="楷体"/>
                <w:color w:val="auto"/>
                <w:sz w:val="24"/>
                <w:highlight w:val="none"/>
              </w:rPr>
            </w:pPr>
            <w:r>
              <w:rPr>
                <w:rFonts w:hint="eastAsia" w:eastAsia="楷体"/>
                <w:color w:val="auto"/>
                <w:kern w:val="0"/>
                <w:sz w:val="24"/>
                <w:highlight w:val="none"/>
                <w:lang w:bidi="ar"/>
              </w:rPr>
              <w:t>7</w:t>
            </w:r>
          </w:p>
        </w:tc>
        <w:tc>
          <w:tcPr>
            <w:tcW w:w="1293" w:type="dxa"/>
            <w:noWrap w:val="0"/>
            <w:vAlign w:val="center"/>
          </w:tcPr>
          <w:p w14:paraId="0F38D361">
            <w:pPr>
              <w:widowControl/>
              <w:jc w:val="center"/>
              <w:textAlignment w:val="center"/>
              <w:rPr>
                <w:rFonts w:eastAsia="楷体"/>
                <w:color w:val="auto"/>
                <w:sz w:val="24"/>
                <w:highlight w:val="none"/>
              </w:rPr>
            </w:pPr>
            <w:r>
              <w:rPr>
                <w:rFonts w:hint="eastAsia" w:eastAsia="楷体"/>
                <w:color w:val="auto"/>
                <w:kern w:val="0"/>
                <w:sz w:val="24"/>
                <w:highlight w:val="none"/>
                <w:lang w:bidi="ar"/>
              </w:rPr>
              <w:t>10</w:t>
            </w:r>
          </w:p>
        </w:tc>
        <w:tc>
          <w:tcPr>
            <w:tcW w:w="1293" w:type="dxa"/>
            <w:noWrap w:val="0"/>
            <w:vAlign w:val="center"/>
          </w:tcPr>
          <w:p w14:paraId="63330A08">
            <w:pPr>
              <w:widowControl/>
              <w:jc w:val="center"/>
              <w:textAlignment w:val="center"/>
              <w:rPr>
                <w:rFonts w:eastAsia="楷体"/>
                <w:color w:val="auto"/>
                <w:sz w:val="24"/>
                <w:highlight w:val="none"/>
              </w:rPr>
            </w:pPr>
            <w:r>
              <w:rPr>
                <w:rFonts w:hint="eastAsia" w:eastAsia="楷体"/>
                <w:color w:val="auto"/>
                <w:kern w:val="0"/>
                <w:sz w:val="24"/>
                <w:highlight w:val="none"/>
                <w:lang w:bidi="ar"/>
              </w:rPr>
              <w:t>15</w:t>
            </w:r>
          </w:p>
        </w:tc>
        <w:tc>
          <w:tcPr>
            <w:tcW w:w="1293" w:type="dxa"/>
            <w:noWrap w:val="0"/>
            <w:vAlign w:val="center"/>
          </w:tcPr>
          <w:p w14:paraId="0C1881FF">
            <w:pPr>
              <w:widowControl/>
              <w:jc w:val="center"/>
              <w:textAlignment w:val="center"/>
              <w:rPr>
                <w:rFonts w:eastAsia="楷体"/>
                <w:color w:val="auto"/>
                <w:sz w:val="24"/>
                <w:highlight w:val="none"/>
              </w:rPr>
            </w:pPr>
          </w:p>
        </w:tc>
      </w:tr>
    </w:tbl>
    <w:p w14:paraId="0DCC0D0A">
      <w:pPr>
        <w:spacing w:line="520" w:lineRule="exact"/>
        <w:jc w:val="center"/>
        <w:rPr>
          <w:rFonts w:eastAsia="楷体"/>
          <w:b/>
          <w:bCs/>
          <w:color w:val="auto"/>
          <w:sz w:val="28"/>
          <w:szCs w:val="28"/>
          <w:highlight w:val="none"/>
        </w:rPr>
      </w:pPr>
      <w:r>
        <w:rPr>
          <w:color w:val="auto"/>
          <w:highlight w:val="none"/>
        </w:rPr>
        <w:pict>
          <v:shape id="图片 76" o:spid="_x0000_s2051" o:spt="75" type="#_x0000_t75" style="position:absolute;left:0pt;margin-left:0.25pt;margin-top:21.15pt;height:267.25pt;width:453.1pt;mso-wrap-distance-bottom:0pt;mso-wrap-distance-left:9pt;mso-wrap-distance-right:9pt;mso-wrap-distance-top:0pt;z-index:251660288;mso-width-relative:page;mso-height-relative:page;" filled="f" o:preferrelative="t" stroked="f" coordsize="21600,21600">
            <v:path/>
            <v:fill on="f" focussize="0,0"/>
            <v:stroke on="f"/>
            <v:imagedata r:id="rId84" o:title=""/>
            <o:lock v:ext="edit" grouping="f" rotation="f" text="f" aspectratio="t"/>
            <w10:wrap type="square"/>
          </v:shape>
        </w:pict>
      </w:r>
    </w:p>
    <w:p w14:paraId="5B484FE6">
      <w:pPr>
        <w:spacing w:line="520" w:lineRule="exact"/>
        <w:jc w:val="center"/>
        <w:rPr>
          <w:rFonts w:eastAsia="楷体"/>
          <w:b/>
          <w:bCs/>
          <w:color w:val="auto"/>
          <w:sz w:val="28"/>
          <w:szCs w:val="28"/>
          <w:highlight w:val="none"/>
        </w:rPr>
      </w:pPr>
      <w:bookmarkStart w:id="148" w:name="_Toc18348"/>
      <w:r>
        <w:rPr>
          <w:rFonts w:eastAsia="楷体"/>
          <w:b/>
          <w:bCs/>
          <w:color w:val="auto"/>
          <w:sz w:val="28"/>
          <w:szCs w:val="28"/>
          <w:highlight w:val="none"/>
        </w:rPr>
        <w:t>表4    四清水库调洪演算成果表（讯限水位</w:t>
      </w:r>
      <w:r>
        <w:rPr>
          <w:rFonts w:hint="eastAsia" w:eastAsia="楷体"/>
          <w:b/>
          <w:bCs/>
          <w:color w:val="auto"/>
          <w:sz w:val="28"/>
          <w:szCs w:val="28"/>
          <w:highlight w:val="none"/>
          <w:lang w:eastAsia="zh-CN"/>
        </w:rPr>
        <w:t>26.92</w:t>
      </w:r>
      <w:r>
        <w:rPr>
          <w:rFonts w:eastAsia="楷体"/>
          <w:b/>
          <w:bCs/>
          <w:color w:val="auto"/>
          <w:sz w:val="28"/>
          <w:szCs w:val="28"/>
          <w:highlight w:val="none"/>
        </w:rPr>
        <w:t>m）</w:t>
      </w:r>
      <w:bookmarkEnd w:id="148"/>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7"/>
        <w:gridCol w:w="2046"/>
        <w:gridCol w:w="1778"/>
        <w:gridCol w:w="1585"/>
        <w:gridCol w:w="1585"/>
      </w:tblGrid>
      <w:tr w14:paraId="4F94B8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7" w:type="dxa"/>
            <w:noWrap w:val="0"/>
            <w:vAlign w:val="center"/>
          </w:tcPr>
          <w:p w14:paraId="3360886A">
            <w:pPr>
              <w:widowControl/>
              <w:spacing w:line="440" w:lineRule="exact"/>
              <w:jc w:val="center"/>
              <w:textAlignment w:val="center"/>
              <w:rPr>
                <w:rFonts w:eastAsia="楷体"/>
                <w:b/>
                <w:color w:val="auto"/>
                <w:sz w:val="24"/>
                <w:highlight w:val="none"/>
              </w:rPr>
            </w:pPr>
            <w:bookmarkStart w:id="149" w:name="_Toc17772"/>
            <w:r>
              <w:rPr>
                <w:rFonts w:eastAsia="楷体"/>
                <w:b/>
                <w:color w:val="auto"/>
                <w:kern w:val="0"/>
                <w:sz w:val="24"/>
                <w:highlight w:val="none"/>
                <w:lang w:bidi="ar"/>
              </w:rPr>
              <w:t>设计频率</w:t>
            </w:r>
          </w:p>
        </w:tc>
        <w:tc>
          <w:tcPr>
            <w:tcW w:w="2046" w:type="dxa"/>
            <w:noWrap w:val="0"/>
            <w:vAlign w:val="center"/>
          </w:tcPr>
          <w:p w14:paraId="505B1818">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最大入库流量(m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778" w:type="dxa"/>
            <w:noWrap w:val="0"/>
            <w:vAlign w:val="center"/>
          </w:tcPr>
          <w:p w14:paraId="50AF9E5D">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最大下泄流量(m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585" w:type="dxa"/>
            <w:noWrap w:val="0"/>
            <w:vAlign w:val="center"/>
          </w:tcPr>
          <w:p w14:paraId="4EFAF1C4">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最高库水位（m）</w:t>
            </w:r>
          </w:p>
        </w:tc>
        <w:tc>
          <w:tcPr>
            <w:tcW w:w="1585" w:type="dxa"/>
            <w:noWrap w:val="0"/>
            <w:vAlign w:val="center"/>
          </w:tcPr>
          <w:p w14:paraId="2CC744ED">
            <w:pPr>
              <w:widowControl/>
              <w:spacing w:line="440" w:lineRule="exact"/>
              <w:jc w:val="center"/>
              <w:textAlignment w:val="center"/>
              <w:rPr>
                <w:rFonts w:eastAsia="楷体"/>
                <w:b/>
                <w:color w:val="auto"/>
                <w:kern w:val="0"/>
                <w:sz w:val="24"/>
                <w:highlight w:val="none"/>
                <w:lang w:bidi="ar"/>
              </w:rPr>
            </w:pPr>
            <w:r>
              <w:rPr>
                <w:rFonts w:eastAsia="楷体"/>
                <w:b/>
                <w:color w:val="auto"/>
                <w:kern w:val="0"/>
                <w:sz w:val="24"/>
                <w:highlight w:val="none"/>
                <w:lang w:bidi="ar"/>
              </w:rPr>
              <w:t>设计库容</w:t>
            </w:r>
          </w:p>
          <w:p w14:paraId="20D4A096">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（万m</w:t>
            </w:r>
            <w:r>
              <w:rPr>
                <w:rFonts w:eastAsia="楷体"/>
                <w:b/>
                <w:color w:val="auto"/>
                <w:kern w:val="0"/>
                <w:sz w:val="24"/>
                <w:highlight w:val="none"/>
                <w:vertAlign w:val="superscript"/>
                <w:lang w:bidi="ar"/>
              </w:rPr>
              <w:t>3</w:t>
            </w:r>
            <w:r>
              <w:rPr>
                <w:rFonts w:eastAsia="楷体"/>
                <w:b/>
                <w:color w:val="auto"/>
                <w:kern w:val="0"/>
                <w:sz w:val="24"/>
                <w:highlight w:val="none"/>
                <w:lang w:bidi="ar"/>
              </w:rPr>
              <w:t>）</w:t>
            </w:r>
          </w:p>
        </w:tc>
      </w:tr>
      <w:tr w14:paraId="678A1E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0A80D3C4">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45455D0A">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12.35</w:t>
            </w:r>
          </w:p>
        </w:tc>
        <w:tc>
          <w:tcPr>
            <w:tcW w:w="1778" w:type="dxa"/>
            <w:noWrap w:val="0"/>
            <w:vAlign w:val="center"/>
          </w:tcPr>
          <w:p w14:paraId="39946D39">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5.84</w:t>
            </w:r>
          </w:p>
        </w:tc>
        <w:tc>
          <w:tcPr>
            <w:tcW w:w="1585" w:type="dxa"/>
            <w:noWrap w:val="0"/>
            <w:vAlign w:val="center"/>
          </w:tcPr>
          <w:p w14:paraId="43A148B6">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28.56</w:t>
            </w:r>
          </w:p>
        </w:tc>
        <w:tc>
          <w:tcPr>
            <w:tcW w:w="1585" w:type="dxa"/>
            <w:noWrap w:val="0"/>
            <w:vAlign w:val="center"/>
          </w:tcPr>
          <w:p w14:paraId="3E77A019">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29.54</w:t>
            </w:r>
          </w:p>
        </w:tc>
      </w:tr>
      <w:tr w14:paraId="326056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35693D48">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P=0.</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7D636FFF">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20.64</w:t>
            </w:r>
          </w:p>
        </w:tc>
        <w:tc>
          <w:tcPr>
            <w:tcW w:w="1778" w:type="dxa"/>
            <w:noWrap w:val="0"/>
            <w:vAlign w:val="center"/>
          </w:tcPr>
          <w:p w14:paraId="21DE9EFE">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10.61</w:t>
            </w:r>
          </w:p>
        </w:tc>
        <w:tc>
          <w:tcPr>
            <w:tcW w:w="1585" w:type="dxa"/>
            <w:noWrap w:val="0"/>
            <w:vAlign w:val="center"/>
          </w:tcPr>
          <w:p w14:paraId="1F1A70D0">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28.81</w:t>
            </w:r>
          </w:p>
        </w:tc>
        <w:tc>
          <w:tcPr>
            <w:tcW w:w="1585" w:type="dxa"/>
            <w:noWrap w:val="0"/>
            <w:vAlign w:val="center"/>
          </w:tcPr>
          <w:p w14:paraId="1AE443AE">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30.87</w:t>
            </w:r>
          </w:p>
        </w:tc>
      </w:tr>
    </w:tbl>
    <w:p w14:paraId="1685EDAE">
      <w:pPr>
        <w:jc w:val="center"/>
        <w:rPr>
          <w:rFonts w:eastAsia="楷体"/>
          <w:b/>
          <w:bCs/>
          <w:color w:val="auto"/>
          <w:sz w:val="28"/>
          <w:szCs w:val="28"/>
          <w:highlight w:val="none"/>
        </w:rPr>
      </w:pPr>
    </w:p>
    <w:p w14:paraId="6927A4CB">
      <w:pPr>
        <w:jc w:val="center"/>
        <w:rPr>
          <w:rFonts w:eastAsia="楷体"/>
          <w:b/>
          <w:bCs/>
          <w:color w:val="auto"/>
          <w:sz w:val="28"/>
          <w:szCs w:val="28"/>
          <w:highlight w:val="none"/>
        </w:rPr>
      </w:pPr>
    </w:p>
    <w:p w14:paraId="5FD0F084">
      <w:pPr>
        <w:jc w:val="center"/>
        <w:rPr>
          <w:rFonts w:eastAsia="楷体"/>
          <w:b/>
          <w:bCs/>
          <w:color w:val="auto"/>
          <w:sz w:val="28"/>
          <w:szCs w:val="28"/>
          <w:highlight w:val="none"/>
        </w:rPr>
      </w:pPr>
    </w:p>
    <w:p w14:paraId="59FD5328">
      <w:pPr>
        <w:jc w:val="center"/>
        <w:rPr>
          <w:rFonts w:eastAsia="楷体"/>
          <w:b/>
          <w:bCs/>
          <w:color w:val="auto"/>
          <w:sz w:val="28"/>
          <w:szCs w:val="28"/>
          <w:highlight w:val="none"/>
        </w:rPr>
      </w:pPr>
    </w:p>
    <w:p w14:paraId="3D99F281">
      <w:pPr>
        <w:jc w:val="center"/>
        <w:rPr>
          <w:rFonts w:eastAsia="楷体"/>
          <w:b/>
          <w:bCs/>
          <w:color w:val="auto"/>
          <w:sz w:val="28"/>
          <w:szCs w:val="28"/>
          <w:highlight w:val="none"/>
        </w:rPr>
      </w:pPr>
    </w:p>
    <w:p w14:paraId="4C6F249A">
      <w:pPr>
        <w:jc w:val="center"/>
        <w:outlineLvl w:val="1"/>
        <w:rPr>
          <w:rFonts w:eastAsia="楷体"/>
          <w:b/>
          <w:bCs/>
          <w:color w:val="auto"/>
          <w:sz w:val="28"/>
          <w:szCs w:val="28"/>
          <w:highlight w:val="none"/>
        </w:rPr>
      </w:pPr>
      <w:bookmarkStart w:id="150" w:name="_Toc31064"/>
      <w:r>
        <w:rPr>
          <w:rFonts w:eastAsia="楷体"/>
          <w:b/>
          <w:bCs/>
          <w:color w:val="auto"/>
          <w:sz w:val="28"/>
          <w:szCs w:val="28"/>
          <w:highlight w:val="none"/>
        </w:rPr>
        <w:t>表</w:t>
      </w:r>
      <w:r>
        <w:rPr>
          <w:rFonts w:hint="eastAsia" w:eastAsia="楷体"/>
          <w:b/>
          <w:bCs/>
          <w:color w:val="auto"/>
          <w:sz w:val="28"/>
          <w:szCs w:val="28"/>
          <w:highlight w:val="none"/>
        </w:rPr>
        <w:t>5</w:t>
      </w:r>
      <w:r>
        <w:rPr>
          <w:rFonts w:eastAsia="楷体"/>
          <w:b/>
          <w:bCs/>
          <w:color w:val="auto"/>
          <w:sz w:val="28"/>
          <w:szCs w:val="28"/>
          <w:highlight w:val="none"/>
        </w:rPr>
        <w:t xml:space="preserve">    四清水库防洪抢险领导小组成员名单</w:t>
      </w:r>
      <w:bookmarkEnd w:id="149"/>
      <w:bookmarkEnd w:id="150"/>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909"/>
        <w:gridCol w:w="2869"/>
        <w:gridCol w:w="1858"/>
      </w:tblGrid>
      <w:tr w14:paraId="07B53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67E1C92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507" w:type="dxa"/>
            <w:noWrap w:val="0"/>
            <w:vAlign w:val="center"/>
          </w:tcPr>
          <w:p w14:paraId="1F4D5E2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1909" w:type="dxa"/>
            <w:noWrap w:val="0"/>
            <w:vAlign w:val="center"/>
          </w:tcPr>
          <w:p w14:paraId="24A7D12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2869" w:type="dxa"/>
            <w:noWrap w:val="0"/>
            <w:vAlign w:val="center"/>
          </w:tcPr>
          <w:p w14:paraId="4CF7CC3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714CB8E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40D17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609E35A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507" w:type="dxa"/>
            <w:noWrap w:val="0"/>
            <w:vAlign w:val="center"/>
          </w:tcPr>
          <w:p w14:paraId="0967321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909" w:type="dxa"/>
            <w:noWrap w:val="0"/>
            <w:vAlign w:val="center"/>
          </w:tcPr>
          <w:p w14:paraId="42209C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林志伟</w:t>
            </w:r>
          </w:p>
        </w:tc>
        <w:tc>
          <w:tcPr>
            <w:tcW w:w="2869" w:type="dxa"/>
            <w:noWrap w:val="0"/>
            <w:vAlign w:val="center"/>
          </w:tcPr>
          <w:p w14:paraId="3AA33B9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镇党委副书记、政法委员</w:t>
            </w:r>
          </w:p>
        </w:tc>
        <w:tc>
          <w:tcPr>
            <w:tcW w:w="1858" w:type="dxa"/>
            <w:noWrap w:val="0"/>
            <w:vAlign w:val="center"/>
          </w:tcPr>
          <w:p w14:paraId="5A612E79">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7A9DB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27EA00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507" w:type="dxa"/>
            <w:noWrap w:val="0"/>
            <w:vAlign w:val="center"/>
          </w:tcPr>
          <w:p w14:paraId="409C7B4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1909" w:type="dxa"/>
            <w:noWrap w:val="0"/>
            <w:vAlign w:val="center"/>
          </w:tcPr>
          <w:p w14:paraId="07BA55B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曾荣桂</w:t>
            </w:r>
          </w:p>
        </w:tc>
        <w:tc>
          <w:tcPr>
            <w:tcW w:w="2869" w:type="dxa"/>
            <w:noWrap w:val="0"/>
            <w:vAlign w:val="center"/>
          </w:tcPr>
          <w:p w14:paraId="2B016EA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镇党委二级主任科员</w:t>
            </w:r>
          </w:p>
        </w:tc>
        <w:tc>
          <w:tcPr>
            <w:tcW w:w="1858" w:type="dxa"/>
            <w:noWrap w:val="0"/>
            <w:vAlign w:val="center"/>
          </w:tcPr>
          <w:p w14:paraId="6D0C7479">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87966068</w:t>
            </w:r>
          </w:p>
        </w:tc>
      </w:tr>
      <w:tr w14:paraId="6AD1E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9BCABE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507" w:type="dxa"/>
            <w:noWrap w:val="0"/>
            <w:vAlign w:val="center"/>
          </w:tcPr>
          <w:p w14:paraId="2FC308C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1909" w:type="dxa"/>
            <w:noWrap w:val="0"/>
            <w:vAlign w:val="center"/>
          </w:tcPr>
          <w:p w14:paraId="52A796A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庄增加</w:t>
            </w:r>
          </w:p>
        </w:tc>
        <w:tc>
          <w:tcPr>
            <w:tcW w:w="2869" w:type="dxa"/>
            <w:noWrap w:val="0"/>
            <w:vAlign w:val="center"/>
          </w:tcPr>
          <w:p w14:paraId="79A43F7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镇党委二级主任科员</w:t>
            </w:r>
          </w:p>
        </w:tc>
        <w:tc>
          <w:tcPr>
            <w:tcW w:w="1858" w:type="dxa"/>
            <w:noWrap w:val="0"/>
            <w:vAlign w:val="center"/>
          </w:tcPr>
          <w:p w14:paraId="5A854163">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87966211</w:t>
            </w:r>
          </w:p>
        </w:tc>
      </w:tr>
      <w:tr w14:paraId="22D3F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BE4ADF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4</w:t>
            </w:r>
          </w:p>
        </w:tc>
        <w:tc>
          <w:tcPr>
            <w:tcW w:w="1507" w:type="dxa"/>
            <w:noWrap w:val="0"/>
            <w:vAlign w:val="center"/>
          </w:tcPr>
          <w:p w14:paraId="57F41470">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1909" w:type="dxa"/>
            <w:noWrap w:val="0"/>
            <w:vAlign w:val="center"/>
          </w:tcPr>
          <w:p w14:paraId="55C9B6E4">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贾义海</w:t>
            </w:r>
          </w:p>
        </w:tc>
        <w:tc>
          <w:tcPr>
            <w:tcW w:w="2869" w:type="dxa"/>
            <w:noWrap w:val="0"/>
            <w:vAlign w:val="center"/>
          </w:tcPr>
          <w:p w14:paraId="6AD3EE3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镇党委委员、人武部部长</w:t>
            </w:r>
          </w:p>
        </w:tc>
        <w:tc>
          <w:tcPr>
            <w:tcW w:w="1858" w:type="dxa"/>
            <w:noWrap w:val="0"/>
            <w:vAlign w:val="center"/>
          </w:tcPr>
          <w:p w14:paraId="5936AD1A">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87039666</w:t>
            </w:r>
          </w:p>
        </w:tc>
      </w:tr>
      <w:tr w14:paraId="773FC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7DCF6EF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507" w:type="dxa"/>
            <w:noWrap w:val="0"/>
            <w:vAlign w:val="center"/>
          </w:tcPr>
          <w:p w14:paraId="201F6AC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909" w:type="dxa"/>
            <w:noWrap w:val="0"/>
            <w:vAlign w:val="center"/>
          </w:tcPr>
          <w:p w14:paraId="7146FFC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连毅伟</w:t>
            </w:r>
          </w:p>
        </w:tc>
        <w:tc>
          <w:tcPr>
            <w:tcW w:w="2869" w:type="dxa"/>
            <w:noWrap w:val="0"/>
            <w:vAlign w:val="center"/>
          </w:tcPr>
          <w:p w14:paraId="48CFC9D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i w:val="0"/>
                <w:color w:val="auto"/>
                <w:kern w:val="0"/>
                <w:sz w:val="24"/>
                <w:szCs w:val="24"/>
                <w:highlight w:val="none"/>
                <w:u w:val="none"/>
                <w:lang w:val="en-US" w:eastAsia="zh-CN" w:bidi="ar"/>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858" w:type="dxa"/>
            <w:noWrap w:val="0"/>
            <w:vAlign w:val="center"/>
          </w:tcPr>
          <w:p w14:paraId="660A63CF">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87966081</w:t>
            </w:r>
          </w:p>
        </w:tc>
      </w:tr>
    </w:tbl>
    <w:p w14:paraId="5095F323">
      <w:pPr>
        <w:shd w:val="clear" w:color="auto" w:fill="FFFFFF"/>
        <w:rPr>
          <w:rFonts w:eastAsia="楷体"/>
          <w:color w:val="auto"/>
          <w:sz w:val="32"/>
          <w:szCs w:val="32"/>
          <w:highlight w:val="none"/>
        </w:rPr>
      </w:pPr>
    </w:p>
    <w:p w14:paraId="4AA80A93">
      <w:pPr>
        <w:shd w:val="clear" w:color="auto" w:fill="FFFFFF"/>
        <w:rPr>
          <w:rFonts w:eastAsia="楷体"/>
          <w:color w:val="auto"/>
          <w:sz w:val="32"/>
          <w:szCs w:val="32"/>
          <w:highlight w:val="none"/>
        </w:rPr>
      </w:pPr>
    </w:p>
    <w:p w14:paraId="38B47E01">
      <w:pPr>
        <w:jc w:val="center"/>
        <w:outlineLvl w:val="1"/>
        <w:rPr>
          <w:rFonts w:eastAsia="楷体"/>
          <w:b/>
          <w:bCs/>
          <w:color w:val="auto"/>
          <w:sz w:val="28"/>
          <w:szCs w:val="28"/>
          <w:highlight w:val="none"/>
        </w:rPr>
      </w:pPr>
      <w:bookmarkStart w:id="151" w:name="_Toc16902"/>
      <w:bookmarkStart w:id="152" w:name="_Toc10959"/>
      <w:r>
        <w:rPr>
          <w:rFonts w:eastAsia="楷体"/>
          <w:b/>
          <w:bCs/>
          <w:color w:val="auto"/>
          <w:sz w:val="28"/>
          <w:szCs w:val="28"/>
          <w:highlight w:val="none"/>
        </w:rPr>
        <w:t>表</w:t>
      </w:r>
      <w:r>
        <w:rPr>
          <w:rFonts w:hint="eastAsia" w:eastAsia="楷体"/>
          <w:b/>
          <w:bCs/>
          <w:color w:val="auto"/>
          <w:sz w:val="28"/>
          <w:szCs w:val="28"/>
          <w:highlight w:val="none"/>
          <w:lang w:val="en-US" w:eastAsia="zh-CN"/>
        </w:rPr>
        <w:t>6</w:t>
      </w:r>
      <w:r>
        <w:rPr>
          <w:rFonts w:eastAsia="楷体"/>
          <w:b/>
          <w:bCs/>
          <w:color w:val="auto"/>
          <w:sz w:val="28"/>
          <w:szCs w:val="28"/>
          <w:highlight w:val="none"/>
        </w:rPr>
        <w:t xml:space="preserve">    四清水库防汛抗洪抢险救灾应急小组成员名单</w:t>
      </w:r>
      <w:bookmarkEnd w:id="151"/>
      <w:bookmarkEnd w:id="152"/>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5"/>
        <w:gridCol w:w="2170"/>
        <w:gridCol w:w="2076"/>
        <w:gridCol w:w="1013"/>
        <w:gridCol w:w="1481"/>
        <w:gridCol w:w="1823"/>
      </w:tblGrid>
      <w:tr w14:paraId="05F7E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trPr>
        <w:tc>
          <w:tcPr>
            <w:tcW w:w="855" w:type="dxa"/>
            <w:noWrap w:val="0"/>
            <w:vAlign w:val="center"/>
          </w:tcPr>
          <w:p w14:paraId="24C3E939">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序号</w:t>
            </w:r>
          </w:p>
        </w:tc>
        <w:tc>
          <w:tcPr>
            <w:tcW w:w="2170" w:type="dxa"/>
            <w:noWrap w:val="0"/>
            <w:vAlign w:val="center"/>
          </w:tcPr>
          <w:p w14:paraId="6F1D7288">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名称</w:t>
            </w:r>
          </w:p>
        </w:tc>
        <w:tc>
          <w:tcPr>
            <w:tcW w:w="2076" w:type="dxa"/>
            <w:noWrap w:val="0"/>
            <w:vAlign w:val="center"/>
          </w:tcPr>
          <w:p w14:paraId="09BC8D11">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组成单位</w:t>
            </w:r>
          </w:p>
        </w:tc>
        <w:tc>
          <w:tcPr>
            <w:tcW w:w="1013" w:type="dxa"/>
            <w:noWrap w:val="0"/>
            <w:vAlign w:val="center"/>
          </w:tcPr>
          <w:p w14:paraId="0E0BF716">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人数</w:t>
            </w:r>
          </w:p>
        </w:tc>
        <w:tc>
          <w:tcPr>
            <w:tcW w:w="1481" w:type="dxa"/>
            <w:noWrap w:val="0"/>
            <w:vAlign w:val="center"/>
          </w:tcPr>
          <w:p w14:paraId="1AA6FFC2">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联系人</w:t>
            </w:r>
          </w:p>
        </w:tc>
        <w:tc>
          <w:tcPr>
            <w:tcW w:w="1823" w:type="dxa"/>
            <w:noWrap w:val="0"/>
            <w:vAlign w:val="center"/>
          </w:tcPr>
          <w:p w14:paraId="173AB930">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联系电话</w:t>
            </w:r>
          </w:p>
        </w:tc>
      </w:tr>
      <w:tr w14:paraId="4FD36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855" w:type="dxa"/>
            <w:noWrap w:val="0"/>
            <w:vAlign w:val="center"/>
          </w:tcPr>
          <w:p w14:paraId="010B284B">
            <w:pPr>
              <w:jc w:val="center"/>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1</w:t>
            </w:r>
          </w:p>
        </w:tc>
        <w:tc>
          <w:tcPr>
            <w:tcW w:w="2170" w:type="dxa"/>
            <w:noWrap w:val="0"/>
            <w:vAlign w:val="center"/>
          </w:tcPr>
          <w:p w14:paraId="0DFB17CB">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前黄镇机关抢险应急队伍</w:t>
            </w:r>
          </w:p>
        </w:tc>
        <w:tc>
          <w:tcPr>
            <w:tcW w:w="2076" w:type="dxa"/>
            <w:noWrap w:val="0"/>
            <w:vAlign w:val="center"/>
          </w:tcPr>
          <w:p w14:paraId="61532788">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镇机关和</w:t>
            </w:r>
            <w:r>
              <w:rPr>
                <w:rFonts w:hint="eastAsia" w:ascii="楷体" w:hAnsi="楷体" w:eastAsia="楷体" w:cs="楷体"/>
                <w:color w:val="auto"/>
                <w:sz w:val="24"/>
                <w:highlight w:val="none"/>
                <w:lang w:val="en-US" w:eastAsia="zh-CN"/>
              </w:rPr>
              <w:t>13个行政村</w:t>
            </w:r>
          </w:p>
        </w:tc>
        <w:tc>
          <w:tcPr>
            <w:tcW w:w="1013" w:type="dxa"/>
            <w:noWrap w:val="0"/>
            <w:vAlign w:val="center"/>
          </w:tcPr>
          <w:p w14:paraId="7181A8A1">
            <w:pPr>
              <w:jc w:val="center"/>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200</w:t>
            </w:r>
          </w:p>
        </w:tc>
        <w:tc>
          <w:tcPr>
            <w:tcW w:w="1481" w:type="dxa"/>
            <w:noWrap w:val="0"/>
            <w:vAlign w:val="center"/>
          </w:tcPr>
          <w:p w14:paraId="496FC8EE">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贾义海</w:t>
            </w:r>
          </w:p>
        </w:tc>
        <w:tc>
          <w:tcPr>
            <w:tcW w:w="1823" w:type="dxa"/>
            <w:noWrap w:val="0"/>
            <w:vAlign w:val="center"/>
          </w:tcPr>
          <w:p w14:paraId="09198B12">
            <w:pPr>
              <w:jc w:val="center"/>
              <w:rPr>
                <w:rFonts w:hint="eastAsia" w:ascii="楷体" w:hAnsi="楷体" w:eastAsia="楷体" w:cs="楷体"/>
                <w:color w:val="auto"/>
                <w:highlight w:val="none"/>
                <w:lang w:val="en-US" w:eastAsia="zh-CN"/>
              </w:rPr>
            </w:pPr>
            <w:r>
              <w:rPr>
                <w:rFonts w:hint="eastAsia" w:eastAsia="楷体" w:cs="Times New Roman"/>
                <w:color w:val="auto"/>
                <w:sz w:val="24"/>
                <w:szCs w:val="24"/>
                <w:highlight w:val="none"/>
                <w:lang w:val="en-US" w:eastAsia="zh-CN"/>
              </w:rPr>
              <w:t>87039666</w:t>
            </w:r>
          </w:p>
        </w:tc>
      </w:tr>
    </w:tbl>
    <w:p w14:paraId="0AB507AF">
      <w:pPr>
        <w:shd w:val="clear" w:color="auto" w:fill="FFFFFF"/>
        <w:spacing w:line="420" w:lineRule="exact"/>
        <w:jc w:val="center"/>
        <w:rPr>
          <w:rFonts w:eastAsia="楷体"/>
          <w:color w:val="auto"/>
          <w:sz w:val="28"/>
          <w:szCs w:val="28"/>
          <w:highlight w:val="none"/>
        </w:rPr>
      </w:pPr>
    </w:p>
    <w:p w14:paraId="6B33BF72">
      <w:pPr>
        <w:shd w:val="clear" w:color="auto" w:fill="FFFFFF"/>
        <w:ind w:firstLine="640" w:firstLineChars="200"/>
        <w:rPr>
          <w:rFonts w:eastAsia="楷体"/>
          <w:color w:val="auto"/>
          <w:sz w:val="32"/>
          <w:szCs w:val="32"/>
          <w:highlight w:val="none"/>
        </w:rPr>
      </w:pPr>
    </w:p>
    <w:p w14:paraId="63F0493C">
      <w:pPr>
        <w:shd w:val="clear" w:color="auto" w:fill="FFFFFF"/>
        <w:ind w:firstLine="640" w:firstLineChars="200"/>
        <w:rPr>
          <w:rFonts w:eastAsia="楷体"/>
          <w:color w:val="auto"/>
          <w:sz w:val="32"/>
          <w:szCs w:val="32"/>
          <w:highlight w:val="none"/>
        </w:rPr>
      </w:pPr>
    </w:p>
    <w:p w14:paraId="159C89A4">
      <w:pPr>
        <w:shd w:val="clear" w:color="auto" w:fill="FFFFFF"/>
        <w:ind w:firstLine="640" w:firstLineChars="200"/>
        <w:rPr>
          <w:rFonts w:eastAsia="楷体"/>
          <w:color w:val="auto"/>
          <w:sz w:val="32"/>
          <w:szCs w:val="32"/>
          <w:highlight w:val="none"/>
        </w:rPr>
      </w:pPr>
    </w:p>
    <w:p w14:paraId="1191D46B">
      <w:pPr>
        <w:shd w:val="clear" w:color="auto" w:fill="FFFFFF"/>
        <w:tabs>
          <w:tab w:val="left" w:pos="840"/>
        </w:tabs>
        <w:spacing w:line="460" w:lineRule="exact"/>
        <w:rPr>
          <w:rFonts w:eastAsia="楷体"/>
          <w:b/>
          <w:color w:val="auto"/>
          <w:spacing w:val="-10"/>
          <w:sz w:val="32"/>
          <w:szCs w:val="32"/>
          <w:highlight w:val="none"/>
        </w:rPr>
      </w:pPr>
    </w:p>
    <w:p w14:paraId="34CF25B8">
      <w:pPr>
        <w:shd w:val="clear" w:color="auto" w:fill="FFFFFF"/>
        <w:tabs>
          <w:tab w:val="left" w:pos="840"/>
        </w:tabs>
        <w:spacing w:line="460" w:lineRule="exact"/>
        <w:rPr>
          <w:rFonts w:eastAsia="楷体"/>
          <w:b/>
          <w:color w:val="auto"/>
          <w:spacing w:val="-10"/>
          <w:sz w:val="32"/>
          <w:szCs w:val="32"/>
          <w:highlight w:val="none"/>
        </w:rPr>
      </w:pPr>
    </w:p>
    <w:p w14:paraId="059E6564">
      <w:pPr>
        <w:rPr>
          <w:rFonts w:eastAsia="楷体"/>
          <w:color w:val="auto"/>
          <w:sz w:val="32"/>
          <w:highlight w:val="none"/>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o?">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E4B5">
    <w:pPr>
      <w:pStyle w:val="13"/>
      <w:rPr>
        <w:rStyle w:val="21"/>
      </w:rPr>
    </w:pPr>
    <w:r>
      <w:rPr>
        <w:sz w:val="18"/>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3D039E5">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p w14:paraId="4180496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5199">
    <w:pPr>
      <w:pStyle w:val="13"/>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61E9E95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8DE59">
    <w:pPr>
      <w:pStyle w:val="13"/>
    </w:pPr>
    <w:r>
      <w:rPr>
        <w:sz w:val="18"/>
      </w:rPr>
      <w:pict>
        <v:shape id="_x0000_s4099" o:spid="_x0000_s4099"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EE3057F">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9A48">
    <w:pPr>
      <w:pStyle w:val="13"/>
    </w:pPr>
    <w:r>
      <w:rPr>
        <w:rFonts w:ascii="Times New Roman" w:hAnsi="Times New Roman" w:eastAsia="宋体" w:cs="Times New Roman"/>
        <w:kern w:val="2"/>
        <w:sz w:val="18"/>
        <w:szCs w:val="18"/>
        <w:lang w:val="en-US" w:eastAsia="zh-CN" w:bidi="ar-SA"/>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2473D63">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DE2E">
    <w:pPr>
      <w:pStyle w:val="13"/>
      <w:ind w:firstLine="360"/>
    </w:pPr>
    <w:r>
      <w:rPr>
        <w:sz w:val="18"/>
      </w:rPr>
      <w:pict>
        <v:shape id="文本框 2" o:spid="_x0000_s410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03287059">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5CC2">
    <w:pPr>
      <w:pStyle w:val="13"/>
      <w:ind w:right="360" w:firstLine="360"/>
      <w:rPr>
        <w:rStyle w:val="21"/>
        <w:rFonts w:hint="eastAsia"/>
      </w:rPr>
    </w:pPr>
    <w:r>
      <w:pict>
        <v:shape id="文本框 4" o:spid="_x0000_s410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FE43942">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w:r>
  </w:p>
  <w:p w14:paraId="171079D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5896">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52019"/>
    <w:multiLevelType w:val="singleLevel"/>
    <w:tmpl w:val="58C52019"/>
    <w:lvl w:ilvl="0" w:tentative="0">
      <w:start w:val="1"/>
      <w:numFmt w:val="decimal"/>
      <w:suff w:val="nothing"/>
      <w:lvlText w:val="%1、"/>
      <w:lvlJc w:val="left"/>
    </w:lvl>
  </w:abstractNum>
  <w:abstractNum w:abstractNumId="1">
    <w:nsid w:val="58C574CD"/>
    <w:multiLevelType w:val="singleLevel"/>
    <w:tmpl w:val="58C574CD"/>
    <w:lvl w:ilvl="0" w:tentative="0">
      <w:start w:val="1"/>
      <w:numFmt w:val="decimal"/>
      <w:suff w:val="nothing"/>
      <w:lvlText w:val="%1、"/>
      <w:lvlJc w:val="left"/>
    </w:lvl>
  </w:abstractNum>
  <w:abstractNum w:abstractNumId="2">
    <w:nsid w:val="58C57F7A"/>
    <w:multiLevelType w:val="singleLevel"/>
    <w:tmpl w:val="58C57F7A"/>
    <w:lvl w:ilvl="0" w:tentative="0">
      <w:start w:val="1"/>
      <w:numFmt w:val="decimal"/>
      <w:suff w:val="nothing"/>
      <w:lvlText w:val="%1）"/>
      <w:lvlJc w:val="left"/>
    </w:lvl>
  </w:abstractNum>
  <w:abstractNum w:abstractNumId="3">
    <w:nsid w:val="58C589AA"/>
    <w:multiLevelType w:val="singleLevel"/>
    <w:tmpl w:val="58C589AA"/>
    <w:lvl w:ilvl="0" w:tentative="0">
      <w:start w:val="3"/>
      <w:numFmt w:val="decimal"/>
      <w:suff w:val="nothing"/>
      <w:lvlText w:val="%1、"/>
      <w:lvlJc w:val="left"/>
    </w:lvl>
  </w:abstractNum>
  <w:abstractNum w:abstractNumId="4">
    <w:nsid w:val="58C58D27"/>
    <w:multiLevelType w:val="singleLevel"/>
    <w:tmpl w:val="58C58D27"/>
    <w:lvl w:ilvl="0" w:tentative="0">
      <w:start w:val="1"/>
      <w:numFmt w:val="decimal"/>
      <w:suff w:val="nothing"/>
      <w:lvlText w:val="%1）"/>
      <w:lvlJc w:val="left"/>
    </w:lvl>
  </w:abstractNum>
  <w:abstractNum w:abstractNumId="5">
    <w:nsid w:val="58C5BA32"/>
    <w:multiLevelType w:val="singleLevel"/>
    <w:tmpl w:val="58C5BA32"/>
    <w:lvl w:ilvl="0" w:tentative="0">
      <w:start w:val="1"/>
      <w:numFmt w:val="chineseCounting"/>
      <w:suff w:val="nothing"/>
      <w:lvlText w:val="（%1）"/>
      <w:lvlJc w:val="left"/>
    </w:lvl>
  </w:abstractNum>
  <w:abstractNum w:abstractNumId="6">
    <w:nsid w:val="58D6D257"/>
    <w:multiLevelType w:val="singleLevel"/>
    <w:tmpl w:val="58D6D257"/>
    <w:lvl w:ilvl="0" w:tentative="0">
      <w:start w:val="1"/>
      <w:numFmt w:val="decimal"/>
      <w:suff w:val="nothing"/>
      <w:lvlText w:val="（%1）"/>
      <w:lvlJc w:val="left"/>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M2OTkwNTVmOGRmMmYwN2QxZjkwNGY2MTZkOTFjMmUifQ=="/>
    <w:docVar w:name="KSO_WPS_MARK_KEY" w:val="81424cb3-18af-441e-9b74-7c2a9fb0193e"/>
  </w:docVars>
  <w:rsids>
    <w:rsidRoot w:val="00172A27"/>
    <w:rsid w:val="00054CA5"/>
    <w:rsid w:val="005B79A9"/>
    <w:rsid w:val="01821F5E"/>
    <w:rsid w:val="026C02CC"/>
    <w:rsid w:val="02E45458"/>
    <w:rsid w:val="03A72764"/>
    <w:rsid w:val="03DB07BC"/>
    <w:rsid w:val="06383B48"/>
    <w:rsid w:val="06C50818"/>
    <w:rsid w:val="07052446"/>
    <w:rsid w:val="07302A71"/>
    <w:rsid w:val="08B85E05"/>
    <w:rsid w:val="0D7B2A1C"/>
    <w:rsid w:val="0E8278B0"/>
    <w:rsid w:val="1008004D"/>
    <w:rsid w:val="101666E1"/>
    <w:rsid w:val="1036417E"/>
    <w:rsid w:val="11212C58"/>
    <w:rsid w:val="117D6CB2"/>
    <w:rsid w:val="12511E91"/>
    <w:rsid w:val="12F614EB"/>
    <w:rsid w:val="133760E6"/>
    <w:rsid w:val="15B87321"/>
    <w:rsid w:val="180C418E"/>
    <w:rsid w:val="19796235"/>
    <w:rsid w:val="1AC9063D"/>
    <w:rsid w:val="1B5F3F9F"/>
    <w:rsid w:val="1B6F1962"/>
    <w:rsid w:val="1BBF01BD"/>
    <w:rsid w:val="1D3A06FC"/>
    <w:rsid w:val="1EAD13FA"/>
    <w:rsid w:val="1F6011F1"/>
    <w:rsid w:val="20597EC3"/>
    <w:rsid w:val="210534CB"/>
    <w:rsid w:val="22FD29F3"/>
    <w:rsid w:val="24D620CF"/>
    <w:rsid w:val="25EC68BE"/>
    <w:rsid w:val="25F0544D"/>
    <w:rsid w:val="269C339C"/>
    <w:rsid w:val="282F1F95"/>
    <w:rsid w:val="285830EE"/>
    <w:rsid w:val="297F0D2E"/>
    <w:rsid w:val="2B2D746B"/>
    <w:rsid w:val="2BEB0820"/>
    <w:rsid w:val="2E41718E"/>
    <w:rsid w:val="2E786928"/>
    <w:rsid w:val="2F015D76"/>
    <w:rsid w:val="2F080BC5"/>
    <w:rsid w:val="31A55B49"/>
    <w:rsid w:val="31BD4090"/>
    <w:rsid w:val="31C0486E"/>
    <w:rsid w:val="33AE323D"/>
    <w:rsid w:val="39B561B8"/>
    <w:rsid w:val="39BA6046"/>
    <w:rsid w:val="3A2572BA"/>
    <w:rsid w:val="3B697D24"/>
    <w:rsid w:val="4069054A"/>
    <w:rsid w:val="414032D5"/>
    <w:rsid w:val="41B51A99"/>
    <w:rsid w:val="44280574"/>
    <w:rsid w:val="44314C7D"/>
    <w:rsid w:val="44C55015"/>
    <w:rsid w:val="45034D45"/>
    <w:rsid w:val="453E2E6B"/>
    <w:rsid w:val="45A32113"/>
    <w:rsid w:val="46134F5F"/>
    <w:rsid w:val="46265A5E"/>
    <w:rsid w:val="471274C2"/>
    <w:rsid w:val="47367808"/>
    <w:rsid w:val="482D68F5"/>
    <w:rsid w:val="48AE29A2"/>
    <w:rsid w:val="4ACD5C12"/>
    <w:rsid w:val="4CD1281C"/>
    <w:rsid w:val="4D2E1FCB"/>
    <w:rsid w:val="4D693AD9"/>
    <w:rsid w:val="4FB96DD5"/>
    <w:rsid w:val="50A21B50"/>
    <w:rsid w:val="51914303"/>
    <w:rsid w:val="52350508"/>
    <w:rsid w:val="52A5743C"/>
    <w:rsid w:val="52D1494F"/>
    <w:rsid w:val="584A09EB"/>
    <w:rsid w:val="5A0B7D56"/>
    <w:rsid w:val="5A18493E"/>
    <w:rsid w:val="5A7B0C8A"/>
    <w:rsid w:val="5AA80541"/>
    <w:rsid w:val="5C86454D"/>
    <w:rsid w:val="5DE22337"/>
    <w:rsid w:val="5E5F39CB"/>
    <w:rsid w:val="5E69382F"/>
    <w:rsid w:val="5F2D6B0F"/>
    <w:rsid w:val="5FC3759E"/>
    <w:rsid w:val="61907509"/>
    <w:rsid w:val="61C234D6"/>
    <w:rsid w:val="62012967"/>
    <w:rsid w:val="62BC2008"/>
    <w:rsid w:val="62BE58A9"/>
    <w:rsid w:val="63536A40"/>
    <w:rsid w:val="640C7F78"/>
    <w:rsid w:val="654B46A6"/>
    <w:rsid w:val="66CF1545"/>
    <w:rsid w:val="67C04473"/>
    <w:rsid w:val="68E00D76"/>
    <w:rsid w:val="68F01292"/>
    <w:rsid w:val="6AAB388B"/>
    <w:rsid w:val="6AB74FF1"/>
    <w:rsid w:val="6CB17FED"/>
    <w:rsid w:val="6CE74624"/>
    <w:rsid w:val="6D036792"/>
    <w:rsid w:val="6DE9247B"/>
    <w:rsid w:val="6FC90017"/>
    <w:rsid w:val="6FC92160"/>
    <w:rsid w:val="70985398"/>
    <w:rsid w:val="710B13B3"/>
    <w:rsid w:val="72343EE1"/>
    <w:rsid w:val="73AB3046"/>
    <w:rsid w:val="764010A6"/>
    <w:rsid w:val="78800DB7"/>
    <w:rsid w:val="78A376CA"/>
    <w:rsid w:val="79B24069"/>
    <w:rsid w:val="7A5E1E1B"/>
    <w:rsid w:val="7A813BE0"/>
    <w:rsid w:val="7ADC7033"/>
    <w:rsid w:val="7B8C602F"/>
    <w:rsid w:val="7BA86CF0"/>
    <w:rsid w:val="7DAC5273"/>
    <w:rsid w:val="7EEC01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0">
    <w:name w:val="Default Paragraph Font"/>
    <w:semiHidden/>
    <w:qFormat/>
    <w:uiPriority w:val="0"/>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Document Map"/>
    <w:basedOn w:val="1"/>
    <w:link w:val="47"/>
    <w:uiPriority w:val="0"/>
    <w:pPr>
      <w:shd w:val="clear" w:color="auto" w:fill="000080"/>
    </w:pPr>
  </w:style>
  <w:style w:type="paragraph" w:styleId="6">
    <w:name w:val="annotation text"/>
    <w:basedOn w:val="1"/>
    <w:link w:val="32"/>
    <w:qFormat/>
    <w:uiPriority w:val="0"/>
    <w:pPr>
      <w:jc w:val="left"/>
    </w:pPr>
  </w:style>
  <w:style w:type="paragraph" w:styleId="7">
    <w:name w:val="Body Text"/>
    <w:basedOn w:val="1"/>
    <w:link w:val="36"/>
    <w:uiPriority w:val="0"/>
    <w:pPr>
      <w:spacing w:after="120"/>
    </w:pPr>
  </w:style>
  <w:style w:type="paragraph" w:styleId="8">
    <w:name w:val="Body Text Indent"/>
    <w:basedOn w:val="1"/>
    <w:qFormat/>
    <w:uiPriority w:val="0"/>
    <w:pPr>
      <w:ind w:firstLine="640" w:firstLineChars="200"/>
    </w:pPr>
    <w:rPr>
      <w:rFonts w:ascii="仿宋_GB2312" w:eastAsia="仿宋_GB2312"/>
      <w:kern w:val="0"/>
      <w:sz w:val="32"/>
      <w:szCs w:val="18"/>
    </w:rPr>
  </w:style>
  <w:style w:type="paragraph" w:styleId="9">
    <w:name w:val="toc 3"/>
    <w:basedOn w:val="1"/>
    <w:next w:val="1"/>
    <w:qFormat/>
    <w:uiPriority w:val="0"/>
    <w:pPr>
      <w:ind w:left="840" w:leftChars="400"/>
    </w:pPr>
  </w:style>
  <w:style w:type="paragraph" w:styleId="10">
    <w:name w:val="Date"/>
    <w:basedOn w:val="1"/>
    <w:next w:val="1"/>
    <w:qFormat/>
    <w:uiPriority w:val="0"/>
    <w:pPr>
      <w:ind w:left="100" w:leftChars="2500"/>
    </w:pPr>
  </w:style>
  <w:style w:type="paragraph" w:styleId="11">
    <w:name w:val="Body Text Indent 2"/>
    <w:basedOn w:val="1"/>
    <w:link w:val="35"/>
    <w:qFormat/>
    <w:uiPriority w:val="0"/>
    <w:pPr>
      <w:tabs>
        <w:tab w:val="left" w:pos="0"/>
      </w:tabs>
      <w:ind w:firstLine="555"/>
    </w:pPr>
    <w:rPr>
      <w:rFonts w:hint="eastAsia" w:ascii="仿宋_GB2312" w:eastAsia="仿宋_GB2312"/>
      <w:sz w:val="3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296"/>
      </w:tabs>
    </w:pPr>
    <w:rPr>
      <w:rFonts w:ascii="仿宋_GB2312" w:eastAsia="仿宋_GB2312"/>
      <w:b/>
      <w:sz w:val="28"/>
      <w:szCs w:val="28"/>
    </w:rPr>
  </w:style>
  <w:style w:type="paragraph" w:styleId="16">
    <w:name w:val="toc 2"/>
    <w:basedOn w:val="1"/>
    <w:next w:val="1"/>
    <w:semiHidden/>
    <w:qFormat/>
    <w:uiPriority w:val="0"/>
    <w:pPr>
      <w:ind w:left="420" w:leftChars="200"/>
    </w:pPr>
  </w:style>
  <w:style w:type="paragraph" w:styleId="17">
    <w:name w:val="Normal (Web)"/>
    <w:basedOn w:val="1"/>
    <w:uiPriority w:val="0"/>
    <w:rPr>
      <w:sz w:val="24"/>
    </w:rPr>
  </w:style>
  <w:style w:type="paragraph" w:styleId="18">
    <w:name w:val="annotation subject"/>
    <w:basedOn w:val="6"/>
    <w:next w:val="6"/>
    <w:link w:val="43"/>
    <w:qFormat/>
    <w:uiPriority w:val="0"/>
    <w:rPr>
      <w:b/>
      <w:bCs/>
    </w:rPr>
  </w:style>
  <w:style w:type="character" w:styleId="21">
    <w:name w:val="page number"/>
    <w:basedOn w:val="20"/>
    <w:qFormat/>
    <w:uiPriority w:val="0"/>
  </w:style>
  <w:style w:type="character" w:styleId="22">
    <w:name w:val="Hyperlink"/>
    <w:uiPriority w:val="0"/>
    <w:rPr>
      <w:color w:val="0000FF"/>
      <w:u w:val="single"/>
    </w:rPr>
  </w:style>
  <w:style w:type="character" w:styleId="23">
    <w:name w:val="annotation reference"/>
    <w:qFormat/>
    <w:uiPriority w:val="0"/>
    <w:rPr>
      <w:sz w:val="21"/>
      <w:szCs w:val="21"/>
    </w:rPr>
  </w:style>
  <w:style w:type="paragraph" w:customStyle="1" w:styleId="24">
    <w:name w:val="表头文字"/>
    <w:basedOn w:val="1"/>
    <w:qFormat/>
    <w:uiPriority w:val="0"/>
    <w:rPr>
      <w:rFonts w:ascii="宋体" w:hAnsi="宋体"/>
      <w:b/>
    </w:rPr>
  </w:style>
  <w:style w:type="paragraph" w:customStyle="1" w:styleId="25">
    <w:name w:val="Char Char Char1 Char Char Char Char Char1 Char"/>
    <w:basedOn w:val="1"/>
    <w:qFormat/>
    <w:uiPriority w:val="0"/>
  </w:style>
  <w:style w:type="paragraph" w:customStyle="1" w:styleId="26">
    <w:name w:val="_Style 1"/>
    <w:basedOn w:val="1"/>
    <w:qFormat/>
    <w:uiPriority w:val="34"/>
    <w:pPr>
      <w:ind w:firstLine="420" w:firstLineChars="200"/>
    </w:pPr>
  </w:style>
  <w:style w:type="paragraph" w:customStyle="1" w:styleId="27">
    <w:name w:val="表格文字"/>
    <w:basedOn w:val="24"/>
    <w:qFormat/>
    <w:uiPriority w:val="0"/>
    <w:pPr>
      <w:spacing w:line="440" w:lineRule="exact"/>
      <w:jc w:val="center"/>
    </w:pPr>
    <w:rPr>
      <w:b w:val="0"/>
      <w:sz w:val="24"/>
    </w:rPr>
  </w:style>
  <w:style w:type="paragraph" w:customStyle="1" w:styleId="28">
    <w:name w:val="正文首行缩进2"/>
    <w:basedOn w:val="1"/>
    <w:link w:val="45"/>
    <w:qFormat/>
    <w:uiPriority w:val="0"/>
    <w:pPr>
      <w:spacing w:line="520" w:lineRule="exact"/>
      <w:ind w:firstLine="560" w:firstLineChars="200"/>
    </w:pPr>
    <w:rPr>
      <w:rFonts w:eastAsia="仿宋_GB2312"/>
      <w:kern w:val="0"/>
      <w:sz w:val="28"/>
      <w:szCs w:val="28"/>
    </w:rPr>
  </w:style>
  <w:style w:type="paragraph" w:customStyle="1" w:styleId="29">
    <w:name w:val="正文（郑）"/>
    <w:basedOn w:val="1"/>
    <w:link w:val="46"/>
    <w:qFormat/>
    <w:uiPriority w:val="0"/>
    <w:pPr>
      <w:spacing w:line="560" w:lineRule="exact"/>
      <w:ind w:firstLine="600"/>
    </w:pPr>
    <w:rPr>
      <w:rFonts w:cs="宋体"/>
      <w:sz w:val="30"/>
      <w:szCs w:val="20"/>
    </w:rPr>
  </w:style>
  <w:style w:type="paragraph" w:customStyle="1" w:styleId="30">
    <w:name w:val="表格"/>
    <w:basedOn w:val="1"/>
    <w:qFormat/>
    <w:uiPriority w:val="0"/>
    <w:pPr>
      <w:spacing w:line="560" w:lineRule="exact"/>
      <w:jc w:val="center"/>
    </w:pPr>
    <w:rPr>
      <w:rFonts w:eastAsia="方正大标宋简体"/>
      <w:sz w:val="30"/>
    </w:rPr>
  </w:style>
  <w:style w:type="paragraph" w:customStyle="1" w:styleId="31">
    <w:name w:val="表号码"/>
    <w:basedOn w:val="1"/>
    <w:qFormat/>
    <w:uiPriority w:val="0"/>
    <w:pPr>
      <w:spacing w:line="560" w:lineRule="exact"/>
      <w:jc w:val="left"/>
    </w:pPr>
    <w:rPr>
      <w:rFonts w:eastAsia="方正楷体简体"/>
      <w:sz w:val="24"/>
    </w:rPr>
  </w:style>
  <w:style w:type="character" w:customStyle="1" w:styleId="32">
    <w:name w:val="批注文字 Char Char"/>
    <w:link w:val="6"/>
    <w:qFormat/>
    <w:uiPriority w:val="0"/>
    <w:rPr>
      <w:kern w:val="2"/>
      <w:sz w:val="21"/>
      <w:szCs w:val="24"/>
    </w:rPr>
  </w:style>
  <w:style w:type="character" w:customStyle="1" w:styleId="33">
    <w:name w:val="font01"/>
    <w:basedOn w:val="20"/>
    <w:qFormat/>
    <w:uiPriority w:val="0"/>
    <w:rPr>
      <w:rFonts w:hint="eastAsia" w:ascii="宋体" w:hAnsi="宋体" w:eastAsia="宋体" w:cs="宋体"/>
      <w:color w:val="000000"/>
      <w:sz w:val="24"/>
      <w:szCs w:val="24"/>
      <w:u w:val="none"/>
    </w:rPr>
  </w:style>
  <w:style w:type="character" w:customStyle="1" w:styleId="34">
    <w:name w:val="font71"/>
    <w:basedOn w:val="20"/>
    <w:qFormat/>
    <w:uiPriority w:val="0"/>
    <w:rPr>
      <w:rFonts w:hint="default" w:ascii="Times New Roman" w:hAnsi="Times New Roman" w:cs="Times New Roman"/>
      <w:color w:val="auto"/>
      <w:sz w:val="24"/>
      <w:szCs w:val="24"/>
      <w:u w:val="none"/>
    </w:rPr>
  </w:style>
  <w:style w:type="character" w:customStyle="1" w:styleId="35">
    <w:name w:val="正文文本缩进 2 Char Char"/>
    <w:link w:val="11"/>
    <w:qFormat/>
    <w:uiPriority w:val="0"/>
    <w:rPr>
      <w:rFonts w:hint="eastAsia" w:ascii="仿宋_GB2312" w:eastAsia="仿宋_GB2312" w:cs="仿宋_GB2312"/>
      <w:kern w:val="2"/>
      <w:sz w:val="30"/>
      <w:szCs w:val="24"/>
    </w:rPr>
  </w:style>
  <w:style w:type="character" w:customStyle="1" w:styleId="36">
    <w:name w:val="正文文本 Char Char"/>
    <w:link w:val="7"/>
    <w:qFormat/>
    <w:uiPriority w:val="0"/>
    <w:rPr>
      <w:kern w:val="2"/>
      <w:sz w:val="21"/>
      <w:szCs w:val="24"/>
    </w:rPr>
  </w:style>
  <w:style w:type="character" w:customStyle="1" w:styleId="37">
    <w:name w:val="font21"/>
    <w:basedOn w:val="20"/>
    <w:qFormat/>
    <w:uiPriority w:val="0"/>
    <w:rPr>
      <w:rFonts w:hint="eastAsia" w:ascii="宋体" w:hAnsi="宋体" w:eastAsia="宋体" w:cs="宋体"/>
      <w:color w:val="000000"/>
      <w:sz w:val="24"/>
      <w:szCs w:val="24"/>
      <w:u w:val="none"/>
      <w:vertAlign w:val="superscript"/>
    </w:rPr>
  </w:style>
  <w:style w:type="character" w:customStyle="1" w:styleId="38">
    <w:name w:val="font11"/>
    <w:basedOn w:val="20"/>
    <w:qFormat/>
    <w:uiPriority w:val="0"/>
    <w:rPr>
      <w:rFonts w:hint="default" w:ascii="Times New Roman" w:hAnsi="Times New Roman" w:cs="Times New Roman"/>
      <w:color w:val="000000"/>
      <w:sz w:val="22"/>
      <w:szCs w:val="22"/>
      <w:u w:val="none"/>
      <w:vertAlign w:val="superscript"/>
    </w:rPr>
  </w:style>
  <w:style w:type="character" w:customStyle="1" w:styleId="39">
    <w:name w:val="font31"/>
    <w:basedOn w:val="20"/>
    <w:qFormat/>
    <w:uiPriority w:val="0"/>
    <w:rPr>
      <w:rFonts w:hint="default" w:ascii="Times New Roman" w:hAnsi="Times New Roman" w:cs="Times New Roman"/>
      <w:color w:val="000000"/>
      <w:sz w:val="22"/>
      <w:szCs w:val="22"/>
      <w:u w:val="none"/>
    </w:rPr>
  </w:style>
  <w:style w:type="character" w:customStyle="1" w:styleId="40">
    <w:name w:val="font41"/>
    <w:basedOn w:val="20"/>
    <w:qFormat/>
    <w:uiPriority w:val="0"/>
    <w:rPr>
      <w:rFonts w:hint="default" w:ascii="仿宋_GB2312" w:eastAsia="仿宋_GB2312" w:cs="仿宋_GB2312"/>
      <w:color w:val="000000"/>
      <w:sz w:val="21"/>
      <w:szCs w:val="21"/>
      <w:u w:val="none"/>
      <w:vertAlign w:val="subscript"/>
    </w:rPr>
  </w:style>
  <w:style w:type="character" w:customStyle="1" w:styleId="41">
    <w:name w:val="font81"/>
    <w:basedOn w:val="20"/>
    <w:qFormat/>
    <w:uiPriority w:val="0"/>
    <w:rPr>
      <w:rFonts w:hint="eastAsia" w:ascii="宋体" w:hAnsi="宋体" w:eastAsia="宋体" w:cs="宋体"/>
      <w:b/>
      <w:color w:val="auto"/>
      <w:sz w:val="24"/>
      <w:szCs w:val="24"/>
      <w:u w:val="none"/>
    </w:rPr>
  </w:style>
  <w:style w:type="character" w:customStyle="1" w:styleId="42">
    <w:name w:val="font51"/>
    <w:basedOn w:val="20"/>
    <w:qFormat/>
    <w:uiPriority w:val="0"/>
    <w:rPr>
      <w:rFonts w:hint="default" w:ascii="Times New Roman" w:hAnsi="Times New Roman" w:cs="Times New Roman"/>
      <w:b/>
      <w:color w:val="000000"/>
      <w:sz w:val="24"/>
      <w:szCs w:val="24"/>
      <w:u w:val="none"/>
    </w:rPr>
  </w:style>
  <w:style w:type="character" w:customStyle="1" w:styleId="43">
    <w:name w:val="批注主题 Char Char"/>
    <w:link w:val="18"/>
    <w:qFormat/>
    <w:uiPriority w:val="0"/>
    <w:rPr>
      <w:b/>
      <w:bCs/>
      <w:kern w:val="2"/>
      <w:sz w:val="21"/>
      <w:szCs w:val="24"/>
    </w:rPr>
  </w:style>
  <w:style w:type="character" w:customStyle="1" w:styleId="44">
    <w:name w:val="font61"/>
    <w:basedOn w:val="20"/>
    <w:qFormat/>
    <w:uiPriority w:val="0"/>
    <w:rPr>
      <w:rFonts w:hint="default" w:ascii="Times New Roman" w:hAnsi="Times New Roman" w:cs="Times New Roman"/>
      <w:color w:val="auto"/>
      <w:sz w:val="24"/>
      <w:szCs w:val="24"/>
      <w:u w:val="none"/>
    </w:rPr>
  </w:style>
  <w:style w:type="character" w:customStyle="1" w:styleId="45">
    <w:name w:val="正文首行缩进2 Char Char"/>
    <w:link w:val="28"/>
    <w:qFormat/>
    <w:uiPriority w:val="0"/>
    <w:rPr>
      <w:rFonts w:eastAsia="仿宋_GB2312"/>
      <w:sz w:val="28"/>
      <w:szCs w:val="28"/>
      <w:lang w:val="en-US" w:eastAsia="zh-CN" w:bidi="ar-SA"/>
    </w:rPr>
  </w:style>
  <w:style w:type="character" w:customStyle="1" w:styleId="46">
    <w:name w:val="正文（郑） Char Char"/>
    <w:basedOn w:val="20"/>
    <w:link w:val="29"/>
    <w:qFormat/>
    <w:uiPriority w:val="0"/>
    <w:rPr>
      <w:rFonts w:cs="宋体"/>
      <w:sz w:val="30"/>
      <w:szCs w:val="20"/>
    </w:rPr>
  </w:style>
  <w:style w:type="character" w:customStyle="1" w:styleId="47">
    <w:name w:val="文档结构图 Char Char Char"/>
    <w:basedOn w:val="20"/>
    <w:link w:val="5"/>
    <w:uiPriority w:val="0"/>
    <w:rPr>
      <w:rFonts w:ascii="Times New Roman" w:hAnsi="Times New Roman" w:eastAsia="宋体" w:cs="Times New Roman"/>
    </w:rPr>
  </w:style>
  <w:style w:type="character" w:customStyle="1" w:styleId="48">
    <w:name w:val="style8"/>
    <w:basedOn w:val="20"/>
    <w:uiPriority w:val="0"/>
    <w:rPr>
      <w:rFonts w:ascii="Times New Roman" w:hAnsi="Times New Roman" w:eastAsia="宋体" w:cs="Times New Roman"/>
    </w:rPr>
  </w:style>
  <w:style w:type="character" w:customStyle="1" w:styleId="49">
    <w:name w:val="fred1"/>
    <w:uiPriority w:val="0"/>
    <w:rPr>
      <w:rFonts w:hint="default" w:ascii="o?" w:hAnsi="o?" w:eastAsia="宋体" w:cs="Times New Roman"/>
      <w:color w:val="CC0000"/>
      <w:sz w:val="24"/>
      <w:szCs w:val="24"/>
    </w:rPr>
  </w:style>
  <w:style w:type="character" w:customStyle="1" w:styleId="50">
    <w:name w:val="fonta951"/>
    <w:uiPriority w:val="0"/>
    <w:rPr>
      <w:rFonts w:ascii="Times New Roman" w:hAnsi="Times New Roman" w:eastAsia="宋体" w:cs="Times New Roman"/>
      <w:color w:val="000000"/>
      <w:sz w:val="20"/>
      <w:szCs w:val="20"/>
    </w:rPr>
  </w:style>
  <w:style w:type="paragraph" w:customStyle="1" w:styleId="51">
    <w:name w:val=" Char1"/>
    <w:basedOn w:val="1"/>
    <w:qFormat/>
    <w:uiPriority w:val="0"/>
    <w:pPr>
      <w:numPr>
        <w:ilvl w:val="0"/>
        <w:numId w:val="0"/>
      </w:numPr>
      <w:overflowPunct w:val="0"/>
      <w:spacing w:line="360" w:lineRule="auto"/>
    </w:pPr>
    <w:rPr>
      <w:rFonts w:eastAsia="仿宋_GB2312"/>
      <w:sz w:val="24"/>
    </w:rPr>
  </w:style>
  <w:style w:type="paragraph" w:customStyle="1" w:styleId="52">
    <w:name w:val=" Char"/>
    <w:basedOn w:val="1"/>
    <w:semiHidden/>
    <w:uiPriority w:val="0"/>
    <w:pPr>
      <w:ind w:firstLine="560" w:firstLineChars="200"/>
    </w:pPr>
    <w:rPr>
      <w:rFonts w:eastAsia="仿宋_GB2312"/>
      <w:color w:val="000000"/>
      <w:sz w:val="28"/>
      <w:szCs w:val="28"/>
    </w:rPr>
  </w:style>
  <w:style w:type="paragraph" w:customStyle="1" w:styleId="53">
    <w:name w:val="样式 样式 首行缩进:  1.92 字符 + 首行缩进:  2 字符"/>
    <w:basedOn w:val="1"/>
    <w:uiPriority w:val="0"/>
    <w:pPr>
      <w:adjustRightInd w:val="0"/>
      <w:snapToGrid w:val="0"/>
      <w:spacing w:line="300" w:lineRule="auto"/>
      <w:ind w:firstLine="560" w:firstLineChars="200"/>
    </w:pPr>
    <w:rPr>
      <w:rFonts w:eastAsia="仿宋_GB2312" w:cs="宋体"/>
      <w:kern w:val="0"/>
      <w:sz w:val="24"/>
      <w:szCs w:val="20"/>
    </w:rPr>
  </w:style>
  <w:style w:type="paragraph" w:customStyle="1" w:styleId="54">
    <w:name w:val="6 Char"/>
    <w:basedOn w:val="1"/>
    <w:uiPriority w:val="0"/>
    <w:pPr>
      <w:widowControl/>
      <w:spacing w:before="312" w:beforeLines="100" w:after="160" w:afterLines="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7" Type="http://schemas.openxmlformats.org/officeDocument/2006/relationships/fontTable" Target="fontTable.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image" Target="media/image32.png"/><Relationship Id="rId83" Type="http://schemas.openxmlformats.org/officeDocument/2006/relationships/image" Target="media/image31.png"/><Relationship Id="rId82" Type="http://schemas.openxmlformats.org/officeDocument/2006/relationships/image" Target="media/image30.wmf"/><Relationship Id="rId81" Type="http://schemas.openxmlformats.org/officeDocument/2006/relationships/oleObject" Target="embeddings/oleObject42.bin"/><Relationship Id="rId80" Type="http://schemas.openxmlformats.org/officeDocument/2006/relationships/image" Target="media/image29.wmf"/><Relationship Id="rId8" Type="http://schemas.openxmlformats.org/officeDocument/2006/relationships/footer" Target="footer5.xml"/><Relationship Id="rId79" Type="http://schemas.openxmlformats.org/officeDocument/2006/relationships/oleObject" Target="embeddings/oleObject41.bin"/><Relationship Id="rId78" Type="http://schemas.openxmlformats.org/officeDocument/2006/relationships/image" Target="media/image28.wmf"/><Relationship Id="rId77" Type="http://schemas.openxmlformats.org/officeDocument/2006/relationships/oleObject" Target="embeddings/oleObject40.bin"/><Relationship Id="rId76" Type="http://schemas.openxmlformats.org/officeDocument/2006/relationships/image" Target="media/image27.wmf"/><Relationship Id="rId75" Type="http://schemas.openxmlformats.org/officeDocument/2006/relationships/oleObject" Target="embeddings/oleObject39.bin"/><Relationship Id="rId74" Type="http://schemas.openxmlformats.org/officeDocument/2006/relationships/image" Target="media/image26.wmf"/><Relationship Id="rId73" Type="http://schemas.openxmlformats.org/officeDocument/2006/relationships/oleObject" Target="embeddings/oleObject38.bin"/><Relationship Id="rId72" Type="http://schemas.openxmlformats.org/officeDocument/2006/relationships/image" Target="media/image25.wmf"/><Relationship Id="rId71" Type="http://schemas.openxmlformats.org/officeDocument/2006/relationships/oleObject" Target="embeddings/oleObject37.bin"/><Relationship Id="rId70" Type="http://schemas.openxmlformats.org/officeDocument/2006/relationships/image" Target="media/image24.wmf"/><Relationship Id="rId7" Type="http://schemas.openxmlformats.org/officeDocument/2006/relationships/header" Target="header1.xml"/><Relationship Id="rId69" Type="http://schemas.openxmlformats.org/officeDocument/2006/relationships/oleObject" Target="embeddings/oleObject36.bin"/><Relationship Id="rId68" Type="http://schemas.openxmlformats.org/officeDocument/2006/relationships/image" Target="media/image23.wmf"/><Relationship Id="rId67" Type="http://schemas.openxmlformats.org/officeDocument/2006/relationships/oleObject" Target="embeddings/oleObject35.bin"/><Relationship Id="rId66" Type="http://schemas.openxmlformats.org/officeDocument/2006/relationships/image" Target="media/image22.wmf"/><Relationship Id="rId65" Type="http://schemas.openxmlformats.org/officeDocument/2006/relationships/oleObject" Target="embeddings/oleObject34.bin"/><Relationship Id="rId64" Type="http://schemas.openxmlformats.org/officeDocument/2006/relationships/oleObject" Target="embeddings/oleObject33.bin"/><Relationship Id="rId63" Type="http://schemas.openxmlformats.org/officeDocument/2006/relationships/oleObject" Target="embeddings/oleObject32.bin"/><Relationship Id="rId62" Type="http://schemas.openxmlformats.org/officeDocument/2006/relationships/oleObject" Target="embeddings/oleObject31.bin"/><Relationship Id="rId61" Type="http://schemas.openxmlformats.org/officeDocument/2006/relationships/oleObject" Target="embeddings/oleObject30.bin"/><Relationship Id="rId60" Type="http://schemas.openxmlformats.org/officeDocument/2006/relationships/oleObject" Target="embeddings/oleObject29.bin"/><Relationship Id="rId6" Type="http://schemas.openxmlformats.org/officeDocument/2006/relationships/footer" Target="footer4.xml"/><Relationship Id="rId59" Type="http://schemas.openxmlformats.org/officeDocument/2006/relationships/oleObject" Target="embeddings/oleObject28.bin"/><Relationship Id="rId58" Type="http://schemas.openxmlformats.org/officeDocument/2006/relationships/oleObject" Target="embeddings/oleObject27.bin"/><Relationship Id="rId57" Type="http://schemas.openxmlformats.org/officeDocument/2006/relationships/oleObject" Target="embeddings/oleObject26.bin"/><Relationship Id="rId56" Type="http://schemas.openxmlformats.org/officeDocument/2006/relationships/oleObject" Target="embeddings/oleObject25.bin"/><Relationship Id="rId55" Type="http://schemas.openxmlformats.org/officeDocument/2006/relationships/oleObject" Target="embeddings/oleObject24.bin"/><Relationship Id="rId54" Type="http://schemas.openxmlformats.org/officeDocument/2006/relationships/oleObject" Target="embeddings/oleObject23.bin"/><Relationship Id="rId53" Type="http://schemas.openxmlformats.org/officeDocument/2006/relationships/oleObject" Target="embeddings/oleObject22.bin"/><Relationship Id="rId52" Type="http://schemas.openxmlformats.org/officeDocument/2006/relationships/image" Target="media/image21.wmf"/><Relationship Id="rId51" Type="http://schemas.openxmlformats.org/officeDocument/2006/relationships/oleObject" Target="embeddings/oleObject21.bin"/><Relationship Id="rId50" Type="http://schemas.openxmlformats.org/officeDocument/2006/relationships/image" Target="media/image20.wmf"/><Relationship Id="rId5" Type="http://schemas.openxmlformats.org/officeDocument/2006/relationships/footer" Target="footer3.xml"/><Relationship Id="rId49" Type="http://schemas.openxmlformats.org/officeDocument/2006/relationships/oleObject" Target="embeddings/oleObject20.bin"/><Relationship Id="rId48" Type="http://schemas.openxmlformats.org/officeDocument/2006/relationships/image" Target="media/image19.wmf"/><Relationship Id="rId47" Type="http://schemas.openxmlformats.org/officeDocument/2006/relationships/oleObject" Target="embeddings/oleObject19.bin"/><Relationship Id="rId46" Type="http://schemas.openxmlformats.org/officeDocument/2006/relationships/image" Target="media/image18.wmf"/><Relationship Id="rId45" Type="http://schemas.openxmlformats.org/officeDocument/2006/relationships/oleObject" Target="embeddings/oleObject18.bin"/><Relationship Id="rId44" Type="http://schemas.openxmlformats.org/officeDocument/2006/relationships/image" Target="media/image17.wmf"/><Relationship Id="rId43" Type="http://schemas.openxmlformats.org/officeDocument/2006/relationships/oleObject" Target="embeddings/oleObject17.bin"/><Relationship Id="rId42" Type="http://schemas.openxmlformats.org/officeDocument/2006/relationships/image" Target="media/image16.wmf"/><Relationship Id="rId41" Type="http://schemas.openxmlformats.org/officeDocument/2006/relationships/oleObject" Target="embeddings/oleObject16.bin"/><Relationship Id="rId40" Type="http://schemas.openxmlformats.org/officeDocument/2006/relationships/image" Target="media/image15.wmf"/><Relationship Id="rId4" Type="http://schemas.openxmlformats.org/officeDocument/2006/relationships/footer" Target="footer2.xml"/><Relationship Id="rId39" Type="http://schemas.openxmlformats.org/officeDocument/2006/relationships/oleObject" Target="embeddings/oleObject15.bin"/><Relationship Id="rId38" Type="http://schemas.openxmlformats.org/officeDocument/2006/relationships/image" Target="media/image14.wmf"/><Relationship Id="rId37" Type="http://schemas.openxmlformats.org/officeDocument/2006/relationships/oleObject" Target="embeddings/oleObject14.bin"/><Relationship Id="rId36" Type="http://schemas.openxmlformats.org/officeDocument/2006/relationships/image" Target="media/image13.wmf"/><Relationship Id="rId35" Type="http://schemas.openxmlformats.org/officeDocument/2006/relationships/oleObject" Target="embeddings/oleObject13.bin"/><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textRotate="1"/>
    <customShpInfo spid="_x0000_s4099" textRotate="1"/>
    <customShpInfo spid="_x0000_s4097"/>
    <customShpInfo spid="_x0000_s4100" textRotate="1"/>
    <customShpInfo spid="_x0000_s4101"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9089</Words>
  <Characters>10801</Characters>
  <Lines>87</Lines>
  <Paragraphs>24</Paragraphs>
  <TotalTime>403</TotalTime>
  <ScaleCrop>false</ScaleCrop>
  <LinksUpToDate>false</LinksUpToDate>
  <CharactersWithSpaces>11094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2017-02-09T03:34:00Z</dcterms:created>
  <dc:creator>LENOVO</dc:creator>
  <cp:lastModifiedBy>ω偽谁婷镏</cp:lastModifiedBy>
  <cp:lastPrinted>2016-04-14T14:18:00Z</cp:lastPrinted>
  <dcterms:modified xsi:type="dcterms:W3CDTF">2026-04-22T07:29:40Z</dcterms:modified>
  <dc:title>福州市闽侯县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373229AFDE2E40ECABF026EF9FB49DBC_13</vt:lpwstr>
  </property>
  <property fmtid="{D5CDD505-2E9C-101B-9397-08002B2CF9AE}" pid="5" name="KSOTemplateDocerSaveRecord">
    <vt:lpwstr>eyJoZGlkIjoiY2QwNmY0NDU1M2MwM2Y4M2JmOTFjYzQzZjIzMGQ0NmIiLCJ1c2VySWQiOiIyNDE4OTgzMTYifQ==</vt:lpwstr>
  </property>
</Properties>
</file>