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28F4">
      <w:pPr>
        <w:autoSpaceDE w:val="0"/>
        <w:autoSpaceDN w:val="0"/>
        <w:adjustRightInd w:val="0"/>
        <w:jc w:val="left"/>
        <w:rPr>
          <w:rFonts w:hint="eastAsia" w:eastAsia="楷体"/>
          <w:b/>
          <w:bCs/>
          <w:color w:val="auto"/>
          <w:sz w:val="48"/>
          <w:szCs w:val="52"/>
          <w:highlight w:val="none"/>
          <w:lang w:val="zh-CN" w:eastAsia="zh-CN"/>
        </w:rPr>
      </w:pPr>
      <w:r>
        <w:rPr>
          <w:rFonts w:hint="eastAsia" w:ascii="黑体" w:hAnsi="黑体" w:eastAsia="黑体" w:cs="黑体"/>
          <w:b w:val="0"/>
          <w:bCs w:val="0"/>
          <w:color w:val="auto"/>
          <w:sz w:val="32"/>
          <w:szCs w:val="32"/>
          <w:highlight w:val="none"/>
          <w:lang w:val="zh-CN" w:eastAsia="zh-CN"/>
        </w:rPr>
        <w:t>附件</w:t>
      </w:r>
      <w:r>
        <w:rPr>
          <w:rFonts w:hint="eastAsia" w:ascii="黑体" w:hAnsi="黑体" w:eastAsia="黑体" w:cs="黑体"/>
          <w:b w:val="0"/>
          <w:bCs w:val="0"/>
          <w:color w:val="auto"/>
          <w:sz w:val="32"/>
          <w:szCs w:val="32"/>
          <w:highlight w:val="none"/>
          <w:lang w:val="en-US" w:eastAsia="zh-CN"/>
        </w:rPr>
        <w:t>2</w:t>
      </w:r>
    </w:p>
    <w:p w14:paraId="19D0451B">
      <w:pPr>
        <w:autoSpaceDE w:val="0"/>
        <w:autoSpaceDN w:val="0"/>
        <w:adjustRightInd w:val="0"/>
        <w:jc w:val="center"/>
        <w:rPr>
          <w:rFonts w:eastAsia="楷体"/>
          <w:b/>
          <w:bCs/>
          <w:color w:val="auto"/>
          <w:sz w:val="48"/>
          <w:szCs w:val="52"/>
          <w:highlight w:val="none"/>
          <w:lang w:val="zh-CN"/>
        </w:rPr>
      </w:pPr>
    </w:p>
    <w:p w14:paraId="268E060C">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eastAsia="zh-CN"/>
        </w:rPr>
        <w:t>前黄镇</w:t>
      </w:r>
      <w:r>
        <w:rPr>
          <w:rFonts w:eastAsia="楷体"/>
          <w:b/>
          <w:color w:val="auto"/>
          <w:kern w:val="0"/>
          <w:sz w:val="52"/>
          <w:szCs w:val="52"/>
          <w:highlight w:val="none"/>
        </w:rPr>
        <w:t>前烧水库</w:t>
      </w:r>
    </w:p>
    <w:p w14:paraId="4A2774A0">
      <w:pPr>
        <w:jc w:val="center"/>
        <w:rPr>
          <w:rFonts w:eastAsia="楷体"/>
          <w:b/>
          <w:color w:val="auto"/>
          <w:sz w:val="52"/>
          <w:szCs w:val="52"/>
          <w:highlight w:val="none"/>
        </w:rPr>
      </w:pPr>
      <w:r>
        <w:rPr>
          <w:rFonts w:eastAsia="楷体"/>
          <w:b/>
          <w:color w:val="auto"/>
          <w:sz w:val="52"/>
          <w:szCs w:val="52"/>
          <w:highlight w:val="none"/>
        </w:rPr>
        <w:t>20</w:t>
      </w:r>
      <w:r>
        <w:rPr>
          <w:rFonts w:hint="eastAsia" w:eastAsia="楷体"/>
          <w:b/>
          <w:color w:val="auto"/>
          <w:sz w:val="52"/>
          <w:szCs w:val="52"/>
          <w:highlight w:val="none"/>
          <w:lang w:val="en-US" w:eastAsia="zh-CN"/>
        </w:rPr>
        <w:t>26</w:t>
      </w:r>
      <w:r>
        <w:rPr>
          <w:rFonts w:eastAsia="楷体"/>
          <w:b/>
          <w:color w:val="auto"/>
          <w:sz w:val="52"/>
          <w:szCs w:val="52"/>
          <w:highlight w:val="none"/>
        </w:rPr>
        <w:t>年汛期防洪调度运用计划</w:t>
      </w:r>
    </w:p>
    <w:p w14:paraId="0513F309">
      <w:pPr>
        <w:spacing w:line="360" w:lineRule="auto"/>
        <w:jc w:val="center"/>
        <w:rPr>
          <w:rFonts w:eastAsia="楷体"/>
          <w:b/>
          <w:color w:val="auto"/>
          <w:kern w:val="0"/>
          <w:sz w:val="44"/>
          <w:szCs w:val="44"/>
          <w:highlight w:val="none"/>
        </w:rPr>
      </w:pPr>
    </w:p>
    <w:p w14:paraId="15A56846">
      <w:pPr>
        <w:spacing w:line="360" w:lineRule="auto"/>
        <w:jc w:val="center"/>
        <w:rPr>
          <w:rFonts w:eastAsia="楷体"/>
          <w:b/>
          <w:color w:val="auto"/>
          <w:kern w:val="0"/>
          <w:sz w:val="52"/>
          <w:szCs w:val="52"/>
          <w:highlight w:val="none"/>
        </w:rPr>
      </w:pPr>
    </w:p>
    <w:p w14:paraId="5F66D72E">
      <w:pPr>
        <w:spacing w:line="360" w:lineRule="auto"/>
        <w:jc w:val="center"/>
        <w:rPr>
          <w:rFonts w:eastAsia="楷体"/>
          <w:b/>
          <w:color w:val="auto"/>
          <w:kern w:val="0"/>
          <w:sz w:val="52"/>
          <w:szCs w:val="52"/>
          <w:highlight w:val="none"/>
        </w:rPr>
      </w:pPr>
    </w:p>
    <w:p w14:paraId="58055BB3">
      <w:pPr>
        <w:spacing w:line="360" w:lineRule="auto"/>
        <w:jc w:val="center"/>
        <w:rPr>
          <w:rFonts w:eastAsia="楷体"/>
          <w:b/>
          <w:color w:val="auto"/>
          <w:kern w:val="0"/>
          <w:sz w:val="52"/>
          <w:szCs w:val="52"/>
          <w:highlight w:val="none"/>
        </w:rPr>
      </w:pPr>
    </w:p>
    <w:p w14:paraId="72E7303E">
      <w:pPr>
        <w:spacing w:line="360" w:lineRule="auto"/>
        <w:jc w:val="center"/>
        <w:rPr>
          <w:rFonts w:eastAsia="楷体"/>
          <w:b/>
          <w:color w:val="auto"/>
          <w:kern w:val="0"/>
          <w:sz w:val="52"/>
          <w:szCs w:val="52"/>
          <w:highlight w:val="none"/>
        </w:rPr>
      </w:pPr>
    </w:p>
    <w:p w14:paraId="45160EDA">
      <w:pPr>
        <w:spacing w:line="360" w:lineRule="auto"/>
        <w:jc w:val="center"/>
        <w:rPr>
          <w:rFonts w:eastAsia="楷体"/>
          <w:b/>
          <w:color w:val="auto"/>
          <w:kern w:val="0"/>
          <w:sz w:val="52"/>
          <w:szCs w:val="52"/>
          <w:highlight w:val="none"/>
        </w:rPr>
      </w:pPr>
    </w:p>
    <w:p w14:paraId="741580DB">
      <w:pPr>
        <w:spacing w:line="360" w:lineRule="auto"/>
        <w:jc w:val="center"/>
        <w:rPr>
          <w:rFonts w:eastAsia="楷体"/>
          <w:b/>
          <w:color w:val="auto"/>
          <w:kern w:val="0"/>
          <w:sz w:val="52"/>
          <w:szCs w:val="52"/>
          <w:highlight w:val="none"/>
        </w:rPr>
      </w:pPr>
    </w:p>
    <w:p w14:paraId="107DBAD0">
      <w:pPr>
        <w:spacing w:line="360" w:lineRule="auto"/>
        <w:jc w:val="center"/>
        <w:rPr>
          <w:rFonts w:eastAsia="楷体"/>
          <w:b/>
          <w:color w:val="auto"/>
          <w:kern w:val="0"/>
          <w:sz w:val="52"/>
          <w:szCs w:val="52"/>
          <w:highlight w:val="none"/>
        </w:rPr>
      </w:pPr>
    </w:p>
    <w:p w14:paraId="5F393AFB">
      <w:pPr>
        <w:spacing w:line="360" w:lineRule="auto"/>
        <w:jc w:val="center"/>
        <w:rPr>
          <w:rFonts w:eastAsia="楷体"/>
          <w:b/>
          <w:color w:val="auto"/>
          <w:kern w:val="0"/>
          <w:sz w:val="52"/>
          <w:szCs w:val="52"/>
          <w:highlight w:val="none"/>
        </w:rPr>
      </w:pPr>
    </w:p>
    <w:p w14:paraId="665BF4A3">
      <w:pPr>
        <w:spacing w:line="360" w:lineRule="auto"/>
        <w:jc w:val="center"/>
        <w:rPr>
          <w:rFonts w:eastAsia="楷体"/>
          <w:b/>
          <w:color w:val="auto"/>
          <w:kern w:val="0"/>
          <w:sz w:val="52"/>
          <w:szCs w:val="52"/>
          <w:highlight w:val="none"/>
        </w:rPr>
      </w:pPr>
    </w:p>
    <w:p w14:paraId="0B16590C">
      <w:pPr>
        <w:spacing w:line="360" w:lineRule="auto"/>
        <w:jc w:val="center"/>
        <w:rPr>
          <w:rFonts w:eastAsia="楷体"/>
          <w:b/>
          <w:color w:val="auto"/>
          <w:kern w:val="0"/>
          <w:sz w:val="52"/>
          <w:szCs w:val="52"/>
          <w:highlight w:val="none"/>
        </w:rPr>
      </w:pPr>
    </w:p>
    <w:p w14:paraId="50DEE077">
      <w:pPr>
        <w:spacing w:line="360" w:lineRule="auto"/>
        <w:jc w:val="center"/>
        <w:rPr>
          <w:rFonts w:eastAsia="楷体"/>
          <w:b/>
          <w:color w:val="auto"/>
          <w:kern w:val="0"/>
          <w:sz w:val="52"/>
          <w:szCs w:val="52"/>
          <w:highlight w:val="none"/>
        </w:rPr>
      </w:pPr>
    </w:p>
    <w:p w14:paraId="510AC48B">
      <w:pPr>
        <w:spacing w:line="360" w:lineRule="auto"/>
        <w:jc w:val="center"/>
        <w:rPr>
          <w:rFonts w:eastAsia="楷体"/>
          <w:b/>
          <w:color w:val="auto"/>
          <w:kern w:val="0"/>
          <w:sz w:val="52"/>
          <w:szCs w:val="52"/>
          <w:highlight w:val="none"/>
        </w:rPr>
      </w:pPr>
    </w:p>
    <w:p w14:paraId="05B21F07">
      <w:pPr>
        <w:jc w:val="center"/>
        <w:rPr>
          <w:rFonts w:eastAsia="楷体"/>
          <w:color w:val="auto"/>
          <w:sz w:val="48"/>
          <w:szCs w:val="48"/>
          <w:highlight w:val="none"/>
        </w:rPr>
      </w:pPr>
    </w:p>
    <w:p w14:paraId="129E6A36">
      <w:pPr>
        <w:spacing w:line="360" w:lineRule="auto"/>
        <w:jc w:val="center"/>
        <w:rPr>
          <w:rFonts w:hint="eastAsia" w:eastAsia="楷体"/>
          <w:b/>
          <w:color w:val="auto"/>
          <w:sz w:val="36"/>
          <w:szCs w:val="36"/>
          <w:highlight w:val="none"/>
          <w:lang w:eastAsia="zh-CN"/>
        </w:rPr>
      </w:pPr>
      <w:r>
        <w:rPr>
          <w:rFonts w:hint="eastAsia" w:eastAsia="楷体"/>
          <w:b/>
          <w:color w:val="auto"/>
          <w:sz w:val="36"/>
          <w:szCs w:val="36"/>
          <w:highlight w:val="none"/>
          <w:lang w:eastAsia="zh-CN"/>
        </w:rPr>
        <w:t>前黄镇人民政府</w:t>
      </w:r>
    </w:p>
    <w:p w14:paraId="08740194">
      <w:pPr>
        <w:spacing w:line="360" w:lineRule="auto"/>
        <w:jc w:val="center"/>
        <w:rPr>
          <w:rFonts w:eastAsia="楷体"/>
          <w:b/>
          <w:color w:val="auto"/>
          <w:sz w:val="36"/>
          <w:szCs w:val="36"/>
          <w:highlight w:val="none"/>
        </w:rPr>
      </w:pPr>
      <w:r>
        <w:rPr>
          <w:rFonts w:eastAsia="楷体"/>
          <w:b/>
          <w:color w:val="auto"/>
          <w:sz w:val="36"/>
          <w:szCs w:val="36"/>
          <w:highlight w:val="none"/>
        </w:rPr>
        <w:t>20</w:t>
      </w:r>
      <w:r>
        <w:rPr>
          <w:rFonts w:hint="eastAsia" w:eastAsia="楷体"/>
          <w:b/>
          <w:color w:val="auto"/>
          <w:sz w:val="36"/>
          <w:szCs w:val="36"/>
          <w:highlight w:val="none"/>
          <w:lang w:val="en-US" w:eastAsia="zh-CN"/>
        </w:rPr>
        <w:t>26</w:t>
      </w:r>
      <w:r>
        <w:rPr>
          <w:rFonts w:eastAsia="楷体"/>
          <w:b/>
          <w:color w:val="auto"/>
          <w:sz w:val="36"/>
          <w:szCs w:val="36"/>
          <w:highlight w:val="none"/>
        </w:rPr>
        <w:t>年</w:t>
      </w:r>
      <w:r>
        <w:rPr>
          <w:rFonts w:hint="eastAsia" w:eastAsia="楷体"/>
          <w:b/>
          <w:color w:val="auto"/>
          <w:sz w:val="36"/>
          <w:szCs w:val="36"/>
          <w:highlight w:val="none"/>
          <w:lang w:val="en-US" w:eastAsia="zh-CN"/>
        </w:rPr>
        <w:t>4</w:t>
      </w:r>
      <w:r>
        <w:rPr>
          <w:rFonts w:eastAsia="楷体"/>
          <w:b/>
          <w:color w:val="auto"/>
          <w:sz w:val="36"/>
          <w:szCs w:val="36"/>
          <w:highlight w:val="none"/>
        </w:rPr>
        <w:t>月</w:t>
      </w:r>
    </w:p>
    <w:p w14:paraId="58359CDB">
      <w:pPr>
        <w:spacing w:line="360" w:lineRule="auto"/>
        <w:jc w:val="center"/>
        <w:rPr>
          <w:rFonts w:eastAsia="楷体"/>
          <w:b/>
          <w:color w:val="auto"/>
          <w:kern w:val="0"/>
          <w:sz w:val="32"/>
          <w:szCs w:val="32"/>
          <w:highlight w:val="none"/>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14:paraId="4856CA7C">
      <w:pPr>
        <w:jc w:val="center"/>
        <w:rPr>
          <w:rFonts w:eastAsia="楷体"/>
          <w:b/>
          <w:color w:val="auto"/>
          <w:kern w:val="0"/>
          <w:sz w:val="28"/>
          <w:szCs w:val="28"/>
          <w:highlight w:val="none"/>
        </w:rPr>
      </w:pPr>
      <w:r>
        <w:rPr>
          <w:rFonts w:eastAsia="楷体"/>
          <w:b/>
          <w:color w:val="auto"/>
          <w:kern w:val="0"/>
          <w:sz w:val="28"/>
          <w:szCs w:val="28"/>
          <w:highlight w:val="none"/>
        </w:rPr>
        <w:t>目  录</w:t>
      </w:r>
    </w:p>
    <w:p w14:paraId="1E0E4F46">
      <w:pPr>
        <w:pStyle w:val="15"/>
        <w:tabs>
          <w:tab w:val="right" w:leader="dot" w:pos="8306"/>
          <w:tab w:val="clear" w:pos="8296"/>
        </w:tabs>
        <w:spacing w:line="520" w:lineRule="exact"/>
        <w:rPr>
          <w:rFonts w:ascii="Times New Roman" w:eastAsia="楷体"/>
          <w:color w:val="auto"/>
          <w:highlight w:val="none"/>
        </w:rPr>
      </w:pPr>
      <w:r>
        <w:rPr>
          <w:rFonts w:ascii="Times New Roman" w:eastAsia="楷体"/>
          <w:b w:val="0"/>
          <w:bCs/>
          <w:color w:val="auto"/>
          <w:kern w:val="0"/>
          <w:highlight w:val="none"/>
        </w:rPr>
        <w:fldChar w:fldCharType="begin"/>
      </w:r>
      <w:r>
        <w:rPr>
          <w:rFonts w:ascii="Times New Roman" w:eastAsia="楷体"/>
          <w:b w:val="0"/>
          <w:bCs/>
          <w:color w:val="auto"/>
          <w:kern w:val="0"/>
          <w:highlight w:val="none"/>
        </w:rPr>
        <w:instrText xml:space="preserve"> TOC \o "1-2" \h \z \u </w:instrText>
      </w:r>
      <w:r>
        <w:rPr>
          <w:rFonts w:ascii="Times New Roman" w:eastAsia="楷体"/>
          <w:b w:val="0"/>
          <w:bCs/>
          <w:color w:val="auto"/>
          <w:kern w:val="0"/>
          <w:highlight w:val="none"/>
        </w:rPr>
        <w:fldChar w:fldCharType="separate"/>
      </w:r>
      <w:r>
        <w:rPr>
          <w:color w:val="auto"/>
          <w:highlight w:val="none"/>
        </w:rPr>
        <w:fldChar w:fldCharType="begin"/>
      </w:r>
      <w:r>
        <w:rPr>
          <w:color w:val="auto"/>
          <w:highlight w:val="none"/>
        </w:rPr>
        <w:instrText xml:space="preserve"> HYPERLINK \l "_Toc11427" </w:instrText>
      </w:r>
      <w:r>
        <w:rPr>
          <w:color w:val="auto"/>
          <w:highlight w:val="none"/>
        </w:rPr>
        <w:fldChar w:fldCharType="separate"/>
      </w:r>
      <w:r>
        <w:rPr>
          <w:rFonts w:ascii="Times New Roman" w:eastAsia="楷体"/>
          <w:color w:val="auto"/>
          <w:kern w:val="0"/>
          <w:highlight w:val="none"/>
        </w:rPr>
        <w:t>1  水库基本情况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_Toc11427 </w:instrText>
      </w:r>
      <w:r>
        <w:rPr>
          <w:rFonts w:ascii="Times New Roman" w:eastAsia="楷体"/>
          <w:color w:val="auto"/>
          <w:highlight w:val="none"/>
        </w:rPr>
        <w:fldChar w:fldCharType="separate"/>
      </w:r>
      <w:r>
        <w:rPr>
          <w:rFonts w:ascii="Times New Roman" w:eastAsia="楷体"/>
          <w:color w:val="auto"/>
          <w:highlight w:val="none"/>
        </w:rPr>
        <w:t>5</w:t>
      </w:r>
      <w:r>
        <w:rPr>
          <w:rFonts w:hint="eastAsia" w:ascii="Times New Roman" w:eastAsia="楷体"/>
          <w:color w:val="auto"/>
          <w:highlight w:val="none"/>
          <w:lang w:val="en-US" w:eastAsia="zh-CN"/>
        </w:rPr>
        <w:t>3</w:t>
      </w:r>
      <w:r>
        <w:rPr>
          <w:rFonts w:ascii="Times New Roman" w:eastAsia="楷体"/>
          <w:color w:val="auto"/>
          <w:highlight w:val="none"/>
        </w:rPr>
        <w:t xml:space="preserve"> </w:t>
      </w:r>
      <w:r>
        <w:rPr>
          <w:rFonts w:ascii="Times New Roman" w:eastAsia="楷体"/>
          <w:color w:val="auto"/>
          <w:highlight w:val="none"/>
        </w:rPr>
        <w:fldChar w:fldCharType="end"/>
      </w:r>
      <w:r>
        <w:rPr>
          <w:rFonts w:ascii="Times New Roman" w:eastAsia="楷体"/>
          <w:color w:val="auto"/>
          <w:highlight w:val="none"/>
        </w:rPr>
        <w:fldChar w:fldCharType="end"/>
      </w:r>
    </w:p>
    <w:p w14:paraId="77072060">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"_Toc18976" </w:instrText>
      </w:r>
      <w:r>
        <w:rPr>
          <w:color w:val="auto"/>
          <w:highlight w:val="none"/>
        </w:rPr>
        <w:fldChar w:fldCharType="separate"/>
      </w:r>
      <w:r>
        <w:rPr>
          <w:rFonts w:eastAsia="楷体"/>
          <w:color w:val="auto"/>
          <w:kern w:val="0"/>
          <w:sz w:val="28"/>
          <w:szCs w:val="28"/>
          <w:highlight w:val="none"/>
        </w:rPr>
        <w:t>1.1 工程概况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_Toc18976 </w:instrText>
      </w:r>
      <w:r>
        <w:rPr>
          <w:rFonts w:eastAsia="楷体"/>
          <w:color w:val="auto"/>
          <w:sz w:val="28"/>
          <w:szCs w:val="28"/>
          <w:highlight w:val="none"/>
        </w:rPr>
        <w:fldChar w:fldCharType="separate"/>
      </w:r>
      <w:r>
        <w:rPr>
          <w:rFonts w:eastAsia="楷体"/>
          <w:color w:val="auto"/>
          <w:sz w:val="28"/>
          <w:szCs w:val="28"/>
          <w:highlight w:val="none"/>
        </w:rPr>
        <w:t>5</w:t>
      </w:r>
      <w:r>
        <w:rPr>
          <w:rFonts w:hint="eastAsia" w:eastAsia="楷体"/>
          <w:color w:val="auto"/>
          <w:sz w:val="28"/>
          <w:szCs w:val="28"/>
          <w:highlight w:val="none"/>
          <w:lang w:val="en-US" w:eastAsia="zh-CN"/>
        </w:rPr>
        <w:t>3</w:t>
      </w:r>
      <w:r>
        <w:rPr>
          <w:rFonts w:eastAsia="楷体"/>
          <w:color w:val="auto"/>
          <w:sz w:val="28"/>
          <w:szCs w:val="28"/>
          <w:highlight w:val="none"/>
        </w:rPr>
        <w:t xml:space="preserve"> </w:t>
      </w:r>
      <w:r>
        <w:rPr>
          <w:rFonts w:eastAsia="楷体"/>
          <w:color w:val="auto"/>
          <w:sz w:val="28"/>
          <w:szCs w:val="28"/>
          <w:highlight w:val="none"/>
        </w:rPr>
        <w:fldChar w:fldCharType="end"/>
      </w:r>
      <w:r>
        <w:rPr>
          <w:rFonts w:eastAsia="楷体"/>
          <w:color w:val="auto"/>
          <w:sz w:val="28"/>
          <w:szCs w:val="28"/>
          <w:highlight w:val="none"/>
        </w:rPr>
        <w:fldChar w:fldCharType="end"/>
      </w:r>
    </w:p>
    <w:p w14:paraId="6ADD85F1">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"_Toc13357" </w:instrText>
      </w:r>
      <w:r>
        <w:rPr>
          <w:color w:val="auto"/>
          <w:highlight w:val="none"/>
        </w:rPr>
        <w:fldChar w:fldCharType="separate"/>
      </w:r>
      <w:r>
        <w:rPr>
          <w:rFonts w:eastAsia="楷体"/>
          <w:color w:val="auto"/>
          <w:kern w:val="0"/>
          <w:sz w:val="28"/>
          <w:szCs w:val="28"/>
          <w:highlight w:val="none"/>
        </w:rPr>
        <w:t>1.2 水文气象</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_Toc13357 </w:instrText>
      </w:r>
      <w:r>
        <w:rPr>
          <w:rFonts w:eastAsia="楷体"/>
          <w:color w:val="auto"/>
          <w:sz w:val="28"/>
          <w:szCs w:val="28"/>
          <w:highlight w:val="none"/>
        </w:rPr>
        <w:fldChar w:fldCharType="separate"/>
      </w:r>
      <w:r>
        <w:rPr>
          <w:rFonts w:eastAsia="楷体"/>
          <w:color w:val="auto"/>
          <w:sz w:val="28"/>
          <w:szCs w:val="28"/>
          <w:highlight w:val="none"/>
        </w:rPr>
        <w:t>5</w:t>
      </w:r>
      <w:r>
        <w:rPr>
          <w:rFonts w:hint="eastAsia" w:eastAsia="楷体"/>
          <w:color w:val="auto"/>
          <w:sz w:val="28"/>
          <w:szCs w:val="28"/>
          <w:highlight w:val="none"/>
          <w:lang w:val="en-US" w:eastAsia="zh-CN"/>
        </w:rPr>
        <w:t>4</w:t>
      </w:r>
      <w:r>
        <w:rPr>
          <w:rFonts w:eastAsia="楷体"/>
          <w:color w:val="auto"/>
          <w:sz w:val="28"/>
          <w:szCs w:val="28"/>
          <w:highlight w:val="none"/>
        </w:rPr>
        <w:fldChar w:fldCharType="end"/>
      </w:r>
      <w:r>
        <w:rPr>
          <w:rFonts w:eastAsia="楷体"/>
          <w:color w:val="auto"/>
          <w:sz w:val="28"/>
          <w:szCs w:val="28"/>
          <w:highlight w:val="none"/>
        </w:rPr>
        <w:fldChar w:fldCharType="end"/>
      </w:r>
    </w:p>
    <w:p w14:paraId="643C919E">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"_Toc2603" </w:instrText>
      </w:r>
      <w:r>
        <w:rPr>
          <w:color w:val="auto"/>
          <w:highlight w:val="none"/>
        </w:rPr>
        <w:fldChar w:fldCharType="separate"/>
      </w:r>
      <w:r>
        <w:rPr>
          <w:rFonts w:eastAsia="楷体"/>
          <w:color w:val="auto"/>
          <w:kern w:val="0"/>
          <w:sz w:val="28"/>
          <w:szCs w:val="28"/>
          <w:highlight w:val="none"/>
        </w:rPr>
        <w:t>1.3 流域特性</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_Toc2603 </w:instrText>
      </w:r>
      <w:r>
        <w:rPr>
          <w:rFonts w:eastAsia="楷体"/>
          <w:color w:val="auto"/>
          <w:sz w:val="28"/>
          <w:szCs w:val="28"/>
          <w:highlight w:val="none"/>
        </w:rPr>
        <w:fldChar w:fldCharType="separate"/>
      </w:r>
      <w:r>
        <w:rPr>
          <w:rFonts w:eastAsia="楷体"/>
          <w:color w:val="auto"/>
          <w:sz w:val="28"/>
          <w:szCs w:val="28"/>
          <w:highlight w:val="none"/>
        </w:rPr>
        <w:t>5</w:t>
      </w:r>
      <w:r>
        <w:rPr>
          <w:rFonts w:hint="eastAsia" w:eastAsia="楷体"/>
          <w:color w:val="auto"/>
          <w:sz w:val="28"/>
          <w:szCs w:val="28"/>
          <w:highlight w:val="none"/>
          <w:lang w:val="en-US" w:eastAsia="zh-CN"/>
        </w:rPr>
        <w:t>5</w:t>
      </w:r>
      <w:r>
        <w:rPr>
          <w:rFonts w:eastAsia="楷体"/>
          <w:color w:val="auto"/>
          <w:sz w:val="28"/>
          <w:szCs w:val="28"/>
          <w:highlight w:val="none"/>
        </w:rPr>
        <w:fldChar w:fldCharType="end"/>
      </w:r>
      <w:r>
        <w:rPr>
          <w:rFonts w:eastAsia="楷体"/>
          <w:color w:val="auto"/>
          <w:sz w:val="28"/>
          <w:szCs w:val="28"/>
          <w:highlight w:val="none"/>
        </w:rPr>
        <w:fldChar w:fldCharType="end"/>
      </w:r>
    </w:p>
    <w:p w14:paraId="582720CA">
      <w:pPr>
        <w:pStyle w:val="15"/>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"_Toc30894" </w:instrText>
      </w:r>
      <w:r>
        <w:rPr>
          <w:color w:val="auto"/>
          <w:highlight w:val="none"/>
        </w:rPr>
        <w:fldChar w:fldCharType="separate"/>
      </w:r>
      <w:r>
        <w:rPr>
          <w:rFonts w:ascii="Times New Roman" w:eastAsia="楷体"/>
          <w:color w:val="auto"/>
          <w:kern w:val="0"/>
          <w:highlight w:val="none"/>
        </w:rPr>
        <w:t>2  水库大坝安全运行状况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_Toc30894 </w:instrText>
      </w:r>
      <w:r>
        <w:rPr>
          <w:rFonts w:ascii="Times New Roman" w:eastAsia="楷体"/>
          <w:color w:val="auto"/>
          <w:highlight w:val="none"/>
        </w:rPr>
        <w:fldChar w:fldCharType="separate"/>
      </w:r>
      <w:r>
        <w:rPr>
          <w:rFonts w:ascii="Times New Roman" w:eastAsia="楷体"/>
          <w:color w:val="auto"/>
          <w:highlight w:val="none"/>
        </w:rPr>
        <w:t>5</w:t>
      </w:r>
      <w:r>
        <w:rPr>
          <w:rFonts w:hint="eastAsia" w:ascii="Times New Roman" w:eastAsia="楷体"/>
          <w:color w:val="auto"/>
          <w:highlight w:val="none"/>
          <w:lang w:val="en-US" w:eastAsia="zh-CN"/>
        </w:rPr>
        <w:t>7</w:t>
      </w:r>
      <w:r>
        <w:rPr>
          <w:rFonts w:ascii="Times New Roman" w:eastAsia="楷体"/>
          <w:color w:val="auto"/>
          <w:highlight w:val="none"/>
        </w:rPr>
        <w:t xml:space="preserve"> </w:t>
      </w:r>
      <w:r>
        <w:rPr>
          <w:rFonts w:ascii="Times New Roman" w:eastAsia="楷体"/>
          <w:color w:val="auto"/>
          <w:highlight w:val="none"/>
        </w:rPr>
        <w:fldChar w:fldCharType="end"/>
      </w:r>
      <w:r>
        <w:rPr>
          <w:rFonts w:ascii="Times New Roman" w:eastAsia="楷体"/>
          <w:color w:val="auto"/>
          <w:highlight w:val="none"/>
        </w:rPr>
        <w:fldChar w:fldCharType="end"/>
      </w:r>
    </w:p>
    <w:p w14:paraId="78E023CA">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"_Toc5344" </w:instrText>
      </w:r>
      <w:r>
        <w:rPr>
          <w:color w:val="auto"/>
          <w:highlight w:val="none"/>
        </w:rPr>
        <w:fldChar w:fldCharType="separate"/>
      </w:r>
      <w:r>
        <w:rPr>
          <w:rFonts w:eastAsia="楷体"/>
          <w:color w:val="auto"/>
          <w:kern w:val="0"/>
          <w:sz w:val="28"/>
          <w:szCs w:val="28"/>
          <w:highlight w:val="none"/>
        </w:rPr>
        <w:t>2.1 工程运行管理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_Toc5344 </w:instrText>
      </w:r>
      <w:r>
        <w:rPr>
          <w:rFonts w:eastAsia="楷体"/>
          <w:color w:val="auto"/>
          <w:sz w:val="28"/>
          <w:szCs w:val="28"/>
          <w:highlight w:val="none"/>
        </w:rPr>
        <w:fldChar w:fldCharType="separate"/>
      </w:r>
      <w:r>
        <w:rPr>
          <w:rFonts w:eastAsia="楷体"/>
          <w:color w:val="auto"/>
          <w:sz w:val="28"/>
          <w:szCs w:val="28"/>
          <w:highlight w:val="none"/>
        </w:rPr>
        <w:t>5</w:t>
      </w:r>
      <w:r>
        <w:rPr>
          <w:rFonts w:hint="eastAsia" w:eastAsia="楷体"/>
          <w:color w:val="auto"/>
          <w:sz w:val="28"/>
          <w:szCs w:val="28"/>
          <w:highlight w:val="none"/>
          <w:lang w:val="en-US" w:eastAsia="zh-CN"/>
        </w:rPr>
        <w:t>7</w:t>
      </w:r>
      <w:r>
        <w:rPr>
          <w:rFonts w:eastAsia="楷体"/>
          <w:color w:val="auto"/>
          <w:sz w:val="28"/>
          <w:szCs w:val="28"/>
          <w:highlight w:val="none"/>
        </w:rPr>
        <w:t xml:space="preserve"> </w:t>
      </w:r>
      <w:r>
        <w:rPr>
          <w:rFonts w:eastAsia="楷体"/>
          <w:color w:val="auto"/>
          <w:sz w:val="28"/>
          <w:szCs w:val="28"/>
          <w:highlight w:val="none"/>
        </w:rPr>
        <w:fldChar w:fldCharType="end"/>
      </w:r>
      <w:r>
        <w:rPr>
          <w:rFonts w:eastAsia="楷体"/>
          <w:color w:val="auto"/>
          <w:sz w:val="28"/>
          <w:szCs w:val="28"/>
          <w:highlight w:val="none"/>
        </w:rPr>
        <w:fldChar w:fldCharType="end"/>
      </w:r>
    </w:p>
    <w:p w14:paraId="45EFBFC6">
      <w:pPr>
        <w:pStyle w:val="16"/>
        <w:tabs>
          <w:tab w:val="right" w:leader="dot" w:pos="8306"/>
        </w:tabs>
        <w:spacing w:line="520" w:lineRule="exact"/>
        <w:rPr>
          <w:rFonts w:hint="eastAsia" w:eastAsia="楷体"/>
          <w:color w:val="auto"/>
          <w:sz w:val="28"/>
          <w:szCs w:val="28"/>
          <w:highlight w:val="none"/>
          <w:lang w:val="en-US" w:eastAsia="zh-CN"/>
        </w:rPr>
      </w:pPr>
      <w:r>
        <w:rPr>
          <w:color w:val="auto"/>
          <w:highlight w:val="none"/>
        </w:rPr>
        <w:fldChar w:fldCharType="begin"/>
      </w:r>
      <w:r>
        <w:rPr>
          <w:color w:val="auto"/>
          <w:highlight w:val="none"/>
        </w:rPr>
        <w:instrText xml:space="preserve"> HYPERLINK \l "_Toc7561" </w:instrText>
      </w:r>
      <w:r>
        <w:rPr>
          <w:color w:val="auto"/>
          <w:highlight w:val="none"/>
        </w:rPr>
        <w:fldChar w:fldCharType="separate"/>
      </w:r>
      <w:r>
        <w:rPr>
          <w:rFonts w:eastAsia="楷体"/>
          <w:color w:val="auto"/>
          <w:kern w:val="0"/>
          <w:sz w:val="28"/>
          <w:szCs w:val="28"/>
          <w:highlight w:val="none"/>
        </w:rPr>
        <w:t>2.2 工程安全状况分析评价</w:t>
      </w:r>
      <w:r>
        <w:rPr>
          <w:rFonts w:eastAsia="楷体"/>
          <w:color w:val="auto"/>
          <w:sz w:val="28"/>
          <w:szCs w:val="28"/>
          <w:highlight w:val="none"/>
        </w:rPr>
        <w:tab/>
      </w:r>
      <w:r>
        <w:rPr>
          <w:rFonts w:hint="eastAsia" w:eastAsia="楷体"/>
          <w:color w:val="auto"/>
          <w:sz w:val="28"/>
          <w:szCs w:val="28"/>
          <w:highlight w:val="none"/>
          <w:lang w:val="en-US" w:eastAsia="zh-CN"/>
        </w:rPr>
        <w:t>5</w:t>
      </w:r>
      <w:r>
        <w:rPr>
          <w:rFonts w:eastAsia="楷体"/>
          <w:color w:val="auto"/>
          <w:sz w:val="28"/>
          <w:szCs w:val="28"/>
          <w:highlight w:val="none"/>
        </w:rPr>
        <w:fldChar w:fldCharType="end"/>
      </w:r>
      <w:r>
        <w:rPr>
          <w:rFonts w:hint="eastAsia" w:eastAsia="楷体"/>
          <w:color w:val="auto"/>
          <w:sz w:val="28"/>
          <w:szCs w:val="28"/>
          <w:highlight w:val="none"/>
          <w:lang w:val="en-US" w:eastAsia="zh-CN"/>
        </w:rPr>
        <w:t>8</w:t>
      </w:r>
    </w:p>
    <w:p w14:paraId="381E04D5">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"_Toc28284" </w:instrText>
      </w:r>
      <w:r>
        <w:rPr>
          <w:color w:val="auto"/>
          <w:highlight w:val="none"/>
        </w:rPr>
        <w:fldChar w:fldCharType="separate"/>
      </w:r>
      <w:r>
        <w:rPr>
          <w:rFonts w:eastAsia="楷体"/>
          <w:color w:val="auto"/>
          <w:kern w:val="0"/>
          <w:sz w:val="28"/>
          <w:szCs w:val="28"/>
          <w:highlight w:val="none"/>
        </w:rPr>
        <w:t>2.3</w:t>
      </w:r>
      <w:r>
        <w:rPr>
          <w:rFonts w:eastAsia="楷体"/>
          <w:color w:val="auto"/>
          <w:sz w:val="28"/>
          <w:szCs w:val="28"/>
          <w:highlight w:val="none"/>
        </w:rPr>
        <w:t>水情工情测报系统及观测资料整理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_Toc28284 </w:instrText>
      </w:r>
      <w:r>
        <w:rPr>
          <w:rFonts w:eastAsia="楷体"/>
          <w:color w:val="auto"/>
          <w:sz w:val="28"/>
          <w:szCs w:val="28"/>
          <w:highlight w:val="none"/>
        </w:rPr>
        <w:fldChar w:fldCharType="separate"/>
      </w:r>
      <w:r>
        <w:rPr>
          <w:rFonts w:eastAsia="楷体"/>
          <w:color w:val="auto"/>
          <w:sz w:val="28"/>
          <w:szCs w:val="28"/>
          <w:highlight w:val="none"/>
        </w:rPr>
        <w:t>6</w:t>
      </w:r>
      <w:r>
        <w:rPr>
          <w:rFonts w:hint="eastAsia" w:eastAsia="楷体"/>
          <w:color w:val="auto"/>
          <w:sz w:val="28"/>
          <w:szCs w:val="28"/>
          <w:highlight w:val="none"/>
          <w:lang w:val="en-US" w:eastAsia="zh-CN"/>
        </w:rPr>
        <w:t>3</w:t>
      </w:r>
      <w:r>
        <w:rPr>
          <w:rFonts w:eastAsia="楷体"/>
          <w:color w:val="auto"/>
          <w:sz w:val="28"/>
          <w:szCs w:val="28"/>
          <w:highlight w:val="none"/>
        </w:rPr>
        <w:fldChar w:fldCharType="end"/>
      </w:r>
      <w:r>
        <w:rPr>
          <w:rFonts w:eastAsia="楷体"/>
          <w:color w:val="auto"/>
          <w:sz w:val="28"/>
          <w:szCs w:val="28"/>
          <w:highlight w:val="none"/>
        </w:rPr>
        <w:fldChar w:fldCharType="end"/>
      </w:r>
    </w:p>
    <w:p w14:paraId="6D9A7069">
      <w:pPr>
        <w:pStyle w:val="15"/>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"_Toc29389" </w:instrText>
      </w:r>
      <w:r>
        <w:rPr>
          <w:color w:val="auto"/>
          <w:highlight w:val="none"/>
        </w:rPr>
        <w:fldChar w:fldCharType="separate"/>
      </w:r>
      <w:r>
        <w:rPr>
          <w:rFonts w:ascii="Times New Roman" w:eastAsia="楷体"/>
          <w:color w:val="auto"/>
          <w:kern w:val="0"/>
          <w:highlight w:val="none"/>
        </w:rPr>
        <w:t>3  水库大坝防洪情况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_Toc29389 </w:instrText>
      </w:r>
      <w:r>
        <w:rPr>
          <w:rFonts w:ascii="Times New Roman" w:eastAsia="楷体"/>
          <w:color w:val="auto"/>
          <w:highlight w:val="none"/>
        </w:rPr>
        <w:fldChar w:fldCharType="separate"/>
      </w:r>
      <w:r>
        <w:rPr>
          <w:rFonts w:ascii="Times New Roman" w:eastAsia="楷体"/>
          <w:color w:val="auto"/>
          <w:highlight w:val="none"/>
        </w:rPr>
        <w:t>6</w:t>
      </w:r>
      <w:r>
        <w:rPr>
          <w:rFonts w:hint="eastAsia" w:ascii="Times New Roman" w:eastAsia="楷体"/>
          <w:color w:val="auto"/>
          <w:highlight w:val="none"/>
          <w:lang w:val="en-US" w:eastAsia="zh-CN"/>
        </w:rPr>
        <w:t>4</w:t>
      </w:r>
      <w:r>
        <w:rPr>
          <w:rFonts w:ascii="Times New Roman" w:eastAsia="楷体"/>
          <w:color w:val="auto"/>
          <w:highlight w:val="none"/>
        </w:rPr>
        <w:fldChar w:fldCharType="end"/>
      </w:r>
      <w:r>
        <w:rPr>
          <w:rFonts w:ascii="Times New Roman" w:eastAsia="楷体"/>
          <w:color w:val="auto"/>
          <w:highlight w:val="none"/>
        </w:rPr>
        <w:fldChar w:fldCharType="end"/>
      </w:r>
    </w:p>
    <w:p w14:paraId="78A20CE9">
      <w:pPr>
        <w:pStyle w:val="16"/>
        <w:tabs>
          <w:tab w:val="right" w:leader="dot" w:pos="8306"/>
        </w:tabs>
        <w:spacing w:line="520" w:lineRule="exact"/>
        <w:rPr>
          <w:rFonts w:hint="eastAsia" w:eastAsia="楷体"/>
          <w:color w:val="auto"/>
          <w:sz w:val="28"/>
          <w:szCs w:val="28"/>
          <w:highlight w:val="none"/>
          <w:lang w:val="en-US" w:eastAsia="zh-CN"/>
        </w:rPr>
      </w:pPr>
      <w:r>
        <w:rPr>
          <w:color w:val="auto"/>
          <w:highlight w:val="none"/>
        </w:rPr>
        <w:fldChar w:fldCharType="begin"/>
      </w:r>
      <w:r>
        <w:rPr>
          <w:color w:val="auto"/>
          <w:highlight w:val="none"/>
        </w:rPr>
        <w:instrText xml:space="preserve"> HYPERLINK \l "_Toc6287" </w:instrText>
      </w:r>
      <w:r>
        <w:rPr>
          <w:color w:val="auto"/>
          <w:highlight w:val="none"/>
        </w:rPr>
        <w:fldChar w:fldCharType="separate"/>
      </w:r>
      <w:r>
        <w:rPr>
          <w:rFonts w:eastAsia="楷体"/>
          <w:color w:val="auto"/>
          <w:kern w:val="0"/>
          <w:sz w:val="28"/>
          <w:szCs w:val="28"/>
          <w:highlight w:val="none"/>
        </w:rPr>
        <w:t>3.1 水库防洪标准</w:t>
      </w:r>
      <w:r>
        <w:rPr>
          <w:rFonts w:eastAsia="楷体"/>
          <w:color w:val="auto"/>
          <w:sz w:val="28"/>
          <w:szCs w:val="28"/>
          <w:highlight w:val="none"/>
        </w:rPr>
        <w:tab/>
      </w:r>
      <w:r>
        <w:rPr>
          <w:rFonts w:hint="eastAsia" w:eastAsia="楷体"/>
          <w:color w:val="auto"/>
          <w:sz w:val="28"/>
          <w:szCs w:val="28"/>
          <w:highlight w:val="none"/>
          <w:lang w:val="en-US" w:eastAsia="zh-CN"/>
        </w:rPr>
        <w:t>6</w:t>
      </w:r>
      <w:r>
        <w:rPr>
          <w:rFonts w:eastAsia="楷体"/>
          <w:color w:val="auto"/>
          <w:sz w:val="28"/>
          <w:szCs w:val="28"/>
          <w:highlight w:val="none"/>
        </w:rPr>
        <w:fldChar w:fldCharType="end"/>
      </w:r>
      <w:r>
        <w:rPr>
          <w:rFonts w:hint="eastAsia" w:eastAsia="楷体"/>
          <w:color w:val="auto"/>
          <w:sz w:val="28"/>
          <w:szCs w:val="28"/>
          <w:highlight w:val="none"/>
          <w:lang w:val="en-US" w:eastAsia="zh-CN"/>
        </w:rPr>
        <w:t>4</w:t>
      </w:r>
    </w:p>
    <w:p w14:paraId="0CB45558">
      <w:pPr>
        <w:pStyle w:val="16"/>
        <w:tabs>
          <w:tab w:val="right" w:leader="dot" w:pos="8306"/>
        </w:tabs>
        <w:spacing w:line="520" w:lineRule="exact"/>
        <w:rPr>
          <w:rFonts w:hint="eastAsia" w:eastAsia="楷体"/>
          <w:color w:val="auto"/>
          <w:sz w:val="28"/>
          <w:szCs w:val="28"/>
          <w:highlight w:val="none"/>
          <w:lang w:val="en-US" w:eastAsia="zh-CN"/>
        </w:rPr>
      </w:pPr>
      <w:r>
        <w:rPr>
          <w:color w:val="auto"/>
          <w:highlight w:val="none"/>
        </w:rPr>
        <w:fldChar w:fldCharType="begin"/>
      </w:r>
      <w:r>
        <w:rPr>
          <w:color w:val="auto"/>
          <w:highlight w:val="none"/>
        </w:rPr>
        <w:instrText xml:space="preserve"> HYPERLINK \l "_Toc1684" </w:instrText>
      </w:r>
      <w:r>
        <w:rPr>
          <w:color w:val="auto"/>
          <w:highlight w:val="none"/>
        </w:rPr>
        <w:fldChar w:fldCharType="separate"/>
      </w:r>
      <w:r>
        <w:rPr>
          <w:rFonts w:eastAsia="楷体"/>
          <w:color w:val="auto"/>
          <w:kern w:val="0"/>
          <w:sz w:val="28"/>
          <w:szCs w:val="28"/>
          <w:highlight w:val="none"/>
        </w:rPr>
        <w:t>3.2 水库特征曲线</w:t>
      </w:r>
      <w:r>
        <w:rPr>
          <w:rFonts w:eastAsia="楷体"/>
          <w:color w:val="auto"/>
          <w:sz w:val="28"/>
          <w:szCs w:val="28"/>
          <w:highlight w:val="none"/>
        </w:rPr>
        <w:tab/>
      </w:r>
      <w:r>
        <w:rPr>
          <w:rFonts w:hint="eastAsia" w:eastAsia="楷体"/>
          <w:color w:val="auto"/>
          <w:sz w:val="28"/>
          <w:szCs w:val="28"/>
          <w:highlight w:val="none"/>
          <w:lang w:val="en-US" w:eastAsia="zh-CN"/>
        </w:rPr>
        <w:t>6</w:t>
      </w:r>
      <w:r>
        <w:rPr>
          <w:rFonts w:eastAsia="楷体"/>
          <w:color w:val="auto"/>
          <w:sz w:val="28"/>
          <w:szCs w:val="28"/>
          <w:highlight w:val="none"/>
        </w:rPr>
        <w:fldChar w:fldCharType="end"/>
      </w:r>
      <w:r>
        <w:rPr>
          <w:rFonts w:hint="eastAsia" w:eastAsia="楷体"/>
          <w:color w:val="auto"/>
          <w:sz w:val="28"/>
          <w:szCs w:val="28"/>
          <w:highlight w:val="none"/>
          <w:lang w:val="en-US" w:eastAsia="zh-CN"/>
        </w:rPr>
        <w:t>4</w:t>
      </w:r>
    </w:p>
    <w:p w14:paraId="079AA053">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"_Toc30807" </w:instrText>
      </w:r>
      <w:r>
        <w:rPr>
          <w:color w:val="auto"/>
          <w:highlight w:val="none"/>
        </w:rPr>
        <w:fldChar w:fldCharType="separate"/>
      </w:r>
      <w:r>
        <w:rPr>
          <w:rFonts w:eastAsia="楷体"/>
          <w:color w:val="auto"/>
          <w:kern w:val="0"/>
          <w:sz w:val="28"/>
          <w:szCs w:val="28"/>
          <w:highlight w:val="none"/>
        </w:rPr>
        <w:t>3.3 水库上、下游情况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_Toc30807 </w:instrText>
      </w:r>
      <w:r>
        <w:rPr>
          <w:rFonts w:eastAsia="楷体"/>
          <w:color w:val="auto"/>
          <w:sz w:val="28"/>
          <w:szCs w:val="28"/>
          <w:highlight w:val="none"/>
        </w:rPr>
        <w:fldChar w:fldCharType="separate"/>
      </w:r>
      <w:r>
        <w:rPr>
          <w:rFonts w:eastAsia="楷体"/>
          <w:color w:val="auto"/>
          <w:sz w:val="28"/>
          <w:szCs w:val="28"/>
          <w:highlight w:val="none"/>
        </w:rPr>
        <w:t>6</w:t>
      </w:r>
      <w:r>
        <w:rPr>
          <w:rFonts w:hint="eastAsia" w:eastAsia="楷体"/>
          <w:color w:val="auto"/>
          <w:sz w:val="28"/>
          <w:szCs w:val="28"/>
          <w:highlight w:val="none"/>
          <w:lang w:val="en-US" w:eastAsia="zh-CN"/>
        </w:rPr>
        <w:t>6</w:t>
      </w:r>
      <w:r>
        <w:rPr>
          <w:rFonts w:eastAsia="楷体"/>
          <w:color w:val="auto"/>
          <w:sz w:val="28"/>
          <w:szCs w:val="28"/>
          <w:highlight w:val="none"/>
        </w:rPr>
        <w:fldChar w:fldCharType="end"/>
      </w:r>
      <w:r>
        <w:rPr>
          <w:rFonts w:eastAsia="楷体"/>
          <w:color w:val="auto"/>
          <w:sz w:val="28"/>
          <w:szCs w:val="28"/>
          <w:highlight w:val="none"/>
        </w:rPr>
        <w:fldChar w:fldCharType="end"/>
      </w:r>
    </w:p>
    <w:p w14:paraId="6146C51A">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"_Toc8846" </w:instrText>
      </w:r>
      <w:r>
        <w:rPr>
          <w:color w:val="auto"/>
          <w:highlight w:val="none"/>
        </w:rPr>
        <w:fldChar w:fldCharType="separate"/>
      </w:r>
      <w:r>
        <w:rPr>
          <w:rFonts w:eastAsia="楷体"/>
          <w:color w:val="auto"/>
          <w:kern w:val="0"/>
          <w:sz w:val="28"/>
          <w:szCs w:val="28"/>
          <w:highlight w:val="none"/>
        </w:rPr>
        <w:t>3.4 上年度控制运用情况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_Toc8846 </w:instrText>
      </w:r>
      <w:r>
        <w:rPr>
          <w:rFonts w:eastAsia="楷体"/>
          <w:color w:val="auto"/>
          <w:sz w:val="28"/>
          <w:szCs w:val="28"/>
          <w:highlight w:val="none"/>
        </w:rPr>
        <w:fldChar w:fldCharType="separate"/>
      </w:r>
      <w:r>
        <w:rPr>
          <w:rFonts w:eastAsia="楷体"/>
          <w:color w:val="auto"/>
          <w:sz w:val="28"/>
          <w:szCs w:val="28"/>
          <w:highlight w:val="none"/>
        </w:rPr>
        <w:t>6</w:t>
      </w:r>
      <w:r>
        <w:rPr>
          <w:rFonts w:hint="eastAsia" w:eastAsia="楷体"/>
          <w:color w:val="auto"/>
          <w:sz w:val="28"/>
          <w:szCs w:val="28"/>
          <w:highlight w:val="none"/>
          <w:lang w:val="en-US" w:eastAsia="zh-CN"/>
        </w:rPr>
        <w:t>6</w:t>
      </w:r>
      <w:r>
        <w:rPr>
          <w:rFonts w:eastAsia="楷体"/>
          <w:color w:val="auto"/>
          <w:sz w:val="28"/>
          <w:szCs w:val="28"/>
          <w:highlight w:val="none"/>
        </w:rPr>
        <w:fldChar w:fldCharType="end"/>
      </w:r>
      <w:r>
        <w:rPr>
          <w:rFonts w:eastAsia="楷体"/>
          <w:color w:val="auto"/>
          <w:sz w:val="28"/>
          <w:szCs w:val="28"/>
          <w:highlight w:val="none"/>
        </w:rPr>
        <w:fldChar w:fldCharType="end"/>
      </w:r>
    </w:p>
    <w:p w14:paraId="591B70C3">
      <w:pPr>
        <w:pStyle w:val="15"/>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"_Toc19608" </w:instrText>
      </w:r>
      <w:r>
        <w:rPr>
          <w:color w:val="auto"/>
          <w:highlight w:val="none"/>
        </w:rPr>
        <w:fldChar w:fldCharType="separate"/>
      </w:r>
      <w:r>
        <w:rPr>
          <w:rFonts w:ascii="Times New Roman" w:eastAsia="楷体"/>
          <w:color w:val="auto"/>
          <w:kern w:val="0"/>
          <w:highlight w:val="none"/>
        </w:rPr>
        <w:t>4  洪水调度原则</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_Toc19608 </w:instrText>
      </w:r>
      <w:r>
        <w:rPr>
          <w:rFonts w:ascii="Times New Roman" w:eastAsia="楷体"/>
          <w:color w:val="auto"/>
          <w:highlight w:val="none"/>
        </w:rPr>
        <w:fldChar w:fldCharType="separate"/>
      </w:r>
      <w:r>
        <w:rPr>
          <w:rFonts w:ascii="Times New Roman" w:eastAsia="楷体"/>
          <w:color w:val="auto"/>
          <w:highlight w:val="none"/>
        </w:rPr>
        <w:t>6</w:t>
      </w:r>
      <w:r>
        <w:rPr>
          <w:rFonts w:hint="eastAsia" w:ascii="Times New Roman" w:eastAsia="楷体"/>
          <w:color w:val="auto"/>
          <w:highlight w:val="none"/>
          <w:lang w:val="en-US" w:eastAsia="zh-CN"/>
        </w:rPr>
        <w:t>7</w:t>
      </w:r>
      <w:r>
        <w:rPr>
          <w:rFonts w:ascii="Times New Roman" w:eastAsia="楷体"/>
          <w:color w:val="auto"/>
          <w:highlight w:val="none"/>
        </w:rPr>
        <w:t xml:space="preserve"> </w:t>
      </w:r>
      <w:r>
        <w:rPr>
          <w:rFonts w:ascii="Times New Roman" w:eastAsia="楷体"/>
          <w:color w:val="auto"/>
          <w:highlight w:val="none"/>
        </w:rPr>
        <w:fldChar w:fldCharType="end"/>
      </w:r>
      <w:r>
        <w:rPr>
          <w:rFonts w:ascii="Times New Roman" w:eastAsia="楷体"/>
          <w:color w:val="auto"/>
          <w:highlight w:val="none"/>
        </w:rPr>
        <w:fldChar w:fldCharType="end"/>
      </w:r>
    </w:p>
    <w:p w14:paraId="43C855AD">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"_Toc7899" </w:instrText>
      </w:r>
      <w:r>
        <w:rPr>
          <w:color w:val="auto"/>
          <w:highlight w:val="none"/>
        </w:rPr>
        <w:fldChar w:fldCharType="separate"/>
      </w:r>
      <w:r>
        <w:rPr>
          <w:rFonts w:eastAsia="楷体"/>
          <w:color w:val="auto"/>
          <w:kern w:val="0"/>
          <w:sz w:val="28"/>
          <w:szCs w:val="28"/>
          <w:highlight w:val="none"/>
        </w:rPr>
        <w:t>4.1 汛期划分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_Toc7899 </w:instrText>
      </w:r>
      <w:r>
        <w:rPr>
          <w:rFonts w:eastAsia="楷体"/>
          <w:color w:val="auto"/>
          <w:sz w:val="28"/>
          <w:szCs w:val="28"/>
          <w:highlight w:val="none"/>
        </w:rPr>
        <w:fldChar w:fldCharType="separate"/>
      </w:r>
      <w:r>
        <w:rPr>
          <w:rFonts w:eastAsia="楷体"/>
          <w:color w:val="auto"/>
          <w:sz w:val="28"/>
          <w:szCs w:val="28"/>
          <w:highlight w:val="none"/>
        </w:rPr>
        <w:t>6</w:t>
      </w:r>
      <w:r>
        <w:rPr>
          <w:rFonts w:hint="eastAsia" w:eastAsia="楷体"/>
          <w:color w:val="auto"/>
          <w:sz w:val="28"/>
          <w:szCs w:val="28"/>
          <w:highlight w:val="none"/>
          <w:lang w:val="en-US" w:eastAsia="zh-CN"/>
        </w:rPr>
        <w:t>7</w:t>
      </w:r>
      <w:r>
        <w:rPr>
          <w:rFonts w:eastAsia="楷体"/>
          <w:color w:val="auto"/>
          <w:sz w:val="28"/>
          <w:szCs w:val="28"/>
          <w:highlight w:val="none"/>
        </w:rPr>
        <w:fldChar w:fldCharType="end"/>
      </w:r>
      <w:r>
        <w:rPr>
          <w:rFonts w:eastAsia="楷体"/>
          <w:color w:val="auto"/>
          <w:sz w:val="28"/>
          <w:szCs w:val="28"/>
          <w:highlight w:val="none"/>
        </w:rPr>
        <w:fldChar w:fldCharType="end"/>
      </w:r>
    </w:p>
    <w:p w14:paraId="3DCCBEAC">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"_Toc6049" </w:instrText>
      </w:r>
      <w:r>
        <w:rPr>
          <w:color w:val="auto"/>
          <w:highlight w:val="none"/>
        </w:rPr>
        <w:fldChar w:fldCharType="separate"/>
      </w:r>
      <w:r>
        <w:rPr>
          <w:rFonts w:eastAsia="楷体"/>
          <w:color w:val="auto"/>
          <w:kern w:val="0"/>
          <w:sz w:val="28"/>
          <w:szCs w:val="28"/>
          <w:highlight w:val="none"/>
        </w:rPr>
        <w:t>4.2 洪水调度原则</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_Toc6049 </w:instrText>
      </w:r>
      <w:r>
        <w:rPr>
          <w:rFonts w:eastAsia="楷体"/>
          <w:color w:val="auto"/>
          <w:sz w:val="28"/>
          <w:szCs w:val="28"/>
          <w:highlight w:val="none"/>
        </w:rPr>
        <w:fldChar w:fldCharType="separate"/>
      </w:r>
      <w:r>
        <w:rPr>
          <w:rFonts w:eastAsia="楷体"/>
          <w:color w:val="auto"/>
          <w:sz w:val="28"/>
          <w:szCs w:val="28"/>
          <w:highlight w:val="none"/>
        </w:rPr>
        <w:t>6</w:t>
      </w:r>
      <w:r>
        <w:rPr>
          <w:rFonts w:hint="eastAsia" w:eastAsia="楷体"/>
          <w:color w:val="auto"/>
          <w:sz w:val="28"/>
          <w:szCs w:val="28"/>
          <w:highlight w:val="none"/>
          <w:lang w:val="en-US" w:eastAsia="zh-CN"/>
        </w:rPr>
        <w:t>7</w:t>
      </w:r>
      <w:r>
        <w:rPr>
          <w:rFonts w:eastAsia="楷体"/>
          <w:color w:val="auto"/>
          <w:sz w:val="28"/>
          <w:szCs w:val="28"/>
          <w:highlight w:val="none"/>
        </w:rPr>
        <w:fldChar w:fldCharType="end"/>
      </w:r>
      <w:r>
        <w:rPr>
          <w:rFonts w:eastAsia="楷体"/>
          <w:color w:val="auto"/>
          <w:sz w:val="28"/>
          <w:szCs w:val="28"/>
          <w:highlight w:val="none"/>
        </w:rPr>
        <w:fldChar w:fldCharType="end"/>
      </w:r>
    </w:p>
    <w:p w14:paraId="2371DF30">
      <w:pPr>
        <w:pStyle w:val="16"/>
        <w:tabs>
          <w:tab w:val="right" w:leader="dot" w:pos="8306"/>
        </w:tabs>
        <w:spacing w:line="520" w:lineRule="exact"/>
        <w:rPr>
          <w:rFonts w:hint="eastAsia" w:eastAsia="楷体"/>
          <w:color w:val="auto"/>
          <w:sz w:val="28"/>
          <w:szCs w:val="28"/>
          <w:highlight w:val="none"/>
          <w:lang w:val="en-US" w:eastAsia="zh-CN"/>
        </w:rPr>
      </w:pPr>
      <w:r>
        <w:rPr>
          <w:color w:val="auto"/>
          <w:highlight w:val="none"/>
        </w:rPr>
        <w:fldChar w:fldCharType="begin"/>
      </w:r>
      <w:r>
        <w:rPr>
          <w:color w:val="auto"/>
          <w:highlight w:val="none"/>
        </w:rPr>
        <w:instrText xml:space="preserve"> HYPERLINK \l "_Toc31889" </w:instrText>
      </w:r>
      <w:r>
        <w:rPr>
          <w:color w:val="auto"/>
          <w:highlight w:val="none"/>
        </w:rPr>
        <w:fldChar w:fldCharType="separate"/>
      </w:r>
      <w:r>
        <w:rPr>
          <w:rFonts w:eastAsia="楷体"/>
          <w:color w:val="auto"/>
          <w:kern w:val="0"/>
          <w:sz w:val="28"/>
          <w:szCs w:val="28"/>
          <w:highlight w:val="none"/>
        </w:rPr>
        <w:t>4.3 汛限水位确定</w:t>
      </w:r>
      <w:r>
        <w:rPr>
          <w:rFonts w:eastAsia="楷体"/>
          <w:color w:val="auto"/>
          <w:sz w:val="28"/>
          <w:szCs w:val="28"/>
          <w:highlight w:val="none"/>
        </w:rPr>
        <w:tab/>
      </w:r>
      <w:r>
        <w:rPr>
          <w:rFonts w:hint="eastAsia" w:eastAsia="楷体"/>
          <w:color w:val="auto"/>
          <w:sz w:val="28"/>
          <w:szCs w:val="28"/>
          <w:highlight w:val="none"/>
          <w:lang w:val="en-US" w:eastAsia="zh-CN"/>
        </w:rPr>
        <w:t>6</w:t>
      </w:r>
      <w:r>
        <w:rPr>
          <w:rFonts w:eastAsia="楷体"/>
          <w:color w:val="auto"/>
          <w:sz w:val="28"/>
          <w:szCs w:val="28"/>
          <w:highlight w:val="none"/>
        </w:rPr>
        <w:fldChar w:fldCharType="end"/>
      </w:r>
      <w:r>
        <w:rPr>
          <w:rFonts w:hint="eastAsia" w:eastAsia="楷体"/>
          <w:color w:val="auto"/>
          <w:sz w:val="28"/>
          <w:szCs w:val="28"/>
          <w:highlight w:val="none"/>
          <w:lang w:val="en-US" w:eastAsia="zh-CN"/>
        </w:rPr>
        <w:t>8</w:t>
      </w:r>
    </w:p>
    <w:p w14:paraId="02CB2C7A">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"_Toc17957" </w:instrText>
      </w:r>
      <w:r>
        <w:rPr>
          <w:color w:val="auto"/>
          <w:highlight w:val="none"/>
        </w:rPr>
        <w:fldChar w:fldCharType="separate"/>
      </w:r>
      <w:r>
        <w:rPr>
          <w:rFonts w:eastAsia="楷体"/>
          <w:color w:val="auto"/>
          <w:kern w:val="0"/>
          <w:sz w:val="28"/>
          <w:szCs w:val="28"/>
          <w:highlight w:val="none"/>
        </w:rPr>
        <w:t>4.4 汛期防洪调度方式</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_Toc17957 </w:instrText>
      </w:r>
      <w:r>
        <w:rPr>
          <w:rFonts w:eastAsia="楷体"/>
          <w:color w:val="auto"/>
          <w:sz w:val="28"/>
          <w:szCs w:val="28"/>
          <w:highlight w:val="none"/>
        </w:rPr>
        <w:fldChar w:fldCharType="separate"/>
      </w:r>
      <w:r>
        <w:rPr>
          <w:rFonts w:eastAsia="楷体"/>
          <w:color w:val="auto"/>
          <w:sz w:val="28"/>
          <w:szCs w:val="28"/>
          <w:highlight w:val="none"/>
        </w:rPr>
        <w:t>7</w:t>
      </w:r>
      <w:r>
        <w:rPr>
          <w:rFonts w:hint="eastAsia" w:eastAsia="楷体"/>
          <w:color w:val="auto"/>
          <w:sz w:val="28"/>
          <w:szCs w:val="28"/>
          <w:highlight w:val="none"/>
          <w:lang w:val="en-US" w:eastAsia="zh-CN"/>
        </w:rPr>
        <w:t>1</w:t>
      </w:r>
      <w:r>
        <w:rPr>
          <w:rFonts w:eastAsia="楷体"/>
          <w:color w:val="auto"/>
          <w:sz w:val="28"/>
          <w:szCs w:val="28"/>
          <w:highlight w:val="none"/>
        </w:rPr>
        <w:fldChar w:fldCharType="end"/>
      </w:r>
      <w:r>
        <w:rPr>
          <w:rFonts w:eastAsia="楷体"/>
          <w:color w:val="auto"/>
          <w:sz w:val="28"/>
          <w:szCs w:val="28"/>
          <w:highlight w:val="none"/>
        </w:rPr>
        <w:fldChar w:fldCharType="end"/>
      </w:r>
    </w:p>
    <w:p w14:paraId="3C64F6CC">
      <w:pPr>
        <w:pStyle w:val="16"/>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"_Toc3500" </w:instrText>
      </w:r>
      <w:r>
        <w:rPr>
          <w:color w:val="auto"/>
          <w:highlight w:val="none"/>
        </w:rPr>
        <w:fldChar w:fldCharType="separate"/>
      </w:r>
      <w:r>
        <w:rPr>
          <w:rFonts w:eastAsia="楷体"/>
          <w:color w:val="auto"/>
          <w:sz w:val="28"/>
          <w:szCs w:val="28"/>
          <w:highlight w:val="none"/>
        </w:rPr>
        <w:t>4.5汛期水库的管理工作</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_Toc3500 </w:instrText>
      </w:r>
      <w:r>
        <w:rPr>
          <w:rFonts w:eastAsia="楷体"/>
          <w:color w:val="auto"/>
          <w:sz w:val="28"/>
          <w:szCs w:val="28"/>
          <w:highlight w:val="none"/>
        </w:rPr>
        <w:fldChar w:fldCharType="separate"/>
      </w:r>
      <w:r>
        <w:rPr>
          <w:rFonts w:eastAsia="楷体"/>
          <w:color w:val="auto"/>
          <w:sz w:val="28"/>
          <w:szCs w:val="28"/>
          <w:highlight w:val="none"/>
        </w:rPr>
        <w:t>7</w:t>
      </w:r>
      <w:r>
        <w:rPr>
          <w:rFonts w:hint="eastAsia" w:eastAsia="楷体"/>
          <w:color w:val="auto"/>
          <w:sz w:val="28"/>
          <w:szCs w:val="28"/>
          <w:highlight w:val="none"/>
          <w:lang w:val="en-US" w:eastAsia="zh-CN"/>
        </w:rPr>
        <w:t>4</w:t>
      </w:r>
      <w:r>
        <w:rPr>
          <w:rFonts w:eastAsia="楷体"/>
          <w:color w:val="auto"/>
          <w:sz w:val="28"/>
          <w:szCs w:val="28"/>
          <w:highlight w:val="none"/>
        </w:rPr>
        <w:fldChar w:fldCharType="end"/>
      </w:r>
      <w:r>
        <w:rPr>
          <w:rFonts w:eastAsia="楷体"/>
          <w:color w:val="auto"/>
          <w:sz w:val="28"/>
          <w:szCs w:val="28"/>
          <w:highlight w:val="none"/>
        </w:rPr>
        <w:fldChar w:fldCharType="end"/>
      </w:r>
    </w:p>
    <w:p w14:paraId="799CB47A">
      <w:pPr>
        <w:pStyle w:val="16"/>
        <w:tabs>
          <w:tab w:val="right" w:leader="dot" w:pos="8306"/>
        </w:tabs>
        <w:spacing w:line="520" w:lineRule="exact"/>
        <w:rPr>
          <w:rFonts w:hint="eastAsia" w:eastAsia="楷体"/>
          <w:color w:val="auto"/>
          <w:sz w:val="28"/>
          <w:szCs w:val="28"/>
          <w:highlight w:val="none"/>
          <w:lang w:val="en-US" w:eastAsia="zh-CN"/>
        </w:rPr>
      </w:pPr>
    </w:p>
    <w:p w14:paraId="0237A841">
      <w:pPr>
        <w:spacing w:line="520" w:lineRule="exact"/>
        <w:ind w:firstLine="137" w:firstLineChars="49"/>
        <w:rPr>
          <w:rFonts w:eastAsia="楷体"/>
          <w:b/>
          <w:color w:val="auto"/>
          <w:kern w:val="0"/>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eastAsia="楷体"/>
          <w:bCs/>
          <w:color w:val="auto"/>
          <w:kern w:val="0"/>
          <w:sz w:val="28"/>
          <w:szCs w:val="28"/>
          <w:highlight w:val="none"/>
        </w:rPr>
        <w:fldChar w:fldCharType="end"/>
      </w:r>
    </w:p>
    <w:p w14:paraId="7350AFCC">
      <w:pPr>
        <w:spacing w:line="520" w:lineRule="exact"/>
        <w:jc w:val="center"/>
        <w:rPr>
          <w:rFonts w:eastAsia="楷体"/>
          <w:b/>
          <w:color w:val="auto"/>
          <w:sz w:val="28"/>
          <w:szCs w:val="28"/>
          <w:highlight w:val="none"/>
        </w:rPr>
      </w:pPr>
      <w:r>
        <w:rPr>
          <w:rFonts w:eastAsia="楷体"/>
          <w:b/>
          <w:color w:val="auto"/>
          <w:sz w:val="28"/>
          <w:szCs w:val="28"/>
          <w:highlight w:val="none"/>
        </w:rPr>
        <w:t>前烧水库工程特性表</w:t>
      </w:r>
    </w:p>
    <w:tbl>
      <w:tblPr>
        <w:tblStyle w:val="19"/>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3"/>
        <w:gridCol w:w="344"/>
        <w:gridCol w:w="974"/>
        <w:gridCol w:w="1549"/>
        <w:gridCol w:w="809"/>
        <w:gridCol w:w="1772"/>
        <w:gridCol w:w="578"/>
        <w:gridCol w:w="409"/>
        <w:gridCol w:w="1320"/>
      </w:tblGrid>
      <w:tr w14:paraId="4D00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12" w:space="0"/>
              <w:left w:val="single" w:color="000000" w:sz="12" w:space="0"/>
              <w:bottom w:val="single" w:color="000000" w:sz="4" w:space="0"/>
              <w:right w:val="single" w:color="000000" w:sz="4" w:space="0"/>
            </w:tcBorders>
            <w:vAlign w:val="center"/>
          </w:tcPr>
          <w:p w14:paraId="713C30B3">
            <w:pPr>
              <w:widowControl/>
              <w:jc w:val="center"/>
              <w:textAlignment w:val="center"/>
              <w:rPr>
                <w:rFonts w:eastAsia="楷体"/>
                <w:color w:val="auto"/>
                <w:sz w:val="18"/>
                <w:szCs w:val="18"/>
                <w:highlight w:val="none"/>
              </w:rPr>
            </w:pPr>
            <w:bookmarkStart w:id="0" w:name="_Toc11427"/>
            <w:r>
              <w:rPr>
                <w:rFonts w:eastAsia="楷体"/>
                <w:color w:val="auto"/>
                <w:kern w:val="0"/>
                <w:sz w:val="18"/>
                <w:szCs w:val="18"/>
                <w:highlight w:val="none"/>
              </w:rPr>
              <w:t>水库名称</w:t>
            </w:r>
          </w:p>
        </w:tc>
        <w:tc>
          <w:tcPr>
            <w:tcW w:w="1549" w:type="dxa"/>
            <w:tcBorders>
              <w:top w:val="single" w:color="000000" w:sz="12" w:space="0"/>
              <w:left w:val="single" w:color="000000" w:sz="4" w:space="0"/>
              <w:bottom w:val="single" w:color="000000" w:sz="4" w:space="0"/>
              <w:right w:val="single" w:color="000000" w:sz="4" w:space="0"/>
            </w:tcBorders>
            <w:vAlign w:val="center"/>
          </w:tcPr>
          <w:p w14:paraId="21F0E775">
            <w:pPr>
              <w:widowControl/>
              <w:jc w:val="center"/>
              <w:textAlignment w:val="center"/>
              <w:rPr>
                <w:rFonts w:eastAsia="楷体"/>
                <w:color w:val="auto"/>
                <w:sz w:val="18"/>
                <w:szCs w:val="18"/>
                <w:highlight w:val="none"/>
              </w:rPr>
            </w:pPr>
            <w:r>
              <w:rPr>
                <w:rFonts w:eastAsia="楷体"/>
                <w:color w:val="auto"/>
                <w:kern w:val="0"/>
                <w:sz w:val="18"/>
                <w:szCs w:val="18"/>
                <w:highlight w:val="none"/>
              </w:rPr>
              <w:t>前烧水库</w:t>
            </w:r>
          </w:p>
        </w:tc>
        <w:tc>
          <w:tcPr>
            <w:tcW w:w="3159" w:type="dxa"/>
            <w:gridSpan w:val="3"/>
            <w:tcBorders>
              <w:top w:val="single" w:color="000000" w:sz="12" w:space="0"/>
              <w:left w:val="single" w:color="000000" w:sz="4" w:space="0"/>
              <w:bottom w:val="single" w:color="000000" w:sz="4" w:space="0"/>
              <w:right w:val="single" w:color="000000" w:sz="4" w:space="0"/>
            </w:tcBorders>
            <w:vAlign w:val="center"/>
          </w:tcPr>
          <w:p w14:paraId="2CA60B47">
            <w:pPr>
              <w:widowControl/>
              <w:jc w:val="center"/>
              <w:textAlignment w:val="center"/>
              <w:rPr>
                <w:rFonts w:eastAsia="楷体"/>
                <w:color w:val="auto"/>
                <w:sz w:val="18"/>
                <w:szCs w:val="18"/>
                <w:highlight w:val="none"/>
              </w:rPr>
            </w:pPr>
            <w:r>
              <w:rPr>
                <w:rFonts w:eastAsia="楷体"/>
                <w:color w:val="auto"/>
                <w:kern w:val="0"/>
                <w:sz w:val="18"/>
                <w:szCs w:val="18"/>
                <w:highlight w:val="none"/>
              </w:rPr>
              <w:t>主管部门</w:t>
            </w:r>
          </w:p>
        </w:tc>
        <w:tc>
          <w:tcPr>
            <w:tcW w:w="1729" w:type="dxa"/>
            <w:gridSpan w:val="2"/>
            <w:tcBorders>
              <w:top w:val="single" w:color="000000" w:sz="12" w:space="0"/>
              <w:left w:val="single" w:color="000000" w:sz="4" w:space="0"/>
              <w:bottom w:val="single" w:color="000000" w:sz="4" w:space="0"/>
              <w:right w:val="single" w:color="000000" w:sz="12" w:space="0"/>
            </w:tcBorders>
            <w:vAlign w:val="center"/>
          </w:tcPr>
          <w:p w14:paraId="319F59BC">
            <w:pPr>
              <w:widowControl/>
              <w:jc w:val="center"/>
              <w:textAlignment w:val="center"/>
              <w:rPr>
                <w:rFonts w:hint="eastAsia" w:eastAsia="楷体"/>
                <w:color w:val="auto"/>
                <w:sz w:val="18"/>
                <w:szCs w:val="18"/>
                <w:highlight w:val="none"/>
                <w:lang w:val="en-US" w:eastAsia="zh-CN"/>
              </w:rPr>
            </w:pPr>
            <w:r>
              <w:rPr>
                <w:rFonts w:hint="eastAsia" w:eastAsia="楷体"/>
                <w:color w:val="auto"/>
                <w:sz w:val="18"/>
                <w:szCs w:val="18"/>
                <w:highlight w:val="none"/>
                <w:lang w:val="en-US" w:eastAsia="zh-CN"/>
              </w:rPr>
              <w:t>泉港区农水局</w:t>
            </w:r>
          </w:p>
        </w:tc>
      </w:tr>
      <w:tr w14:paraId="26E1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B1C8DBE">
            <w:pPr>
              <w:widowControl/>
              <w:jc w:val="center"/>
              <w:textAlignment w:val="center"/>
              <w:rPr>
                <w:rFonts w:eastAsia="楷体"/>
                <w:color w:val="auto"/>
                <w:sz w:val="18"/>
                <w:szCs w:val="18"/>
                <w:highlight w:val="none"/>
              </w:rPr>
            </w:pPr>
            <w:r>
              <w:rPr>
                <w:rFonts w:eastAsia="楷体"/>
                <w:color w:val="auto"/>
                <w:kern w:val="0"/>
                <w:sz w:val="18"/>
                <w:szCs w:val="18"/>
                <w:highlight w:val="none"/>
              </w:rPr>
              <w:t>管理机构名称</w:t>
            </w:r>
          </w:p>
        </w:tc>
        <w:tc>
          <w:tcPr>
            <w:tcW w:w="1549" w:type="dxa"/>
            <w:tcBorders>
              <w:top w:val="single" w:color="000000" w:sz="4" w:space="0"/>
              <w:left w:val="single" w:color="000000" w:sz="4" w:space="0"/>
              <w:bottom w:val="single" w:color="000000" w:sz="4" w:space="0"/>
              <w:right w:val="single" w:color="000000" w:sz="4" w:space="0"/>
            </w:tcBorders>
            <w:vAlign w:val="center"/>
          </w:tcPr>
          <w:p w14:paraId="1585DCB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前烧村委会</w:t>
            </w:r>
          </w:p>
        </w:tc>
        <w:tc>
          <w:tcPr>
            <w:tcW w:w="3159" w:type="dxa"/>
            <w:gridSpan w:val="3"/>
            <w:tcBorders>
              <w:top w:val="single" w:color="000000" w:sz="4" w:space="0"/>
              <w:left w:val="single" w:color="000000" w:sz="4" w:space="0"/>
              <w:bottom w:val="single" w:color="000000" w:sz="4" w:space="0"/>
              <w:right w:val="single" w:color="000000" w:sz="4" w:space="0"/>
            </w:tcBorders>
            <w:vAlign w:val="center"/>
          </w:tcPr>
          <w:p w14:paraId="7DB4FCF1">
            <w:pPr>
              <w:widowControl/>
              <w:jc w:val="center"/>
              <w:textAlignment w:val="center"/>
              <w:rPr>
                <w:rFonts w:eastAsia="楷体"/>
                <w:color w:val="auto"/>
                <w:sz w:val="18"/>
                <w:szCs w:val="18"/>
                <w:highlight w:val="none"/>
              </w:rPr>
            </w:pPr>
            <w:r>
              <w:rPr>
                <w:rFonts w:eastAsia="楷体"/>
                <w:color w:val="auto"/>
                <w:kern w:val="0"/>
                <w:sz w:val="18"/>
                <w:szCs w:val="18"/>
                <w:highlight w:val="none"/>
              </w:rPr>
              <w:t>所在地点</w:t>
            </w:r>
          </w:p>
        </w:tc>
        <w:tc>
          <w:tcPr>
            <w:tcW w:w="1729" w:type="dxa"/>
            <w:gridSpan w:val="2"/>
            <w:tcBorders>
              <w:top w:val="single" w:color="000000" w:sz="4" w:space="0"/>
              <w:left w:val="single" w:color="000000" w:sz="4" w:space="0"/>
              <w:bottom w:val="single" w:color="000000" w:sz="4" w:space="0"/>
              <w:right w:val="single" w:color="000000" w:sz="12" w:space="0"/>
            </w:tcBorders>
            <w:vAlign w:val="center"/>
          </w:tcPr>
          <w:p w14:paraId="76BB5FC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前黄镇</w:t>
            </w:r>
            <w:r>
              <w:rPr>
                <w:rFonts w:eastAsia="楷体"/>
                <w:color w:val="auto"/>
                <w:kern w:val="0"/>
                <w:sz w:val="18"/>
                <w:szCs w:val="18"/>
                <w:highlight w:val="none"/>
              </w:rPr>
              <w:t>前烧</w:t>
            </w:r>
            <w:r>
              <w:rPr>
                <w:rFonts w:hint="eastAsia" w:eastAsia="楷体"/>
                <w:color w:val="auto"/>
                <w:kern w:val="0"/>
                <w:sz w:val="18"/>
                <w:szCs w:val="18"/>
                <w:highlight w:val="none"/>
              </w:rPr>
              <w:t>村</w:t>
            </w:r>
          </w:p>
        </w:tc>
      </w:tr>
      <w:tr w14:paraId="5251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4293B3F6">
            <w:pPr>
              <w:widowControl/>
              <w:jc w:val="center"/>
              <w:textAlignment w:val="center"/>
              <w:rPr>
                <w:rFonts w:eastAsia="楷体"/>
                <w:color w:val="auto"/>
                <w:sz w:val="18"/>
                <w:szCs w:val="18"/>
                <w:highlight w:val="none"/>
              </w:rPr>
            </w:pPr>
            <w:r>
              <w:rPr>
                <w:rFonts w:eastAsia="楷体"/>
                <w:color w:val="auto"/>
                <w:kern w:val="0"/>
                <w:sz w:val="18"/>
                <w:szCs w:val="18"/>
                <w:highlight w:val="none"/>
              </w:rPr>
              <w:t>地理</w:t>
            </w:r>
          </w:p>
        </w:tc>
        <w:tc>
          <w:tcPr>
            <w:tcW w:w="974" w:type="dxa"/>
            <w:tcBorders>
              <w:top w:val="single" w:color="000000" w:sz="4" w:space="0"/>
              <w:left w:val="single" w:color="000000" w:sz="4" w:space="0"/>
              <w:bottom w:val="single" w:color="000000" w:sz="4" w:space="0"/>
              <w:right w:val="single" w:color="000000" w:sz="4" w:space="0"/>
            </w:tcBorders>
            <w:vAlign w:val="center"/>
          </w:tcPr>
          <w:p w14:paraId="62BAD168">
            <w:pPr>
              <w:widowControl/>
              <w:jc w:val="center"/>
              <w:textAlignment w:val="center"/>
              <w:rPr>
                <w:rFonts w:eastAsia="楷体"/>
                <w:color w:val="auto"/>
                <w:sz w:val="18"/>
                <w:szCs w:val="18"/>
                <w:highlight w:val="none"/>
              </w:rPr>
            </w:pPr>
            <w:r>
              <w:rPr>
                <w:rFonts w:eastAsia="楷体"/>
                <w:color w:val="auto"/>
                <w:kern w:val="0"/>
                <w:sz w:val="18"/>
                <w:szCs w:val="18"/>
                <w:highlight w:val="none"/>
              </w:rPr>
              <w:t>东经</w:t>
            </w:r>
          </w:p>
        </w:tc>
        <w:tc>
          <w:tcPr>
            <w:tcW w:w="1549" w:type="dxa"/>
            <w:tcBorders>
              <w:top w:val="single" w:color="000000" w:sz="4" w:space="0"/>
              <w:left w:val="single" w:color="000000" w:sz="4" w:space="0"/>
              <w:bottom w:val="single" w:color="000000" w:sz="4" w:space="0"/>
              <w:right w:val="single" w:color="000000" w:sz="4" w:space="0"/>
            </w:tcBorders>
            <w:vAlign w:val="center"/>
          </w:tcPr>
          <w:p w14:paraId="1861CDE8">
            <w:pPr>
              <w:widowControl/>
              <w:jc w:val="center"/>
              <w:textAlignment w:val="center"/>
              <w:rPr>
                <w:rFonts w:eastAsia="楷体"/>
                <w:color w:val="auto"/>
                <w:sz w:val="18"/>
                <w:szCs w:val="18"/>
                <w:highlight w:val="none"/>
              </w:rPr>
            </w:pPr>
            <w:r>
              <w:rPr>
                <w:rFonts w:eastAsia="楷体"/>
                <w:color w:val="auto"/>
                <w:kern w:val="0"/>
                <w:sz w:val="18"/>
                <w:szCs w:val="18"/>
                <w:highlight w:val="none"/>
              </w:rPr>
              <w:t>118°</w:t>
            </w:r>
            <w:r>
              <w:rPr>
                <w:rFonts w:hint="eastAsia" w:eastAsia="楷体"/>
                <w:color w:val="auto"/>
                <w:kern w:val="0"/>
                <w:sz w:val="18"/>
                <w:szCs w:val="18"/>
                <w:highlight w:val="none"/>
              </w:rPr>
              <w:t>50</w:t>
            </w:r>
            <w:r>
              <w:rPr>
                <w:rFonts w:eastAsia="楷体"/>
                <w:color w:val="auto"/>
                <w:kern w:val="0"/>
                <w:sz w:val="18"/>
                <w:szCs w:val="18"/>
                <w:highlight w:val="none"/>
              </w:rPr>
              <w:t>′</w:t>
            </w:r>
            <w:r>
              <w:rPr>
                <w:rFonts w:hint="eastAsia" w:eastAsia="楷体"/>
                <w:color w:val="auto"/>
                <w:kern w:val="0"/>
                <w:sz w:val="18"/>
                <w:szCs w:val="18"/>
                <w:highlight w:val="none"/>
              </w:rPr>
              <w:t>00</w:t>
            </w:r>
            <w:r>
              <w:rPr>
                <w:rFonts w:eastAsia="楷体"/>
                <w:color w:val="auto"/>
                <w:kern w:val="0"/>
                <w:sz w:val="18"/>
                <w:szCs w:val="18"/>
                <w:highlight w:val="none"/>
              </w:rPr>
              <w:t>″</w:t>
            </w:r>
          </w:p>
        </w:tc>
        <w:tc>
          <w:tcPr>
            <w:tcW w:w="809" w:type="dxa"/>
            <w:tcBorders>
              <w:top w:val="single" w:color="000000" w:sz="4" w:space="0"/>
              <w:left w:val="single" w:color="000000" w:sz="4" w:space="0"/>
              <w:bottom w:val="single" w:color="000000" w:sz="4" w:space="0"/>
              <w:right w:val="single" w:color="000000" w:sz="4" w:space="0"/>
            </w:tcBorders>
            <w:vAlign w:val="center"/>
          </w:tcPr>
          <w:p w14:paraId="236CDF46">
            <w:pPr>
              <w:widowControl/>
              <w:jc w:val="center"/>
              <w:textAlignment w:val="center"/>
              <w:rPr>
                <w:rFonts w:eastAsia="楷体"/>
                <w:color w:val="auto"/>
                <w:sz w:val="18"/>
                <w:szCs w:val="18"/>
                <w:highlight w:val="none"/>
              </w:rPr>
            </w:pPr>
            <w:r>
              <w:rPr>
                <w:rFonts w:eastAsia="楷体"/>
                <w:color w:val="auto"/>
                <w:kern w:val="0"/>
                <w:sz w:val="18"/>
                <w:szCs w:val="18"/>
                <w:highlight w:val="none"/>
              </w:rPr>
              <w:t>开工日期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0103C25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3BC4CF11">
            <w:pPr>
              <w:widowControl/>
              <w:jc w:val="center"/>
              <w:textAlignment w:val="center"/>
              <w:rPr>
                <w:rFonts w:eastAsia="楷体"/>
                <w:color w:val="auto"/>
                <w:sz w:val="18"/>
                <w:szCs w:val="18"/>
                <w:highlight w:val="none"/>
              </w:rPr>
            </w:pPr>
            <w:r>
              <w:rPr>
                <w:rFonts w:eastAsia="楷体"/>
                <w:color w:val="auto"/>
                <w:kern w:val="0"/>
                <w:sz w:val="18"/>
                <w:szCs w:val="18"/>
                <w:highlight w:val="none"/>
              </w:rPr>
              <w:t>所在河流</w:t>
            </w:r>
          </w:p>
        </w:tc>
        <w:tc>
          <w:tcPr>
            <w:tcW w:w="1320" w:type="dxa"/>
            <w:tcBorders>
              <w:top w:val="single" w:color="000000" w:sz="4" w:space="0"/>
              <w:left w:val="single" w:color="000000" w:sz="4" w:space="0"/>
              <w:bottom w:val="single" w:color="000000" w:sz="4" w:space="0"/>
              <w:right w:val="single" w:color="000000" w:sz="12" w:space="0"/>
            </w:tcBorders>
            <w:vAlign w:val="center"/>
          </w:tcPr>
          <w:p w14:paraId="5D11888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前烧溪</w:t>
            </w:r>
          </w:p>
        </w:tc>
      </w:tr>
      <w:tr w14:paraId="35A1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6D0E88E9">
            <w:pPr>
              <w:widowControl/>
              <w:jc w:val="center"/>
              <w:textAlignment w:val="center"/>
              <w:rPr>
                <w:rFonts w:eastAsia="楷体"/>
                <w:color w:val="auto"/>
                <w:sz w:val="18"/>
                <w:szCs w:val="18"/>
                <w:highlight w:val="none"/>
              </w:rPr>
            </w:pPr>
            <w:r>
              <w:rPr>
                <w:rFonts w:eastAsia="楷体"/>
                <w:color w:val="auto"/>
                <w:kern w:val="0"/>
                <w:sz w:val="18"/>
                <w:szCs w:val="18"/>
                <w:highlight w:val="none"/>
              </w:rPr>
              <w:t>位置</w:t>
            </w:r>
          </w:p>
        </w:tc>
        <w:tc>
          <w:tcPr>
            <w:tcW w:w="974" w:type="dxa"/>
            <w:tcBorders>
              <w:top w:val="single" w:color="000000" w:sz="4" w:space="0"/>
              <w:left w:val="single" w:color="000000" w:sz="4" w:space="0"/>
              <w:bottom w:val="single" w:color="000000" w:sz="4" w:space="0"/>
              <w:right w:val="single" w:color="000000" w:sz="4" w:space="0"/>
            </w:tcBorders>
            <w:vAlign w:val="center"/>
          </w:tcPr>
          <w:p w14:paraId="565A868B">
            <w:pPr>
              <w:widowControl/>
              <w:jc w:val="center"/>
              <w:textAlignment w:val="center"/>
              <w:rPr>
                <w:rFonts w:eastAsia="楷体"/>
                <w:color w:val="auto"/>
                <w:sz w:val="18"/>
                <w:szCs w:val="18"/>
                <w:highlight w:val="none"/>
              </w:rPr>
            </w:pPr>
            <w:r>
              <w:rPr>
                <w:rFonts w:eastAsia="楷体"/>
                <w:color w:val="auto"/>
                <w:kern w:val="0"/>
                <w:sz w:val="18"/>
                <w:szCs w:val="18"/>
                <w:highlight w:val="none"/>
              </w:rPr>
              <w:t>北纬</w:t>
            </w:r>
          </w:p>
        </w:tc>
        <w:tc>
          <w:tcPr>
            <w:tcW w:w="1549" w:type="dxa"/>
            <w:tcBorders>
              <w:top w:val="single" w:color="000000" w:sz="4" w:space="0"/>
              <w:left w:val="single" w:color="000000" w:sz="4" w:space="0"/>
              <w:bottom w:val="single" w:color="000000" w:sz="4" w:space="0"/>
              <w:right w:val="single" w:color="000000" w:sz="4" w:space="0"/>
            </w:tcBorders>
            <w:vAlign w:val="center"/>
          </w:tcPr>
          <w:p w14:paraId="3FE4F09D">
            <w:pPr>
              <w:widowControl/>
              <w:jc w:val="center"/>
              <w:textAlignment w:val="center"/>
              <w:rPr>
                <w:rFonts w:eastAsia="楷体"/>
                <w:color w:val="auto"/>
                <w:sz w:val="18"/>
                <w:szCs w:val="18"/>
                <w:highlight w:val="none"/>
              </w:rPr>
            </w:pPr>
            <w:r>
              <w:rPr>
                <w:rFonts w:eastAsia="楷体"/>
                <w:color w:val="auto"/>
                <w:kern w:val="0"/>
                <w:sz w:val="18"/>
                <w:szCs w:val="18"/>
                <w:highlight w:val="none"/>
              </w:rPr>
              <w:t>25°</w:t>
            </w:r>
            <w:r>
              <w:rPr>
                <w:rFonts w:hint="eastAsia" w:eastAsia="楷体"/>
                <w:color w:val="auto"/>
                <w:kern w:val="0"/>
                <w:sz w:val="18"/>
                <w:szCs w:val="18"/>
                <w:highlight w:val="none"/>
              </w:rPr>
              <w:t>07</w:t>
            </w:r>
            <w:r>
              <w:rPr>
                <w:rFonts w:eastAsia="楷体"/>
                <w:color w:val="auto"/>
                <w:kern w:val="0"/>
                <w:sz w:val="18"/>
                <w:szCs w:val="18"/>
                <w:highlight w:val="none"/>
              </w:rPr>
              <w:t>′</w:t>
            </w:r>
            <w:r>
              <w:rPr>
                <w:rFonts w:hint="eastAsia" w:eastAsia="楷体"/>
                <w:color w:val="auto"/>
                <w:kern w:val="0"/>
                <w:sz w:val="18"/>
                <w:szCs w:val="18"/>
                <w:highlight w:val="none"/>
              </w:rPr>
              <w:t>30</w:t>
            </w:r>
            <w:r>
              <w:rPr>
                <w:rFonts w:eastAsia="楷体"/>
                <w:color w:val="auto"/>
                <w:kern w:val="0"/>
                <w:sz w:val="18"/>
                <w:szCs w:val="18"/>
                <w:highlight w:val="none"/>
              </w:rPr>
              <w:t>″</w:t>
            </w:r>
          </w:p>
        </w:tc>
        <w:tc>
          <w:tcPr>
            <w:tcW w:w="809" w:type="dxa"/>
            <w:tcBorders>
              <w:top w:val="single" w:color="000000" w:sz="4" w:space="0"/>
              <w:left w:val="single" w:color="000000" w:sz="4" w:space="0"/>
              <w:bottom w:val="single" w:color="000000" w:sz="4" w:space="0"/>
              <w:right w:val="single" w:color="000000" w:sz="4" w:space="0"/>
            </w:tcBorders>
            <w:vAlign w:val="center"/>
          </w:tcPr>
          <w:p w14:paraId="7F9364B2">
            <w:pPr>
              <w:widowControl/>
              <w:jc w:val="center"/>
              <w:textAlignment w:val="center"/>
              <w:rPr>
                <w:rFonts w:eastAsia="楷体"/>
                <w:color w:val="auto"/>
                <w:sz w:val="18"/>
                <w:szCs w:val="18"/>
                <w:highlight w:val="none"/>
              </w:rPr>
            </w:pPr>
            <w:r>
              <w:rPr>
                <w:rFonts w:eastAsia="楷体"/>
                <w:color w:val="auto"/>
                <w:kern w:val="0"/>
                <w:sz w:val="18"/>
                <w:szCs w:val="18"/>
                <w:highlight w:val="none"/>
              </w:rPr>
              <w:t>竣工日期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10B76E0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1965</w:t>
            </w:r>
            <w:r>
              <w:rPr>
                <w:rFonts w:eastAsia="楷体"/>
                <w:color w:val="auto"/>
                <w:kern w:val="0"/>
                <w:sz w:val="18"/>
                <w:szCs w:val="18"/>
                <w:highlight w:val="none"/>
              </w:rPr>
              <w:t>年</w:t>
            </w:r>
            <w:r>
              <w:rPr>
                <w:rFonts w:hint="eastAsia" w:eastAsia="楷体"/>
                <w:color w:val="auto"/>
                <w:kern w:val="0"/>
                <w:sz w:val="18"/>
                <w:szCs w:val="18"/>
                <w:highlight w:val="none"/>
              </w:rPr>
              <w:t>8月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784E8CC7">
            <w:pPr>
              <w:widowControl/>
              <w:jc w:val="center"/>
              <w:textAlignment w:val="center"/>
              <w:rPr>
                <w:rFonts w:eastAsia="楷体"/>
                <w:color w:val="auto"/>
                <w:sz w:val="18"/>
                <w:szCs w:val="18"/>
                <w:highlight w:val="none"/>
              </w:rPr>
            </w:pPr>
            <w:r>
              <w:rPr>
                <w:rFonts w:eastAsia="楷体"/>
                <w:color w:val="auto"/>
                <w:kern w:val="0"/>
                <w:sz w:val="18"/>
                <w:szCs w:val="18"/>
                <w:highlight w:val="none"/>
              </w:rPr>
              <w:t>高程基准</w:t>
            </w:r>
          </w:p>
        </w:tc>
        <w:tc>
          <w:tcPr>
            <w:tcW w:w="1320" w:type="dxa"/>
            <w:tcBorders>
              <w:top w:val="single" w:color="000000" w:sz="4" w:space="0"/>
              <w:left w:val="single" w:color="000000" w:sz="4" w:space="0"/>
              <w:bottom w:val="single" w:color="000000" w:sz="4" w:space="0"/>
              <w:right w:val="single" w:color="000000" w:sz="12" w:space="0"/>
            </w:tcBorders>
            <w:vAlign w:val="center"/>
          </w:tcPr>
          <w:p w14:paraId="7508460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1985国家高程基准</w:t>
            </w:r>
          </w:p>
        </w:tc>
      </w:tr>
      <w:tr w14:paraId="37B3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8523304">
            <w:pPr>
              <w:widowControl/>
              <w:jc w:val="center"/>
              <w:textAlignment w:val="center"/>
              <w:rPr>
                <w:rFonts w:eastAsia="楷体"/>
                <w:color w:val="auto"/>
                <w:sz w:val="18"/>
                <w:szCs w:val="18"/>
                <w:highlight w:val="none"/>
              </w:rPr>
            </w:pPr>
            <w:r>
              <w:rPr>
                <w:rFonts w:eastAsia="楷体"/>
                <w:color w:val="auto"/>
                <w:kern w:val="0"/>
                <w:sz w:val="18"/>
                <w:szCs w:val="18"/>
                <w:highlight w:val="none"/>
              </w:rPr>
              <w:t>集雨面积(km</w:t>
            </w:r>
            <w:r>
              <w:rPr>
                <w:rStyle w:val="35"/>
                <w:rFonts w:hint="default" w:eastAsia="楷体"/>
                <w:color w:val="auto"/>
                <w:sz w:val="18"/>
                <w:szCs w:val="18"/>
                <w:highlight w:val="none"/>
              </w:rPr>
              <w:t>2</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663585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0.87</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2BB4369A">
            <w:pPr>
              <w:widowControl/>
              <w:jc w:val="center"/>
              <w:textAlignment w:val="center"/>
              <w:rPr>
                <w:rFonts w:eastAsia="楷体"/>
                <w:color w:val="auto"/>
                <w:sz w:val="18"/>
                <w:szCs w:val="18"/>
                <w:highlight w:val="none"/>
              </w:rPr>
            </w:pPr>
            <w:r>
              <w:rPr>
                <w:rFonts w:eastAsia="楷体"/>
                <w:color w:val="auto"/>
                <w:kern w:val="0"/>
                <w:sz w:val="18"/>
                <w:szCs w:val="18"/>
                <w:highlight w:val="none"/>
              </w:rPr>
              <w:t>主坝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7435145C">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948301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均质土坝</w:t>
            </w:r>
          </w:p>
        </w:tc>
      </w:tr>
      <w:tr w14:paraId="55A5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AA2A17F">
            <w:pPr>
              <w:widowControl/>
              <w:jc w:val="center"/>
              <w:textAlignment w:val="center"/>
              <w:rPr>
                <w:rFonts w:eastAsia="楷体"/>
                <w:color w:val="auto"/>
                <w:sz w:val="18"/>
                <w:szCs w:val="18"/>
                <w:highlight w:val="none"/>
              </w:rPr>
            </w:pPr>
            <w:r>
              <w:rPr>
                <w:rFonts w:eastAsia="楷体"/>
                <w:color w:val="auto"/>
                <w:kern w:val="0"/>
                <w:sz w:val="18"/>
                <w:szCs w:val="18"/>
                <w:highlight w:val="none"/>
              </w:rPr>
              <w:t>河流比降(‰)</w:t>
            </w:r>
          </w:p>
        </w:tc>
        <w:tc>
          <w:tcPr>
            <w:tcW w:w="1549" w:type="dxa"/>
            <w:tcBorders>
              <w:top w:val="single" w:color="000000" w:sz="4" w:space="0"/>
              <w:left w:val="single" w:color="000000" w:sz="4" w:space="0"/>
              <w:bottom w:val="single" w:color="000000" w:sz="4" w:space="0"/>
              <w:right w:val="single" w:color="000000" w:sz="4" w:space="0"/>
            </w:tcBorders>
            <w:vAlign w:val="center"/>
          </w:tcPr>
          <w:p w14:paraId="1661E7A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160.3</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B0B4CCF">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6850886">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9AE02E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39.80</w:t>
            </w:r>
          </w:p>
        </w:tc>
      </w:tr>
      <w:tr w14:paraId="6AA1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1084468">
            <w:pPr>
              <w:widowControl/>
              <w:jc w:val="center"/>
              <w:textAlignment w:val="center"/>
              <w:rPr>
                <w:rFonts w:eastAsia="楷体"/>
                <w:color w:val="auto"/>
                <w:sz w:val="18"/>
                <w:szCs w:val="18"/>
                <w:highlight w:val="none"/>
              </w:rPr>
            </w:pPr>
            <w:r>
              <w:rPr>
                <w:rFonts w:eastAsia="楷体"/>
                <w:color w:val="auto"/>
                <w:kern w:val="0"/>
                <w:sz w:val="18"/>
                <w:szCs w:val="18"/>
                <w:highlight w:val="none"/>
              </w:rPr>
              <w:t>主河道长度(km)</w:t>
            </w:r>
          </w:p>
        </w:tc>
        <w:tc>
          <w:tcPr>
            <w:tcW w:w="1549" w:type="dxa"/>
            <w:tcBorders>
              <w:top w:val="single" w:color="000000" w:sz="4" w:space="0"/>
              <w:left w:val="single" w:color="000000" w:sz="4" w:space="0"/>
              <w:bottom w:val="single" w:color="000000" w:sz="4" w:space="0"/>
              <w:right w:val="single" w:color="000000" w:sz="4" w:space="0"/>
            </w:tcBorders>
            <w:vAlign w:val="center"/>
          </w:tcPr>
          <w:p w14:paraId="07A536D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1.33</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9925C22">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38138B2">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9C5F97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40.75</w:t>
            </w:r>
          </w:p>
        </w:tc>
      </w:tr>
      <w:tr w14:paraId="4537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9CFA0A5">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多年平均降水量(mm)</w:t>
            </w:r>
          </w:p>
        </w:tc>
        <w:tc>
          <w:tcPr>
            <w:tcW w:w="1549" w:type="dxa"/>
            <w:tcBorders>
              <w:top w:val="single" w:color="000000" w:sz="4" w:space="0"/>
              <w:left w:val="single" w:color="000000" w:sz="4" w:space="0"/>
              <w:bottom w:val="single" w:color="000000" w:sz="4" w:space="0"/>
              <w:right w:val="single" w:color="000000" w:sz="4" w:space="0"/>
            </w:tcBorders>
            <w:vAlign w:val="center"/>
          </w:tcPr>
          <w:p w14:paraId="7970C9C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1350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8904924">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9BAC53F">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507B9D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12.00</w:t>
            </w:r>
          </w:p>
        </w:tc>
      </w:tr>
      <w:tr w14:paraId="6335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F1A46B6">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多年平均径流量(万m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61DA1EC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8CA704E">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D999C62">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CA8B07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200</w:t>
            </w:r>
          </w:p>
        </w:tc>
      </w:tr>
      <w:tr w14:paraId="3CD2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EE8266B">
            <w:pPr>
              <w:widowControl/>
              <w:jc w:val="center"/>
              <w:textAlignment w:val="center"/>
              <w:rPr>
                <w:rFonts w:eastAsia="楷体"/>
                <w:color w:val="auto"/>
                <w:sz w:val="18"/>
                <w:szCs w:val="18"/>
                <w:highlight w:val="none"/>
              </w:rPr>
            </w:pPr>
            <w:r>
              <w:rPr>
                <w:rFonts w:eastAsia="楷体"/>
                <w:color w:val="auto"/>
                <w:kern w:val="0"/>
                <w:sz w:val="18"/>
                <w:szCs w:val="18"/>
                <w:highlight w:val="none"/>
              </w:rPr>
              <w:t>正常蓄水位(m)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7921B7F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37.75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B38A6C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741A759">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A408E4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3.90</w:t>
            </w:r>
          </w:p>
        </w:tc>
      </w:tr>
      <w:tr w14:paraId="24D7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B008F85">
            <w:pPr>
              <w:widowControl/>
              <w:jc w:val="center"/>
              <w:textAlignment w:val="center"/>
              <w:rPr>
                <w:rFonts w:eastAsia="楷体"/>
                <w:color w:val="auto"/>
                <w:sz w:val="18"/>
                <w:szCs w:val="18"/>
                <w:highlight w:val="none"/>
              </w:rPr>
            </w:pPr>
            <w:r>
              <w:rPr>
                <w:rFonts w:eastAsia="楷体"/>
                <w:color w:val="auto"/>
                <w:kern w:val="0"/>
                <w:sz w:val="18"/>
                <w:szCs w:val="18"/>
                <w:highlight w:val="none"/>
              </w:rPr>
              <w:t>死水位(m)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7613514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29.45</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52FC97CF">
            <w:pPr>
              <w:widowControl/>
              <w:jc w:val="center"/>
              <w:textAlignment w:val="center"/>
              <w:rPr>
                <w:rFonts w:eastAsia="楷体"/>
                <w:color w:val="auto"/>
                <w:sz w:val="18"/>
                <w:szCs w:val="18"/>
                <w:highlight w:val="none"/>
              </w:rPr>
            </w:pPr>
            <w:r>
              <w:rPr>
                <w:rFonts w:eastAsia="楷体"/>
                <w:color w:val="auto"/>
                <w:kern w:val="0"/>
                <w:sz w:val="18"/>
                <w:szCs w:val="18"/>
                <w:highlight w:val="none"/>
              </w:rPr>
              <w:t>副坝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224ACAAD">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vMerge w:val="restart"/>
            <w:tcBorders>
              <w:top w:val="single" w:color="000000" w:sz="4" w:space="0"/>
              <w:left w:val="single" w:color="000000" w:sz="4" w:space="0"/>
              <w:bottom w:val="single" w:color="000000" w:sz="4" w:space="0"/>
              <w:right w:val="single" w:color="000000" w:sz="12" w:space="0"/>
            </w:tcBorders>
            <w:vAlign w:val="center"/>
          </w:tcPr>
          <w:p w14:paraId="6E85AE86">
            <w:pPr>
              <w:widowControl/>
              <w:jc w:val="center"/>
              <w:textAlignment w:val="center"/>
              <w:rPr>
                <w:rFonts w:eastAsia="楷体"/>
                <w:color w:val="auto"/>
                <w:sz w:val="18"/>
                <w:szCs w:val="18"/>
                <w:highlight w:val="none"/>
              </w:rPr>
            </w:pPr>
            <w:r>
              <w:rPr>
                <w:rFonts w:eastAsia="楷体"/>
                <w:color w:val="auto"/>
                <w:kern w:val="0"/>
                <w:sz w:val="18"/>
                <w:szCs w:val="18"/>
                <w:highlight w:val="none"/>
              </w:rPr>
              <w:t>无</w:t>
            </w:r>
          </w:p>
        </w:tc>
      </w:tr>
      <w:tr w14:paraId="418D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9B15EEC">
            <w:pPr>
              <w:widowControl/>
              <w:jc w:val="center"/>
              <w:textAlignment w:val="center"/>
              <w:rPr>
                <w:rFonts w:eastAsia="楷体"/>
                <w:color w:val="auto"/>
                <w:sz w:val="18"/>
                <w:szCs w:val="18"/>
                <w:highlight w:val="none"/>
              </w:rPr>
            </w:pPr>
            <w:r>
              <w:rPr>
                <w:rFonts w:eastAsia="楷体"/>
                <w:color w:val="auto"/>
                <w:kern w:val="0"/>
                <w:sz w:val="18"/>
                <w:szCs w:val="18"/>
                <w:highlight w:val="none"/>
              </w:rPr>
              <w:t>设计重现期(年)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431B28F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4E7715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2363BEC">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06DA3DE">
            <w:pPr>
              <w:jc w:val="center"/>
              <w:rPr>
                <w:rFonts w:eastAsia="楷体"/>
                <w:color w:val="auto"/>
                <w:sz w:val="18"/>
                <w:szCs w:val="18"/>
                <w:highlight w:val="none"/>
              </w:rPr>
            </w:pPr>
          </w:p>
        </w:tc>
      </w:tr>
      <w:tr w14:paraId="3526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C8F4571">
            <w:pPr>
              <w:widowControl/>
              <w:jc w:val="center"/>
              <w:textAlignment w:val="center"/>
              <w:rPr>
                <w:rFonts w:eastAsia="楷体"/>
                <w:color w:val="auto"/>
                <w:sz w:val="18"/>
                <w:szCs w:val="18"/>
                <w:highlight w:val="none"/>
              </w:rPr>
            </w:pPr>
            <w:r>
              <w:rPr>
                <w:rFonts w:eastAsia="楷体"/>
                <w:color w:val="auto"/>
                <w:kern w:val="0"/>
                <w:sz w:val="18"/>
                <w:szCs w:val="18"/>
                <w:highlight w:val="none"/>
              </w:rPr>
              <w:t>校核重现期(年)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17A996E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w:t>
            </w:r>
            <w:r>
              <w:rPr>
                <w:rFonts w:eastAsia="楷体"/>
                <w:color w:val="auto"/>
                <w:kern w:val="0"/>
                <w:sz w:val="18"/>
                <w:szCs w:val="18"/>
                <w:highlight w:val="none"/>
              </w:rPr>
              <w:t>00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DAF6710">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264CC50">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0456F89F">
            <w:pPr>
              <w:jc w:val="center"/>
              <w:rPr>
                <w:rFonts w:eastAsia="楷体"/>
                <w:color w:val="auto"/>
                <w:sz w:val="18"/>
                <w:szCs w:val="18"/>
                <w:highlight w:val="none"/>
              </w:rPr>
            </w:pPr>
          </w:p>
        </w:tc>
      </w:tr>
      <w:tr w14:paraId="5E9F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3A1E8AF">
            <w:pPr>
              <w:widowControl/>
              <w:jc w:val="center"/>
              <w:textAlignment w:val="center"/>
              <w:rPr>
                <w:rFonts w:eastAsia="楷体"/>
                <w:color w:val="auto"/>
                <w:sz w:val="18"/>
                <w:szCs w:val="18"/>
                <w:highlight w:val="none"/>
              </w:rPr>
            </w:pPr>
            <w:r>
              <w:rPr>
                <w:rFonts w:eastAsia="楷体"/>
                <w:color w:val="auto"/>
                <w:kern w:val="0"/>
                <w:sz w:val="18"/>
                <w:szCs w:val="18"/>
                <w:highlight w:val="none"/>
              </w:rPr>
              <w:t>设计洪水位(m)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40F2C82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38.71</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5A5543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02C4086">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06407537">
            <w:pPr>
              <w:jc w:val="center"/>
              <w:rPr>
                <w:rFonts w:eastAsia="楷体"/>
                <w:color w:val="auto"/>
                <w:sz w:val="18"/>
                <w:szCs w:val="18"/>
                <w:highlight w:val="none"/>
              </w:rPr>
            </w:pPr>
          </w:p>
        </w:tc>
      </w:tr>
      <w:tr w14:paraId="18E0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0A52D17">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5"/>
                <w:rFonts w:hint="default" w:eastAsia="楷体"/>
                <w:color w:val="auto"/>
                <w:sz w:val="18"/>
                <w:szCs w:val="18"/>
                <w:highlight w:val="none"/>
              </w:rPr>
              <w:t>3</w:t>
            </w:r>
            <w:r>
              <w:rPr>
                <w:rStyle w:val="40"/>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70C65C3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24.43</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8E7925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778EB02">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FE9B411">
            <w:pPr>
              <w:jc w:val="center"/>
              <w:rPr>
                <w:rFonts w:eastAsia="楷体"/>
                <w:color w:val="auto"/>
                <w:sz w:val="18"/>
                <w:szCs w:val="18"/>
                <w:highlight w:val="none"/>
              </w:rPr>
            </w:pPr>
          </w:p>
        </w:tc>
      </w:tr>
      <w:tr w14:paraId="42F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DB49429">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2566C5F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23.18</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E08FEB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421E1FF">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7752D60">
            <w:pPr>
              <w:jc w:val="center"/>
              <w:rPr>
                <w:rFonts w:eastAsia="楷体"/>
                <w:color w:val="auto"/>
                <w:sz w:val="18"/>
                <w:szCs w:val="18"/>
                <w:highlight w:val="none"/>
              </w:rPr>
            </w:pPr>
          </w:p>
        </w:tc>
      </w:tr>
      <w:tr w14:paraId="27BF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9737CCD">
            <w:pPr>
              <w:widowControl/>
              <w:jc w:val="center"/>
              <w:textAlignment w:val="center"/>
              <w:rPr>
                <w:rFonts w:eastAsia="楷体"/>
                <w:color w:val="auto"/>
                <w:sz w:val="18"/>
                <w:szCs w:val="18"/>
                <w:highlight w:val="none"/>
              </w:rPr>
            </w:pPr>
            <w:r>
              <w:rPr>
                <w:rFonts w:eastAsia="楷体"/>
                <w:color w:val="auto"/>
                <w:kern w:val="0"/>
                <w:sz w:val="18"/>
                <w:szCs w:val="18"/>
                <w:highlight w:val="none"/>
              </w:rPr>
              <w:t>校核洪水位(m)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0B77692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39.10</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69598F7D">
            <w:pPr>
              <w:widowControl/>
              <w:jc w:val="center"/>
              <w:textAlignment w:val="center"/>
              <w:rPr>
                <w:rFonts w:eastAsia="楷体"/>
                <w:color w:val="auto"/>
                <w:sz w:val="18"/>
                <w:szCs w:val="18"/>
                <w:highlight w:val="none"/>
              </w:rPr>
            </w:pPr>
            <w:r>
              <w:rPr>
                <w:rFonts w:eastAsia="楷体"/>
                <w:color w:val="auto"/>
                <w:kern w:val="0"/>
                <w:sz w:val="18"/>
                <w:szCs w:val="18"/>
                <w:highlight w:val="none"/>
              </w:rPr>
              <w:t>溢洪道</w:t>
            </w:r>
          </w:p>
        </w:tc>
        <w:tc>
          <w:tcPr>
            <w:tcW w:w="1772" w:type="dxa"/>
            <w:tcBorders>
              <w:top w:val="single" w:color="000000" w:sz="4" w:space="0"/>
              <w:left w:val="single" w:color="000000" w:sz="4" w:space="0"/>
              <w:bottom w:val="single" w:color="000000" w:sz="4" w:space="0"/>
              <w:right w:val="single" w:color="000000" w:sz="4" w:space="0"/>
            </w:tcBorders>
            <w:vAlign w:val="center"/>
          </w:tcPr>
          <w:p w14:paraId="3A87ADC9">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A8BFDF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宽顶堰</w:t>
            </w:r>
          </w:p>
        </w:tc>
      </w:tr>
      <w:tr w14:paraId="6956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41CF890">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5"/>
                <w:rFonts w:hint="default" w:eastAsia="楷体"/>
                <w:color w:val="auto"/>
                <w:sz w:val="18"/>
                <w:szCs w:val="18"/>
                <w:highlight w:val="none"/>
              </w:rPr>
              <w:t>3</w:t>
            </w:r>
            <w:r>
              <w:rPr>
                <w:rStyle w:val="40"/>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07071BC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39.07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2094CE">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BE92268">
            <w:pPr>
              <w:widowControl/>
              <w:jc w:val="center"/>
              <w:textAlignment w:val="center"/>
              <w:rPr>
                <w:rFonts w:eastAsia="楷体"/>
                <w:color w:val="auto"/>
                <w:sz w:val="18"/>
                <w:szCs w:val="18"/>
                <w:highlight w:val="none"/>
              </w:rPr>
            </w:pPr>
            <w:r>
              <w:rPr>
                <w:rFonts w:eastAsia="楷体"/>
                <w:color w:val="auto"/>
                <w:kern w:val="0"/>
                <w:sz w:val="18"/>
                <w:szCs w:val="18"/>
                <w:highlight w:val="none"/>
              </w:rPr>
              <w:t>堰顶高程(m)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A021A8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37.75</w:t>
            </w:r>
          </w:p>
        </w:tc>
      </w:tr>
      <w:tr w14:paraId="3CE4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4007894">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993F15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35.92</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5FDD8B3">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5638A52">
            <w:pPr>
              <w:widowControl/>
              <w:jc w:val="center"/>
              <w:textAlignment w:val="center"/>
              <w:rPr>
                <w:rFonts w:eastAsia="楷体"/>
                <w:color w:val="auto"/>
                <w:sz w:val="18"/>
                <w:szCs w:val="18"/>
                <w:highlight w:val="none"/>
              </w:rPr>
            </w:pPr>
            <w:r>
              <w:rPr>
                <w:rFonts w:eastAsia="楷体"/>
                <w:color w:val="auto"/>
                <w:kern w:val="0"/>
                <w:sz w:val="18"/>
                <w:szCs w:val="18"/>
                <w:highlight w:val="none"/>
              </w:rPr>
              <w:t>净宽(m)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FBB0B8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5.70</w:t>
            </w:r>
          </w:p>
        </w:tc>
      </w:tr>
      <w:tr w14:paraId="40A0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E52EA91">
            <w:pPr>
              <w:widowControl/>
              <w:jc w:val="center"/>
              <w:textAlignment w:val="center"/>
              <w:rPr>
                <w:rFonts w:eastAsia="楷体"/>
                <w:color w:val="auto"/>
                <w:sz w:val="18"/>
                <w:szCs w:val="18"/>
                <w:highlight w:val="none"/>
              </w:rPr>
            </w:pPr>
            <w:r>
              <w:rPr>
                <w:rFonts w:eastAsia="楷体"/>
                <w:color w:val="auto"/>
                <w:kern w:val="0"/>
                <w:sz w:val="18"/>
                <w:szCs w:val="18"/>
                <w:highlight w:val="none"/>
              </w:rPr>
              <w:t>地震基本烈度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640AAD2E">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CB7A06B">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3D7E9B9">
            <w:pPr>
              <w:widowControl/>
              <w:jc w:val="center"/>
              <w:textAlignment w:val="center"/>
              <w:rPr>
                <w:rFonts w:eastAsia="楷体"/>
                <w:color w:val="auto"/>
                <w:sz w:val="18"/>
                <w:szCs w:val="18"/>
                <w:highlight w:val="none"/>
              </w:rPr>
            </w:pPr>
            <w:r>
              <w:rPr>
                <w:rFonts w:eastAsia="楷体"/>
                <w:color w:val="auto"/>
                <w:kern w:val="0"/>
                <w:sz w:val="18"/>
                <w:szCs w:val="18"/>
                <w:highlight w:val="none"/>
              </w:rPr>
              <w:t>最大下泄流量(m</w:t>
            </w:r>
            <w:r>
              <w:rPr>
                <w:rStyle w:val="35"/>
                <w:rFonts w:hint="default" w:eastAsia="楷体"/>
                <w:color w:val="auto"/>
                <w:sz w:val="18"/>
                <w:szCs w:val="18"/>
                <w:highlight w:val="none"/>
              </w:rPr>
              <w:t>3</w:t>
            </w:r>
            <w:r>
              <w:rPr>
                <w:rStyle w:val="40"/>
                <w:rFonts w:eastAsia="楷体"/>
                <w:color w:val="auto"/>
                <w:sz w:val="18"/>
                <w:szCs w:val="18"/>
                <w:highlight w:val="none"/>
              </w:rPr>
              <w:t>/s)</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AD219F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13.12</w:t>
            </w:r>
          </w:p>
        </w:tc>
      </w:tr>
      <w:tr w14:paraId="3131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C8ADF53">
            <w:pPr>
              <w:widowControl/>
              <w:jc w:val="center"/>
              <w:textAlignment w:val="center"/>
              <w:rPr>
                <w:rFonts w:eastAsia="楷体"/>
                <w:color w:val="auto"/>
                <w:sz w:val="18"/>
                <w:szCs w:val="18"/>
                <w:highlight w:val="none"/>
              </w:rPr>
            </w:pPr>
            <w:r>
              <w:rPr>
                <w:rFonts w:eastAsia="楷体"/>
                <w:color w:val="auto"/>
                <w:kern w:val="0"/>
                <w:sz w:val="18"/>
                <w:szCs w:val="18"/>
                <w:highlight w:val="none"/>
              </w:rPr>
              <w:t>设计抗震烈度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1C24A629">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48F889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8E1BF6F">
            <w:pPr>
              <w:widowControl/>
              <w:jc w:val="center"/>
              <w:textAlignment w:val="center"/>
              <w:rPr>
                <w:rFonts w:eastAsia="楷体"/>
                <w:color w:val="auto"/>
                <w:sz w:val="18"/>
                <w:szCs w:val="18"/>
                <w:highlight w:val="none"/>
              </w:rPr>
            </w:pPr>
            <w:r>
              <w:rPr>
                <w:rFonts w:eastAsia="楷体"/>
                <w:color w:val="auto"/>
                <w:kern w:val="0"/>
                <w:sz w:val="18"/>
                <w:szCs w:val="18"/>
                <w:highlight w:val="none"/>
              </w:rPr>
              <w:t>最大单宽流量(m</w:t>
            </w:r>
            <w:r>
              <w:rPr>
                <w:rStyle w:val="35"/>
                <w:rFonts w:hint="default" w:eastAsia="楷体"/>
                <w:color w:val="auto"/>
                <w:sz w:val="18"/>
                <w:szCs w:val="18"/>
                <w:highlight w:val="none"/>
              </w:rPr>
              <w:t>3</w:t>
            </w:r>
            <w:r>
              <w:rPr>
                <w:rStyle w:val="40"/>
                <w:rFonts w:eastAsia="楷体"/>
                <w:color w:val="auto"/>
                <w:sz w:val="18"/>
                <w:szCs w:val="18"/>
                <w:highlight w:val="none"/>
              </w:rPr>
              <w:t>/s.m)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2C3121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2.30</w:t>
            </w:r>
          </w:p>
        </w:tc>
      </w:tr>
      <w:tr w14:paraId="2A63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4" w:space="0"/>
              <w:right w:val="single" w:color="000000" w:sz="4" w:space="0"/>
            </w:tcBorders>
            <w:vAlign w:val="center"/>
          </w:tcPr>
          <w:p w14:paraId="1704EF81">
            <w:pPr>
              <w:widowControl/>
              <w:jc w:val="center"/>
              <w:textAlignment w:val="center"/>
              <w:rPr>
                <w:rFonts w:eastAsia="楷体"/>
                <w:color w:val="auto"/>
                <w:sz w:val="18"/>
                <w:szCs w:val="18"/>
                <w:highlight w:val="none"/>
              </w:rPr>
            </w:pPr>
            <w:r>
              <w:rPr>
                <w:rFonts w:eastAsia="楷体"/>
                <w:color w:val="auto"/>
                <w:kern w:val="0"/>
                <w:sz w:val="18"/>
                <w:szCs w:val="18"/>
                <w:highlight w:val="none"/>
              </w:rPr>
              <w:t>库容特性</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14033F27">
            <w:pPr>
              <w:widowControl/>
              <w:jc w:val="center"/>
              <w:textAlignment w:val="center"/>
              <w:rPr>
                <w:rFonts w:eastAsia="楷体"/>
                <w:color w:val="auto"/>
                <w:sz w:val="18"/>
                <w:szCs w:val="18"/>
                <w:highlight w:val="none"/>
              </w:rPr>
            </w:pPr>
            <w:r>
              <w:rPr>
                <w:rFonts w:eastAsia="楷体"/>
                <w:color w:val="auto"/>
                <w:kern w:val="0"/>
                <w:sz w:val="18"/>
                <w:szCs w:val="18"/>
                <w:highlight w:val="none"/>
              </w:rPr>
              <w:t>总库容(万m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2F28CD5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32.74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349166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762FC10">
            <w:pPr>
              <w:widowControl/>
              <w:jc w:val="center"/>
              <w:textAlignment w:val="center"/>
              <w:rPr>
                <w:rFonts w:eastAsia="楷体"/>
                <w:color w:val="auto"/>
                <w:sz w:val="18"/>
                <w:szCs w:val="18"/>
                <w:highlight w:val="none"/>
              </w:rPr>
            </w:pPr>
            <w:r>
              <w:rPr>
                <w:rFonts w:eastAsia="楷体"/>
                <w:color w:val="auto"/>
                <w:kern w:val="0"/>
                <w:sz w:val="18"/>
                <w:szCs w:val="18"/>
                <w:highlight w:val="none"/>
              </w:rPr>
              <w:t>消能型式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D3A60C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跌水消力池</w:t>
            </w:r>
          </w:p>
        </w:tc>
      </w:tr>
      <w:tr w14:paraId="56D9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1744C751">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30851513">
            <w:pPr>
              <w:widowControl/>
              <w:jc w:val="center"/>
              <w:textAlignment w:val="center"/>
              <w:rPr>
                <w:rFonts w:eastAsia="楷体"/>
                <w:color w:val="auto"/>
                <w:sz w:val="18"/>
                <w:szCs w:val="18"/>
                <w:highlight w:val="none"/>
              </w:rPr>
            </w:pPr>
            <w:r>
              <w:rPr>
                <w:rFonts w:eastAsia="楷体"/>
                <w:color w:val="auto"/>
                <w:kern w:val="0"/>
                <w:sz w:val="18"/>
                <w:szCs w:val="18"/>
                <w:highlight w:val="none"/>
              </w:rPr>
              <w:t>调洪库容(万m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AC607A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8.56</w:t>
            </w:r>
          </w:p>
        </w:tc>
        <w:tc>
          <w:tcPr>
            <w:tcW w:w="809" w:type="dxa"/>
            <w:vMerge w:val="restart"/>
            <w:tcBorders>
              <w:top w:val="single" w:color="000000" w:sz="4" w:space="0"/>
              <w:left w:val="single" w:color="000000" w:sz="4" w:space="0"/>
              <w:bottom w:val="single" w:color="000000" w:sz="12" w:space="0"/>
              <w:right w:val="single" w:color="000000" w:sz="4" w:space="0"/>
            </w:tcBorders>
            <w:vAlign w:val="center"/>
          </w:tcPr>
          <w:p w14:paraId="55A07FF8">
            <w:pPr>
              <w:widowControl/>
              <w:jc w:val="center"/>
              <w:textAlignment w:val="center"/>
              <w:rPr>
                <w:rFonts w:eastAsia="楷体"/>
                <w:color w:val="auto"/>
                <w:sz w:val="18"/>
                <w:szCs w:val="18"/>
                <w:highlight w:val="none"/>
              </w:rPr>
            </w:pPr>
            <w:r>
              <w:rPr>
                <w:rFonts w:eastAsia="楷体"/>
                <w:color w:val="auto"/>
                <w:kern w:val="0"/>
                <w:sz w:val="18"/>
                <w:szCs w:val="18"/>
                <w:highlight w:val="none"/>
              </w:rPr>
              <w:t>取水建筑物</w:t>
            </w:r>
          </w:p>
        </w:tc>
        <w:tc>
          <w:tcPr>
            <w:tcW w:w="1772" w:type="dxa"/>
            <w:tcBorders>
              <w:top w:val="single" w:color="000000" w:sz="4" w:space="0"/>
              <w:left w:val="single" w:color="000000" w:sz="4" w:space="0"/>
              <w:bottom w:val="single" w:color="000000" w:sz="4" w:space="0"/>
              <w:right w:val="single" w:color="000000" w:sz="4" w:space="0"/>
            </w:tcBorders>
            <w:vAlign w:val="center"/>
          </w:tcPr>
          <w:p w14:paraId="25F4389B">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95FC65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浆砌条石箱涵套PE管</w:t>
            </w:r>
          </w:p>
        </w:tc>
      </w:tr>
      <w:tr w14:paraId="3B76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473DC23B">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4B39C847">
            <w:pPr>
              <w:widowControl/>
              <w:jc w:val="center"/>
              <w:textAlignment w:val="center"/>
              <w:rPr>
                <w:rFonts w:eastAsia="楷体"/>
                <w:color w:val="auto"/>
                <w:sz w:val="18"/>
                <w:szCs w:val="18"/>
                <w:highlight w:val="none"/>
              </w:rPr>
            </w:pPr>
            <w:r>
              <w:rPr>
                <w:rFonts w:eastAsia="楷体"/>
                <w:color w:val="auto"/>
                <w:kern w:val="0"/>
                <w:sz w:val="18"/>
                <w:szCs w:val="18"/>
                <w:highlight w:val="none"/>
              </w:rPr>
              <w:t>兴利库容(万m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4027FAC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20.70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1F95B49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1BAF31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长度</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A31211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低涵55，高涵44</w:t>
            </w:r>
          </w:p>
        </w:tc>
      </w:tr>
      <w:tr w14:paraId="1403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65AD1752">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2DB1459A">
            <w:pPr>
              <w:widowControl/>
              <w:jc w:val="center"/>
              <w:textAlignment w:val="center"/>
              <w:rPr>
                <w:rFonts w:eastAsia="楷体"/>
                <w:color w:val="auto"/>
                <w:sz w:val="18"/>
                <w:szCs w:val="18"/>
                <w:highlight w:val="none"/>
              </w:rPr>
            </w:pPr>
            <w:r>
              <w:rPr>
                <w:rFonts w:eastAsia="楷体"/>
                <w:color w:val="auto"/>
                <w:kern w:val="0"/>
                <w:sz w:val="18"/>
                <w:szCs w:val="18"/>
                <w:highlight w:val="none"/>
              </w:rPr>
              <w:t>死库容(万m</w:t>
            </w:r>
            <w:r>
              <w:rPr>
                <w:rStyle w:val="35"/>
                <w:rFonts w:hint="default" w:eastAsia="楷体"/>
                <w:color w:val="auto"/>
                <w:sz w:val="18"/>
                <w:szCs w:val="18"/>
                <w:highlight w:val="none"/>
              </w:rPr>
              <w:t>3</w:t>
            </w:r>
            <w:r>
              <w:rPr>
                <w:rStyle w:val="40"/>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6B16786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3.48</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45522CDD">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BF4942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断面尺寸</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51990E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低涵φ0.4，高涵φ0.4</w:t>
            </w:r>
          </w:p>
        </w:tc>
      </w:tr>
      <w:tr w14:paraId="6A0F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12" w:space="0"/>
              <w:right w:val="single" w:color="000000" w:sz="4" w:space="0"/>
            </w:tcBorders>
            <w:vAlign w:val="center"/>
          </w:tcPr>
          <w:p w14:paraId="32A49840">
            <w:pPr>
              <w:widowControl/>
              <w:jc w:val="center"/>
              <w:textAlignment w:val="center"/>
              <w:rPr>
                <w:rFonts w:eastAsia="楷体"/>
                <w:color w:val="auto"/>
                <w:sz w:val="18"/>
                <w:szCs w:val="18"/>
                <w:highlight w:val="none"/>
              </w:rPr>
            </w:pPr>
            <w:r>
              <w:rPr>
                <w:rFonts w:eastAsia="楷体"/>
                <w:color w:val="auto"/>
                <w:kern w:val="0"/>
                <w:sz w:val="18"/>
                <w:szCs w:val="18"/>
                <w:highlight w:val="none"/>
              </w:rPr>
              <w:t>工程效益</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1191A6C0">
            <w:pPr>
              <w:widowControl/>
              <w:jc w:val="center"/>
              <w:textAlignment w:val="center"/>
              <w:rPr>
                <w:rFonts w:eastAsia="楷体"/>
                <w:color w:val="auto"/>
                <w:sz w:val="18"/>
                <w:szCs w:val="18"/>
                <w:highlight w:val="none"/>
              </w:rPr>
            </w:pPr>
            <w:r>
              <w:rPr>
                <w:rFonts w:eastAsia="楷体"/>
                <w:color w:val="auto"/>
                <w:kern w:val="0"/>
                <w:sz w:val="18"/>
                <w:szCs w:val="18"/>
                <w:highlight w:val="none"/>
              </w:rPr>
              <w:t>有效灌溉面积（亩）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6487915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7ED9A48D">
            <w:pPr>
              <w:jc w:val="center"/>
              <w:rPr>
                <w:rFonts w:eastAsia="楷体"/>
                <w:color w:val="auto"/>
                <w:sz w:val="18"/>
                <w:szCs w:val="18"/>
                <w:highlight w:val="none"/>
              </w:rPr>
            </w:pPr>
          </w:p>
        </w:tc>
        <w:tc>
          <w:tcPr>
            <w:tcW w:w="1772" w:type="dxa"/>
            <w:tcBorders>
              <w:top w:val="single" w:color="000000" w:sz="4" w:space="0"/>
              <w:left w:val="single" w:color="000000" w:sz="4" w:space="0"/>
              <w:bottom w:val="single" w:color="auto" w:sz="4" w:space="0"/>
              <w:right w:val="single" w:color="000000" w:sz="4" w:space="0"/>
            </w:tcBorders>
            <w:vAlign w:val="center"/>
          </w:tcPr>
          <w:p w14:paraId="3043907A">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307" w:type="dxa"/>
            <w:gridSpan w:val="3"/>
            <w:tcBorders>
              <w:top w:val="single" w:color="000000" w:sz="4" w:space="0"/>
              <w:left w:val="single" w:color="000000" w:sz="4" w:space="0"/>
              <w:bottom w:val="single" w:color="auto" w:sz="4" w:space="0"/>
              <w:right w:val="single" w:color="000000" w:sz="12" w:space="0"/>
            </w:tcBorders>
            <w:vAlign w:val="center"/>
          </w:tcPr>
          <w:p w14:paraId="3A8C4A1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低涵29.45，高涵33.30</w:t>
            </w:r>
          </w:p>
        </w:tc>
      </w:tr>
      <w:tr w14:paraId="41C7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317830C7">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70D7C577">
            <w:pPr>
              <w:widowControl/>
              <w:jc w:val="center"/>
              <w:textAlignment w:val="center"/>
              <w:rPr>
                <w:rFonts w:eastAsia="楷体"/>
                <w:color w:val="auto"/>
                <w:sz w:val="18"/>
                <w:szCs w:val="18"/>
                <w:highlight w:val="none"/>
              </w:rPr>
            </w:pPr>
            <w:r>
              <w:rPr>
                <w:rFonts w:eastAsia="楷体"/>
                <w:color w:val="auto"/>
                <w:kern w:val="0"/>
                <w:sz w:val="18"/>
                <w:szCs w:val="18"/>
                <w:highlight w:val="none"/>
              </w:rPr>
              <w:t>设计灌溉面积（亩）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2E50933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7EBA526">
            <w:pPr>
              <w:jc w:val="center"/>
              <w:rPr>
                <w:rFonts w:eastAsia="楷体"/>
                <w:color w:val="auto"/>
                <w:sz w:val="18"/>
                <w:szCs w:val="18"/>
                <w:highlight w:val="none"/>
              </w:rPr>
            </w:pPr>
          </w:p>
        </w:tc>
        <w:tc>
          <w:tcPr>
            <w:tcW w:w="1772" w:type="dxa"/>
            <w:tcBorders>
              <w:top w:val="single" w:color="auto" w:sz="4" w:space="0"/>
              <w:left w:val="single" w:color="000000" w:sz="4" w:space="0"/>
              <w:bottom w:val="single" w:color="auto" w:sz="4" w:space="0"/>
              <w:right w:val="single" w:color="000000" w:sz="4" w:space="0"/>
            </w:tcBorders>
            <w:vAlign w:val="center"/>
          </w:tcPr>
          <w:p w14:paraId="74DEC240">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307" w:type="dxa"/>
            <w:gridSpan w:val="3"/>
            <w:tcBorders>
              <w:top w:val="single" w:color="auto" w:sz="4" w:space="0"/>
              <w:left w:val="single" w:color="000000" w:sz="4" w:space="0"/>
              <w:bottom w:val="single" w:color="auto" w:sz="4" w:space="0"/>
              <w:right w:val="single" w:color="000000" w:sz="12" w:space="0"/>
            </w:tcBorders>
            <w:vAlign w:val="center"/>
          </w:tcPr>
          <w:p w14:paraId="1FD4B63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低涵28.01，高涵31.95</w:t>
            </w:r>
          </w:p>
        </w:tc>
      </w:tr>
      <w:tr w14:paraId="24AD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0253436A">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7A0C0BD3">
            <w:pPr>
              <w:widowControl/>
              <w:jc w:val="center"/>
              <w:textAlignment w:val="center"/>
              <w:rPr>
                <w:rFonts w:eastAsia="楷体"/>
                <w:color w:val="auto"/>
                <w:sz w:val="18"/>
                <w:szCs w:val="18"/>
                <w:highlight w:val="none"/>
              </w:rPr>
            </w:pPr>
            <w:r>
              <w:rPr>
                <w:rFonts w:eastAsia="楷体"/>
                <w:color w:val="auto"/>
                <w:kern w:val="0"/>
                <w:sz w:val="18"/>
                <w:szCs w:val="18"/>
                <w:highlight w:val="none"/>
              </w:rPr>
              <w:t>保护人口（人）</w:t>
            </w:r>
          </w:p>
        </w:tc>
        <w:tc>
          <w:tcPr>
            <w:tcW w:w="1549" w:type="dxa"/>
            <w:tcBorders>
              <w:top w:val="single" w:color="000000" w:sz="4" w:space="0"/>
              <w:left w:val="single" w:color="000000" w:sz="4" w:space="0"/>
              <w:bottom w:val="single" w:color="000000" w:sz="4" w:space="0"/>
              <w:right w:val="single" w:color="000000" w:sz="4" w:space="0"/>
            </w:tcBorders>
            <w:vAlign w:val="center"/>
          </w:tcPr>
          <w:p w14:paraId="1E299C4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62C0D11">
            <w:pPr>
              <w:jc w:val="center"/>
              <w:rPr>
                <w:rFonts w:eastAsia="楷体"/>
                <w:color w:val="auto"/>
                <w:sz w:val="18"/>
                <w:szCs w:val="18"/>
                <w:highlight w:val="none"/>
              </w:rPr>
            </w:pPr>
          </w:p>
        </w:tc>
        <w:tc>
          <w:tcPr>
            <w:tcW w:w="1772" w:type="dxa"/>
            <w:tcBorders>
              <w:top w:val="single" w:color="auto" w:sz="4" w:space="0"/>
              <w:left w:val="single" w:color="000000" w:sz="4" w:space="0"/>
              <w:bottom w:val="single" w:color="000000" w:sz="4" w:space="0"/>
              <w:right w:val="single" w:color="000000" w:sz="4" w:space="0"/>
            </w:tcBorders>
            <w:vAlign w:val="center"/>
          </w:tcPr>
          <w:p w14:paraId="632F2454">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307" w:type="dxa"/>
            <w:gridSpan w:val="3"/>
            <w:tcBorders>
              <w:top w:val="single" w:color="auto" w:sz="4" w:space="0"/>
              <w:left w:val="single" w:color="000000" w:sz="4" w:space="0"/>
              <w:bottom w:val="single" w:color="000000" w:sz="4" w:space="0"/>
              <w:right w:val="single" w:color="000000" w:sz="12" w:space="0"/>
            </w:tcBorders>
            <w:vAlign w:val="center"/>
          </w:tcPr>
          <w:p w14:paraId="528943F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低涵0.144，高涵0.105</w:t>
            </w:r>
          </w:p>
        </w:tc>
      </w:tr>
      <w:tr w14:paraId="45E9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4F306184">
            <w:pPr>
              <w:jc w:val="center"/>
              <w:rPr>
                <w:rFonts w:eastAsia="楷体"/>
                <w:color w:val="auto"/>
                <w:sz w:val="18"/>
                <w:szCs w:val="18"/>
                <w:highlight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C29464B">
            <w:pPr>
              <w:widowControl/>
              <w:jc w:val="center"/>
              <w:textAlignment w:val="center"/>
              <w:rPr>
                <w:rFonts w:eastAsia="楷体"/>
                <w:color w:val="auto"/>
                <w:sz w:val="18"/>
                <w:szCs w:val="18"/>
                <w:highlight w:val="none"/>
              </w:rPr>
            </w:pPr>
            <w:r>
              <w:rPr>
                <w:rFonts w:eastAsia="楷体"/>
                <w:color w:val="auto"/>
                <w:kern w:val="0"/>
                <w:sz w:val="18"/>
                <w:szCs w:val="18"/>
                <w:highlight w:val="none"/>
              </w:rPr>
              <w:t>保护耕地（亩）</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14:paraId="3876F48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7A8DA11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E21177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放水型式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AFE2C0F">
            <w:pPr>
              <w:widowControl/>
              <w:jc w:val="center"/>
              <w:textAlignment w:val="center"/>
              <w:rPr>
                <w:rFonts w:eastAsia="楷体"/>
                <w:color w:val="auto"/>
                <w:kern w:val="0"/>
                <w:sz w:val="18"/>
                <w:szCs w:val="18"/>
                <w:highlight w:val="none"/>
              </w:rPr>
            </w:pPr>
            <w:r>
              <w:rPr>
                <w:rFonts w:hint="eastAsia" w:eastAsia="楷体"/>
                <w:color w:val="auto"/>
                <w:kern w:val="0"/>
                <w:sz w:val="18"/>
                <w:szCs w:val="18"/>
                <w:highlight w:val="none"/>
              </w:rPr>
              <w:t>低涵：转动门盖</w:t>
            </w:r>
          </w:p>
          <w:p w14:paraId="1E88AFA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高涵：转动门盖</w:t>
            </w:r>
          </w:p>
        </w:tc>
      </w:tr>
      <w:tr w14:paraId="2E03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706BF291">
            <w:pPr>
              <w:jc w:val="center"/>
              <w:rPr>
                <w:rFonts w:eastAsia="楷体"/>
                <w:color w:val="auto"/>
                <w:sz w:val="18"/>
                <w:szCs w:val="18"/>
                <w:highlight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053261">
            <w:pPr>
              <w:jc w:val="center"/>
              <w:rPr>
                <w:rFonts w:eastAsia="楷体"/>
                <w:color w:val="auto"/>
                <w:sz w:val="18"/>
                <w:szCs w:val="18"/>
                <w:highlight w:val="none"/>
              </w:rPr>
            </w:pP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14:paraId="458532F1">
            <w:pPr>
              <w:jc w:val="center"/>
              <w:rPr>
                <w:rFonts w:eastAsia="楷体"/>
                <w:color w:val="auto"/>
                <w:sz w:val="18"/>
                <w:szCs w:val="18"/>
                <w:highlight w:val="none"/>
              </w:rPr>
            </w:pP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5DAB56DF">
            <w:pPr>
              <w:jc w:val="center"/>
              <w:rPr>
                <w:rFonts w:eastAsia="楷体"/>
                <w:color w:val="auto"/>
                <w:sz w:val="18"/>
                <w:szCs w:val="18"/>
                <w:highlight w:val="none"/>
              </w:rPr>
            </w:pPr>
          </w:p>
        </w:tc>
        <w:tc>
          <w:tcPr>
            <w:tcW w:w="1772" w:type="dxa"/>
            <w:vMerge w:val="restart"/>
            <w:tcBorders>
              <w:top w:val="single" w:color="000000" w:sz="4" w:space="0"/>
              <w:left w:val="single" w:color="000000" w:sz="4" w:space="0"/>
              <w:bottom w:val="single" w:color="000000" w:sz="12" w:space="0"/>
              <w:right w:val="single" w:color="000000" w:sz="4" w:space="0"/>
            </w:tcBorders>
            <w:vAlign w:val="center"/>
          </w:tcPr>
          <w:p w14:paraId="20CE556C">
            <w:pPr>
              <w:widowControl/>
              <w:jc w:val="center"/>
              <w:textAlignment w:val="center"/>
              <w:rPr>
                <w:rFonts w:eastAsia="楷体"/>
                <w:color w:val="auto"/>
                <w:sz w:val="18"/>
                <w:szCs w:val="18"/>
                <w:highlight w:val="none"/>
              </w:rPr>
            </w:pPr>
            <w:r>
              <w:rPr>
                <w:rFonts w:eastAsia="楷体"/>
                <w:color w:val="auto"/>
                <w:kern w:val="0"/>
                <w:sz w:val="18"/>
                <w:szCs w:val="18"/>
                <w:highlight w:val="none"/>
              </w:rPr>
              <w:t>启闭设备</w:t>
            </w:r>
          </w:p>
        </w:tc>
        <w:tc>
          <w:tcPr>
            <w:tcW w:w="2307" w:type="dxa"/>
            <w:gridSpan w:val="3"/>
            <w:vMerge w:val="restart"/>
            <w:tcBorders>
              <w:top w:val="single" w:color="000000" w:sz="4" w:space="0"/>
              <w:left w:val="single" w:color="000000" w:sz="4" w:space="0"/>
              <w:bottom w:val="single" w:color="000000" w:sz="12" w:space="0"/>
              <w:right w:val="single" w:color="000000" w:sz="12" w:space="0"/>
            </w:tcBorders>
            <w:vAlign w:val="center"/>
          </w:tcPr>
          <w:p w14:paraId="725C41B5">
            <w:pPr>
              <w:widowControl/>
              <w:jc w:val="center"/>
              <w:textAlignment w:val="center"/>
              <w:rPr>
                <w:rFonts w:eastAsia="楷体"/>
                <w:color w:val="auto"/>
                <w:kern w:val="0"/>
                <w:sz w:val="18"/>
                <w:szCs w:val="18"/>
                <w:highlight w:val="none"/>
              </w:rPr>
            </w:pPr>
            <w:r>
              <w:rPr>
                <w:rFonts w:hint="eastAsia" w:eastAsia="楷体"/>
                <w:color w:val="auto"/>
                <w:kern w:val="0"/>
                <w:sz w:val="18"/>
                <w:szCs w:val="18"/>
                <w:highlight w:val="none"/>
              </w:rPr>
              <w:t>低涵：3t手动卷扬式启闭机</w:t>
            </w:r>
          </w:p>
          <w:p w14:paraId="69A6ADF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高涵：3t手动卷扬式启闭机</w:t>
            </w:r>
          </w:p>
        </w:tc>
      </w:tr>
      <w:tr w14:paraId="52DB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50AB29CE">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12" w:space="0"/>
              <w:right w:val="single" w:color="000000" w:sz="4" w:space="0"/>
            </w:tcBorders>
            <w:vAlign w:val="center"/>
          </w:tcPr>
          <w:p w14:paraId="5F2B83B5">
            <w:pPr>
              <w:widowControl/>
              <w:jc w:val="center"/>
              <w:textAlignment w:val="center"/>
              <w:rPr>
                <w:rFonts w:eastAsia="楷体"/>
                <w:color w:val="auto"/>
                <w:sz w:val="18"/>
                <w:szCs w:val="18"/>
                <w:highlight w:val="none"/>
              </w:rPr>
            </w:pPr>
            <w:r>
              <w:rPr>
                <w:rFonts w:eastAsia="楷体"/>
                <w:color w:val="auto"/>
                <w:kern w:val="0"/>
                <w:sz w:val="18"/>
                <w:szCs w:val="18"/>
                <w:highlight w:val="none"/>
              </w:rPr>
              <w:t>总装机功率（kw）</w:t>
            </w:r>
          </w:p>
        </w:tc>
        <w:tc>
          <w:tcPr>
            <w:tcW w:w="1549" w:type="dxa"/>
            <w:tcBorders>
              <w:top w:val="single" w:color="000000" w:sz="4" w:space="0"/>
              <w:left w:val="single" w:color="000000" w:sz="4" w:space="0"/>
              <w:bottom w:val="single" w:color="000000" w:sz="12" w:space="0"/>
              <w:right w:val="single" w:color="000000" w:sz="4" w:space="0"/>
            </w:tcBorders>
            <w:vAlign w:val="center"/>
          </w:tcPr>
          <w:p w14:paraId="165B189D">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02C3C6E6">
            <w:pPr>
              <w:jc w:val="center"/>
              <w:rPr>
                <w:rFonts w:eastAsia="楷体"/>
                <w:color w:val="auto"/>
                <w:sz w:val="18"/>
                <w:szCs w:val="18"/>
                <w:highlight w:val="none"/>
              </w:rPr>
            </w:pPr>
          </w:p>
        </w:tc>
        <w:tc>
          <w:tcPr>
            <w:tcW w:w="1772" w:type="dxa"/>
            <w:vMerge w:val="continue"/>
            <w:tcBorders>
              <w:top w:val="single" w:color="000000" w:sz="4" w:space="0"/>
              <w:left w:val="single" w:color="000000" w:sz="4" w:space="0"/>
              <w:bottom w:val="single" w:color="000000" w:sz="12" w:space="0"/>
              <w:right w:val="single" w:color="000000" w:sz="4" w:space="0"/>
            </w:tcBorders>
            <w:vAlign w:val="center"/>
          </w:tcPr>
          <w:p w14:paraId="1BC0185F">
            <w:pPr>
              <w:jc w:val="center"/>
              <w:rPr>
                <w:rFonts w:eastAsia="楷体"/>
                <w:color w:val="auto"/>
                <w:sz w:val="18"/>
                <w:szCs w:val="18"/>
                <w:highlight w:val="none"/>
              </w:rPr>
            </w:pPr>
          </w:p>
        </w:tc>
        <w:tc>
          <w:tcPr>
            <w:tcW w:w="2307" w:type="dxa"/>
            <w:gridSpan w:val="3"/>
            <w:vMerge w:val="continue"/>
            <w:tcBorders>
              <w:top w:val="single" w:color="000000" w:sz="4" w:space="0"/>
              <w:left w:val="single" w:color="000000" w:sz="4" w:space="0"/>
              <w:bottom w:val="single" w:color="000000" w:sz="12" w:space="0"/>
              <w:right w:val="single" w:color="000000" w:sz="12" w:space="0"/>
            </w:tcBorders>
            <w:vAlign w:val="center"/>
          </w:tcPr>
          <w:p w14:paraId="4BB271B0">
            <w:pPr>
              <w:jc w:val="center"/>
              <w:rPr>
                <w:rFonts w:eastAsia="楷体"/>
                <w:color w:val="auto"/>
                <w:sz w:val="18"/>
                <w:szCs w:val="18"/>
                <w:highlight w:val="none"/>
              </w:rPr>
            </w:pPr>
          </w:p>
        </w:tc>
      </w:tr>
    </w:tbl>
    <w:p w14:paraId="3E8AF5FD">
      <w:pPr>
        <w:pStyle w:val="2"/>
        <w:spacing w:beforeLines="100" w:afterLines="100" w:line="360" w:lineRule="auto"/>
        <w:jc w:val="center"/>
        <w:rPr>
          <w:rFonts w:eastAsia="楷体"/>
          <w:color w:val="auto"/>
          <w:kern w:val="0"/>
          <w:sz w:val="32"/>
          <w:szCs w:val="32"/>
          <w:highlight w:val="none"/>
        </w:rPr>
        <w:sectPr>
          <w:footerReference r:id="rId5" w:type="default"/>
          <w:pgSz w:w="11906" w:h="16838"/>
          <w:pgMar w:top="1440" w:right="1800" w:bottom="1440" w:left="1800" w:header="851" w:footer="992" w:gutter="0"/>
          <w:pgNumType w:fmt="numberInDash"/>
          <w:cols w:space="720" w:num="1"/>
          <w:docGrid w:type="lines" w:linePitch="312" w:charSpace="0"/>
        </w:sectPr>
      </w:pPr>
    </w:p>
    <w:p w14:paraId="30B7E958">
      <w:pPr>
        <w:pStyle w:val="2"/>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1  水库基本情况</w:t>
      </w:r>
      <w:bookmarkEnd w:id="0"/>
    </w:p>
    <w:p w14:paraId="0356C627">
      <w:pPr>
        <w:pStyle w:val="3"/>
        <w:spacing w:beforeLines="50" w:afterLines="50" w:line="360" w:lineRule="auto"/>
        <w:contextualSpacing/>
        <w:rPr>
          <w:rFonts w:ascii="Times New Roman" w:hAnsi="Times New Roman" w:eastAsia="楷体"/>
          <w:color w:val="auto"/>
          <w:kern w:val="0"/>
          <w:sz w:val="28"/>
          <w:szCs w:val="28"/>
          <w:highlight w:val="none"/>
        </w:rPr>
      </w:pPr>
      <w:bookmarkStart w:id="1" w:name="_Toc18976"/>
      <w:r>
        <w:rPr>
          <w:rFonts w:ascii="Times New Roman" w:hAnsi="Times New Roman" w:eastAsia="楷体"/>
          <w:color w:val="auto"/>
          <w:kern w:val="0"/>
          <w:sz w:val="28"/>
          <w:szCs w:val="28"/>
          <w:highlight w:val="none"/>
        </w:rPr>
        <w:t>1.1 工程概况</w:t>
      </w:r>
      <w:bookmarkEnd w:id="1"/>
    </w:p>
    <w:p w14:paraId="0647103C">
      <w:pPr>
        <w:spacing w:line="520" w:lineRule="exact"/>
        <w:ind w:firstLine="560" w:firstLineChars="200"/>
        <w:rPr>
          <w:rFonts w:eastAsia="楷体"/>
          <w:color w:val="auto"/>
          <w:sz w:val="28"/>
          <w:szCs w:val="28"/>
          <w:highlight w:val="none"/>
        </w:rPr>
      </w:pPr>
      <w:bookmarkStart w:id="2" w:name="OLE_LINK9"/>
      <w:r>
        <w:rPr>
          <w:rFonts w:hAnsi="楷体" w:eastAsia="楷体"/>
          <w:color w:val="auto"/>
          <w:sz w:val="28"/>
          <w:szCs w:val="28"/>
          <w:highlight w:val="none"/>
        </w:rPr>
        <w:t>前烧水库位于泉港区前黄镇前烧村，系前烧溪流域，是一座以农田灌溉为主，结合防洪、养殖等综合利用的小（</w:t>
      </w:r>
      <w:r>
        <w:rPr>
          <w:rFonts w:eastAsia="楷体"/>
          <w:color w:val="auto"/>
          <w:sz w:val="28"/>
          <w:szCs w:val="28"/>
          <w:highlight w:val="none"/>
        </w:rPr>
        <w:t>2</w:t>
      </w:r>
      <w:r>
        <w:rPr>
          <w:rFonts w:hAnsi="楷体" w:eastAsia="楷体"/>
          <w:color w:val="auto"/>
          <w:sz w:val="28"/>
          <w:szCs w:val="28"/>
          <w:highlight w:val="none"/>
        </w:rPr>
        <w:t>）型水库。水库于</w:t>
      </w:r>
      <w:r>
        <w:rPr>
          <w:rFonts w:eastAsia="楷体"/>
          <w:color w:val="auto"/>
          <w:sz w:val="28"/>
          <w:szCs w:val="28"/>
          <w:highlight w:val="none"/>
        </w:rPr>
        <w:t>1965</w:t>
      </w:r>
      <w:r>
        <w:rPr>
          <w:rFonts w:hAnsi="楷体" w:eastAsia="楷体"/>
          <w:color w:val="auto"/>
          <w:sz w:val="28"/>
          <w:szCs w:val="28"/>
          <w:highlight w:val="none"/>
        </w:rPr>
        <w:t>年</w:t>
      </w:r>
      <w:r>
        <w:rPr>
          <w:rFonts w:eastAsia="楷体"/>
          <w:color w:val="auto"/>
          <w:sz w:val="28"/>
          <w:szCs w:val="28"/>
          <w:highlight w:val="none"/>
        </w:rPr>
        <w:t>8</w:t>
      </w:r>
      <w:r>
        <w:rPr>
          <w:rFonts w:hAnsi="楷体" w:eastAsia="楷体"/>
          <w:color w:val="auto"/>
          <w:sz w:val="28"/>
          <w:szCs w:val="28"/>
          <w:highlight w:val="none"/>
        </w:rPr>
        <w:t>月基本建成并投入运行，本次复核得：前烧水库坝型为均质土坝，大坝坝址以上控制流域面积为</w:t>
      </w:r>
      <w:r>
        <w:rPr>
          <w:rFonts w:eastAsia="楷体"/>
          <w:color w:val="auto"/>
          <w:sz w:val="28"/>
          <w:szCs w:val="28"/>
          <w:highlight w:val="none"/>
        </w:rPr>
        <w:t>0.87km</w:t>
      </w:r>
      <w:r>
        <w:rPr>
          <w:rFonts w:eastAsia="楷体"/>
          <w:color w:val="auto"/>
          <w:sz w:val="28"/>
          <w:szCs w:val="28"/>
          <w:highlight w:val="none"/>
          <w:vertAlign w:val="superscript"/>
        </w:rPr>
        <w:t>2</w:t>
      </w:r>
      <w:r>
        <w:rPr>
          <w:rFonts w:hAnsi="楷体" w:eastAsia="楷体"/>
          <w:color w:val="auto"/>
          <w:sz w:val="28"/>
          <w:szCs w:val="28"/>
          <w:highlight w:val="none"/>
        </w:rPr>
        <w:t>，主河道河长</w:t>
      </w:r>
      <w:r>
        <w:rPr>
          <w:rFonts w:eastAsia="楷体"/>
          <w:color w:val="auto"/>
          <w:sz w:val="28"/>
          <w:szCs w:val="28"/>
          <w:highlight w:val="none"/>
        </w:rPr>
        <w:t>1.33km</w:t>
      </w:r>
      <w:r>
        <w:rPr>
          <w:rFonts w:hAnsi="楷体" w:eastAsia="楷体"/>
          <w:color w:val="auto"/>
          <w:sz w:val="28"/>
          <w:szCs w:val="28"/>
          <w:highlight w:val="none"/>
        </w:rPr>
        <w:t>，河流比降</w:t>
      </w:r>
      <w:r>
        <w:rPr>
          <w:rFonts w:eastAsia="楷体"/>
          <w:color w:val="auto"/>
          <w:sz w:val="28"/>
          <w:szCs w:val="28"/>
          <w:highlight w:val="none"/>
        </w:rPr>
        <w:t>160.3‰</w:t>
      </w:r>
      <w:r>
        <w:rPr>
          <w:rFonts w:hAnsi="楷体" w:eastAsia="楷体"/>
          <w:color w:val="auto"/>
          <w:sz w:val="28"/>
          <w:szCs w:val="28"/>
          <w:highlight w:val="none"/>
        </w:rPr>
        <w:t>，加固后最大坝高</w:t>
      </w:r>
      <w:r>
        <w:rPr>
          <w:rFonts w:eastAsia="楷体"/>
          <w:color w:val="auto"/>
          <w:sz w:val="28"/>
          <w:szCs w:val="28"/>
          <w:highlight w:val="none"/>
        </w:rPr>
        <w:t>12.28m</w:t>
      </w:r>
      <w:r>
        <w:rPr>
          <w:rFonts w:hAnsi="楷体" w:eastAsia="楷体"/>
          <w:color w:val="auto"/>
          <w:sz w:val="28"/>
          <w:szCs w:val="28"/>
          <w:highlight w:val="none"/>
        </w:rPr>
        <w:t>，坝长</w:t>
      </w:r>
      <w:r>
        <w:rPr>
          <w:rFonts w:eastAsia="楷体"/>
          <w:color w:val="auto"/>
          <w:sz w:val="28"/>
          <w:szCs w:val="28"/>
          <w:highlight w:val="none"/>
        </w:rPr>
        <w:t>200m</w:t>
      </w:r>
      <w:r>
        <w:rPr>
          <w:rFonts w:hAnsi="楷体" w:eastAsia="楷体"/>
          <w:color w:val="auto"/>
          <w:sz w:val="28"/>
          <w:szCs w:val="28"/>
          <w:highlight w:val="none"/>
        </w:rPr>
        <w:t>。正常蓄水位</w:t>
      </w:r>
      <w:r>
        <w:rPr>
          <w:rFonts w:eastAsia="楷体"/>
          <w:color w:val="auto"/>
          <w:sz w:val="28"/>
          <w:szCs w:val="28"/>
          <w:highlight w:val="none"/>
        </w:rPr>
        <w:t>37.75m</w:t>
      </w:r>
      <w:r>
        <w:rPr>
          <w:rFonts w:hAnsi="楷体" w:eastAsia="楷体"/>
          <w:color w:val="auto"/>
          <w:sz w:val="28"/>
          <w:szCs w:val="28"/>
          <w:highlight w:val="none"/>
        </w:rPr>
        <w:t>（</w:t>
      </w:r>
      <w:r>
        <w:rPr>
          <w:rFonts w:eastAsia="楷体"/>
          <w:color w:val="auto"/>
          <w:sz w:val="28"/>
          <w:szCs w:val="28"/>
          <w:highlight w:val="none"/>
        </w:rPr>
        <w:t>1985</w:t>
      </w:r>
      <w:r>
        <w:rPr>
          <w:rFonts w:hAnsi="楷体" w:eastAsia="楷体"/>
          <w:color w:val="auto"/>
          <w:sz w:val="28"/>
          <w:szCs w:val="28"/>
          <w:highlight w:val="none"/>
        </w:rPr>
        <w:t>国家高程基准，下同），死水位</w:t>
      </w:r>
      <w:r>
        <w:rPr>
          <w:rFonts w:eastAsia="楷体"/>
          <w:color w:val="auto"/>
          <w:sz w:val="28"/>
          <w:szCs w:val="28"/>
          <w:highlight w:val="none"/>
        </w:rPr>
        <w:t>29.45m</w:t>
      </w:r>
      <w:r>
        <w:rPr>
          <w:rFonts w:hAnsi="楷体" w:eastAsia="楷体"/>
          <w:color w:val="auto"/>
          <w:sz w:val="28"/>
          <w:szCs w:val="28"/>
          <w:highlight w:val="none"/>
        </w:rPr>
        <w:t>，设计洪水位（</w:t>
      </w:r>
      <w:r>
        <w:rPr>
          <w:rFonts w:eastAsia="楷体"/>
          <w:color w:val="auto"/>
          <w:sz w:val="28"/>
          <w:szCs w:val="28"/>
          <w:highlight w:val="none"/>
        </w:rPr>
        <w:t>P=5%</w:t>
      </w:r>
      <w:r>
        <w:rPr>
          <w:rFonts w:hAnsi="楷体" w:eastAsia="楷体"/>
          <w:color w:val="auto"/>
          <w:sz w:val="28"/>
          <w:szCs w:val="28"/>
          <w:highlight w:val="none"/>
        </w:rPr>
        <w:t>）</w:t>
      </w:r>
      <w:r>
        <w:rPr>
          <w:rFonts w:eastAsia="楷体"/>
          <w:color w:val="auto"/>
          <w:sz w:val="28"/>
          <w:szCs w:val="28"/>
          <w:highlight w:val="none"/>
        </w:rPr>
        <w:t>38.71m</w:t>
      </w:r>
      <w:r>
        <w:rPr>
          <w:rFonts w:hAnsi="楷体" w:eastAsia="楷体"/>
          <w:color w:val="auto"/>
          <w:sz w:val="28"/>
          <w:szCs w:val="28"/>
          <w:highlight w:val="none"/>
        </w:rPr>
        <w:t>，校核洪水位（</w:t>
      </w:r>
      <w:r>
        <w:rPr>
          <w:rFonts w:eastAsia="楷体"/>
          <w:color w:val="auto"/>
          <w:sz w:val="28"/>
          <w:szCs w:val="28"/>
          <w:highlight w:val="none"/>
        </w:rPr>
        <w:t>P=0.5%</w:t>
      </w:r>
      <w:r>
        <w:rPr>
          <w:rFonts w:hAnsi="楷体" w:eastAsia="楷体"/>
          <w:color w:val="auto"/>
          <w:sz w:val="28"/>
          <w:szCs w:val="28"/>
          <w:highlight w:val="none"/>
        </w:rPr>
        <w:t>）</w:t>
      </w:r>
      <w:r>
        <w:rPr>
          <w:rFonts w:eastAsia="楷体"/>
          <w:color w:val="auto"/>
          <w:sz w:val="28"/>
          <w:szCs w:val="28"/>
          <w:highlight w:val="none"/>
        </w:rPr>
        <w:t>39.10m</w:t>
      </w:r>
      <w:r>
        <w:rPr>
          <w:rFonts w:hAnsi="楷体" w:eastAsia="楷体"/>
          <w:color w:val="auto"/>
          <w:sz w:val="28"/>
          <w:szCs w:val="28"/>
          <w:highlight w:val="none"/>
        </w:rPr>
        <w:t>，水库总库容</w:t>
      </w:r>
      <w:r>
        <w:rPr>
          <w:rFonts w:eastAsia="楷体"/>
          <w:color w:val="auto"/>
          <w:sz w:val="28"/>
          <w:szCs w:val="28"/>
          <w:highlight w:val="none"/>
        </w:rPr>
        <w:t>32.74</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20.70</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，调洪库容</w:t>
      </w:r>
      <w:r>
        <w:rPr>
          <w:rFonts w:eastAsia="楷体"/>
          <w:color w:val="auto"/>
          <w:sz w:val="28"/>
          <w:szCs w:val="28"/>
          <w:highlight w:val="none"/>
        </w:rPr>
        <w:t>8.56</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，死库容</w:t>
      </w:r>
      <w:r>
        <w:rPr>
          <w:rFonts w:eastAsia="楷体"/>
          <w:color w:val="auto"/>
          <w:sz w:val="28"/>
          <w:szCs w:val="28"/>
          <w:highlight w:val="none"/>
        </w:rPr>
        <w:t>3.48</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5DF69471">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该工程自建成投效以来，在农田灌溉、防洪、养殖等多方面中充分发挥了本工程的效益。水库有效灌溉面积</w:t>
      </w:r>
      <w:r>
        <w:rPr>
          <w:rFonts w:eastAsia="楷体"/>
          <w:color w:val="auto"/>
          <w:sz w:val="28"/>
          <w:szCs w:val="28"/>
          <w:highlight w:val="none"/>
        </w:rPr>
        <w:t>500</w:t>
      </w:r>
      <w:r>
        <w:rPr>
          <w:rFonts w:hAnsi="楷体" w:eastAsia="楷体"/>
          <w:color w:val="auto"/>
          <w:sz w:val="28"/>
          <w:szCs w:val="28"/>
          <w:highlight w:val="none"/>
        </w:rPr>
        <w:t>亩（</w:t>
      </w:r>
      <w:r>
        <w:rPr>
          <w:rFonts w:eastAsia="楷体"/>
          <w:color w:val="auto"/>
          <w:sz w:val="28"/>
          <w:szCs w:val="28"/>
          <w:highlight w:val="none"/>
        </w:rPr>
        <w:t>P=90%</w:t>
      </w:r>
      <w:r>
        <w:rPr>
          <w:rFonts w:hAnsi="楷体" w:eastAsia="楷体"/>
          <w:color w:val="auto"/>
          <w:sz w:val="28"/>
          <w:szCs w:val="28"/>
          <w:highlight w:val="none"/>
        </w:rPr>
        <w:t>）；水库下游涉及保护人口</w:t>
      </w:r>
      <w:r>
        <w:rPr>
          <w:rFonts w:eastAsia="楷体"/>
          <w:color w:val="auto"/>
          <w:sz w:val="28"/>
          <w:szCs w:val="28"/>
          <w:highlight w:val="none"/>
        </w:rPr>
        <w:t>3500</w:t>
      </w:r>
      <w:r>
        <w:rPr>
          <w:rFonts w:hAnsi="楷体" w:eastAsia="楷体"/>
          <w:color w:val="auto"/>
          <w:sz w:val="28"/>
          <w:szCs w:val="28"/>
          <w:highlight w:val="none"/>
        </w:rPr>
        <w:t>人，耕地</w:t>
      </w:r>
      <w:r>
        <w:rPr>
          <w:rFonts w:eastAsia="楷体"/>
          <w:color w:val="auto"/>
          <w:sz w:val="28"/>
          <w:szCs w:val="28"/>
          <w:highlight w:val="none"/>
        </w:rPr>
        <w:t>4500</w:t>
      </w:r>
      <w:r>
        <w:rPr>
          <w:rFonts w:hAnsi="楷体" w:eastAsia="楷体"/>
          <w:color w:val="auto"/>
          <w:sz w:val="28"/>
          <w:szCs w:val="28"/>
          <w:highlight w:val="none"/>
        </w:rPr>
        <w:t>亩，公路</w:t>
      </w:r>
      <w:r>
        <w:rPr>
          <w:rFonts w:eastAsia="楷体"/>
          <w:color w:val="auto"/>
          <w:sz w:val="28"/>
          <w:szCs w:val="28"/>
          <w:highlight w:val="none"/>
        </w:rPr>
        <w:t>1.5km</w:t>
      </w:r>
      <w:r>
        <w:rPr>
          <w:rFonts w:hAnsi="楷体" w:eastAsia="楷体"/>
          <w:color w:val="auto"/>
          <w:sz w:val="28"/>
          <w:szCs w:val="28"/>
          <w:highlight w:val="none"/>
        </w:rPr>
        <w:t>，以及铁路</w:t>
      </w:r>
      <w:r>
        <w:rPr>
          <w:rFonts w:eastAsia="楷体"/>
          <w:color w:val="auto"/>
          <w:sz w:val="28"/>
          <w:szCs w:val="28"/>
          <w:highlight w:val="none"/>
        </w:rPr>
        <w:t>2.5 km</w:t>
      </w:r>
      <w:r>
        <w:rPr>
          <w:rFonts w:hAnsi="楷体" w:eastAsia="楷体"/>
          <w:color w:val="auto"/>
          <w:sz w:val="28"/>
          <w:szCs w:val="28"/>
          <w:highlight w:val="none"/>
        </w:rPr>
        <w:t>，为当地农业生产和保证人民生命财产安全发挥了重要的作用。</w:t>
      </w:r>
    </w:p>
    <w:bookmarkEnd w:id="2"/>
    <w:p w14:paraId="3F3F8F72">
      <w:pPr>
        <w:spacing w:line="520" w:lineRule="exact"/>
        <w:ind w:firstLine="601"/>
        <w:rPr>
          <w:rFonts w:eastAsia="楷体"/>
          <w:color w:val="auto"/>
          <w:kern w:val="0"/>
          <w:sz w:val="28"/>
          <w:szCs w:val="28"/>
          <w:highlight w:val="none"/>
        </w:rPr>
      </w:pPr>
      <w:r>
        <w:rPr>
          <w:rFonts w:hAnsi="楷体" w:eastAsia="楷体"/>
          <w:color w:val="auto"/>
          <w:sz w:val="28"/>
          <w:szCs w:val="28"/>
          <w:highlight w:val="none"/>
        </w:rPr>
        <w:t>水库枢纽工程主要由大坝、溢洪道、输水高涵、低涵组成。</w:t>
      </w:r>
    </w:p>
    <w:p w14:paraId="1572EE2C">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1</w:t>
      </w:r>
      <w:r>
        <w:rPr>
          <w:rFonts w:hAnsi="楷体" w:eastAsia="楷体"/>
          <w:color w:val="auto"/>
          <w:sz w:val="28"/>
          <w:szCs w:val="28"/>
          <w:highlight w:val="none"/>
        </w:rPr>
        <w:t>）大坝</w:t>
      </w:r>
    </w:p>
    <w:p w14:paraId="608EE4FA">
      <w:pPr>
        <w:spacing w:line="520" w:lineRule="exact"/>
        <w:ind w:firstLine="560" w:firstLineChars="200"/>
        <w:rPr>
          <w:rFonts w:eastAsia="楷体"/>
          <w:color w:val="auto"/>
          <w:kern w:val="0"/>
          <w:sz w:val="28"/>
          <w:szCs w:val="28"/>
          <w:highlight w:val="none"/>
        </w:rPr>
      </w:pPr>
      <w:r>
        <w:rPr>
          <w:rFonts w:hAnsi="楷体" w:eastAsia="楷体"/>
          <w:color w:val="auto"/>
          <w:sz w:val="28"/>
          <w:szCs w:val="28"/>
          <w:highlight w:val="none"/>
        </w:rPr>
        <w:t>前烧水库</w:t>
      </w:r>
      <w:r>
        <w:rPr>
          <w:rFonts w:eastAsia="楷体"/>
          <w:color w:val="auto"/>
          <w:sz w:val="28"/>
          <w:szCs w:val="28"/>
          <w:highlight w:val="none"/>
        </w:rPr>
        <w:t>1965</w:t>
      </w:r>
      <w:r>
        <w:rPr>
          <w:rFonts w:hAnsi="楷体" w:eastAsia="楷体"/>
          <w:color w:val="auto"/>
          <w:sz w:val="28"/>
          <w:szCs w:val="28"/>
          <w:highlight w:val="none"/>
        </w:rPr>
        <w:t>年</w:t>
      </w:r>
      <w:r>
        <w:rPr>
          <w:rFonts w:eastAsia="楷体"/>
          <w:color w:val="auto"/>
          <w:sz w:val="28"/>
          <w:szCs w:val="28"/>
          <w:highlight w:val="none"/>
        </w:rPr>
        <w:t>8</w:t>
      </w:r>
      <w:r>
        <w:rPr>
          <w:rFonts w:hAnsi="楷体" w:eastAsia="楷体"/>
          <w:color w:val="auto"/>
          <w:sz w:val="28"/>
          <w:szCs w:val="28"/>
          <w:highlight w:val="none"/>
        </w:rPr>
        <w:t>月竣工并投入运行。大坝为均质土坝，现状最大坝高</w:t>
      </w:r>
      <w:r>
        <w:rPr>
          <w:rFonts w:eastAsia="楷体"/>
          <w:color w:val="auto"/>
          <w:sz w:val="28"/>
          <w:szCs w:val="28"/>
          <w:highlight w:val="none"/>
        </w:rPr>
        <w:t>12.0m</w:t>
      </w:r>
      <w:r>
        <w:rPr>
          <w:rFonts w:hAnsi="楷体" w:eastAsia="楷体"/>
          <w:color w:val="auto"/>
          <w:sz w:val="28"/>
          <w:szCs w:val="28"/>
          <w:highlight w:val="none"/>
        </w:rPr>
        <w:t>，坝顶高程</w:t>
      </w:r>
      <w:r>
        <w:rPr>
          <w:rFonts w:eastAsia="楷体"/>
          <w:color w:val="auto"/>
          <w:sz w:val="28"/>
          <w:szCs w:val="28"/>
          <w:highlight w:val="none"/>
        </w:rPr>
        <w:t>39.80m</w:t>
      </w:r>
      <w:r>
        <w:rPr>
          <w:rFonts w:hAnsi="楷体" w:eastAsia="楷体"/>
          <w:color w:val="auto"/>
          <w:sz w:val="28"/>
          <w:szCs w:val="28"/>
          <w:highlight w:val="none"/>
        </w:rPr>
        <w:t>，坝顶总长度</w:t>
      </w:r>
      <w:r>
        <w:rPr>
          <w:rFonts w:eastAsia="楷体"/>
          <w:color w:val="auto"/>
          <w:sz w:val="28"/>
          <w:szCs w:val="28"/>
          <w:highlight w:val="none"/>
        </w:rPr>
        <w:t>200.0m</w:t>
      </w:r>
      <w:r>
        <w:rPr>
          <w:rFonts w:hAnsi="楷体" w:eastAsia="楷体"/>
          <w:color w:val="auto"/>
          <w:sz w:val="28"/>
          <w:szCs w:val="28"/>
          <w:highlight w:val="none"/>
        </w:rPr>
        <w:t>，坝顶宽度</w:t>
      </w:r>
      <w:r>
        <w:rPr>
          <w:rFonts w:eastAsia="楷体"/>
          <w:color w:val="auto"/>
          <w:sz w:val="28"/>
          <w:szCs w:val="28"/>
          <w:highlight w:val="none"/>
        </w:rPr>
        <w:t>3.2m</w:t>
      </w:r>
      <w:r>
        <w:rPr>
          <w:rFonts w:hAnsi="楷体" w:eastAsia="楷体"/>
          <w:color w:val="auto"/>
          <w:sz w:val="28"/>
          <w:szCs w:val="28"/>
          <w:highlight w:val="none"/>
        </w:rPr>
        <w:t>，坝顶有一条已废弃的引水渠穿过，渠道两侧及底板为浆砌块石护砌，渠底宽</w:t>
      </w:r>
      <w:r>
        <w:rPr>
          <w:rFonts w:eastAsia="楷体"/>
          <w:color w:val="auto"/>
          <w:sz w:val="28"/>
          <w:szCs w:val="28"/>
          <w:highlight w:val="none"/>
        </w:rPr>
        <w:t>2.0m</w:t>
      </w:r>
      <w:r>
        <w:rPr>
          <w:rFonts w:hAnsi="楷体" w:eastAsia="楷体"/>
          <w:color w:val="auto"/>
          <w:sz w:val="28"/>
          <w:szCs w:val="28"/>
          <w:highlight w:val="none"/>
        </w:rPr>
        <w:t>，高程</w:t>
      </w:r>
      <w:r>
        <w:rPr>
          <w:rFonts w:eastAsia="楷体"/>
          <w:color w:val="auto"/>
          <w:sz w:val="28"/>
          <w:szCs w:val="28"/>
          <w:highlight w:val="none"/>
        </w:rPr>
        <w:t>37.40m</w:t>
      </w:r>
      <w:r>
        <w:rPr>
          <w:rFonts w:hAnsi="楷体" w:eastAsia="楷体"/>
          <w:color w:val="auto"/>
          <w:sz w:val="28"/>
          <w:szCs w:val="28"/>
          <w:highlight w:val="none"/>
        </w:rPr>
        <w:t>，渠道左侧、右侧坡比分别为</w:t>
      </w:r>
      <w:r>
        <w:rPr>
          <w:rFonts w:eastAsia="楷体"/>
          <w:color w:val="auto"/>
          <w:sz w:val="28"/>
          <w:szCs w:val="28"/>
          <w:highlight w:val="none"/>
        </w:rPr>
        <w:t>1</w:t>
      </w:r>
      <w:r>
        <w:rPr>
          <w:rFonts w:hAnsi="楷体" w:eastAsia="楷体"/>
          <w:color w:val="auto"/>
          <w:sz w:val="28"/>
          <w:szCs w:val="28"/>
          <w:highlight w:val="none"/>
        </w:rPr>
        <w:t>：</w:t>
      </w:r>
      <w:r>
        <w:rPr>
          <w:rFonts w:eastAsia="楷体"/>
          <w:color w:val="auto"/>
          <w:sz w:val="28"/>
          <w:szCs w:val="28"/>
          <w:highlight w:val="none"/>
        </w:rPr>
        <w:t>1.6</w:t>
      </w:r>
      <w:r>
        <w:rPr>
          <w:rFonts w:hAnsi="楷体" w:eastAsia="楷体"/>
          <w:color w:val="auto"/>
          <w:sz w:val="28"/>
          <w:szCs w:val="28"/>
          <w:highlight w:val="none"/>
        </w:rPr>
        <w:t>、</w:t>
      </w:r>
      <w:r>
        <w:rPr>
          <w:rFonts w:eastAsia="楷体"/>
          <w:color w:val="auto"/>
          <w:sz w:val="28"/>
          <w:szCs w:val="28"/>
          <w:highlight w:val="none"/>
        </w:rPr>
        <w:t>1</w:t>
      </w:r>
      <w:r>
        <w:rPr>
          <w:rFonts w:hAnsi="楷体" w:eastAsia="楷体"/>
          <w:color w:val="auto"/>
          <w:sz w:val="28"/>
          <w:szCs w:val="28"/>
          <w:highlight w:val="none"/>
        </w:rPr>
        <w:t>：</w:t>
      </w:r>
      <w:r>
        <w:rPr>
          <w:rFonts w:eastAsia="楷体"/>
          <w:color w:val="auto"/>
          <w:sz w:val="28"/>
          <w:szCs w:val="28"/>
          <w:highlight w:val="none"/>
        </w:rPr>
        <w:t>1.1</w:t>
      </w:r>
      <w:r>
        <w:rPr>
          <w:rFonts w:hAnsi="楷体" w:eastAsia="楷体"/>
          <w:color w:val="auto"/>
          <w:sz w:val="28"/>
          <w:szCs w:val="28"/>
          <w:highlight w:val="none"/>
        </w:rPr>
        <w:t>。</w:t>
      </w:r>
      <w:r>
        <w:rPr>
          <w:rFonts w:hAnsi="楷体" w:eastAsia="楷体"/>
          <w:color w:val="auto"/>
          <w:kern w:val="0"/>
          <w:sz w:val="28"/>
          <w:szCs w:val="28"/>
          <w:highlight w:val="none"/>
        </w:rPr>
        <w:t>大坝迎水坡采用干砌块石护坡。迎水坡坡比从上到下分别为</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1.8</w:t>
      </w:r>
      <w:r>
        <w:rPr>
          <w:rFonts w:hAnsi="楷体" w:eastAsia="楷体"/>
          <w:color w:val="auto"/>
          <w:kern w:val="0"/>
          <w:sz w:val="28"/>
          <w:szCs w:val="28"/>
          <w:highlight w:val="none"/>
        </w:rPr>
        <w:t>、</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2.0</w:t>
      </w:r>
      <w:r>
        <w:rPr>
          <w:rFonts w:hAnsi="楷体" w:eastAsia="楷体"/>
          <w:color w:val="auto"/>
          <w:kern w:val="0"/>
          <w:sz w:val="28"/>
          <w:szCs w:val="28"/>
          <w:highlight w:val="none"/>
        </w:rPr>
        <w:t>，迎水坡设有一道平台，平台宽度为</w:t>
      </w:r>
      <w:r>
        <w:rPr>
          <w:rFonts w:eastAsia="楷体"/>
          <w:color w:val="auto"/>
          <w:kern w:val="0"/>
          <w:sz w:val="28"/>
          <w:szCs w:val="28"/>
          <w:highlight w:val="none"/>
        </w:rPr>
        <w:t xml:space="preserve">1.0m, </w:t>
      </w:r>
      <w:r>
        <w:rPr>
          <w:rFonts w:hAnsi="楷体" w:eastAsia="楷体"/>
          <w:color w:val="auto"/>
          <w:kern w:val="0"/>
          <w:sz w:val="28"/>
          <w:szCs w:val="28"/>
          <w:highlight w:val="none"/>
        </w:rPr>
        <w:t>平台高程为</w:t>
      </w:r>
      <w:r>
        <w:rPr>
          <w:rFonts w:eastAsia="楷体"/>
          <w:color w:val="auto"/>
          <w:kern w:val="0"/>
          <w:sz w:val="28"/>
          <w:szCs w:val="28"/>
          <w:highlight w:val="none"/>
        </w:rPr>
        <w:t>34.20m</w:t>
      </w:r>
      <w:r>
        <w:rPr>
          <w:rFonts w:hAnsi="楷体" w:eastAsia="楷体"/>
          <w:color w:val="auto"/>
          <w:kern w:val="0"/>
          <w:sz w:val="28"/>
          <w:szCs w:val="28"/>
          <w:highlight w:val="none"/>
        </w:rPr>
        <w:t>。背水坡为草皮护坡，坡比从上到下分别为</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1.8</w:t>
      </w:r>
      <w:r>
        <w:rPr>
          <w:rFonts w:hAnsi="楷体" w:eastAsia="楷体"/>
          <w:color w:val="auto"/>
          <w:kern w:val="0"/>
          <w:sz w:val="28"/>
          <w:szCs w:val="28"/>
          <w:highlight w:val="none"/>
        </w:rPr>
        <w:t>、</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2.0</w:t>
      </w:r>
      <w:r>
        <w:rPr>
          <w:rFonts w:hAnsi="楷体" w:eastAsia="楷体"/>
          <w:color w:val="auto"/>
          <w:kern w:val="0"/>
          <w:sz w:val="28"/>
          <w:szCs w:val="28"/>
          <w:highlight w:val="none"/>
        </w:rPr>
        <w:t>，背水坡设有一道平台，平台宽度为</w:t>
      </w:r>
      <w:r>
        <w:rPr>
          <w:rFonts w:eastAsia="楷体"/>
          <w:color w:val="auto"/>
          <w:kern w:val="0"/>
          <w:sz w:val="28"/>
          <w:szCs w:val="28"/>
          <w:highlight w:val="none"/>
        </w:rPr>
        <w:t>2.0m</w:t>
      </w:r>
      <w:r>
        <w:rPr>
          <w:rFonts w:hAnsi="楷体" w:eastAsia="楷体"/>
          <w:color w:val="auto"/>
          <w:kern w:val="0"/>
          <w:sz w:val="28"/>
          <w:szCs w:val="28"/>
          <w:highlight w:val="none"/>
        </w:rPr>
        <w:t>，平台高程为</w:t>
      </w:r>
      <w:r>
        <w:rPr>
          <w:rFonts w:eastAsia="楷体"/>
          <w:color w:val="auto"/>
          <w:kern w:val="0"/>
          <w:sz w:val="28"/>
          <w:szCs w:val="28"/>
          <w:highlight w:val="none"/>
        </w:rPr>
        <w:t>32.40m</w:t>
      </w:r>
      <w:r>
        <w:rPr>
          <w:rFonts w:hAnsi="楷体" w:eastAsia="楷体"/>
          <w:color w:val="auto"/>
          <w:kern w:val="0"/>
          <w:sz w:val="28"/>
          <w:szCs w:val="28"/>
          <w:highlight w:val="none"/>
        </w:rPr>
        <w:t>。下游侧坡脚设有干砌条石排水棱体，高</w:t>
      </w:r>
      <w:r>
        <w:rPr>
          <w:rFonts w:eastAsia="楷体"/>
          <w:color w:val="auto"/>
          <w:kern w:val="0"/>
          <w:sz w:val="28"/>
          <w:szCs w:val="28"/>
          <w:highlight w:val="none"/>
        </w:rPr>
        <w:t>3.0m</w:t>
      </w:r>
      <w:r>
        <w:rPr>
          <w:rFonts w:hAnsi="楷体" w:eastAsia="楷体"/>
          <w:color w:val="auto"/>
          <w:kern w:val="0"/>
          <w:sz w:val="28"/>
          <w:szCs w:val="28"/>
          <w:highlight w:val="none"/>
        </w:rPr>
        <w:t>，顶宽</w:t>
      </w:r>
      <w:r>
        <w:rPr>
          <w:rFonts w:eastAsia="楷体"/>
          <w:color w:val="auto"/>
          <w:kern w:val="0"/>
          <w:sz w:val="28"/>
          <w:szCs w:val="28"/>
          <w:highlight w:val="none"/>
        </w:rPr>
        <w:t>1.0m</w:t>
      </w:r>
      <w:r>
        <w:rPr>
          <w:rFonts w:hAnsi="楷体" w:eastAsia="楷体"/>
          <w:color w:val="auto"/>
          <w:kern w:val="0"/>
          <w:sz w:val="28"/>
          <w:szCs w:val="28"/>
          <w:highlight w:val="none"/>
        </w:rPr>
        <w:t>，高程为</w:t>
      </w:r>
      <w:r>
        <w:rPr>
          <w:rFonts w:eastAsia="楷体"/>
          <w:color w:val="auto"/>
          <w:kern w:val="0"/>
          <w:sz w:val="28"/>
          <w:szCs w:val="28"/>
          <w:highlight w:val="none"/>
        </w:rPr>
        <w:t>30.80m</w:t>
      </w:r>
      <w:r>
        <w:rPr>
          <w:rFonts w:hAnsi="楷体" w:eastAsia="楷体"/>
          <w:color w:val="auto"/>
          <w:kern w:val="0"/>
          <w:sz w:val="28"/>
          <w:szCs w:val="28"/>
          <w:highlight w:val="none"/>
        </w:rPr>
        <w:t>，外侧坡比</w:t>
      </w:r>
      <w:r>
        <w:rPr>
          <w:rFonts w:eastAsia="楷体"/>
          <w:color w:val="auto"/>
          <w:kern w:val="0"/>
          <w:sz w:val="28"/>
          <w:szCs w:val="28"/>
          <w:highlight w:val="none"/>
        </w:rPr>
        <w:t>1:0.1</w:t>
      </w:r>
      <w:r>
        <w:rPr>
          <w:rFonts w:hAnsi="楷体" w:eastAsia="楷体"/>
          <w:color w:val="auto"/>
          <w:kern w:val="0"/>
          <w:sz w:val="28"/>
          <w:szCs w:val="28"/>
          <w:highlight w:val="none"/>
        </w:rPr>
        <w:t>。</w:t>
      </w:r>
    </w:p>
    <w:p w14:paraId="69979568">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2</w:t>
      </w:r>
      <w:r>
        <w:rPr>
          <w:rFonts w:hAnsi="楷体" w:eastAsia="楷体"/>
          <w:color w:val="auto"/>
          <w:sz w:val="28"/>
          <w:szCs w:val="28"/>
          <w:highlight w:val="none"/>
        </w:rPr>
        <w:t>）溢洪道</w:t>
      </w:r>
    </w:p>
    <w:p w14:paraId="6F189213">
      <w:pPr>
        <w:spacing w:line="520" w:lineRule="exact"/>
        <w:ind w:firstLine="560" w:firstLineChars="200"/>
        <w:rPr>
          <w:rFonts w:eastAsia="楷体"/>
          <w:color w:val="auto"/>
          <w:sz w:val="28"/>
          <w:szCs w:val="28"/>
          <w:highlight w:val="none"/>
        </w:rPr>
      </w:pPr>
      <w:bookmarkStart w:id="3" w:name="_Toc242687867"/>
      <w:bookmarkStart w:id="4" w:name="_Toc251151422"/>
      <w:r>
        <w:rPr>
          <w:rFonts w:hAnsi="楷体" w:eastAsia="楷体"/>
          <w:color w:val="auto"/>
          <w:kern w:val="0"/>
          <w:sz w:val="28"/>
          <w:szCs w:val="28"/>
          <w:highlight w:val="none"/>
        </w:rPr>
        <w:t>溢洪道位于大坝左坝肩，由山体开挖而成，</w:t>
      </w:r>
      <w:r>
        <w:rPr>
          <w:rFonts w:hAnsi="楷体" w:eastAsia="楷体"/>
          <w:color w:val="auto"/>
          <w:sz w:val="28"/>
          <w:szCs w:val="28"/>
          <w:highlight w:val="none"/>
        </w:rPr>
        <w:t>全长</w:t>
      </w:r>
      <w:r>
        <w:rPr>
          <w:rFonts w:eastAsia="楷体"/>
          <w:color w:val="auto"/>
          <w:sz w:val="28"/>
          <w:szCs w:val="28"/>
          <w:highlight w:val="none"/>
        </w:rPr>
        <w:t>180m</w:t>
      </w:r>
      <w:r>
        <w:rPr>
          <w:rFonts w:hAnsi="楷体" w:eastAsia="楷体"/>
          <w:color w:val="auto"/>
          <w:sz w:val="28"/>
          <w:szCs w:val="28"/>
          <w:highlight w:val="none"/>
        </w:rPr>
        <w:t>，</w:t>
      </w:r>
      <w:r>
        <w:rPr>
          <w:rFonts w:hAnsi="楷体" w:eastAsia="楷体"/>
          <w:color w:val="auto"/>
          <w:kern w:val="0"/>
          <w:sz w:val="28"/>
          <w:szCs w:val="28"/>
          <w:highlight w:val="none"/>
        </w:rPr>
        <w:t>侧墙及底部均为浆砌块石护砌，堰顶高程</w:t>
      </w:r>
      <w:r>
        <w:rPr>
          <w:rFonts w:eastAsia="楷体"/>
          <w:color w:val="auto"/>
          <w:kern w:val="0"/>
          <w:sz w:val="28"/>
          <w:szCs w:val="28"/>
          <w:highlight w:val="none"/>
        </w:rPr>
        <w:t>37.75m</w:t>
      </w:r>
      <w:r>
        <w:rPr>
          <w:rFonts w:hAnsi="楷体" w:eastAsia="楷体"/>
          <w:color w:val="auto"/>
          <w:kern w:val="0"/>
          <w:sz w:val="28"/>
          <w:szCs w:val="28"/>
          <w:highlight w:val="none"/>
        </w:rPr>
        <w:t>，堰顶净宽</w:t>
      </w:r>
      <w:r>
        <w:rPr>
          <w:rFonts w:eastAsia="楷体"/>
          <w:color w:val="auto"/>
          <w:kern w:val="0"/>
          <w:sz w:val="28"/>
          <w:szCs w:val="28"/>
          <w:highlight w:val="none"/>
        </w:rPr>
        <w:t>6.0m</w:t>
      </w:r>
      <w:r>
        <w:rPr>
          <w:rFonts w:hAnsi="楷体" w:eastAsia="楷体"/>
          <w:color w:val="auto"/>
          <w:kern w:val="0"/>
          <w:sz w:val="28"/>
          <w:szCs w:val="28"/>
          <w:highlight w:val="none"/>
        </w:rPr>
        <w:t>，为</w:t>
      </w:r>
      <w:r>
        <w:rPr>
          <w:rFonts w:hAnsi="楷体" w:eastAsia="楷体"/>
          <w:color w:val="auto"/>
          <w:sz w:val="28"/>
          <w:szCs w:val="28"/>
          <w:highlight w:val="none"/>
        </w:rPr>
        <w:t>无底坎宽顶堰</w:t>
      </w:r>
      <w:r>
        <w:rPr>
          <w:rFonts w:hAnsi="楷体" w:eastAsia="楷体"/>
          <w:color w:val="auto"/>
          <w:kern w:val="0"/>
          <w:sz w:val="28"/>
          <w:szCs w:val="28"/>
          <w:highlight w:val="none"/>
        </w:rPr>
        <w:t>形式；溢洪道由反坡段、渐变段、陡坡泄槽段组成，坡度分别为：</w:t>
      </w:r>
      <w:r>
        <w:rPr>
          <w:rFonts w:eastAsia="楷体"/>
          <w:color w:val="auto"/>
          <w:kern w:val="0"/>
          <w:sz w:val="28"/>
          <w:szCs w:val="28"/>
          <w:highlight w:val="none"/>
        </w:rPr>
        <w:t>1:23.0</w:t>
      </w:r>
      <w:r>
        <w:rPr>
          <w:rFonts w:hAnsi="楷体" w:eastAsia="楷体"/>
          <w:color w:val="auto"/>
          <w:kern w:val="0"/>
          <w:sz w:val="28"/>
          <w:szCs w:val="28"/>
          <w:highlight w:val="none"/>
        </w:rPr>
        <w:t>、</w:t>
      </w:r>
      <w:r>
        <w:rPr>
          <w:rFonts w:eastAsia="楷体"/>
          <w:color w:val="auto"/>
          <w:kern w:val="0"/>
          <w:sz w:val="28"/>
          <w:szCs w:val="28"/>
          <w:highlight w:val="none"/>
        </w:rPr>
        <w:t>1:14.1</w:t>
      </w:r>
      <w:r>
        <w:rPr>
          <w:rFonts w:hAnsi="楷体" w:eastAsia="楷体"/>
          <w:color w:val="auto"/>
          <w:kern w:val="0"/>
          <w:sz w:val="28"/>
          <w:szCs w:val="28"/>
          <w:highlight w:val="none"/>
        </w:rPr>
        <w:t>、</w:t>
      </w:r>
      <w:r>
        <w:rPr>
          <w:rFonts w:eastAsia="楷体"/>
          <w:color w:val="auto"/>
          <w:kern w:val="0"/>
          <w:sz w:val="28"/>
          <w:szCs w:val="28"/>
          <w:highlight w:val="none"/>
        </w:rPr>
        <w:t>1:18.9</w:t>
      </w:r>
      <w:r>
        <w:rPr>
          <w:rFonts w:hAnsi="楷体" w:eastAsia="楷体"/>
          <w:color w:val="auto"/>
          <w:kern w:val="0"/>
          <w:sz w:val="28"/>
          <w:szCs w:val="28"/>
          <w:highlight w:val="none"/>
        </w:rPr>
        <w:t>、</w:t>
      </w:r>
      <w:r>
        <w:rPr>
          <w:rFonts w:eastAsia="楷体"/>
          <w:color w:val="auto"/>
          <w:kern w:val="0"/>
          <w:sz w:val="28"/>
          <w:szCs w:val="28"/>
          <w:highlight w:val="none"/>
        </w:rPr>
        <w:t>1:8.62</w:t>
      </w:r>
      <w:r>
        <w:rPr>
          <w:rFonts w:hAnsi="楷体" w:eastAsia="楷体"/>
          <w:color w:val="auto"/>
          <w:kern w:val="0"/>
          <w:sz w:val="28"/>
          <w:szCs w:val="28"/>
          <w:highlight w:val="none"/>
        </w:rPr>
        <w:t>、</w:t>
      </w:r>
      <w:r>
        <w:rPr>
          <w:rFonts w:eastAsia="楷体"/>
          <w:color w:val="auto"/>
          <w:kern w:val="0"/>
          <w:sz w:val="28"/>
          <w:szCs w:val="28"/>
          <w:highlight w:val="none"/>
        </w:rPr>
        <w:t>1:32.8</w:t>
      </w:r>
      <w:r>
        <w:rPr>
          <w:rFonts w:hAnsi="楷体" w:eastAsia="楷体"/>
          <w:color w:val="auto"/>
          <w:kern w:val="0"/>
          <w:sz w:val="28"/>
          <w:szCs w:val="28"/>
          <w:highlight w:val="none"/>
        </w:rPr>
        <w:t>。反坡段长</w:t>
      </w:r>
      <w:r>
        <w:rPr>
          <w:rFonts w:eastAsia="楷体"/>
          <w:color w:val="auto"/>
          <w:kern w:val="0"/>
          <w:sz w:val="28"/>
          <w:szCs w:val="28"/>
          <w:highlight w:val="none"/>
        </w:rPr>
        <w:t>19.20m</w:t>
      </w:r>
      <w:r>
        <w:rPr>
          <w:rFonts w:hAnsi="楷体" w:eastAsia="楷体"/>
          <w:color w:val="auto"/>
          <w:kern w:val="0"/>
          <w:sz w:val="28"/>
          <w:szCs w:val="28"/>
          <w:highlight w:val="none"/>
        </w:rPr>
        <w:t>，底宽</w:t>
      </w:r>
      <w:r>
        <w:rPr>
          <w:rFonts w:eastAsia="楷体"/>
          <w:color w:val="auto"/>
          <w:kern w:val="0"/>
          <w:sz w:val="28"/>
          <w:szCs w:val="28"/>
          <w:highlight w:val="none"/>
        </w:rPr>
        <w:t>6.2</w:t>
      </w:r>
      <w:r>
        <w:rPr>
          <w:rFonts w:hAnsi="楷体" w:eastAsia="楷体"/>
          <w:color w:val="auto"/>
          <w:kern w:val="0"/>
          <w:sz w:val="28"/>
          <w:szCs w:val="28"/>
          <w:highlight w:val="none"/>
        </w:rPr>
        <w:t>～</w:t>
      </w:r>
      <w:r>
        <w:rPr>
          <w:rFonts w:eastAsia="楷体"/>
          <w:color w:val="auto"/>
          <w:kern w:val="0"/>
          <w:sz w:val="28"/>
          <w:szCs w:val="28"/>
          <w:highlight w:val="none"/>
        </w:rPr>
        <w:t>7.2m</w:t>
      </w:r>
      <w:r>
        <w:rPr>
          <w:rFonts w:hAnsi="楷体" w:eastAsia="楷体"/>
          <w:color w:val="auto"/>
          <w:kern w:val="0"/>
          <w:sz w:val="28"/>
          <w:szCs w:val="28"/>
          <w:highlight w:val="none"/>
        </w:rPr>
        <w:t>；渐变段长</w:t>
      </w:r>
      <w:r>
        <w:rPr>
          <w:rFonts w:eastAsia="楷体"/>
          <w:color w:val="auto"/>
          <w:kern w:val="0"/>
          <w:sz w:val="28"/>
          <w:szCs w:val="28"/>
          <w:highlight w:val="none"/>
        </w:rPr>
        <w:t>20.8m</w:t>
      </w:r>
      <w:r>
        <w:rPr>
          <w:rFonts w:hAnsi="楷体" w:eastAsia="楷体"/>
          <w:color w:val="auto"/>
          <w:kern w:val="0"/>
          <w:sz w:val="28"/>
          <w:szCs w:val="28"/>
          <w:highlight w:val="none"/>
        </w:rPr>
        <w:t>，底宽</w:t>
      </w:r>
      <w:r>
        <w:rPr>
          <w:rFonts w:eastAsia="楷体"/>
          <w:color w:val="auto"/>
          <w:kern w:val="0"/>
          <w:sz w:val="28"/>
          <w:szCs w:val="28"/>
          <w:highlight w:val="none"/>
        </w:rPr>
        <w:t>12.0</w:t>
      </w:r>
      <w:r>
        <w:rPr>
          <w:rFonts w:hAnsi="楷体" w:eastAsia="楷体"/>
          <w:color w:val="auto"/>
          <w:kern w:val="0"/>
          <w:sz w:val="28"/>
          <w:szCs w:val="28"/>
          <w:highlight w:val="none"/>
        </w:rPr>
        <w:t>～</w:t>
      </w:r>
      <w:r>
        <w:rPr>
          <w:rFonts w:eastAsia="楷体"/>
          <w:color w:val="auto"/>
          <w:kern w:val="0"/>
          <w:sz w:val="28"/>
          <w:szCs w:val="28"/>
          <w:highlight w:val="none"/>
        </w:rPr>
        <w:t>6.3m</w:t>
      </w:r>
      <w:r>
        <w:rPr>
          <w:rFonts w:hAnsi="楷体" w:eastAsia="楷体"/>
          <w:color w:val="auto"/>
          <w:kern w:val="0"/>
          <w:sz w:val="28"/>
          <w:szCs w:val="28"/>
          <w:highlight w:val="none"/>
        </w:rPr>
        <w:t>；陡坡泄槽段长</w:t>
      </w:r>
      <w:r>
        <w:rPr>
          <w:rFonts w:eastAsia="楷体"/>
          <w:color w:val="auto"/>
          <w:kern w:val="0"/>
          <w:sz w:val="28"/>
          <w:szCs w:val="28"/>
          <w:highlight w:val="none"/>
        </w:rPr>
        <w:t>140.0m</w:t>
      </w:r>
      <w:r>
        <w:rPr>
          <w:rFonts w:hAnsi="楷体" w:eastAsia="楷体"/>
          <w:color w:val="auto"/>
          <w:kern w:val="0"/>
          <w:sz w:val="28"/>
          <w:szCs w:val="28"/>
          <w:highlight w:val="none"/>
        </w:rPr>
        <w:t>，底宽</w:t>
      </w:r>
      <w:r>
        <w:rPr>
          <w:rFonts w:eastAsia="楷体"/>
          <w:color w:val="auto"/>
          <w:kern w:val="0"/>
          <w:sz w:val="28"/>
          <w:szCs w:val="28"/>
          <w:highlight w:val="none"/>
        </w:rPr>
        <w:t>5.8</w:t>
      </w:r>
      <w:r>
        <w:rPr>
          <w:rFonts w:hAnsi="楷体" w:eastAsia="楷体"/>
          <w:color w:val="auto"/>
          <w:kern w:val="0"/>
          <w:sz w:val="28"/>
          <w:szCs w:val="28"/>
          <w:highlight w:val="none"/>
        </w:rPr>
        <w:t>～</w:t>
      </w:r>
      <w:r>
        <w:rPr>
          <w:rFonts w:eastAsia="楷体"/>
          <w:color w:val="auto"/>
          <w:kern w:val="0"/>
          <w:sz w:val="28"/>
          <w:szCs w:val="28"/>
          <w:highlight w:val="none"/>
        </w:rPr>
        <w:t>7.2m</w:t>
      </w:r>
      <w:r>
        <w:rPr>
          <w:rFonts w:hAnsi="楷体" w:eastAsia="楷体"/>
          <w:color w:val="auto"/>
          <w:kern w:val="0"/>
          <w:sz w:val="28"/>
          <w:szCs w:val="28"/>
          <w:highlight w:val="none"/>
        </w:rPr>
        <w:t>，资料记载溢洪道原设计最大泄洪量</w:t>
      </w:r>
      <w:r>
        <w:rPr>
          <w:rFonts w:eastAsia="楷体"/>
          <w:color w:val="auto"/>
          <w:kern w:val="0"/>
          <w:sz w:val="28"/>
          <w:szCs w:val="28"/>
          <w:highlight w:val="none"/>
        </w:rPr>
        <w:t>25.3m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，本次复核最大泄洪量</w:t>
      </w:r>
      <w:r>
        <w:rPr>
          <w:rFonts w:eastAsia="楷体"/>
          <w:color w:val="auto"/>
          <w:kern w:val="0"/>
          <w:sz w:val="28"/>
          <w:szCs w:val="28"/>
          <w:highlight w:val="none"/>
        </w:rPr>
        <w:t>13.07m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w:t>
      </w:r>
    </w:p>
    <w:p w14:paraId="32688C8A">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3</w:t>
      </w:r>
      <w:r>
        <w:rPr>
          <w:rFonts w:hAnsi="楷体" w:eastAsia="楷体"/>
          <w:color w:val="auto"/>
          <w:sz w:val="28"/>
          <w:szCs w:val="28"/>
          <w:highlight w:val="none"/>
        </w:rPr>
        <w:t>）输水涵洞</w:t>
      </w:r>
      <w:bookmarkEnd w:id="3"/>
      <w:bookmarkEnd w:id="4"/>
    </w:p>
    <w:p w14:paraId="034A4389">
      <w:pPr>
        <w:spacing w:line="520" w:lineRule="exact"/>
        <w:ind w:firstLine="560" w:firstLineChars="200"/>
        <w:rPr>
          <w:rFonts w:eastAsia="楷体"/>
          <w:color w:val="auto"/>
          <w:kern w:val="0"/>
          <w:sz w:val="28"/>
          <w:szCs w:val="28"/>
          <w:highlight w:val="none"/>
        </w:rPr>
      </w:pPr>
      <w:bookmarkStart w:id="5" w:name="_Toc242687868"/>
      <w:bookmarkStart w:id="6" w:name="_Toc251151423"/>
      <w:r>
        <w:rPr>
          <w:rFonts w:hAnsi="楷体" w:eastAsia="楷体"/>
          <w:color w:val="auto"/>
          <w:kern w:val="0"/>
          <w:sz w:val="28"/>
          <w:szCs w:val="28"/>
          <w:highlight w:val="none"/>
        </w:rPr>
        <w:t>前烧水库输水涵洞设有高涵和低涵，高涵位于大坝桩号</w:t>
      </w:r>
      <w:r>
        <w:rPr>
          <w:rFonts w:eastAsia="楷体"/>
          <w:color w:val="auto"/>
          <w:kern w:val="0"/>
          <w:sz w:val="28"/>
          <w:szCs w:val="28"/>
          <w:highlight w:val="none"/>
        </w:rPr>
        <w:t>B0+045.5</w:t>
      </w:r>
      <w:r>
        <w:rPr>
          <w:rFonts w:hAnsi="楷体" w:eastAsia="楷体"/>
          <w:color w:val="auto"/>
          <w:kern w:val="0"/>
          <w:sz w:val="28"/>
          <w:szCs w:val="28"/>
          <w:highlight w:val="none"/>
        </w:rPr>
        <w:t>处，低涵位于大坝桩号</w:t>
      </w:r>
      <w:r>
        <w:rPr>
          <w:rFonts w:eastAsia="楷体"/>
          <w:color w:val="auto"/>
          <w:kern w:val="0"/>
          <w:sz w:val="28"/>
          <w:szCs w:val="28"/>
          <w:highlight w:val="none"/>
        </w:rPr>
        <w:t>B0+133.0</w:t>
      </w:r>
      <w:r>
        <w:rPr>
          <w:rFonts w:hAnsi="楷体" w:eastAsia="楷体"/>
          <w:color w:val="auto"/>
          <w:kern w:val="0"/>
          <w:sz w:val="28"/>
          <w:szCs w:val="28"/>
          <w:highlight w:val="none"/>
        </w:rPr>
        <w:t>处，高、低涵均为浆砌条石无压涵洞。根据现场实测，高涵断面尺寸为</w:t>
      </w:r>
      <w:r>
        <w:rPr>
          <w:rFonts w:eastAsia="楷体"/>
          <w:color w:val="auto"/>
          <w:kern w:val="0"/>
          <w:sz w:val="28"/>
          <w:szCs w:val="28"/>
          <w:highlight w:val="none"/>
        </w:rPr>
        <w:t>0.60×0.60m</w:t>
      </w:r>
      <w:r>
        <w:rPr>
          <w:rFonts w:hAnsi="楷体" w:eastAsia="楷体"/>
          <w:color w:val="auto"/>
          <w:kern w:val="0"/>
          <w:sz w:val="28"/>
          <w:szCs w:val="28"/>
          <w:highlight w:val="none"/>
        </w:rPr>
        <w:t>（宽</w:t>
      </w:r>
      <w:r>
        <w:rPr>
          <w:rFonts w:eastAsia="楷体"/>
          <w:color w:val="auto"/>
          <w:kern w:val="0"/>
          <w:sz w:val="28"/>
          <w:szCs w:val="28"/>
          <w:highlight w:val="none"/>
        </w:rPr>
        <w:t>×</w:t>
      </w:r>
      <w:r>
        <w:rPr>
          <w:rFonts w:hAnsi="楷体" w:eastAsia="楷体"/>
          <w:color w:val="auto"/>
          <w:kern w:val="0"/>
          <w:sz w:val="28"/>
          <w:szCs w:val="28"/>
          <w:highlight w:val="none"/>
        </w:rPr>
        <w:t>高），出口底高程为</w:t>
      </w:r>
      <w:r>
        <w:rPr>
          <w:rFonts w:eastAsia="楷体"/>
          <w:color w:val="auto"/>
          <w:kern w:val="0"/>
          <w:sz w:val="28"/>
          <w:szCs w:val="28"/>
          <w:highlight w:val="none"/>
        </w:rPr>
        <w:t>31.85m</w:t>
      </w:r>
      <w:r>
        <w:rPr>
          <w:rFonts w:hAnsi="楷体" w:eastAsia="楷体"/>
          <w:color w:val="auto"/>
          <w:kern w:val="0"/>
          <w:sz w:val="28"/>
          <w:szCs w:val="28"/>
          <w:highlight w:val="none"/>
        </w:rPr>
        <w:t>，全长约</w:t>
      </w:r>
      <w:r>
        <w:rPr>
          <w:rFonts w:eastAsia="楷体"/>
          <w:color w:val="auto"/>
          <w:kern w:val="0"/>
          <w:sz w:val="28"/>
          <w:szCs w:val="28"/>
          <w:highlight w:val="none"/>
        </w:rPr>
        <w:t>44.0m</w:t>
      </w:r>
      <w:r>
        <w:rPr>
          <w:rFonts w:hAnsi="楷体" w:eastAsia="楷体"/>
          <w:color w:val="auto"/>
          <w:kern w:val="0"/>
          <w:sz w:val="28"/>
          <w:szCs w:val="28"/>
          <w:highlight w:val="none"/>
        </w:rPr>
        <w:t>；低涵断面尺寸为</w:t>
      </w:r>
      <w:r>
        <w:rPr>
          <w:rFonts w:eastAsia="楷体"/>
          <w:color w:val="auto"/>
          <w:kern w:val="0"/>
          <w:sz w:val="28"/>
          <w:szCs w:val="28"/>
          <w:highlight w:val="none"/>
        </w:rPr>
        <w:t>0.60×0.70m</w:t>
      </w:r>
      <w:r>
        <w:rPr>
          <w:rFonts w:hAnsi="楷体" w:eastAsia="楷体"/>
          <w:color w:val="auto"/>
          <w:kern w:val="0"/>
          <w:sz w:val="28"/>
          <w:szCs w:val="28"/>
          <w:highlight w:val="none"/>
        </w:rPr>
        <w:t>（宽</w:t>
      </w:r>
      <w:r>
        <w:rPr>
          <w:rFonts w:eastAsia="楷体"/>
          <w:color w:val="auto"/>
          <w:kern w:val="0"/>
          <w:sz w:val="28"/>
          <w:szCs w:val="28"/>
          <w:highlight w:val="none"/>
        </w:rPr>
        <w:t>×</w:t>
      </w:r>
      <w:r>
        <w:rPr>
          <w:rFonts w:hAnsi="楷体" w:eastAsia="楷体"/>
          <w:color w:val="auto"/>
          <w:kern w:val="0"/>
          <w:sz w:val="28"/>
          <w:szCs w:val="28"/>
          <w:highlight w:val="none"/>
        </w:rPr>
        <w:t>高），出口底高程为</w:t>
      </w:r>
      <w:r>
        <w:rPr>
          <w:rFonts w:eastAsia="楷体"/>
          <w:color w:val="auto"/>
          <w:kern w:val="0"/>
          <w:sz w:val="28"/>
          <w:szCs w:val="28"/>
          <w:highlight w:val="none"/>
        </w:rPr>
        <w:t>27.86m</w:t>
      </w:r>
      <w:r>
        <w:rPr>
          <w:rFonts w:hAnsi="楷体" w:eastAsia="楷体"/>
          <w:color w:val="auto"/>
          <w:kern w:val="0"/>
          <w:sz w:val="28"/>
          <w:szCs w:val="28"/>
          <w:highlight w:val="none"/>
        </w:rPr>
        <w:t>，全长约</w:t>
      </w:r>
      <w:r>
        <w:rPr>
          <w:rFonts w:eastAsia="楷体"/>
          <w:color w:val="auto"/>
          <w:kern w:val="0"/>
          <w:sz w:val="28"/>
          <w:szCs w:val="28"/>
          <w:highlight w:val="none"/>
        </w:rPr>
        <w:t>55.0m</w:t>
      </w:r>
      <w:r>
        <w:rPr>
          <w:rFonts w:hAnsi="楷体" w:eastAsia="楷体"/>
          <w:color w:val="auto"/>
          <w:kern w:val="0"/>
          <w:sz w:val="28"/>
          <w:szCs w:val="28"/>
          <w:highlight w:val="none"/>
        </w:rPr>
        <w:t>。测量时库水位较高，难以测出涵洞进口的实际底高程，本次暂按</w:t>
      </w:r>
      <w:r>
        <w:rPr>
          <w:rFonts w:eastAsia="楷体"/>
          <w:color w:val="auto"/>
          <w:kern w:val="0"/>
          <w:sz w:val="28"/>
          <w:szCs w:val="28"/>
          <w:highlight w:val="none"/>
        </w:rPr>
        <w:t>1%</w:t>
      </w:r>
      <w:r>
        <w:rPr>
          <w:rFonts w:hAnsi="楷体" w:eastAsia="楷体"/>
          <w:color w:val="auto"/>
          <w:kern w:val="0"/>
          <w:sz w:val="28"/>
          <w:szCs w:val="28"/>
          <w:highlight w:val="none"/>
        </w:rPr>
        <w:t>的坡降分别推算高、低涵进口底高程，得出高涵进口底高程为</w:t>
      </w:r>
      <w:r>
        <w:rPr>
          <w:rFonts w:eastAsia="楷体"/>
          <w:color w:val="auto"/>
          <w:kern w:val="0"/>
          <w:sz w:val="28"/>
          <w:szCs w:val="28"/>
          <w:highlight w:val="none"/>
        </w:rPr>
        <w:t>32.30m</w:t>
      </w:r>
      <w:r>
        <w:rPr>
          <w:rFonts w:hAnsi="楷体" w:eastAsia="楷体"/>
          <w:color w:val="auto"/>
          <w:kern w:val="0"/>
          <w:sz w:val="28"/>
          <w:szCs w:val="28"/>
          <w:highlight w:val="none"/>
        </w:rPr>
        <w:t>，低涵进口底高程为</w:t>
      </w:r>
      <w:r>
        <w:rPr>
          <w:rFonts w:eastAsia="楷体"/>
          <w:color w:val="auto"/>
          <w:kern w:val="0"/>
          <w:sz w:val="28"/>
          <w:szCs w:val="28"/>
          <w:highlight w:val="none"/>
        </w:rPr>
        <w:t>28.45m</w:t>
      </w:r>
      <w:r>
        <w:rPr>
          <w:rFonts w:hAnsi="楷体" w:eastAsia="楷体"/>
          <w:color w:val="auto"/>
          <w:kern w:val="0"/>
          <w:sz w:val="28"/>
          <w:szCs w:val="28"/>
          <w:highlight w:val="none"/>
        </w:rPr>
        <w:t>。</w:t>
      </w:r>
    </w:p>
    <w:p w14:paraId="057CA732">
      <w:pPr>
        <w:spacing w:line="520" w:lineRule="exact"/>
        <w:ind w:firstLine="560" w:firstLineChars="200"/>
        <w:rPr>
          <w:rFonts w:eastAsia="楷体"/>
          <w:color w:val="auto"/>
          <w:sz w:val="28"/>
          <w:szCs w:val="28"/>
          <w:highlight w:val="none"/>
        </w:rPr>
      </w:pPr>
      <w:r>
        <w:rPr>
          <w:rFonts w:hAnsi="楷体" w:eastAsia="楷体"/>
          <w:color w:val="auto"/>
          <w:kern w:val="0"/>
          <w:sz w:val="28"/>
          <w:szCs w:val="28"/>
          <w:highlight w:val="none"/>
        </w:rPr>
        <w:t>高涵和低涵放水设施均为转动门盖，采用手摇绞车启闭，高涵最大放水流量</w:t>
      </w:r>
      <w:r>
        <w:rPr>
          <w:rFonts w:eastAsia="楷体"/>
          <w:color w:val="auto"/>
          <w:kern w:val="0"/>
          <w:sz w:val="28"/>
          <w:szCs w:val="28"/>
          <w:highlight w:val="none"/>
        </w:rPr>
        <w:t>0.116m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，低涵最大放水流量</w:t>
      </w:r>
      <w:r>
        <w:rPr>
          <w:rFonts w:eastAsia="楷体"/>
          <w:color w:val="auto"/>
          <w:kern w:val="0"/>
          <w:sz w:val="28"/>
          <w:szCs w:val="28"/>
          <w:highlight w:val="none"/>
        </w:rPr>
        <w:t>0.152m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w:t>
      </w:r>
    </w:p>
    <w:bookmarkEnd w:id="5"/>
    <w:bookmarkEnd w:id="6"/>
    <w:p w14:paraId="0355F5D5">
      <w:pPr>
        <w:pStyle w:val="3"/>
        <w:spacing w:beforeLines="50" w:afterLines="50" w:line="360" w:lineRule="auto"/>
        <w:contextualSpacing/>
        <w:rPr>
          <w:rFonts w:ascii="Times New Roman" w:hAnsi="Times New Roman" w:eastAsia="楷体"/>
          <w:color w:val="auto"/>
          <w:kern w:val="0"/>
          <w:sz w:val="28"/>
          <w:szCs w:val="28"/>
          <w:highlight w:val="none"/>
        </w:rPr>
      </w:pPr>
      <w:bookmarkStart w:id="7" w:name="_Toc13357"/>
      <w:r>
        <w:rPr>
          <w:rFonts w:ascii="Times New Roman" w:hAnsi="Times New Roman" w:eastAsia="楷体"/>
          <w:color w:val="auto"/>
          <w:kern w:val="0"/>
          <w:sz w:val="28"/>
          <w:szCs w:val="28"/>
          <w:highlight w:val="none"/>
        </w:rPr>
        <w:t>1.2 水文气象</w:t>
      </w:r>
      <w:bookmarkEnd w:id="7"/>
    </w:p>
    <w:p w14:paraId="2D9AE369">
      <w:pPr>
        <w:spacing w:line="520" w:lineRule="exact"/>
        <w:ind w:firstLine="560" w:firstLineChars="200"/>
        <w:rPr>
          <w:rFonts w:eastAsia="楷体"/>
          <w:color w:val="auto"/>
          <w:sz w:val="28"/>
          <w:szCs w:val="28"/>
          <w:highlight w:val="none"/>
        </w:rPr>
      </w:pPr>
      <w:bookmarkStart w:id="8" w:name="_Toc2603"/>
      <w:r>
        <w:rPr>
          <w:rFonts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w:t>
      </w:r>
      <w:r>
        <w:rPr>
          <w:rFonts w:ascii="楷体" w:hAnsi="楷体" w:eastAsia="楷体"/>
          <w:color w:val="auto"/>
          <w:sz w:val="28"/>
          <w:szCs w:val="28"/>
          <w:highlight w:val="none"/>
        </w:rPr>
        <w:t>℃</w:t>
      </w:r>
      <w:r>
        <w:rPr>
          <w:rFonts w:eastAsia="楷体"/>
          <w:color w:val="auto"/>
          <w:sz w:val="28"/>
          <w:szCs w:val="28"/>
          <w:highlight w:val="none"/>
        </w:rPr>
        <w:t>，最热七月平均气温27.2</w:t>
      </w:r>
      <w:r>
        <w:rPr>
          <w:rFonts w:ascii="楷体" w:hAnsi="楷体" w:eastAsia="楷体"/>
          <w:color w:val="auto"/>
          <w:sz w:val="28"/>
          <w:szCs w:val="28"/>
          <w:highlight w:val="none"/>
        </w:rPr>
        <w:t>℃</w:t>
      </w:r>
      <w:r>
        <w:rPr>
          <w:rFonts w:eastAsia="楷体"/>
          <w:color w:val="auto"/>
          <w:sz w:val="28"/>
          <w:szCs w:val="28"/>
          <w:highlight w:val="none"/>
        </w:rPr>
        <w:t>，最冷一月份平均气温11.4</w:t>
      </w:r>
      <w:r>
        <w:rPr>
          <w:rFonts w:ascii="楷体" w:hAnsi="楷体" w:eastAsia="楷体"/>
          <w:color w:val="auto"/>
          <w:sz w:val="28"/>
          <w:szCs w:val="28"/>
          <w:highlight w:val="none"/>
        </w:rPr>
        <w:t>℃</w:t>
      </w:r>
      <w:r>
        <w:rPr>
          <w:rFonts w:eastAsia="楷体"/>
          <w:color w:val="auto"/>
          <w:sz w:val="28"/>
          <w:szCs w:val="28"/>
          <w:highlight w:val="none"/>
        </w:rPr>
        <w:t>，极端最高气温39</w:t>
      </w:r>
      <w:r>
        <w:rPr>
          <w:rFonts w:ascii="楷体" w:hAnsi="楷体" w:eastAsia="楷体"/>
          <w:color w:val="auto"/>
          <w:sz w:val="28"/>
          <w:szCs w:val="28"/>
          <w:highlight w:val="none"/>
        </w:rPr>
        <w:t>℃</w:t>
      </w:r>
      <w:r>
        <w:rPr>
          <w:rFonts w:eastAsia="楷体"/>
          <w:color w:val="auto"/>
          <w:sz w:val="28"/>
          <w:szCs w:val="28"/>
          <w:highlight w:val="none"/>
        </w:rPr>
        <w:t>（1996年8月），极端最低气温0.3</w:t>
      </w:r>
      <w:r>
        <w:rPr>
          <w:rFonts w:ascii="楷体" w:hAnsi="楷体" w:eastAsia="楷体"/>
          <w:color w:val="auto"/>
          <w:sz w:val="28"/>
          <w:szCs w:val="28"/>
          <w:highlight w:val="none"/>
        </w:rPr>
        <w:t>℃</w:t>
      </w:r>
      <w:r>
        <w:rPr>
          <w:rFonts w:eastAsia="楷体"/>
          <w:color w:val="auto"/>
          <w:sz w:val="28"/>
          <w:szCs w:val="28"/>
          <w:highlight w:val="none"/>
        </w:rPr>
        <w:t>（1957年2月），全年基本无霜。多年平均风速5.45m/s，多年平均最大风速22m/s，实测最大风速40m/s。年平均相对湿度77％，平均水气压19.9hPa；日照时数2150hr，日照率48％；雾多发生于春季和秋季月份的下半夜到清晨，年平均雾日数约为6～7天。</w:t>
      </w:r>
    </w:p>
    <w:p w14:paraId="4B499B3B">
      <w:pPr>
        <w:spacing w:line="520" w:lineRule="exact"/>
        <w:ind w:firstLine="560" w:firstLineChars="200"/>
        <w:rPr>
          <w:rFonts w:eastAsia="楷体"/>
          <w:color w:val="auto"/>
          <w:sz w:val="28"/>
          <w:szCs w:val="28"/>
          <w:highlight w:val="none"/>
        </w:rPr>
      </w:pPr>
      <w:r>
        <w:rPr>
          <w:rFonts w:eastAsia="楷体"/>
          <w:color w:val="auto"/>
          <w:sz w:val="28"/>
          <w:szCs w:val="28"/>
          <w:highlight w:val="none"/>
        </w:rPr>
        <w:t>本地区属亚热带海洋性季风气候区，季风明显，气候温热，气温日差小，蒸发量大，降雨量集中在夏秋之间。</w:t>
      </w:r>
    </w:p>
    <w:p w14:paraId="2098D508">
      <w:pPr>
        <w:spacing w:line="520" w:lineRule="exact"/>
        <w:ind w:firstLine="560" w:firstLineChars="200"/>
        <w:rPr>
          <w:rFonts w:eastAsia="楷体"/>
          <w:color w:val="auto"/>
          <w:sz w:val="28"/>
          <w:szCs w:val="28"/>
          <w:highlight w:val="none"/>
        </w:rPr>
      </w:pPr>
      <w:r>
        <w:rPr>
          <w:rFonts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08E715FF">
      <w:pPr>
        <w:spacing w:line="520" w:lineRule="exact"/>
        <w:ind w:firstLine="560" w:firstLineChars="200"/>
        <w:rPr>
          <w:rFonts w:eastAsia="楷体"/>
          <w:color w:val="auto"/>
          <w:sz w:val="30"/>
          <w:szCs w:val="30"/>
          <w:highlight w:val="none"/>
        </w:rPr>
      </w:pPr>
      <w:r>
        <w:rPr>
          <w:rFonts w:eastAsia="楷体"/>
          <w:color w:val="auto"/>
          <w:sz w:val="28"/>
          <w:szCs w:val="28"/>
          <w:highlight w:val="none"/>
        </w:rPr>
        <w:t>前烧水库流域地表径流来自天然降水补给，径流较为丰富，年径流空间分布呈上游大下游小的趋势。径流年际间变化幅度大，年内分配受季节性降水的制约有明显的丰枯变化，但径流相对于降水有滞后的现象，3月份降水主要补充土壤含水量，4月份以后径流量明显增加，进入了汛期，10月份以后逐渐进入了枯水期</w:t>
      </w:r>
      <w:r>
        <w:rPr>
          <w:rFonts w:eastAsia="楷体"/>
          <w:color w:val="auto"/>
          <w:sz w:val="30"/>
          <w:szCs w:val="30"/>
          <w:highlight w:val="none"/>
        </w:rPr>
        <w:t>。</w:t>
      </w:r>
    </w:p>
    <w:p w14:paraId="7C0424EB">
      <w:pPr>
        <w:pStyle w:val="3"/>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1.3 流域特性</w:t>
      </w:r>
      <w:bookmarkEnd w:id="8"/>
    </w:p>
    <w:p w14:paraId="31133FE6">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坝头溪流域处于福建省中部沿海的湄洲湾南岸泉州市泉港区境内，与惠安、仙游、莆田接壤，并与台湾隔海相望，是泉港区主要河流。坝头溪发源于泉港区涂岭镇的吊船山，总流域面积</w:t>
      </w:r>
      <w:r>
        <w:rPr>
          <w:rFonts w:eastAsia="楷体"/>
          <w:color w:val="auto"/>
          <w:sz w:val="28"/>
          <w:szCs w:val="28"/>
          <w:highlight w:val="none"/>
        </w:rPr>
        <w:t>97.8km</w:t>
      </w:r>
      <w:r>
        <w:rPr>
          <w:rFonts w:eastAsia="楷体"/>
          <w:color w:val="auto"/>
          <w:sz w:val="28"/>
          <w:szCs w:val="28"/>
          <w:highlight w:val="none"/>
          <w:vertAlign w:val="superscript"/>
        </w:rPr>
        <w:t>2</w:t>
      </w:r>
      <w:r>
        <w:rPr>
          <w:rFonts w:hAnsi="楷体" w:eastAsia="楷体"/>
          <w:color w:val="auto"/>
          <w:sz w:val="28"/>
          <w:szCs w:val="28"/>
          <w:highlight w:val="none"/>
        </w:rPr>
        <w:t>，河道长度</w:t>
      </w:r>
      <w:r>
        <w:rPr>
          <w:rFonts w:eastAsia="楷体"/>
          <w:color w:val="auto"/>
          <w:sz w:val="28"/>
          <w:szCs w:val="28"/>
          <w:highlight w:val="none"/>
        </w:rPr>
        <w:t>23.7km</w:t>
      </w:r>
      <w:r>
        <w:rPr>
          <w:rFonts w:hAnsi="楷体" w:eastAsia="楷体"/>
          <w:color w:val="auto"/>
          <w:sz w:val="28"/>
          <w:szCs w:val="28"/>
          <w:highlight w:val="none"/>
        </w:rPr>
        <w:t>，平均坡降</w:t>
      </w:r>
      <w:r>
        <w:rPr>
          <w:rFonts w:eastAsia="楷体"/>
          <w:color w:val="auto"/>
          <w:sz w:val="28"/>
          <w:szCs w:val="28"/>
          <w:highlight w:val="none"/>
        </w:rPr>
        <w:t>1.30‰</w:t>
      </w:r>
      <w:r>
        <w:rPr>
          <w:rFonts w:hAnsi="楷体" w:eastAsia="楷体"/>
          <w:color w:val="auto"/>
          <w:sz w:val="28"/>
          <w:szCs w:val="28"/>
          <w:highlight w:val="none"/>
        </w:rPr>
        <w:t>。流域上游属山地，中下游地势低洼平坦，沟渠纵横交错，地势呈西北向海面倾斜，地形以盆地、丘陵为主。中上游有泗州水库，集雨面积</w:t>
      </w:r>
      <w:r>
        <w:rPr>
          <w:rFonts w:eastAsia="楷体"/>
          <w:color w:val="auto"/>
          <w:sz w:val="28"/>
          <w:szCs w:val="28"/>
          <w:highlight w:val="none"/>
        </w:rPr>
        <w:t>21.4km</w:t>
      </w:r>
      <w:r>
        <w:rPr>
          <w:rFonts w:eastAsia="楷体"/>
          <w:color w:val="auto"/>
          <w:sz w:val="28"/>
          <w:szCs w:val="28"/>
          <w:highlight w:val="none"/>
          <w:vertAlign w:val="superscript"/>
        </w:rPr>
        <w:t>2</w:t>
      </w:r>
      <w:r>
        <w:rPr>
          <w:rFonts w:hAnsi="楷体" w:eastAsia="楷体"/>
          <w:color w:val="auto"/>
          <w:sz w:val="28"/>
          <w:szCs w:val="28"/>
          <w:highlight w:val="none"/>
        </w:rPr>
        <w:t>，总库容</w:t>
      </w:r>
      <w:r>
        <w:rPr>
          <w:rFonts w:eastAsia="楷体"/>
          <w:color w:val="auto"/>
          <w:sz w:val="28"/>
          <w:szCs w:val="28"/>
          <w:highlight w:val="none"/>
        </w:rPr>
        <w:t>1957</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1232</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0AE74128">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前烧水库位于泉港区前黄镇前烧村境内，所属河流发源于前烧村东北部的虎岩山（海拔</w:t>
      </w:r>
      <w:r>
        <w:rPr>
          <w:rFonts w:eastAsia="楷体"/>
          <w:color w:val="auto"/>
          <w:sz w:val="28"/>
          <w:szCs w:val="28"/>
          <w:highlight w:val="none"/>
        </w:rPr>
        <w:t>322.0m</w:t>
      </w:r>
      <w:r>
        <w:rPr>
          <w:rFonts w:hAnsi="楷体" w:eastAsia="楷体"/>
          <w:color w:val="auto"/>
          <w:sz w:val="28"/>
          <w:szCs w:val="28"/>
          <w:highlight w:val="none"/>
        </w:rPr>
        <w:t>），自西北向东南经前烧村汇入普安溪，又经普安村、海滨村、菜堂村汇入坝头溪，并最终汇入湄洲湾。大坝位于东经</w:t>
      </w:r>
      <w:r>
        <w:rPr>
          <w:rFonts w:eastAsia="楷体"/>
          <w:color w:val="auto"/>
          <w:sz w:val="28"/>
          <w:szCs w:val="28"/>
          <w:highlight w:val="none"/>
        </w:rPr>
        <w:t>118°50′00″</w:t>
      </w:r>
      <w:r>
        <w:rPr>
          <w:rFonts w:hAnsi="楷体" w:eastAsia="楷体"/>
          <w:color w:val="auto"/>
          <w:sz w:val="28"/>
          <w:szCs w:val="28"/>
          <w:highlight w:val="none"/>
        </w:rPr>
        <w:t>，北纬</w:t>
      </w:r>
      <w:r>
        <w:rPr>
          <w:rFonts w:eastAsia="楷体"/>
          <w:color w:val="auto"/>
          <w:sz w:val="28"/>
          <w:szCs w:val="28"/>
          <w:highlight w:val="none"/>
        </w:rPr>
        <w:t>25°07′30″</w:t>
      </w:r>
      <w:r>
        <w:rPr>
          <w:rFonts w:hAnsi="楷体" w:eastAsia="楷体"/>
          <w:color w:val="auto"/>
          <w:sz w:val="28"/>
          <w:szCs w:val="28"/>
          <w:highlight w:val="none"/>
        </w:rPr>
        <w:t>，是一座以农田灌溉为主，结合防洪、养殖等综合利用的小（</w:t>
      </w:r>
      <w:r>
        <w:rPr>
          <w:rFonts w:eastAsia="楷体"/>
          <w:color w:val="auto"/>
          <w:sz w:val="28"/>
          <w:szCs w:val="28"/>
          <w:highlight w:val="none"/>
        </w:rPr>
        <w:t>2</w:t>
      </w:r>
      <w:r>
        <w:rPr>
          <w:rFonts w:hAnsi="楷体" w:eastAsia="楷体"/>
          <w:color w:val="auto"/>
          <w:sz w:val="28"/>
          <w:szCs w:val="28"/>
          <w:highlight w:val="none"/>
        </w:rPr>
        <w:t>）型水库。前烧水库坝址以上集水面积为</w:t>
      </w:r>
      <w:r>
        <w:rPr>
          <w:rFonts w:eastAsia="楷体"/>
          <w:color w:val="auto"/>
          <w:sz w:val="28"/>
          <w:szCs w:val="28"/>
          <w:highlight w:val="none"/>
        </w:rPr>
        <w:t>0.87km</w:t>
      </w:r>
      <w:r>
        <w:rPr>
          <w:rFonts w:eastAsia="楷体"/>
          <w:color w:val="auto"/>
          <w:sz w:val="28"/>
          <w:szCs w:val="28"/>
          <w:highlight w:val="none"/>
          <w:vertAlign w:val="superscript"/>
        </w:rPr>
        <w:t>2</w:t>
      </w:r>
      <w:r>
        <w:rPr>
          <w:rFonts w:hAnsi="楷体" w:eastAsia="楷体"/>
          <w:color w:val="auto"/>
          <w:sz w:val="28"/>
          <w:szCs w:val="28"/>
          <w:highlight w:val="none"/>
        </w:rPr>
        <w:t>，主河道河长</w:t>
      </w:r>
      <w:r>
        <w:rPr>
          <w:rFonts w:eastAsia="楷体"/>
          <w:color w:val="auto"/>
          <w:sz w:val="28"/>
          <w:szCs w:val="28"/>
          <w:highlight w:val="none"/>
        </w:rPr>
        <w:t>1.33km</w:t>
      </w:r>
      <w:r>
        <w:rPr>
          <w:rFonts w:hAnsi="楷体" w:eastAsia="楷体"/>
          <w:color w:val="auto"/>
          <w:sz w:val="28"/>
          <w:szCs w:val="28"/>
          <w:highlight w:val="none"/>
        </w:rPr>
        <w:t>，主河道平均坡降</w:t>
      </w:r>
      <w:r>
        <w:rPr>
          <w:rFonts w:eastAsia="楷体"/>
          <w:color w:val="auto"/>
          <w:sz w:val="28"/>
          <w:szCs w:val="28"/>
          <w:highlight w:val="none"/>
        </w:rPr>
        <w:t>160.3‰</w:t>
      </w:r>
      <w:r>
        <w:rPr>
          <w:rFonts w:hAnsi="楷体" w:eastAsia="楷体"/>
          <w:color w:val="auto"/>
          <w:sz w:val="28"/>
          <w:szCs w:val="28"/>
          <w:highlight w:val="none"/>
        </w:rPr>
        <w:t>，所在流域为混合水系。</w:t>
      </w:r>
    </w:p>
    <w:p w14:paraId="6A59CF3E">
      <w:pPr>
        <w:pStyle w:val="2"/>
        <w:spacing w:beforeLines="100" w:afterLines="100" w:line="360" w:lineRule="auto"/>
        <w:jc w:val="center"/>
        <w:rPr>
          <w:rFonts w:eastAsia="楷体"/>
          <w:color w:val="auto"/>
          <w:kern w:val="0"/>
          <w:sz w:val="32"/>
          <w:szCs w:val="32"/>
          <w:highlight w:val="none"/>
        </w:rPr>
      </w:pPr>
      <w:bookmarkStart w:id="9" w:name="_Toc30894"/>
    </w:p>
    <w:p w14:paraId="7977E6EB">
      <w:pPr>
        <w:pStyle w:val="2"/>
        <w:spacing w:beforeLines="100" w:afterLines="100" w:line="360" w:lineRule="auto"/>
        <w:jc w:val="center"/>
        <w:rPr>
          <w:rFonts w:eastAsia="楷体"/>
          <w:color w:val="auto"/>
          <w:kern w:val="0"/>
          <w:sz w:val="32"/>
          <w:szCs w:val="32"/>
          <w:highlight w:val="none"/>
        </w:rPr>
      </w:pPr>
    </w:p>
    <w:p w14:paraId="4D933647">
      <w:pPr>
        <w:pStyle w:val="2"/>
        <w:spacing w:beforeLines="100" w:afterLines="100" w:line="360" w:lineRule="auto"/>
        <w:jc w:val="center"/>
        <w:rPr>
          <w:rFonts w:eastAsia="楷体"/>
          <w:color w:val="auto"/>
          <w:kern w:val="0"/>
          <w:sz w:val="32"/>
          <w:szCs w:val="32"/>
          <w:highlight w:val="none"/>
        </w:rPr>
      </w:pPr>
    </w:p>
    <w:p w14:paraId="75E82FF6">
      <w:pPr>
        <w:pStyle w:val="2"/>
        <w:spacing w:beforeLines="100" w:afterLines="100" w:line="360" w:lineRule="auto"/>
        <w:jc w:val="center"/>
        <w:rPr>
          <w:rFonts w:eastAsia="楷体"/>
          <w:color w:val="auto"/>
          <w:kern w:val="0"/>
          <w:sz w:val="32"/>
          <w:szCs w:val="32"/>
          <w:highlight w:val="none"/>
        </w:rPr>
      </w:pPr>
    </w:p>
    <w:p w14:paraId="29EEAC21">
      <w:pPr>
        <w:pStyle w:val="2"/>
        <w:spacing w:beforeLines="100" w:afterLines="100" w:line="360" w:lineRule="auto"/>
        <w:jc w:val="both"/>
        <w:rPr>
          <w:rFonts w:eastAsia="楷体"/>
          <w:color w:val="auto"/>
          <w:kern w:val="0"/>
          <w:sz w:val="32"/>
          <w:szCs w:val="32"/>
          <w:highlight w:val="none"/>
        </w:rPr>
      </w:pPr>
    </w:p>
    <w:p w14:paraId="7028547A">
      <w:pPr>
        <w:rPr>
          <w:rFonts w:eastAsia="楷体"/>
          <w:color w:val="auto"/>
          <w:kern w:val="0"/>
          <w:sz w:val="32"/>
          <w:szCs w:val="32"/>
          <w:highlight w:val="none"/>
        </w:rPr>
      </w:pPr>
    </w:p>
    <w:p w14:paraId="52896F02">
      <w:pPr>
        <w:pStyle w:val="2"/>
        <w:spacing w:beforeLines="100" w:afterLines="100" w:line="360" w:lineRule="auto"/>
        <w:jc w:val="both"/>
        <w:rPr>
          <w:rFonts w:eastAsia="楷体"/>
          <w:color w:val="auto"/>
          <w:kern w:val="0"/>
          <w:sz w:val="32"/>
          <w:szCs w:val="32"/>
          <w:highlight w:val="none"/>
        </w:rPr>
      </w:pPr>
    </w:p>
    <w:p w14:paraId="361C30A1">
      <w:pPr>
        <w:rPr>
          <w:color w:val="auto"/>
          <w:highlight w:val="none"/>
        </w:rPr>
      </w:pPr>
    </w:p>
    <w:p w14:paraId="7739A5F4">
      <w:pPr>
        <w:pStyle w:val="2"/>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2  水库大坝安全运行状况</w:t>
      </w:r>
      <w:bookmarkEnd w:id="9"/>
    </w:p>
    <w:p w14:paraId="1D495641">
      <w:pPr>
        <w:pStyle w:val="3"/>
        <w:spacing w:beforeLines="50" w:afterLines="50" w:line="360" w:lineRule="auto"/>
        <w:contextualSpacing/>
        <w:rPr>
          <w:rFonts w:ascii="Times New Roman" w:hAnsi="Times New Roman" w:eastAsia="楷体"/>
          <w:color w:val="auto"/>
          <w:kern w:val="0"/>
          <w:sz w:val="28"/>
          <w:szCs w:val="28"/>
          <w:highlight w:val="none"/>
        </w:rPr>
      </w:pPr>
      <w:bookmarkStart w:id="10" w:name="_Toc5344"/>
      <w:r>
        <w:rPr>
          <w:rFonts w:ascii="Times New Roman" w:hAnsi="Times New Roman" w:eastAsia="楷体"/>
          <w:color w:val="auto"/>
          <w:kern w:val="0"/>
          <w:sz w:val="28"/>
          <w:szCs w:val="28"/>
          <w:highlight w:val="none"/>
        </w:rPr>
        <w:t>2.1 工程运行管理</w:t>
      </w:r>
      <w:bookmarkEnd w:id="10"/>
    </w:p>
    <w:p w14:paraId="7273BCB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2.1.1 水库的管理机构</w:t>
      </w:r>
    </w:p>
    <w:p w14:paraId="2D52C94E">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前烧水库的主管部门为</w:t>
      </w:r>
      <w:r>
        <w:rPr>
          <w:rFonts w:hint="eastAsia" w:eastAsia="楷体"/>
          <w:color w:val="auto"/>
          <w:kern w:val="0"/>
          <w:sz w:val="28"/>
          <w:szCs w:val="28"/>
          <w:highlight w:val="none"/>
          <w:lang w:eastAsia="zh-CN"/>
        </w:rPr>
        <w:t>前黄镇人民政府</w:t>
      </w:r>
      <w:r>
        <w:rPr>
          <w:rFonts w:eastAsia="楷体"/>
          <w:color w:val="auto"/>
          <w:kern w:val="0"/>
          <w:sz w:val="28"/>
          <w:szCs w:val="28"/>
          <w:highlight w:val="none"/>
        </w:rPr>
        <w:t>，管理机构为前烧</w:t>
      </w:r>
      <w:r>
        <w:rPr>
          <w:rFonts w:hint="eastAsia" w:eastAsia="楷体"/>
          <w:color w:val="auto"/>
          <w:kern w:val="0"/>
          <w:sz w:val="28"/>
          <w:szCs w:val="28"/>
          <w:highlight w:val="none"/>
        </w:rPr>
        <w:t>村委会</w:t>
      </w:r>
      <w:r>
        <w:rPr>
          <w:rFonts w:eastAsia="楷体"/>
          <w:color w:val="auto"/>
          <w:kern w:val="0"/>
          <w:sz w:val="28"/>
          <w:szCs w:val="28"/>
          <w:highlight w:val="none"/>
        </w:rPr>
        <w:t>。</w:t>
      </w:r>
    </w:p>
    <w:p w14:paraId="31088095">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2.1.2 水库大坝管理规章制度</w:t>
      </w:r>
    </w:p>
    <w:p w14:paraId="2F723D0B">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前烧水库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1BB0A7E8">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2.1.3 大坝运行管理</w:t>
      </w:r>
    </w:p>
    <w:p w14:paraId="2A4137D9">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重点对象有6项：（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1184A93C">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工作内容主要有：（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78B4DDB2">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从大坝近几年的运行情况看，前烧水库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p>
    <w:p w14:paraId="6A40DA88">
      <w:pPr>
        <w:pStyle w:val="3"/>
        <w:spacing w:beforeLines="50" w:afterLines="50" w:line="360" w:lineRule="auto"/>
        <w:contextualSpacing/>
        <w:rPr>
          <w:rFonts w:ascii="Times New Roman" w:hAnsi="Times New Roman" w:eastAsia="楷体"/>
          <w:color w:val="auto"/>
          <w:kern w:val="0"/>
          <w:sz w:val="28"/>
          <w:szCs w:val="28"/>
          <w:highlight w:val="none"/>
        </w:rPr>
      </w:pPr>
      <w:bookmarkStart w:id="11" w:name="_Toc7561"/>
      <w:r>
        <w:rPr>
          <w:rFonts w:ascii="Times New Roman" w:hAnsi="Times New Roman" w:eastAsia="楷体"/>
          <w:color w:val="auto"/>
          <w:kern w:val="0"/>
          <w:sz w:val="28"/>
          <w:szCs w:val="28"/>
          <w:highlight w:val="none"/>
        </w:rPr>
        <w:t>2.2 工程安全状况分析评价</w:t>
      </w:r>
      <w:bookmarkEnd w:id="11"/>
    </w:p>
    <w:p w14:paraId="7B5BD8A8">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2.2.1 安全鉴定情况</w:t>
      </w:r>
    </w:p>
    <w:p w14:paraId="5B169E1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2013年5月，泉港区农水局委托设计单位进行水库大坝除险加固工程设计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2013年12月～2014年10月进行水库除险加固施工，主要工程措施：</w:t>
      </w:r>
    </w:p>
    <w:p w14:paraId="2D2D314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（1）大坝加固工程</w:t>
      </w:r>
    </w:p>
    <w:p w14:paraId="1C1DA7B0">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Ansi="楷体" w:eastAsia="楷体"/>
          <w:color w:val="auto"/>
          <w:sz w:val="28"/>
          <w:szCs w:val="28"/>
          <w:highlight w:val="none"/>
        </w:rPr>
        <w:t>）大坝防渗加固工程</w:t>
      </w:r>
    </w:p>
    <w:p w14:paraId="7E1289E2">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在大坝坝顶进行单管高压旋喷构筑垂直防渗墙，对全坝段防渗处理，旋喷桩单排，桩径</w:t>
      </w:r>
      <w:r>
        <w:rPr>
          <w:rFonts w:eastAsia="楷体"/>
          <w:color w:val="auto"/>
          <w:sz w:val="28"/>
          <w:szCs w:val="28"/>
          <w:highlight w:val="none"/>
        </w:rPr>
        <w:t>φ0.6m</w:t>
      </w:r>
      <w:r>
        <w:rPr>
          <w:rFonts w:hAnsi="楷体" w:eastAsia="楷体"/>
          <w:color w:val="auto"/>
          <w:sz w:val="28"/>
          <w:szCs w:val="28"/>
          <w:highlight w:val="none"/>
        </w:rPr>
        <w:t>，孔距</w:t>
      </w:r>
      <w:r>
        <w:rPr>
          <w:rFonts w:eastAsia="楷体"/>
          <w:color w:val="auto"/>
          <w:sz w:val="28"/>
          <w:szCs w:val="28"/>
          <w:highlight w:val="none"/>
        </w:rPr>
        <w:t>0.45~0.5m</w:t>
      </w:r>
      <w:r>
        <w:rPr>
          <w:rFonts w:hAnsi="楷体" w:eastAsia="楷体"/>
          <w:color w:val="auto"/>
          <w:sz w:val="28"/>
          <w:szCs w:val="28"/>
          <w:highlight w:val="none"/>
        </w:rPr>
        <w:t>，进入粉质粘土层</w:t>
      </w:r>
      <w:r>
        <w:rPr>
          <w:rFonts w:eastAsia="楷体"/>
          <w:color w:val="auto"/>
          <w:sz w:val="28"/>
          <w:szCs w:val="28"/>
          <w:highlight w:val="none"/>
        </w:rPr>
        <w:t>0.5m</w:t>
      </w:r>
      <w:r>
        <w:rPr>
          <w:rFonts w:hAnsi="楷体" w:eastAsia="楷体"/>
          <w:color w:val="auto"/>
          <w:sz w:val="28"/>
          <w:szCs w:val="28"/>
          <w:highlight w:val="none"/>
        </w:rPr>
        <w:t>。</w:t>
      </w:r>
    </w:p>
    <w:p w14:paraId="553C8ACF">
      <w:pPr>
        <w:spacing w:line="520" w:lineRule="exact"/>
        <w:ind w:firstLine="560" w:firstLineChars="200"/>
        <w:rPr>
          <w:rFonts w:eastAsia="楷体"/>
          <w:color w:val="auto"/>
          <w:sz w:val="28"/>
          <w:szCs w:val="28"/>
          <w:highlight w:val="none"/>
        </w:rPr>
      </w:pPr>
      <w:r>
        <w:rPr>
          <w:rFonts w:eastAsia="楷体"/>
          <w:color w:val="auto"/>
          <w:sz w:val="28"/>
          <w:szCs w:val="28"/>
          <w:highlight w:val="none"/>
        </w:rPr>
        <w:t>2</w:t>
      </w:r>
      <w:r>
        <w:rPr>
          <w:rFonts w:hAnsi="楷体" w:eastAsia="楷体"/>
          <w:color w:val="auto"/>
          <w:sz w:val="28"/>
          <w:szCs w:val="28"/>
          <w:highlight w:val="none"/>
        </w:rPr>
        <w:t>）迎水坡加固设计</w:t>
      </w:r>
    </w:p>
    <w:p w14:paraId="29F7ED8C">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迎水坡采用干砌条石对高程</w:t>
      </w:r>
      <w:r>
        <w:rPr>
          <w:rFonts w:eastAsia="楷体"/>
          <w:color w:val="auto"/>
          <w:sz w:val="28"/>
          <w:szCs w:val="28"/>
          <w:highlight w:val="none"/>
        </w:rPr>
        <w:t>34.20m</w:t>
      </w:r>
      <w:r>
        <w:rPr>
          <w:rFonts w:hAnsi="楷体" w:eastAsia="楷体"/>
          <w:color w:val="auto"/>
          <w:sz w:val="28"/>
          <w:szCs w:val="28"/>
          <w:highlight w:val="none"/>
        </w:rPr>
        <w:t>以上坝坡进行翻砌，拆除原干砌块石，清理坝坡，根据设计坡度进行整坡，对下陷变形处进行回填粘土并夯实，在</w:t>
      </w:r>
      <w:r>
        <w:rPr>
          <w:rFonts w:eastAsia="楷体"/>
          <w:color w:val="auto"/>
          <w:sz w:val="28"/>
          <w:szCs w:val="28"/>
          <w:highlight w:val="none"/>
        </w:rPr>
        <w:t>34.20m</w:t>
      </w:r>
      <w:r>
        <w:rPr>
          <w:rFonts w:hAnsi="楷体" w:eastAsia="楷体"/>
          <w:color w:val="auto"/>
          <w:sz w:val="28"/>
          <w:szCs w:val="28"/>
          <w:highlight w:val="none"/>
        </w:rPr>
        <w:t>处利用迎水坡拆除块石新建</w:t>
      </w:r>
      <w:r>
        <w:rPr>
          <w:rFonts w:eastAsia="楷体"/>
          <w:color w:val="auto"/>
          <w:sz w:val="28"/>
          <w:szCs w:val="28"/>
          <w:highlight w:val="none"/>
        </w:rPr>
        <w:t>M10</w:t>
      </w:r>
      <w:r>
        <w:rPr>
          <w:rFonts w:hAnsi="楷体" w:eastAsia="楷体"/>
          <w:color w:val="auto"/>
          <w:sz w:val="28"/>
          <w:szCs w:val="28"/>
          <w:highlight w:val="none"/>
        </w:rPr>
        <w:t>浆砌块石护脚及两坝肩处的</w:t>
      </w:r>
      <w:r>
        <w:rPr>
          <w:rFonts w:eastAsia="楷体"/>
          <w:color w:val="auto"/>
          <w:sz w:val="28"/>
          <w:szCs w:val="28"/>
          <w:highlight w:val="none"/>
        </w:rPr>
        <w:t>M10</w:t>
      </w:r>
      <w:r>
        <w:rPr>
          <w:rFonts w:hAnsi="楷体" w:eastAsia="楷体"/>
          <w:color w:val="auto"/>
          <w:sz w:val="28"/>
          <w:szCs w:val="28"/>
          <w:highlight w:val="none"/>
        </w:rPr>
        <w:t>浆砌块石封边。护脚至坝顶的坝面铺设一层</w:t>
      </w:r>
      <w:r>
        <w:rPr>
          <w:rFonts w:eastAsia="楷体"/>
          <w:color w:val="auto"/>
          <w:sz w:val="28"/>
          <w:szCs w:val="28"/>
          <w:highlight w:val="none"/>
        </w:rPr>
        <w:t>300g/m</w:t>
      </w:r>
      <w:r>
        <w:rPr>
          <w:rFonts w:eastAsia="楷体"/>
          <w:color w:val="auto"/>
          <w:sz w:val="28"/>
          <w:szCs w:val="28"/>
          <w:highlight w:val="none"/>
          <w:vertAlign w:val="superscript"/>
        </w:rPr>
        <w:t>2</w:t>
      </w:r>
      <w:r>
        <w:rPr>
          <w:rFonts w:hAnsi="楷体" w:eastAsia="楷体"/>
          <w:color w:val="auto"/>
          <w:sz w:val="28"/>
          <w:szCs w:val="28"/>
          <w:highlight w:val="none"/>
        </w:rPr>
        <w:t>土工布，从下往上依次铺设</w:t>
      </w:r>
      <w:r>
        <w:rPr>
          <w:rFonts w:eastAsia="楷体"/>
          <w:color w:val="auto"/>
          <w:sz w:val="28"/>
          <w:szCs w:val="28"/>
          <w:highlight w:val="none"/>
        </w:rPr>
        <w:t>100mm</w:t>
      </w:r>
      <w:r>
        <w:rPr>
          <w:rFonts w:hAnsi="楷体" w:eastAsia="楷体"/>
          <w:color w:val="auto"/>
          <w:sz w:val="28"/>
          <w:szCs w:val="28"/>
          <w:highlight w:val="none"/>
        </w:rPr>
        <w:t>厚的砂垫层、</w:t>
      </w:r>
      <w:r>
        <w:rPr>
          <w:rFonts w:eastAsia="楷体"/>
          <w:color w:val="auto"/>
          <w:sz w:val="28"/>
          <w:szCs w:val="28"/>
          <w:highlight w:val="none"/>
        </w:rPr>
        <w:t>100mm</w:t>
      </w:r>
      <w:r>
        <w:rPr>
          <w:rFonts w:hAnsi="楷体" w:eastAsia="楷体"/>
          <w:color w:val="auto"/>
          <w:sz w:val="28"/>
          <w:szCs w:val="28"/>
          <w:highlight w:val="none"/>
        </w:rPr>
        <w:t>厚的碎石垫层和</w:t>
      </w:r>
      <w:r>
        <w:rPr>
          <w:rFonts w:eastAsia="楷体"/>
          <w:color w:val="auto"/>
          <w:sz w:val="28"/>
          <w:szCs w:val="28"/>
          <w:highlight w:val="none"/>
        </w:rPr>
        <w:t>220mm</w:t>
      </w:r>
      <w:r>
        <w:rPr>
          <w:rFonts w:hAnsi="楷体" w:eastAsia="楷体"/>
          <w:color w:val="auto"/>
          <w:sz w:val="28"/>
          <w:szCs w:val="28"/>
          <w:highlight w:val="none"/>
        </w:rPr>
        <w:t>厚的干砌条石护坡。在高程</w:t>
      </w:r>
      <w:r>
        <w:rPr>
          <w:rFonts w:eastAsia="楷体"/>
          <w:color w:val="auto"/>
          <w:sz w:val="28"/>
          <w:szCs w:val="28"/>
          <w:highlight w:val="none"/>
        </w:rPr>
        <w:t>36.00m</w:t>
      </w:r>
      <w:r>
        <w:rPr>
          <w:rFonts w:hAnsi="楷体" w:eastAsia="楷体"/>
          <w:color w:val="auto"/>
          <w:sz w:val="28"/>
          <w:szCs w:val="28"/>
          <w:highlight w:val="none"/>
        </w:rPr>
        <w:t>处设一道防滑槽，将土工布插入</w:t>
      </w:r>
      <w:r>
        <w:rPr>
          <w:rFonts w:eastAsia="楷体"/>
          <w:color w:val="auto"/>
          <w:sz w:val="28"/>
          <w:szCs w:val="28"/>
          <w:highlight w:val="none"/>
        </w:rPr>
        <w:t>M10</w:t>
      </w:r>
      <w:r>
        <w:rPr>
          <w:rFonts w:hAnsi="楷体" w:eastAsia="楷体"/>
          <w:color w:val="auto"/>
          <w:sz w:val="28"/>
          <w:szCs w:val="28"/>
          <w:highlight w:val="none"/>
        </w:rPr>
        <w:t>浆砌块石护脚及坡顶</w:t>
      </w:r>
      <w:r>
        <w:rPr>
          <w:rFonts w:eastAsia="楷体"/>
          <w:color w:val="auto"/>
          <w:sz w:val="28"/>
          <w:szCs w:val="28"/>
          <w:highlight w:val="none"/>
        </w:rPr>
        <w:t>C25</w:t>
      </w:r>
      <w:r>
        <w:rPr>
          <w:rFonts w:hAnsi="楷体" w:eastAsia="楷体"/>
          <w:color w:val="auto"/>
          <w:sz w:val="28"/>
          <w:szCs w:val="28"/>
          <w:highlight w:val="none"/>
        </w:rPr>
        <w:t>素砼路肩中，提高抗滑稳定性。迎水坡桩号</w:t>
      </w:r>
      <w:r>
        <w:rPr>
          <w:rFonts w:eastAsia="楷体"/>
          <w:color w:val="auto"/>
          <w:sz w:val="28"/>
          <w:szCs w:val="28"/>
          <w:highlight w:val="none"/>
        </w:rPr>
        <w:t>B0+050.0</w:t>
      </w:r>
      <w:r>
        <w:rPr>
          <w:rFonts w:hAnsi="楷体" w:eastAsia="楷体"/>
          <w:color w:val="auto"/>
          <w:sz w:val="28"/>
          <w:szCs w:val="28"/>
          <w:highlight w:val="none"/>
        </w:rPr>
        <w:t>、</w:t>
      </w:r>
      <w:r>
        <w:rPr>
          <w:rFonts w:eastAsia="楷体"/>
          <w:color w:val="auto"/>
          <w:sz w:val="28"/>
          <w:szCs w:val="28"/>
          <w:highlight w:val="none"/>
        </w:rPr>
        <w:t>B0+125.0</w:t>
      </w:r>
      <w:r>
        <w:rPr>
          <w:rFonts w:hAnsi="楷体" w:eastAsia="楷体"/>
          <w:color w:val="auto"/>
          <w:sz w:val="28"/>
          <w:szCs w:val="28"/>
          <w:highlight w:val="none"/>
        </w:rPr>
        <w:t>分别设</w:t>
      </w:r>
      <w:r>
        <w:rPr>
          <w:rFonts w:eastAsia="楷体"/>
          <w:color w:val="auto"/>
          <w:sz w:val="28"/>
          <w:szCs w:val="28"/>
          <w:highlight w:val="none"/>
        </w:rPr>
        <w:t>1.0m</w:t>
      </w:r>
      <w:r>
        <w:rPr>
          <w:rFonts w:hAnsi="楷体" w:eastAsia="楷体"/>
          <w:color w:val="auto"/>
          <w:sz w:val="28"/>
          <w:szCs w:val="28"/>
          <w:highlight w:val="none"/>
        </w:rPr>
        <w:t>宽的下坡台阶。</w:t>
      </w:r>
    </w:p>
    <w:p w14:paraId="187E4864">
      <w:pPr>
        <w:spacing w:line="520" w:lineRule="exact"/>
        <w:ind w:firstLine="560" w:firstLineChars="200"/>
        <w:rPr>
          <w:rFonts w:eastAsia="楷体"/>
          <w:color w:val="auto"/>
          <w:sz w:val="28"/>
          <w:szCs w:val="28"/>
          <w:highlight w:val="none"/>
        </w:rPr>
      </w:pPr>
      <w:r>
        <w:rPr>
          <w:rFonts w:eastAsia="楷体"/>
          <w:color w:val="auto"/>
          <w:sz w:val="28"/>
          <w:szCs w:val="28"/>
          <w:highlight w:val="none"/>
        </w:rPr>
        <w:t>3</w:t>
      </w:r>
      <w:r>
        <w:rPr>
          <w:rFonts w:hAnsi="楷体" w:eastAsia="楷体"/>
          <w:color w:val="auto"/>
          <w:sz w:val="28"/>
          <w:szCs w:val="28"/>
          <w:highlight w:val="none"/>
        </w:rPr>
        <w:t>）背水坡加固设计</w:t>
      </w:r>
    </w:p>
    <w:p w14:paraId="5C929AEB">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全面清除背水坡面上树木、草皮、树根及其他杂物，按</w:t>
      </w:r>
      <w:r>
        <w:rPr>
          <w:rFonts w:hint="eastAsia" w:hAnsi="楷体" w:eastAsia="楷体"/>
          <w:color w:val="auto"/>
          <w:sz w:val="28"/>
          <w:szCs w:val="28"/>
          <w:highlight w:val="none"/>
        </w:rPr>
        <w:t>原</w:t>
      </w:r>
      <w:r>
        <w:rPr>
          <w:rFonts w:hAnsi="楷体" w:eastAsia="楷体"/>
          <w:color w:val="auto"/>
          <w:sz w:val="28"/>
          <w:szCs w:val="28"/>
          <w:highlight w:val="none"/>
        </w:rPr>
        <w:t>有坡度整坡，对下陷变形处进行回填粘土并夯实。坝坡重新铺设草皮护坡，两坝肩处设</w:t>
      </w:r>
      <w:r>
        <w:rPr>
          <w:rFonts w:eastAsia="楷体"/>
          <w:color w:val="auto"/>
          <w:sz w:val="28"/>
          <w:szCs w:val="28"/>
          <w:highlight w:val="none"/>
        </w:rPr>
        <w:t>1.0m</w:t>
      </w:r>
      <w:r>
        <w:rPr>
          <w:rFonts w:hAnsi="楷体" w:eastAsia="楷体"/>
          <w:color w:val="auto"/>
          <w:sz w:val="28"/>
          <w:szCs w:val="28"/>
          <w:highlight w:val="none"/>
        </w:rPr>
        <w:t>宽</w:t>
      </w:r>
      <w:r>
        <w:rPr>
          <w:rFonts w:eastAsia="楷体"/>
          <w:color w:val="auto"/>
          <w:sz w:val="28"/>
          <w:szCs w:val="28"/>
          <w:highlight w:val="none"/>
        </w:rPr>
        <w:t>C20</w:t>
      </w:r>
      <w:r>
        <w:rPr>
          <w:rFonts w:hAnsi="楷体" w:eastAsia="楷体"/>
          <w:color w:val="auto"/>
          <w:sz w:val="28"/>
          <w:szCs w:val="28"/>
          <w:highlight w:val="none"/>
        </w:rPr>
        <w:t>素砼下坡台阶。拆除原干砌条石排水棱体，利用迎水坡及溢洪道拆除块石新建干砌块石排水棱体，排水棱体内外侧坡比分别为</w:t>
      </w:r>
      <w:r>
        <w:rPr>
          <w:rFonts w:eastAsia="楷体"/>
          <w:color w:val="auto"/>
          <w:sz w:val="28"/>
          <w:szCs w:val="28"/>
          <w:highlight w:val="none"/>
        </w:rPr>
        <w:t>1:1.5</w:t>
      </w:r>
      <w:r>
        <w:rPr>
          <w:rFonts w:hAnsi="楷体" w:eastAsia="楷体"/>
          <w:color w:val="auto"/>
          <w:sz w:val="28"/>
          <w:szCs w:val="28"/>
          <w:highlight w:val="none"/>
        </w:rPr>
        <w:t>、</w:t>
      </w:r>
      <w:r>
        <w:rPr>
          <w:rFonts w:eastAsia="楷体"/>
          <w:color w:val="auto"/>
          <w:sz w:val="28"/>
          <w:szCs w:val="28"/>
          <w:highlight w:val="none"/>
        </w:rPr>
        <w:t>1:1</w:t>
      </w:r>
      <w:r>
        <w:rPr>
          <w:rFonts w:hAnsi="楷体" w:eastAsia="楷体"/>
          <w:color w:val="auto"/>
          <w:sz w:val="28"/>
          <w:szCs w:val="28"/>
          <w:highlight w:val="none"/>
        </w:rPr>
        <w:t>。</w:t>
      </w:r>
    </w:p>
    <w:p w14:paraId="618BE04F">
      <w:pPr>
        <w:spacing w:line="520" w:lineRule="exact"/>
        <w:ind w:firstLine="560" w:firstLineChars="200"/>
        <w:rPr>
          <w:rFonts w:eastAsia="楷体"/>
          <w:color w:val="auto"/>
          <w:sz w:val="28"/>
          <w:szCs w:val="28"/>
          <w:highlight w:val="none"/>
        </w:rPr>
      </w:pPr>
      <w:r>
        <w:rPr>
          <w:rFonts w:eastAsia="楷体"/>
          <w:color w:val="auto"/>
          <w:sz w:val="28"/>
          <w:szCs w:val="28"/>
          <w:highlight w:val="none"/>
        </w:rPr>
        <w:t>4</w:t>
      </w:r>
      <w:r>
        <w:rPr>
          <w:rFonts w:hAnsi="楷体" w:eastAsia="楷体"/>
          <w:color w:val="auto"/>
          <w:sz w:val="28"/>
          <w:szCs w:val="28"/>
          <w:highlight w:val="none"/>
        </w:rPr>
        <w:t>）坝顶加固设计</w:t>
      </w:r>
    </w:p>
    <w:p w14:paraId="2B78729A">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统一坝顶高程为</w:t>
      </w:r>
      <w:r>
        <w:rPr>
          <w:rFonts w:eastAsia="楷体"/>
          <w:color w:val="auto"/>
          <w:sz w:val="28"/>
          <w:szCs w:val="28"/>
          <w:highlight w:val="none"/>
        </w:rPr>
        <w:t>40.08mm</w:t>
      </w:r>
      <w:r>
        <w:rPr>
          <w:rFonts w:hAnsi="楷体" w:eastAsia="楷体"/>
          <w:color w:val="auto"/>
          <w:sz w:val="28"/>
          <w:szCs w:val="28"/>
          <w:highlight w:val="none"/>
        </w:rPr>
        <w:t>，坝顶宽度</w:t>
      </w:r>
      <w:r>
        <w:rPr>
          <w:rFonts w:eastAsia="楷体"/>
          <w:color w:val="auto"/>
          <w:sz w:val="28"/>
          <w:szCs w:val="28"/>
          <w:highlight w:val="none"/>
        </w:rPr>
        <w:t>3.75m</w:t>
      </w:r>
      <w:r>
        <w:rPr>
          <w:rFonts w:hAnsi="楷体" w:eastAsia="楷体"/>
          <w:color w:val="auto"/>
          <w:sz w:val="28"/>
          <w:szCs w:val="28"/>
          <w:highlight w:val="none"/>
        </w:rPr>
        <w:t>，加固前先对坝顶进行清理、平整、夯实，对凹陷变形处进行粘土回填并夯实，回填压实后土体的压实度应不小于</w:t>
      </w:r>
      <w:r>
        <w:rPr>
          <w:rFonts w:eastAsia="楷体"/>
          <w:color w:val="auto"/>
          <w:sz w:val="28"/>
          <w:szCs w:val="28"/>
          <w:highlight w:val="none"/>
        </w:rPr>
        <w:t>0.96</w:t>
      </w:r>
      <w:r>
        <w:rPr>
          <w:rFonts w:hAnsi="楷体" w:eastAsia="楷体"/>
          <w:color w:val="auto"/>
          <w:sz w:val="28"/>
          <w:szCs w:val="28"/>
          <w:highlight w:val="none"/>
        </w:rPr>
        <w:t>。</w:t>
      </w:r>
      <w:r>
        <w:rPr>
          <w:rFonts w:eastAsia="楷体"/>
          <w:color w:val="auto"/>
          <w:sz w:val="28"/>
          <w:highlight w:val="none"/>
        </w:rPr>
        <w:t xml:space="preserve"> </w:t>
      </w:r>
      <w:r>
        <w:rPr>
          <w:rFonts w:hAnsi="楷体" w:eastAsia="楷体"/>
          <w:color w:val="auto"/>
          <w:sz w:val="28"/>
          <w:highlight w:val="none"/>
        </w:rPr>
        <w:t>而后铺设</w:t>
      </w:r>
      <w:r>
        <w:rPr>
          <w:rFonts w:eastAsia="楷体"/>
          <w:color w:val="auto"/>
          <w:sz w:val="28"/>
          <w:szCs w:val="28"/>
          <w:highlight w:val="none"/>
        </w:rPr>
        <w:t>5%</w:t>
      </w:r>
      <w:r>
        <w:rPr>
          <w:rFonts w:hAnsi="楷体" w:eastAsia="楷体"/>
          <w:color w:val="auto"/>
          <w:sz w:val="28"/>
          <w:szCs w:val="28"/>
          <w:highlight w:val="none"/>
        </w:rPr>
        <w:t>水泥稳定碎石层厚</w:t>
      </w:r>
      <w:r>
        <w:rPr>
          <w:rFonts w:eastAsia="楷体"/>
          <w:color w:val="auto"/>
          <w:sz w:val="28"/>
          <w:szCs w:val="28"/>
          <w:highlight w:val="none"/>
        </w:rPr>
        <w:t>100mm</w:t>
      </w:r>
      <w:r>
        <w:rPr>
          <w:rFonts w:hAnsi="楷体" w:eastAsia="楷体"/>
          <w:color w:val="auto"/>
          <w:sz w:val="28"/>
          <w:szCs w:val="28"/>
          <w:highlight w:val="none"/>
        </w:rPr>
        <w:t>，</w:t>
      </w:r>
      <w:r>
        <w:rPr>
          <w:rFonts w:eastAsia="楷体"/>
          <w:color w:val="auto"/>
          <w:sz w:val="28"/>
          <w:szCs w:val="28"/>
          <w:highlight w:val="none"/>
        </w:rPr>
        <w:t>C25</w:t>
      </w:r>
      <w:r>
        <w:rPr>
          <w:rFonts w:hAnsi="楷体" w:eastAsia="楷体"/>
          <w:color w:val="auto"/>
          <w:sz w:val="28"/>
          <w:szCs w:val="28"/>
          <w:highlight w:val="none"/>
        </w:rPr>
        <w:t>砼路面厚</w:t>
      </w:r>
      <w:r>
        <w:rPr>
          <w:rFonts w:eastAsia="楷体"/>
          <w:color w:val="auto"/>
          <w:sz w:val="28"/>
          <w:szCs w:val="28"/>
          <w:highlight w:val="none"/>
        </w:rPr>
        <w:t>180mm</w:t>
      </w:r>
      <w:r>
        <w:rPr>
          <w:rFonts w:hAnsi="楷体" w:eastAsia="楷体"/>
          <w:color w:val="auto"/>
          <w:sz w:val="28"/>
          <w:szCs w:val="28"/>
          <w:highlight w:val="none"/>
        </w:rPr>
        <w:t>。上、下游设</w:t>
      </w:r>
      <w:r>
        <w:rPr>
          <w:rFonts w:eastAsia="楷体"/>
          <w:color w:val="auto"/>
          <w:sz w:val="28"/>
          <w:szCs w:val="28"/>
          <w:highlight w:val="none"/>
        </w:rPr>
        <w:t>50×50cm(</w:t>
      </w:r>
      <w:r>
        <w:rPr>
          <w:rFonts w:hAnsi="楷体" w:eastAsia="楷体"/>
          <w:color w:val="auto"/>
          <w:sz w:val="28"/>
          <w:szCs w:val="28"/>
          <w:highlight w:val="none"/>
        </w:rPr>
        <w:t>宽</w:t>
      </w:r>
      <w:r>
        <w:rPr>
          <w:rFonts w:eastAsia="楷体"/>
          <w:color w:val="auto"/>
          <w:sz w:val="28"/>
          <w:szCs w:val="28"/>
          <w:highlight w:val="none"/>
        </w:rPr>
        <w:t>×</w:t>
      </w:r>
      <w:r>
        <w:rPr>
          <w:rFonts w:hAnsi="楷体" w:eastAsia="楷体"/>
          <w:color w:val="auto"/>
          <w:sz w:val="28"/>
          <w:szCs w:val="28"/>
          <w:highlight w:val="none"/>
        </w:rPr>
        <w:t>高</w:t>
      </w:r>
      <w:r>
        <w:rPr>
          <w:rFonts w:eastAsia="楷体"/>
          <w:color w:val="auto"/>
          <w:sz w:val="28"/>
          <w:szCs w:val="28"/>
          <w:highlight w:val="none"/>
        </w:rPr>
        <w:t>)C25</w:t>
      </w:r>
      <w:r>
        <w:rPr>
          <w:rFonts w:hAnsi="楷体" w:eastAsia="楷体"/>
          <w:color w:val="auto"/>
          <w:sz w:val="28"/>
          <w:szCs w:val="28"/>
          <w:highlight w:val="none"/>
        </w:rPr>
        <w:t>素砼路肩，路面向上游设</w:t>
      </w:r>
      <w:r>
        <w:rPr>
          <w:rFonts w:eastAsia="楷体"/>
          <w:color w:val="auto"/>
          <w:sz w:val="28"/>
          <w:szCs w:val="28"/>
          <w:highlight w:val="none"/>
        </w:rPr>
        <w:t>2%</w:t>
      </w:r>
      <w:r>
        <w:rPr>
          <w:rFonts w:hAnsi="楷体" w:eastAsia="楷体"/>
          <w:color w:val="auto"/>
          <w:sz w:val="28"/>
          <w:szCs w:val="28"/>
          <w:highlight w:val="none"/>
        </w:rPr>
        <w:t>的横坡。</w:t>
      </w:r>
      <w:r>
        <w:rPr>
          <w:rFonts w:hAnsi="楷体" w:eastAsia="楷体"/>
          <w:color w:val="auto"/>
          <w:sz w:val="28"/>
          <w:highlight w:val="none"/>
        </w:rPr>
        <w:t>大坝上游侧设</w:t>
      </w:r>
      <w:r>
        <w:rPr>
          <w:rFonts w:eastAsia="楷体"/>
          <w:color w:val="auto"/>
          <w:sz w:val="28"/>
          <w:highlight w:val="none"/>
        </w:rPr>
        <w:t>1.2m</w:t>
      </w:r>
      <w:r>
        <w:rPr>
          <w:rFonts w:hAnsi="楷体" w:eastAsia="楷体"/>
          <w:color w:val="auto"/>
          <w:sz w:val="28"/>
          <w:highlight w:val="none"/>
        </w:rPr>
        <w:t>高的条石栏杆</w:t>
      </w:r>
      <w:r>
        <w:rPr>
          <w:rFonts w:hAnsi="楷体" w:eastAsia="楷体"/>
          <w:color w:val="auto"/>
          <w:sz w:val="28"/>
          <w:szCs w:val="28"/>
          <w:highlight w:val="none"/>
        </w:rPr>
        <w:t>。</w:t>
      </w:r>
    </w:p>
    <w:p w14:paraId="75870864">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2</w:t>
      </w:r>
      <w:r>
        <w:rPr>
          <w:rFonts w:hAnsi="楷体" w:eastAsia="楷体"/>
          <w:color w:val="auto"/>
          <w:sz w:val="28"/>
          <w:szCs w:val="28"/>
          <w:highlight w:val="none"/>
        </w:rPr>
        <w:t>）溢洪道加固工程</w:t>
      </w:r>
    </w:p>
    <w:p w14:paraId="774196CC">
      <w:pPr>
        <w:spacing w:line="520" w:lineRule="exact"/>
        <w:ind w:firstLine="560" w:firstLineChars="200"/>
        <w:rPr>
          <w:rFonts w:eastAsia="楷体"/>
          <w:color w:val="auto"/>
          <w:kern w:val="0"/>
          <w:sz w:val="28"/>
          <w:szCs w:val="28"/>
          <w:highlight w:val="none"/>
        </w:rPr>
      </w:pPr>
      <w:r>
        <w:rPr>
          <w:rFonts w:hAnsi="楷体" w:eastAsia="楷体"/>
          <w:color w:val="auto"/>
          <w:sz w:val="28"/>
          <w:highlight w:val="none"/>
        </w:rPr>
        <w:t>溢洪道加固内容：清除溢洪道的杂草及灌木；对两侧浆砌石边墙采用</w:t>
      </w:r>
      <w:r>
        <w:rPr>
          <w:rFonts w:eastAsia="楷体"/>
          <w:color w:val="auto"/>
          <w:sz w:val="28"/>
          <w:highlight w:val="none"/>
        </w:rPr>
        <w:t>M10</w:t>
      </w:r>
      <w:r>
        <w:rPr>
          <w:rFonts w:hAnsi="楷体" w:eastAsia="楷体"/>
          <w:color w:val="auto"/>
          <w:sz w:val="28"/>
          <w:highlight w:val="none"/>
        </w:rPr>
        <w:t>水泥砂浆勾缝；对</w:t>
      </w:r>
      <w:r>
        <w:rPr>
          <w:rFonts w:hAnsi="楷体" w:eastAsia="楷体"/>
          <w:color w:val="auto"/>
          <w:kern w:val="0"/>
          <w:sz w:val="28"/>
          <w:szCs w:val="28"/>
          <w:highlight w:val="none"/>
        </w:rPr>
        <w:t>溢洪道下游右侧水毁处进行修复；拆除桩号</w:t>
      </w:r>
      <w:r>
        <w:rPr>
          <w:rFonts w:eastAsia="楷体"/>
          <w:color w:val="auto"/>
          <w:kern w:val="0"/>
          <w:sz w:val="28"/>
          <w:szCs w:val="28"/>
          <w:highlight w:val="none"/>
        </w:rPr>
        <w:t>H0+130.0</w:t>
      </w:r>
      <w:r>
        <w:rPr>
          <w:rFonts w:hAnsi="楷体" w:eastAsia="楷体"/>
          <w:color w:val="auto"/>
          <w:kern w:val="0"/>
          <w:sz w:val="28"/>
          <w:szCs w:val="28"/>
          <w:highlight w:val="none"/>
        </w:rPr>
        <w:t>～</w:t>
      </w:r>
      <w:r>
        <w:rPr>
          <w:rFonts w:eastAsia="楷体"/>
          <w:color w:val="auto"/>
          <w:kern w:val="0"/>
          <w:sz w:val="28"/>
          <w:szCs w:val="28"/>
          <w:highlight w:val="none"/>
        </w:rPr>
        <w:t>H0+180.0</w:t>
      </w:r>
      <w:r>
        <w:rPr>
          <w:rFonts w:hAnsi="楷体" w:eastAsia="楷体"/>
          <w:color w:val="auto"/>
          <w:kern w:val="0"/>
          <w:sz w:val="28"/>
          <w:szCs w:val="28"/>
          <w:highlight w:val="none"/>
        </w:rPr>
        <w:t>处侧墙与底板，利用迎水坡拆除块石新建</w:t>
      </w:r>
      <w:r>
        <w:rPr>
          <w:rFonts w:eastAsia="楷体"/>
          <w:color w:val="auto"/>
          <w:kern w:val="0"/>
          <w:sz w:val="28"/>
          <w:szCs w:val="28"/>
          <w:highlight w:val="none"/>
        </w:rPr>
        <w:t>C25</w:t>
      </w:r>
      <w:r>
        <w:rPr>
          <w:rFonts w:hAnsi="楷体" w:eastAsia="楷体"/>
          <w:color w:val="auto"/>
          <w:kern w:val="0"/>
          <w:sz w:val="28"/>
          <w:szCs w:val="28"/>
          <w:highlight w:val="none"/>
        </w:rPr>
        <w:t>砼砌块石底板与侧墙；新建</w:t>
      </w:r>
      <w:r>
        <w:rPr>
          <w:rFonts w:eastAsia="楷体"/>
          <w:color w:val="auto"/>
          <w:kern w:val="0"/>
          <w:sz w:val="28"/>
          <w:szCs w:val="28"/>
          <w:highlight w:val="none"/>
        </w:rPr>
        <w:t>C25</w:t>
      </w:r>
      <w:r>
        <w:rPr>
          <w:rFonts w:hAnsi="楷体" w:eastAsia="楷体"/>
          <w:color w:val="auto"/>
          <w:kern w:val="0"/>
          <w:sz w:val="28"/>
          <w:szCs w:val="28"/>
          <w:highlight w:val="none"/>
        </w:rPr>
        <w:t>砼砌块石消力池，形式是垂</w:t>
      </w:r>
      <w:r>
        <w:rPr>
          <w:rFonts w:hAnsi="楷体" w:eastAsia="楷体"/>
          <w:color w:val="auto"/>
          <w:sz w:val="28"/>
          <w:szCs w:val="28"/>
          <w:highlight w:val="none"/>
        </w:rPr>
        <w:t>直式跌水墙单级跌水消力池</w:t>
      </w:r>
      <w:r>
        <w:rPr>
          <w:rFonts w:hAnsi="楷体" w:eastAsia="楷体"/>
          <w:color w:val="auto"/>
          <w:kern w:val="0"/>
          <w:sz w:val="28"/>
          <w:szCs w:val="28"/>
          <w:highlight w:val="none"/>
        </w:rPr>
        <w:t>，长</w:t>
      </w:r>
      <w:r>
        <w:rPr>
          <w:rFonts w:eastAsia="楷体"/>
          <w:color w:val="auto"/>
          <w:kern w:val="0"/>
          <w:sz w:val="28"/>
          <w:szCs w:val="28"/>
          <w:highlight w:val="none"/>
        </w:rPr>
        <w:t>4.0m</w:t>
      </w:r>
      <w:r>
        <w:rPr>
          <w:rFonts w:hAnsi="楷体" w:eastAsia="楷体"/>
          <w:color w:val="auto"/>
          <w:kern w:val="0"/>
          <w:sz w:val="28"/>
          <w:szCs w:val="28"/>
          <w:highlight w:val="none"/>
        </w:rPr>
        <w:t>，宽</w:t>
      </w:r>
      <w:r>
        <w:rPr>
          <w:rFonts w:eastAsia="楷体"/>
          <w:color w:val="auto"/>
          <w:kern w:val="0"/>
          <w:sz w:val="28"/>
          <w:szCs w:val="28"/>
          <w:highlight w:val="none"/>
        </w:rPr>
        <w:t>8.0m</w:t>
      </w:r>
      <w:r>
        <w:rPr>
          <w:rFonts w:hAnsi="楷体" w:eastAsia="楷体"/>
          <w:color w:val="auto"/>
          <w:kern w:val="0"/>
          <w:sz w:val="28"/>
          <w:szCs w:val="28"/>
          <w:highlight w:val="none"/>
        </w:rPr>
        <w:t>，深</w:t>
      </w:r>
      <w:r>
        <w:rPr>
          <w:rFonts w:eastAsia="楷体"/>
          <w:color w:val="auto"/>
          <w:kern w:val="0"/>
          <w:sz w:val="28"/>
          <w:szCs w:val="28"/>
          <w:highlight w:val="none"/>
        </w:rPr>
        <w:t>1.0m</w:t>
      </w:r>
      <w:r>
        <w:rPr>
          <w:rFonts w:hAnsi="楷体" w:eastAsia="楷体"/>
          <w:color w:val="auto"/>
          <w:kern w:val="0"/>
          <w:sz w:val="28"/>
          <w:szCs w:val="28"/>
          <w:highlight w:val="none"/>
        </w:rPr>
        <w:t>；利用溢洪道拆除条石新建</w:t>
      </w:r>
      <w:r>
        <w:rPr>
          <w:rFonts w:eastAsia="楷体"/>
          <w:color w:val="auto"/>
          <w:kern w:val="0"/>
          <w:sz w:val="28"/>
          <w:szCs w:val="28"/>
          <w:highlight w:val="none"/>
        </w:rPr>
        <w:t>M10</w:t>
      </w:r>
      <w:r>
        <w:rPr>
          <w:rFonts w:hAnsi="楷体" w:eastAsia="楷体"/>
          <w:color w:val="auto"/>
          <w:kern w:val="0"/>
          <w:sz w:val="28"/>
          <w:szCs w:val="28"/>
          <w:highlight w:val="none"/>
        </w:rPr>
        <w:t>浆砌条石海漫，长</w:t>
      </w:r>
      <w:r>
        <w:rPr>
          <w:rFonts w:eastAsia="楷体"/>
          <w:color w:val="auto"/>
          <w:kern w:val="0"/>
          <w:sz w:val="28"/>
          <w:szCs w:val="28"/>
          <w:highlight w:val="none"/>
        </w:rPr>
        <w:t>5.0m</w:t>
      </w:r>
      <w:r>
        <w:rPr>
          <w:rFonts w:hAnsi="楷体" w:eastAsia="楷体"/>
          <w:color w:val="auto"/>
          <w:kern w:val="0"/>
          <w:sz w:val="28"/>
          <w:szCs w:val="28"/>
          <w:highlight w:val="none"/>
        </w:rPr>
        <w:t>；</w:t>
      </w:r>
      <w:r>
        <w:rPr>
          <w:rFonts w:hAnsi="楷体" w:eastAsia="楷体"/>
          <w:color w:val="auto"/>
          <w:sz w:val="28"/>
          <w:szCs w:val="28"/>
          <w:highlight w:val="none"/>
        </w:rPr>
        <w:t>拆除现浆砌条石交通桥，在原位置设一道两跨总长</w:t>
      </w:r>
      <w:r>
        <w:rPr>
          <w:rFonts w:eastAsia="楷体"/>
          <w:color w:val="auto"/>
          <w:sz w:val="28"/>
          <w:szCs w:val="28"/>
          <w:highlight w:val="none"/>
        </w:rPr>
        <w:t>8.1m</w:t>
      </w:r>
      <w:r>
        <w:rPr>
          <w:rFonts w:hAnsi="楷体" w:eastAsia="楷体"/>
          <w:color w:val="auto"/>
          <w:sz w:val="28"/>
          <w:szCs w:val="28"/>
          <w:highlight w:val="none"/>
        </w:rPr>
        <w:t>，宽</w:t>
      </w:r>
      <w:r>
        <w:rPr>
          <w:rFonts w:eastAsia="楷体"/>
          <w:color w:val="auto"/>
          <w:sz w:val="28"/>
          <w:szCs w:val="28"/>
          <w:highlight w:val="none"/>
        </w:rPr>
        <w:t>3.6m</w:t>
      </w:r>
      <w:r>
        <w:rPr>
          <w:rFonts w:hAnsi="楷体" w:eastAsia="楷体"/>
          <w:color w:val="auto"/>
          <w:sz w:val="28"/>
          <w:szCs w:val="28"/>
          <w:highlight w:val="none"/>
        </w:rPr>
        <w:t>的交通桥，</w:t>
      </w:r>
      <w:r>
        <w:rPr>
          <w:rFonts w:hAnsi="楷体" w:eastAsia="楷体"/>
          <w:color w:val="auto"/>
          <w:kern w:val="0"/>
          <w:sz w:val="28"/>
          <w:szCs w:val="28"/>
          <w:highlight w:val="none"/>
        </w:rPr>
        <w:t>桥板采用</w:t>
      </w:r>
      <w:r>
        <w:rPr>
          <w:rFonts w:eastAsia="楷体"/>
          <w:color w:val="auto"/>
          <w:kern w:val="0"/>
          <w:sz w:val="28"/>
          <w:szCs w:val="28"/>
          <w:highlight w:val="none"/>
        </w:rPr>
        <w:t>C30</w:t>
      </w:r>
      <w:r>
        <w:rPr>
          <w:rFonts w:hAnsi="楷体" w:eastAsia="楷体"/>
          <w:color w:val="auto"/>
          <w:kern w:val="0"/>
          <w:sz w:val="28"/>
          <w:szCs w:val="28"/>
          <w:highlight w:val="none"/>
        </w:rPr>
        <w:t>钢筋砼结构，支撑长度</w:t>
      </w:r>
      <w:r>
        <w:rPr>
          <w:rFonts w:eastAsia="楷体"/>
          <w:color w:val="auto"/>
          <w:kern w:val="0"/>
          <w:sz w:val="28"/>
          <w:szCs w:val="28"/>
          <w:highlight w:val="none"/>
        </w:rPr>
        <w:t>300mm</w:t>
      </w:r>
      <w:r>
        <w:rPr>
          <w:rFonts w:hAnsi="楷体" w:eastAsia="楷体"/>
          <w:color w:val="auto"/>
          <w:kern w:val="0"/>
          <w:sz w:val="28"/>
          <w:szCs w:val="28"/>
          <w:highlight w:val="none"/>
        </w:rPr>
        <w:t>，边墩迎水侧与溢洪道侧墙衔接，背水坡坡比</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0.1</w:t>
      </w:r>
      <w:r>
        <w:rPr>
          <w:rFonts w:hAnsi="楷体" w:eastAsia="楷体"/>
          <w:color w:val="auto"/>
          <w:kern w:val="0"/>
          <w:sz w:val="28"/>
          <w:szCs w:val="28"/>
          <w:highlight w:val="none"/>
        </w:rPr>
        <w:t>，墙身为</w:t>
      </w:r>
      <w:r>
        <w:rPr>
          <w:rFonts w:eastAsia="楷体"/>
          <w:color w:val="auto"/>
          <w:kern w:val="0"/>
          <w:sz w:val="28"/>
          <w:szCs w:val="28"/>
          <w:highlight w:val="none"/>
        </w:rPr>
        <w:t>C25</w:t>
      </w:r>
      <w:r>
        <w:rPr>
          <w:rFonts w:hAnsi="楷体" w:eastAsia="楷体"/>
          <w:color w:val="auto"/>
          <w:kern w:val="0"/>
          <w:sz w:val="28"/>
          <w:szCs w:val="28"/>
          <w:highlight w:val="none"/>
        </w:rPr>
        <w:t>埋石砼结构，中墩为</w:t>
      </w:r>
      <w:r>
        <w:rPr>
          <w:rFonts w:eastAsia="楷体"/>
          <w:color w:val="auto"/>
          <w:kern w:val="0"/>
          <w:sz w:val="28"/>
          <w:szCs w:val="28"/>
          <w:highlight w:val="none"/>
        </w:rPr>
        <w:t>C25</w:t>
      </w:r>
      <w:r>
        <w:rPr>
          <w:rFonts w:hAnsi="楷体" w:eastAsia="楷体"/>
          <w:color w:val="auto"/>
          <w:kern w:val="0"/>
          <w:sz w:val="28"/>
          <w:szCs w:val="28"/>
          <w:highlight w:val="none"/>
        </w:rPr>
        <w:t>埋石砼结构。</w:t>
      </w:r>
    </w:p>
    <w:p w14:paraId="6C6139FF">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3</w:t>
      </w:r>
      <w:r>
        <w:rPr>
          <w:rFonts w:hAnsi="楷体" w:eastAsia="楷体"/>
          <w:color w:val="auto"/>
          <w:sz w:val="28"/>
          <w:szCs w:val="28"/>
          <w:highlight w:val="none"/>
        </w:rPr>
        <w:t>）输水涵洞加固工程</w:t>
      </w:r>
    </w:p>
    <w:p w14:paraId="47D7617B">
      <w:pPr>
        <w:spacing w:line="520" w:lineRule="exact"/>
        <w:ind w:firstLine="560" w:firstLineChars="200"/>
        <w:rPr>
          <w:rFonts w:eastAsia="楷体"/>
          <w:color w:val="auto"/>
          <w:kern w:val="0"/>
          <w:sz w:val="28"/>
          <w:szCs w:val="28"/>
          <w:highlight w:val="none"/>
        </w:rPr>
      </w:pPr>
      <w:r>
        <w:rPr>
          <w:rFonts w:hAnsi="楷体" w:eastAsia="楷体"/>
          <w:color w:val="auto"/>
          <w:sz w:val="28"/>
          <w:szCs w:val="28"/>
          <w:highlight w:val="none"/>
        </w:rPr>
        <w:t>本次将高、低涵原进口消力井拆除，分别重建进口</w:t>
      </w:r>
      <w:r>
        <w:rPr>
          <w:rFonts w:eastAsia="楷体"/>
          <w:color w:val="auto"/>
          <w:sz w:val="28"/>
          <w:szCs w:val="28"/>
          <w:highlight w:val="none"/>
        </w:rPr>
        <w:t>C25</w:t>
      </w:r>
      <w:r>
        <w:rPr>
          <w:rFonts w:hAnsi="楷体" w:eastAsia="楷体"/>
          <w:color w:val="auto"/>
          <w:sz w:val="28"/>
          <w:szCs w:val="28"/>
          <w:highlight w:val="none"/>
        </w:rPr>
        <w:t>钢筋砼消力井，配套转动门盖、拦污栅、拉杆、支墩、</w:t>
      </w:r>
      <w:r>
        <w:rPr>
          <w:rFonts w:eastAsia="楷体"/>
          <w:color w:val="auto"/>
          <w:sz w:val="28"/>
          <w:szCs w:val="28"/>
          <w:highlight w:val="none"/>
        </w:rPr>
        <w:t>3t</w:t>
      </w:r>
      <w:r>
        <w:rPr>
          <w:rFonts w:hAnsi="楷体" w:eastAsia="楷体"/>
          <w:color w:val="auto"/>
          <w:sz w:val="28"/>
          <w:szCs w:val="28"/>
          <w:highlight w:val="none"/>
        </w:rPr>
        <w:t>卷扬式启闭机、坝顶新建</w:t>
      </w:r>
      <w:r>
        <w:rPr>
          <w:rFonts w:eastAsia="楷体"/>
          <w:color w:val="auto"/>
          <w:sz w:val="28"/>
          <w:szCs w:val="28"/>
          <w:highlight w:val="none"/>
        </w:rPr>
        <w:t>5m</w:t>
      </w:r>
      <w:r>
        <w:rPr>
          <w:rFonts w:eastAsia="楷体"/>
          <w:color w:val="auto"/>
          <w:sz w:val="28"/>
          <w:szCs w:val="28"/>
          <w:highlight w:val="none"/>
          <w:vertAlign w:val="superscript"/>
        </w:rPr>
        <w:t>2</w:t>
      </w:r>
      <w:r>
        <w:rPr>
          <w:rFonts w:hAnsi="楷体" w:eastAsia="楷体"/>
          <w:color w:val="auto"/>
          <w:sz w:val="28"/>
          <w:szCs w:val="28"/>
          <w:highlight w:val="none"/>
        </w:rPr>
        <w:t>启闭房、涵洞身套</w:t>
      </w:r>
      <w:r>
        <w:rPr>
          <w:rFonts w:eastAsia="楷体"/>
          <w:color w:val="auto"/>
          <w:sz w:val="28"/>
          <w:szCs w:val="28"/>
          <w:highlight w:val="none"/>
        </w:rPr>
        <w:t>De400PE</w:t>
      </w:r>
      <w:r>
        <w:rPr>
          <w:rFonts w:hAnsi="楷体" w:eastAsia="楷体"/>
          <w:color w:val="auto"/>
          <w:sz w:val="28"/>
          <w:szCs w:val="28"/>
          <w:highlight w:val="none"/>
        </w:rPr>
        <w:t>管。</w:t>
      </w:r>
    </w:p>
    <w:p w14:paraId="5A9190A4">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4</w:t>
      </w:r>
      <w:r>
        <w:rPr>
          <w:rFonts w:hAnsi="楷体" w:eastAsia="楷体"/>
          <w:color w:val="auto"/>
          <w:sz w:val="28"/>
          <w:szCs w:val="28"/>
          <w:highlight w:val="none"/>
        </w:rPr>
        <w:t>）白蚁防治</w:t>
      </w:r>
    </w:p>
    <w:p w14:paraId="52BC9021">
      <w:pPr>
        <w:spacing w:line="520" w:lineRule="exact"/>
        <w:ind w:firstLine="560" w:firstLineChars="200"/>
        <w:rPr>
          <w:rFonts w:hAnsi="楷体" w:eastAsia="楷体"/>
          <w:color w:val="auto"/>
          <w:sz w:val="28"/>
          <w:szCs w:val="28"/>
          <w:highlight w:val="none"/>
        </w:rPr>
      </w:pPr>
      <w:r>
        <w:rPr>
          <w:rFonts w:hAnsi="楷体" w:eastAsia="楷体"/>
          <w:color w:val="auto"/>
          <w:sz w:val="28"/>
          <w:szCs w:val="28"/>
          <w:highlight w:val="none"/>
        </w:rPr>
        <w:t>前烧水库大坝存在白蚁危害，</w:t>
      </w:r>
      <w:r>
        <w:rPr>
          <w:rFonts w:hint="eastAsia" w:hAnsi="楷体" w:eastAsia="楷体"/>
          <w:color w:val="auto"/>
          <w:sz w:val="28"/>
          <w:szCs w:val="28"/>
          <w:highlight w:val="none"/>
        </w:rPr>
        <w:t>该次加固进行</w:t>
      </w:r>
      <w:r>
        <w:rPr>
          <w:rFonts w:hAnsi="楷体" w:eastAsia="楷体"/>
          <w:color w:val="auto"/>
          <w:sz w:val="28"/>
          <w:szCs w:val="28"/>
          <w:highlight w:val="none"/>
        </w:rPr>
        <w:t>白蚁防治：挖巢找</w:t>
      </w:r>
    </w:p>
    <w:p w14:paraId="6DE58A69">
      <w:pPr>
        <w:spacing w:line="520" w:lineRule="exact"/>
        <w:rPr>
          <w:rFonts w:eastAsia="楷体"/>
          <w:color w:val="auto"/>
          <w:sz w:val="28"/>
          <w:szCs w:val="28"/>
          <w:highlight w:val="none"/>
        </w:rPr>
      </w:pPr>
      <w:r>
        <w:rPr>
          <w:rFonts w:hAnsi="楷体" w:eastAsia="楷体"/>
          <w:color w:val="auto"/>
          <w:sz w:val="28"/>
          <w:szCs w:val="28"/>
          <w:highlight w:val="none"/>
        </w:rPr>
        <w:t>穴</w:t>
      </w:r>
      <w:r>
        <w:rPr>
          <w:rFonts w:hint="eastAsia" w:eastAsia="楷体"/>
          <w:color w:val="auto"/>
          <w:sz w:val="28"/>
          <w:szCs w:val="28"/>
          <w:highlight w:val="none"/>
        </w:rPr>
        <w:t>——</w:t>
      </w:r>
      <w:r>
        <w:rPr>
          <w:rFonts w:hAnsi="楷体" w:eastAsia="楷体"/>
          <w:color w:val="auto"/>
          <w:sz w:val="28"/>
          <w:szCs w:val="28"/>
          <w:highlight w:val="none"/>
        </w:rPr>
        <w:t>造孔</w:t>
      </w:r>
      <w:r>
        <w:rPr>
          <w:rFonts w:hint="eastAsia" w:eastAsia="楷体"/>
          <w:color w:val="auto"/>
          <w:sz w:val="28"/>
          <w:szCs w:val="28"/>
          <w:highlight w:val="none"/>
        </w:rPr>
        <w:t>——</w:t>
      </w:r>
      <w:r>
        <w:rPr>
          <w:rFonts w:hAnsi="楷体" w:eastAsia="楷体"/>
          <w:color w:val="auto"/>
          <w:sz w:val="28"/>
          <w:szCs w:val="28"/>
          <w:highlight w:val="none"/>
        </w:rPr>
        <w:t>配制药物浆水</w:t>
      </w:r>
      <w:r>
        <w:rPr>
          <w:rFonts w:hint="eastAsia" w:eastAsia="楷体"/>
          <w:color w:val="auto"/>
          <w:sz w:val="28"/>
          <w:szCs w:val="28"/>
          <w:highlight w:val="none"/>
        </w:rPr>
        <w:t>——</w:t>
      </w:r>
      <w:r>
        <w:rPr>
          <w:rFonts w:hAnsi="楷体" w:eastAsia="楷体"/>
          <w:color w:val="auto"/>
          <w:sz w:val="28"/>
          <w:szCs w:val="28"/>
          <w:highlight w:val="none"/>
        </w:rPr>
        <w:t>灌浆</w:t>
      </w:r>
      <w:r>
        <w:rPr>
          <w:rFonts w:hint="eastAsia" w:eastAsia="楷体"/>
          <w:color w:val="auto"/>
          <w:sz w:val="28"/>
          <w:szCs w:val="28"/>
          <w:highlight w:val="none"/>
        </w:rPr>
        <w:t>——</w:t>
      </w:r>
      <w:r>
        <w:rPr>
          <w:rFonts w:hAnsi="楷体" w:eastAsia="楷体"/>
          <w:color w:val="auto"/>
          <w:sz w:val="28"/>
          <w:szCs w:val="28"/>
          <w:highlight w:val="none"/>
        </w:rPr>
        <w:t>设置隔离防护沟。</w:t>
      </w:r>
    </w:p>
    <w:p w14:paraId="50CDCFF2">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5</w:t>
      </w:r>
      <w:r>
        <w:rPr>
          <w:rFonts w:hAnsi="楷体" w:eastAsia="楷体"/>
          <w:color w:val="auto"/>
          <w:sz w:val="28"/>
          <w:szCs w:val="28"/>
          <w:highlight w:val="none"/>
        </w:rPr>
        <w:t>）防汛道路</w:t>
      </w:r>
    </w:p>
    <w:p w14:paraId="4CF1298A">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本次加固对防汛道路进行平整夯实</w:t>
      </w:r>
      <w:r>
        <w:rPr>
          <w:rFonts w:hAnsi="楷体" w:eastAsia="楷体"/>
          <w:color w:val="auto"/>
          <w:kern w:val="0"/>
          <w:sz w:val="28"/>
          <w:szCs w:val="28"/>
          <w:highlight w:val="none"/>
        </w:rPr>
        <w:t>。</w:t>
      </w:r>
    </w:p>
    <w:p w14:paraId="1EE3DF12">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6</w:t>
      </w:r>
      <w:r>
        <w:rPr>
          <w:rFonts w:hAnsi="楷体" w:eastAsia="楷体"/>
          <w:color w:val="auto"/>
          <w:sz w:val="28"/>
          <w:szCs w:val="28"/>
          <w:highlight w:val="none"/>
        </w:rPr>
        <w:t>）水库管理房</w:t>
      </w:r>
    </w:p>
    <w:p w14:paraId="67B8EF1C">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拆除值守房，对大坝左坝端的地面进行平整，在此处新建一座单层砖混结构的水库管理房，面积约</w:t>
      </w:r>
      <w:r>
        <w:rPr>
          <w:rFonts w:eastAsia="楷体"/>
          <w:color w:val="auto"/>
          <w:sz w:val="28"/>
          <w:szCs w:val="28"/>
          <w:highlight w:val="none"/>
        </w:rPr>
        <w:t>58m</w:t>
      </w:r>
      <w:r>
        <w:rPr>
          <w:rFonts w:eastAsia="楷体"/>
          <w:color w:val="auto"/>
          <w:sz w:val="28"/>
          <w:szCs w:val="28"/>
          <w:highlight w:val="none"/>
          <w:vertAlign w:val="superscript"/>
        </w:rPr>
        <w:t>2</w:t>
      </w:r>
      <w:r>
        <w:rPr>
          <w:rFonts w:hAnsi="楷体" w:eastAsia="楷体"/>
          <w:color w:val="auto"/>
          <w:sz w:val="28"/>
          <w:szCs w:val="28"/>
          <w:highlight w:val="none"/>
        </w:rPr>
        <w:t>，达到满足水库运行调度和物资储备，保证水库正常运行。</w:t>
      </w:r>
    </w:p>
    <w:p w14:paraId="6F4AC12F">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7</w:t>
      </w:r>
      <w:r>
        <w:rPr>
          <w:rFonts w:hAnsi="楷体" w:eastAsia="楷体"/>
          <w:color w:val="auto"/>
          <w:sz w:val="28"/>
          <w:szCs w:val="28"/>
          <w:highlight w:val="none"/>
        </w:rPr>
        <w:t>）大坝安全监测设计</w:t>
      </w:r>
    </w:p>
    <w:p w14:paraId="64ECAF8D">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增设水尺进行库区水位观测。从高程</w:t>
      </w:r>
      <w:r>
        <w:rPr>
          <w:rFonts w:eastAsia="楷体"/>
          <w:color w:val="auto"/>
          <w:sz w:val="28"/>
          <w:szCs w:val="28"/>
          <w:highlight w:val="none"/>
        </w:rPr>
        <w:t>28.00m</w:t>
      </w:r>
      <w:r>
        <w:rPr>
          <w:rFonts w:hAnsi="楷体" w:eastAsia="楷体"/>
          <w:color w:val="auto"/>
          <w:sz w:val="28"/>
          <w:szCs w:val="28"/>
          <w:highlight w:val="none"/>
        </w:rPr>
        <w:t>至</w:t>
      </w:r>
      <w:r>
        <w:rPr>
          <w:rFonts w:eastAsia="楷体"/>
          <w:color w:val="auto"/>
          <w:sz w:val="28"/>
          <w:szCs w:val="28"/>
          <w:highlight w:val="none"/>
        </w:rPr>
        <w:t>40.00m</w:t>
      </w:r>
      <w:r>
        <w:rPr>
          <w:rFonts w:hAnsi="楷体" w:eastAsia="楷体"/>
          <w:color w:val="auto"/>
          <w:sz w:val="28"/>
          <w:szCs w:val="28"/>
          <w:highlight w:val="none"/>
        </w:rPr>
        <w:t>增设</w:t>
      </w:r>
      <w:r>
        <w:rPr>
          <w:rFonts w:eastAsia="楷体"/>
          <w:color w:val="auto"/>
          <w:sz w:val="28"/>
          <w:szCs w:val="28"/>
          <w:highlight w:val="none"/>
        </w:rPr>
        <w:t>6</w:t>
      </w:r>
      <w:r>
        <w:rPr>
          <w:rFonts w:hAnsi="楷体" w:eastAsia="楷体"/>
          <w:color w:val="auto"/>
          <w:sz w:val="28"/>
          <w:szCs w:val="28"/>
          <w:highlight w:val="none"/>
        </w:rPr>
        <w:t>根搪瓷水位尺进行库区水位观测。水位、雨量自动监测系统将来配套实施。</w:t>
      </w:r>
    </w:p>
    <w:p w14:paraId="7D3EA979">
      <w:pPr>
        <w:spacing w:line="520" w:lineRule="exact"/>
        <w:ind w:firstLine="560" w:firstLineChars="200"/>
        <w:rPr>
          <w:rFonts w:eastAsia="楷体"/>
          <w:color w:val="auto"/>
          <w:sz w:val="28"/>
          <w:szCs w:val="28"/>
          <w:highlight w:val="none"/>
        </w:rPr>
      </w:pPr>
      <w:bookmarkStart w:id="12" w:name="_Toc353173617"/>
      <w:r>
        <w:rPr>
          <w:rFonts w:hAnsi="楷体" w:eastAsia="楷体"/>
          <w:color w:val="auto"/>
          <w:sz w:val="28"/>
          <w:szCs w:val="28"/>
          <w:highlight w:val="none"/>
        </w:rPr>
        <w:t>（</w:t>
      </w:r>
      <w:r>
        <w:rPr>
          <w:rFonts w:eastAsia="楷体"/>
          <w:color w:val="auto"/>
          <w:sz w:val="28"/>
          <w:szCs w:val="28"/>
          <w:highlight w:val="none"/>
        </w:rPr>
        <w:t>8</w:t>
      </w:r>
      <w:r>
        <w:rPr>
          <w:rFonts w:hAnsi="楷体" w:eastAsia="楷体"/>
          <w:color w:val="auto"/>
          <w:sz w:val="28"/>
          <w:szCs w:val="28"/>
          <w:highlight w:val="none"/>
        </w:rPr>
        <w:t>）机电及金属结构</w:t>
      </w:r>
      <w:bookmarkEnd w:id="12"/>
    </w:p>
    <w:p w14:paraId="42F34EAD">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对原有的高、低涵手摇绞车启闭机更换为</w:t>
      </w:r>
      <w:r>
        <w:rPr>
          <w:rFonts w:eastAsia="楷体"/>
          <w:color w:val="auto"/>
          <w:sz w:val="28"/>
          <w:szCs w:val="28"/>
          <w:highlight w:val="none"/>
        </w:rPr>
        <w:t>3t</w:t>
      </w:r>
      <w:r>
        <w:rPr>
          <w:rFonts w:hAnsi="楷体" w:eastAsia="楷体"/>
          <w:color w:val="auto"/>
          <w:sz w:val="28"/>
          <w:szCs w:val="28"/>
          <w:highlight w:val="none"/>
        </w:rPr>
        <w:t>手动卷扬式启闭机，对转动门盖及拉杆进行更新，新建拦污栅，对所有的金属结构进行防锈处理。</w:t>
      </w:r>
    </w:p>
    <w:p w14:paraId="509648F8">
      <w:pPr>
        <w:spacing w:line="520" w:lineRule="exact"/>
        <w:ind w:firstLine="560" w:firstLineChars="200"/>
        <w:rPr>
          <w:rFonts w:hint="default" w:eastAsia="楷体"/>
          <w:color w:val="auto"/>
          <w:highlight w:val="none"/>
          <w:lang w:val="en-US" w:eastAsia="zh-CN"/>
        </w:rPr>
      </w:pPr>
      <w:r>
        <w:rPr>
          <w:rFonts w:hint="eastAsia" w:eastAsia="楷体"/>
          <w:color w:val="auto"/>
          <w:sz w:val="28"/>
          <w:szCs w:val="28"/>
          <w:highlight w:val="none"/>
        </w:rPr>
        <w:t>泉港区前黄镇</w:t>
      </w:r>
      <w:r>
        <w:rPr>
          <w:rFonts w:eastAsia="楷体"/>
          <w:color w:val="auto"/>
          <w:sz w:val="28"/>
          <w:szCs w:val="28"/>
          <w:highlight w:val="none"/>
        </w:rPr>
        <w:t>前烧水库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4</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1DC7FC7A">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lang w:val="en-US" w:eastAsia="zh-CN"/>
        </w:rPr>
        <w:t>8</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sz w:val="28"/>
          <w:szCs w:val="28"/>
          <w:highlight w:val="none"/>
          <w:lang w:eastAsia="zh-CN"/>
        </w:rPr>
        <w:t>前黄镇人民政府</w:t>
      </w:r>
      <w:r>
        <w:rPr>
          <w:rFonts w:hint="eastAsia" w:eastAsia="楷体"/>
          <w:color w:val="auto"/>
          <w:sz w:val="28"/>
          <w:szCs w:val="28"/>
          <w:highlight w:val="none"/>
        </w:rPr>
        <w:t>组织对前烧水库进行安全鉴定</w:t>
      </w:r>
      <w:r>
        <w:rPr>
          <w:rFonts w:eastAsia="楷体"/>
          <w:color w:val="auto"/>
          <w:kern w:val="0"/>
          <w:sz w:val="28"/>
          <w:szCs w:val="28"/>
          <w:highlight w:val="none"/>
        </w:rPr>
        <w:t>。同年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kern w:val="0"/>
          <w:sz w:val="28"/>
          <w:szCs w:val="28"/>
          <w:highlight w:val="none"/>
          <w:lang w:val="en-US" w:eastAsia="zh-CN"/>
        </w:rPr>
        <w:t>30</w:t>
      </w:r>
      <w:r>
        <w:rPr>
          <w:rFonts w:eastAsia="楷体"/>
          <w:color w:val="auto"/>
          <w:kern w:val="0"/>
          <w:sz w:val="28"/>
          <w:szCs w:val="28"/>
          <w:highlight w:val="none"/>
        </w:rPr>
        <w:t>日，</w:t>
      </w:r>
      <w:r>
        <w:rPr>
          <w:rFonts w:hint="eastAsia" w:eastAsia="楷体"/>
          <w:color w:val="auto"/>
          <w:kern w:val="0"/>
          <w:sz w:val="28"/>
          <w:szCs w:val="28"/>
          <w:highlight w:val="none"/>
        </w:rPr>
        <w:t>泉港区农水局</w:t>
      </w:r>
      <w:r>
        <w:rPr>
          <w:rFonts w:eastAsia="楷体"/>
          <w:color w:val="auto"/>
          <w:kern w:val="0"/>
          <w:sz w:val="28"/>
          <w:szCs w:val="28"/>
          <w:highlight w:val="none"/>
        </w:rPr>
        <w:t>组织审查通过了该大坝安全评价报告，安全鉴定主要结论如下：</w:t>
      </w:r>
    </w:p>
    <w:p w14:paraId="37F04AB4">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工程存在的主要问题：</w:t>
      </w:r>
    </w:p>
    <w:p w14:paraId="60BA4B47">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①</w:t>
      </w:r>
      <w:r>
        <w:rPr>
          <w:rFonts w:hint="eastAsia" w:eastAsia="楷体"/>
          <w:color w:val="auto"/>
          <w:sz w:val="28"/>
          <w:szCs w:val="28"/>
          <w:highlight w:val="none"/>
        </w:rPr>
        <w:t>水库淤积:水库四周山体为残积砂质粘性土、风化岩，山体风化强烈，节理裂隙发育，地表径流带入大量粘性士和山体碎块，水库存在一定的淤积问题。</w:t>
      </w:r>
    </w:p>
    <w:p w14:paraId="44197D5B">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②</w:t>
      </w:r>
      <w:r>
        <w:rPr>
          <w:rFonts w:hint="eastAsia" w:eastAsia="楷体"/>
          <w:color w:val="auto"/>
          <w:sz w:val="28"/>
          <w:szCs w:val="28"/>
          <w:highlight w:val="none"/>
        </w:rPr>
        <w:t>2017年12月迅捷防汛抗旱服务有限公司应业主委托采用涵洞探测仪对高涵进行检测，检测结果为:低涵距出口37.36m上游段有积水，高涵距离涵洞出口8.34m处有障碍物，且全段积水。但从现场检查，结合2018年9月1日暴雨后现场观测，开启低涵后距出口5米处出现涌水现象，塌陷面积6平方左右，关闭后没有出现涌水，初步判断是低涵涵管出现问题，高涵洞口有微小渗水现象。</w:t>
      </w:r>
    </w:p>
    <w:p w14:paraId="5401D245">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③</w:t>
      </w:r>
      <w:r>
        <w:rPr>
          <w:rFonts w:hint="eastAsia" w:ascii="仿宋_GB2312" w:hAnsi="仿宋_GB2312" w:eastAsia="仿宋_GB2312" w:cs="仿宋_GB2312"/>
          <w:color w:val="auto"/>
          <w:sz w:val="28"/>
          <w:szCs w:val="28"/>
          <w:highlight w:val="none"/>
          <w:lang w:eastAsia="zh-CN"/>
        </w:rPr>
        <w:t>大</w:t>
      </w:r>
      <w:r>
        <w:rPr>
          <w:rFonts w:hint="eastAsia" w:eastAsia="楷体"/>
          <w:color w:val="auto"/>
          <w:sz w:val="28"/>
          <w:szCs w:val="28"/>
          <w:highlight w:val="none"/>
        </w:rPr>
        <w:t>坝、溢洪道等建筑物存在局部长有杂草的问题。2018年9月1日暴雨后我中心技术人员与泉港农林水局现场观测，大坝顶原过坝渠段出现裂缝，长度约5米，缝宽1CM左右，初步判断是过坝渠填筑土出现的沉降所致。</w:t>
      </w:r>
    </w:p>
    <w:p w14:paraId="1EAE511F">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④</w:t>
      </w:r>
      <w:r>
        <w:rPr>
          <w:rFonts w:hint="eastAsia" w:eastAsia="楷体"/>
          <w:color w:val="auto"/>
          <w:sz w:val="28"/>
          <w:szCs w:val="28"/>
          <w:highlight w:val="none"/>
        </w:rPr>
        <w:t>本次现场检查溢洪道下游消力池段现状为农田，现状无消能设施溢洪道直接接入下游农田，存在一定的安全隐患。</w:t>
      </w:r>
    </w:p>
    <w:p w14:paraId="30036A7F">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⑤</w:t>
      </w:r>
      <w:r>
        <w:rPr>
          <w:rFonts w:hint="eastAsia" w:eastAsia="楷体"/>
          <w:color w:val="auto"/>
          <w:sz w:val="28"/>
          <w:szCs w:val="28"/>
          <w:highlight w:val="none"/>
        </w:rPr>
        <w:t>根据湖南省水工环地质工程勘察院2018年4月对前烧水库的物探成果，水库的大坝靠近低涵位置处，存在两处渗漏通道。</w:t>
      </w:r>
    </w:p>
    <w:p w14:paraId="47B22C5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（2）对运行管理或除险加固的意见和建议：</w:t>
      </w:r>
    </w:p>
    <w:p w14:paraId="5EB5B76C">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①</w:t>
      </w:r>
      <w:r>
        <w:rPr>
          <w:rFonts w:hint="eastAsia" w:ascii="仿宋_GB2312" w:hAnsi="仿宋_GB2312" w:eastAsia="仿宋_GB2312" w:cs="仿宋_GB2312"/>
          <w:color w:val="auto"/>
          <w:sz w:val="28"/>
          <w:szCs w:val="28"/>
          <w:highlight w:val="none"/>
          <w:lang w:val="en-US" w:eastAsia="zh-CN"/>
        </w:rPr>
        <w:t>栏</w:t>
      </w:r>
      <w:r>
        <w:rPr>
          <w:rFonts w:hint="eastAsia" w:eastAsia="楷体"/>
          <w:color w:val="auto"/>
          <w:sz w:val="28"/>
          <w:szCs w:val="28"/>
          <w:highlight w:val="none"/>
        </w:rPr>
        <w:t>杆应改建为防浪墙，确保防浪墙顶高程满足设计要求，满足防标准。确保大坝边坡抗滑稳定安全。</w:t>
      </w:r>
    </w:p>
    <w:p w14:paraId="0C321ED0">
      <w:pPr>
        <w:spacing w:line="520" w:lineRule="exact"/>
        <w:ind w:firstLine="560" w:firstLineChars="200"/>
        <w:rPr>
          <w:rFonts w:hint="eastAsia" w:eastAsia="楷体"/>
          <w:color w:val="auto"/>
          <w:sz w:val="28"/>
          <w:szCs w:val="28"/>
          <w:highlight w:val="none"/>
          <w:lang w:val="en-US" w:eastAsia="zh-CN"/>
        </w:rPr>
      </w:pPr>
      <w:r>
        <w:rPr>
          <w:rFonts w:hint="eastAsia" w:ascii="仿宋_GB2312" w:hAnsi="仿宋_GB2312" w:eastAsia="仿宋_GB2312" w:cs="仿宋_GB2312"/>
          <w:color w:val="auto"/>
          <w:sz w:val="28"/>
          <w:szCs w:val="28"/>
          <w:highlight w:val="none"/>
        </w:rPr>
        <w:t>②</w:t>
      </w:r>
      <w:r>
        <w:rPr>
          <w:rFonts w:hint="eastAsia" w:eastAsia="楷体"/>
          <w:color w:val="auto"/>
          <w:sz w:val="28"/>
          <w:szCs w:val="28"/>
          <w:highlight w:val="none"/>
        </w:rPr>
        <w:t>对坝体高、低涵洞存在的滲漏通道部位进行设计并进行灌</w:t>
      </w:r>
      <w:r>
        <w:rPr>
          <w:rFonts w:hint="eastAsia" w:eastAsia="楷体"/>
          <w:color w:val="auto"/>
          <w:sz w:val="28"/>
          <w:szCs w:val="28"/>
          <w:highlight w:val="none"/>
          <w:lang w:eastAsia="zh-CN"/>
        </w:rPr>
        <w:t>浆</w:t>
      </w:r>
      <w:r>
        <w:rPr>
          <w:rFonts w:hint="eastAsia" w:eastAsia="楷体"/>
          <w:color w:val="auto"/>
          <w:sz w:val="28"/>
          <w:szCs w:val="28"/>
          <w:highlight w:val="none"/>
        </w:rPr>
        <w:t>加固处理。对坝体2018年9月1日暴雨后出现的塌陷面积6平方左右进行处理</w:t>
      </w:r>
      <w:r>
        <w:rPr>
          <w:rFonts w:hint="eastAsia" w:eastAsia="楷体"/>
          <w:color w:val="auto"/>
          <w:sz w:val="28"/>
          <w:szCs w:val="28"/>
          <w:highlight w:val="none"/>
          <w:lang w:eastAsia="zh-CN"/>
        </w:rPr>
        <w:t>。</w:t>
      </w:r>
    </w:p>
    <w:p w14:paraId="54E694CF">
      <w:pPr>
        <w:spacing w:line="520" w:lineRule="exact"/>
        <w:ind w:firstLine="560" w:firstLineChars="200"/>
        <w:rPr>
          <w:rFonts w:hint="eastAsia" w:eastAsia="楷体"/>
          <w:color w:val="auto"/>
          <w:sz w:val="28"/>
          <w:szCs w:val="28"/>
          <w:highlight w:val="none"/>
          <w:lang w:val="en-US" w:eastAsia="zh-CN"/>
        </w:rPr>
      </w:pPr>
      <w:r>
        <w:rPr>
          <w:rFonts w:hint="eastAsia" w:ascii="仿宋_GB2312" w:hAnsi="仿宋_GB2312" w:eastAsia="仿宋_GB2312" w:cs="仿宋_GB2312"/>
          <w:color w:val="auto"/>
          <w:sz w:val="28"/>
          <w:szCs w:val="28"/>
          <w:highlight w:val="none"/>
        </w:rPr>
        <w:t>③</w:t>
      </w:r>
      <w:r>
        <w:rPr>
          <w:rFonts w:hint="eastAsia" w:eastAsia="楷体"/>
          <w:color w:val="auto"/>
          <w:sz w:val="28"/>
          <w:szCs w:val="28"/>
          <w:highlight w:val="none"/>
        </w:rPr>
        <w:t>更换输水涵洞转动门盖</w:t>
      </w:r>
      <w:r>
        <w:rPr>
          <w:rFonts w:hint="eastAsia" w:eastAsia="楷体"/>
          <w:color w:val="auto"/>
          <w:sz w:val="28"/>
          <w:szCs w:val="28"/>
          <w:highlight w:val="none"/>
          <w:lang w:eastAsia="zh-CN"/>
        </w:rPr>
        <w:t>。</w:t>
      </w:r>
    </w:p>
    <w:p w14:paraId="5537A515">
      <w:pPr>
        <w:spacing w:line="520" w:lineRule="exact"/>
        <w:ind w:firstLine="560" w:firstLineChars="200"/>
        <w:rPr>
          <w:rFonts w:hint="eastAsia" w:eastAsia="楷体"/>
          <w:color w:val="auto"/>
          <w:sz w:val="28"/>
          <w:szCs w:val="28"/>
          <w:highlight w:val="none"/>
          <w:lang w:val="en-US" w:eastAsia="zh-CN"/>
        </w:rPr>
      </w:pPr>
      <w:r>
        <w:rPr>
          <w:rFonts w:hint="eastAsia" w:ascii="仿宋_GB2312" w:hAnsi="仿宋_GB2312" w:eastAsia="仿宋_GB2312" w:cs="仿宋_GB2312"/>
          <w:color w:val="auto"/>
          <w:sz w:val="28"/>
          <w:szCs w:val="28"/>
          <w:highlight w:val="none"/>
        </w:rPr>
        <w:t>④</w:t>
      </w:r>
      <w:r>
        <w:rPr>
          <w:rFonts w:hint="eastAsia" w:eastAsia="楷体"/>
          <w:color w:val="auto"/>
          <w:sz w:val="28"/>
          <w:szCs w:val="28"/>
          <w:highlight w:val="none"/>
        </w:rPr>
        <w:t>对水库库区进行清淤</w:t>
      </w:r>
      <w:r>
        <w:rPr>
          <w:rFonts w:hint="eastAsia" w:eastAsia="楷体"/>
          <w:color w:val="auto"/>
          <w:sz w:val="28"/>
          <w:szCs w:val="28"/>
          <w:highlight w:val="none"/>
          <w:lang w:eastAsia="zh-CN"/>
        </w:rPr>
        <w:t>。</w:t>
      </w:r>
    </w:p>
    <w:p w14:paraId="38A15839">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⑤</w:t>
      </w:r>
      <w:r>
        <w:rPr>
          <w:rFonts w:hint="eastAsia" w:eastAsia="楷体"/>
          <w:color w:val="auto"/>
          <w:sz w:val="28"/>
          <w:szCs w:val="28"/>
          <w:highlight w:val="none"/>
        </w:rPr>
        <w:t>新建溢洪道消能防冲设施。</w:t>
      </w:r>
    </w:p>
    <w:p w14:paraId="23D74724">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⑥</w:t>
      </w:r>
      <w:r>
        <w:rPr>
          <w:rFonts w:hint="eastAsia" w:eastAsia="楷体"/>
          <w:color w:val="auto"/>
          <w:sz w:val="28"/>
          <w:szCs w:val="28"/>
          <w:highlight w:val="none"/>
        </w:rPr>
        <w:t>建议补充、完善水库的运行管理规章制度、增设位移观测、渗流观测、渗漏量监测等大坝安全监测设施。</w:t>
      </w:r>
    </w:p>
    <w:p w14:paraId="34380D21">
      <w:pPr>
        <w:spacing w:line="520" w:lineRule="exact"/>
        <w:ind w:firstLine="560" w:firstLineChars="200"/>
        <w:rPr>
          <w:rFonts w:hint="eastAsia" w:eastAsia="楷体"/>
          <w:color w:val="auto"/>
          <w:sz w:val="28"/>
          <w:szCs w:val="28"/>
          <w:highlight w:val="none"/>
        </w:rPr>
      </w:pPr>
      <w:r>
        <w:rPr>
          <w:rFonts w:hint="eastAsia" w:ascii="仿宋_GB2312" w:hAnsi="仿宋_GB2312" w:eastAsia="仿宋_GB2312" w:cs="仿宋_GB2312"/>
          <w:color w:val="auto"/>
          <w:sz w:val="28"/>
          <w:szCs w:val="28"/>
          <w:highlight w:val="none"/>
        </w:rPr>
        <w:t>⑦</w:t>
      </w:r>
      <w:r>
        <w:rPr>
          <w:rFonts w:hint="eastAsia" w:eastAsia="楷体"/>
          <w:color w:val="auto"/>
          <w:sz w:val="28"/>
          <w:szCs w:val="28"/>
          <w:highlight w:val="none"/>
        </w:rPr>
        <w:t>对背水坡输水涵洞低涵2018年9月1日暴雨后出现的险情进行开挖处理，确保其泄水顺畅。</w:t>
      </w:r>
    </w:p>
    <w:p w14:paraId="65280B2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⑧清除坝项、坝坡及溢洪道杂草，并应定期做好日常维护工作。建议对坝顶进行硬化处理，增设排水通道。</w:t>
      </w:r>
    </w:p>
    <w:p w14:paraId="74DCA79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3B68114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前烧水库大坝经各专项分析评价，结论如下：</w:t>
      </w:r>
    </w:p>
    <w:p w14:paraId="1506DD55">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1、工程质量评价为基本合格。</w:t>
      </w:r>
    </w:p>
    <w:p w14:paraId="1ACDE72F">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2、大坝运行管理方面评价为较规范</w:t>
      </w:r>
    </w:p>
    <w:p w14:paraId="6875E763">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3、防洪安全评价为C级。</w:t>
      </w:r>
    </w:p>
    <w:p w14:paraId="2FC03643">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4、结构安全评价为B级。</w:t>
      </w:r>
    </w:p>
    <w:p w14:paraId="0AC6040E">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5、渗流安全评价为C级。</w:t>
      </w:r>
    </w:p>
    <w:p w14:paraId="23CE7118">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6、抗震安全复核评价为B级。</w:t>
      </w:r>
    </w:p>
    <w:p w14:paraId="48086D3F">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7、金属结构评价为B级。</w:t>
      </w:r>
    </w:p>
    <w:p w14:paraId="698283E5">
      <w:pPr>
        <w:widowControl/>
        <w:spacing w:line="520" w:lineRule="exact"/>
        <w:ind w:firstLine="560" w:firstLineChars="200"/>
        <w:contextualSpacing/>
        <w:rPr>
          <w:rFonts w:hint="eastAsia" w:eastAsia="楷体"/>
          <w:color w:val="auto"/>
          <w:sz w:val="28"/>
          <w:szCs w:val="28"/>
          <w:highlight w:val="none"/>
        </w:rPr>
      </w:pPr>
      <w:r>
        <w:rPr>
          <w:rFonts w:hint="eastAsia" w:eastAsia="楷体"/>
          <w:color w:val="auto"/>
          <w:sz w:val="28"/>
          <w:szCs w:val="28"/>
          <w:highlight w:val="none"/>
        </w:rPr>
        <w:t>综合大坝工程各专项安全性分析结果，评定前烧水库大坝为三类坝。</w:t>
      </w:r>
    </w:p>
    <w:p w14:paraId="32C5089C">
      <w:pPr>
        <w:widowControl/>
        <w:spacing w:line="520" w:lineRule="exact"/>
        <w:ind w:firstLine="560" w:firstLineChars="200"/>
        <w:contextualSpacing/>
        <w:rPr>
          <w:rFonts w:hint="default" w:eastAsia="楷体"/>
          <w:color w:val="auto"/>
          <w:kern w:val="0"/>
          <w:sz w:val="28"/>
          <w:szCs w:val="28"/>
          <w:highlight w:val="none"/>
          <w:lang w:val="en-US" w:eastAsia="zh-CN"/>
        </w:rPr>
      </w:pPr>
      <w:r>
        <w:rPr>
          <w:rFonts w:eastAsia="楷体"/>
          <w:color w:val="auto"/>
          <w:kern w:val="0"/>
          <w:sz w:val="28"/>
          <w:szCs w:val="28"/>
          <w:highlight w:val="none"/>
        </w:rPr>
        <w:t>2.2.2 水库除险加固情况</w:t>
      </w:r>
      <w:r>
        <w:rPr>
          <w:rFonts w:hint="eastAsia" w:eastAsia="楷体"/>
          <w:color w:val="auto"/>
          <w:kern w:val="0"/>
          <w:sz w:val="28"/>
          <w:szCs w:val="28"/>
          <w:highlight w:val="none"/>
          <w:lang w:eastAsia="zh-CN"/>
        </w:rPr>
        <w:t>。</w:t>
      </w:r>
    </w:p>
    <w:p w14:paraId="095330D7">
      <w:pPr>
        <w:spacing w:line="520" w:lineRule="exact"/>
        <w:ind w:firstLine="560" w:firstLineChars="200"/>
        <w:rPr>
          <w:rFonts w:hint="eastAsia" w:eastAsia="楷体"/>
          <w:color w:val="auto"/>
          <w:sz w:val="28"/>
          <w:szCs w:val="28"/>
          <w:highlight w:val="none"/>
        </w:rPr>
      </w:pPr>
      <w:r>
        <w:rPr>
          <w:rFonts w:hint="eastAsia" w:eastAsia="楷体"/>
          <w:color w:val="auto"/>
          <w:kern w:val="0"/>
          <w:sz w:val="28"/>
          <w:szCs w:val="28"/>
          <w:highlight w:val="none"/>
          <w:lang w:val="en-US" w:eastAsia="zh-CN"/>
        </w:rPr>
        <w:t>2021年1月，前黄镇人民政府</w:t>
      </w:r>
      <w:r>
        <w:rPr>
          <w:rFonts w:hint="eastAsia" w:eastAsia="楷体"/>
          <w:color w:val="auto"/>
          <w:sz w:val="28"/>
          <w:szCs w:val="28"/>
          <w:highlight w:val="none"/>
        </w:rPr>
        <w:t>委托设计单位进行水库</w:t>
      </w:r>
      <w:r>
        <w:rPr>
          <w:rFonts w:hint="eastAsia" w:eastAsia="楷体"/>
          <w:color w:val="auto"/>
          <w:sz w:val="28"/>
          <w:szCs w:val="28"/>
          <w:highlight w:val="none"/>
          <w:lang w:eastAsia="zh-CN"/>
        </w:rPr>
        <w:t>常态化</w:t>
      </w:r>
      <w:r>
        <w:rPr>
          <w:rFonts w:hint="eastAsia" w:eastAsia="楷体"/>
          <w:color w:val="auto"/>
          <w:sz w:val="28"/>
          <w:szCs w:val="28"/>
          <w:highlight w:val="none"/>
        </w:rPr>
        <w:t>加固工程设计</w:t>
      </w:r>
      <w:r>
        <w:rPr>
          <w:rFonts w:eastAsia="楷体"/>
          <w:color w:val="auto"/>
          <w:sz w:val="28"/>
          <w:szCs w:val="28"/>
          <w:highlight w:val="none"/>
        </w:rPr>
        <w:t>；</w:t>
      </w:r>
      <w:r>
        <w:rPr>
          <w:rFonts w:hint="eastAsia" w:eastAsia="楷体"/>
          <w:color w:val="auto"/>
          <w:sz w:val="28"/>
          <w:szCs w:val="28"/>
          <w:highlight w:val="none"/>
          <w:lang w:val="en-US" w:eastAsia="zh-CN"/>
        </w:rPr>
        <w:t>2021年6</w:t>
      </w:r>
      <w:r>
        <w:rPr>
          <w:rFonts w:hint="eastAsia" w:eastAsia="楷体"/>
          <w:color w:val="auto"/>
          <w:sz w:val="28"/>
          <w:szCs w:val="28"/>
          <w:highlight w:val="none"/>
        </w:rPr>
        <w:t>～</w:t>
      </w:r>
      <w:r>
        <w:rPr>
          <w:rFonts w:hint="eastAsia" w:eastAsia="楷体"/>
          <w:color w:val="auto"/>
          <w:sz w:val="28"/>
          <w:szCs w:val="28"/>
          <w:highlight w:val="none"/>
          <w:lang w:val="en-US" w:eastAsia="zh-CN"/>
        </w:rPr>
        <w:t>10月进行水库常态化加固施工，</w:t>
      </w:r>
      <w:r>
        <w:rPr>
          <w:rFonts w:hint="eastAsia" w:eastAsia="楷体"/>
          <w:color w:val="auto"/>
          <w:sz w:val="28"/>
          <w:szCs w:val="28"/>
          <w:highlight w:val="none"/>
        </w:rPr>
        <w:t>主要工程措施：</w:t>
      </w:r>
    </w:p>
    <w:p w14:paraId="77D2A9F8">
      <w:pPr>
        <w:spacing w:line="520" w:lineRule="exact"/>
        <w:ind w:firstLine="560" w:firstLineChars="200"/>
        <w:rPr>
          <w:rFonts w:eastAsia="楷体"/>
          <w:color w:val="auto"/>
          <w:sz w:val="28"/>
          <w:szCs w:val="28"/>
          <w:highlight w:val="none"/>
        </w:rPr>
      </w:pPr>
      <w:r>
        <w:rPr>
          <w:rFonts w:hint="eastAsia" w:eastAsia="楷体"/>
          <w:color w:val="auto"/>
          <w:kern w:val="0"/>
          <w:sz w:val="28"/>
          <w:szCs w:val="28"/>
          <w:highlight w:val="none"/>
          <w:lang w:eastAsia="zh-CN"/>
        </w:rPr>
        <w:t>修复防浪墙、新建溢洪道C25埋石砼消力池、低涵涵管修复、坝坡防渗加固、高低涵进出水口加固、背水坡草皮护坡、修复灌排渠、坝顶路面铺设彩色透水砖、设置陶瓷水尺、库区清淤、新建管理房，</w:t>
      </w:r>
      <w:r>
        <w:rPr>
          <w:rFonts w:hint="eastAsia" w:eastAsia="楷体"/>
          <w:color w:val="auto"/>
          <w:kern w:val="0"/>
          <w:sz w:val="28"/>
          <w:szCs w:val="28"/>
          <w:highlight w:val="none"/>
          <w:lang w:val="en-US" w:eastAsia="zh-CN"/>
        </w:rPr>
        <w:t>2022年10月已完工验收</w:t>
      </w:r>
      <w:r>
        <w:rPr>
          <w:rFonts w:hint="eastAsia" w:eastAsia="楷体"/>
          <w:color w:val="auto"/>
          <w:kern w:val="0"/>
          <w:sz w:val="28"/>
          <w:szCs w:val="28"/>
          <w:highlight w:val="none"/>
          <w:lang w:eastAsia="zh-CN"/>
        </w:rPr>
        <w:t>。</w:t>
      </w:r>
    </w:p>
    <w:p w14:paraId="7D5374BA">
      <w:pPr>
        <w:spacing w:line="520" w:lineRule="exact"/>
        <w:ind w:firstLine="560" w:firstLineChars="200"/>
        <w:rPr>
          <w:rFonts w:eastAsia="楷体"/>
          <w:color w:val="auto"/>
          <w:sz w:val="28"/>
          <w:szCs w:val="28"/>
          <w:highlight w:val="none"/>
        </w:rPr>
      </w:pPr>
      <w:r>
        <w:rPr>
          <w:rFonts w:eastAsia="楷体"/>
          <w:color w:val="auto"/>
          <w:sz w:val="28"/>
          <w:szCs w:val="28"/>
          <w:highlight w:val="none"/>
        </w:rPr>
        <w:t>2.2.3 水库安全运行状况评价</w:t>
      </w:r>
    </w:p>
    <w:p w14:paraId="10597502">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前烧水库大坝安全鉴定报告书</w:t>
      </w:r>
      <w:r>
        <w:rPr>
          <w:rFonts w:eastAsia="楷体"/>
          <w:color w:val="auto"/>
          <w:sz w:val="28"/>
          <w:szCs w:val="28"/>
          <w:highlight w:val="none"/>
        </w:rPr>
        <w:t>》（</w:t>
      </w:r>
      <w:r>
        <w:rPr>
          <w:rFonts w:hint="eastAsia" w:eastAsia="楷体"/>
          <w:color w:val="auto"/>
          <w:sz w:val="28"/>
          <w:szCs w:val="28"/>
          <w:highlight w:val="none"/>
        </w:rPr>
        <w:t>泉港区农水局，2013年3月25日</w:t>
      </w:r>
      <w:r>
        <w:rPr>
          <w:rFonts w:eastAsia="楷体"/>
          <w:color w:val="auto"/>
          <w:sz w:val="28"/>
          <w:szCs w:val="28"/>
          <w:highlight w:val="none"/>
        </w:rPr>
        <w:t>）中的设计内容可知，对于水库安全运行状况主要有以下建议：</w:t>
      </w:r>
    </w:p>
    <w:p w14:paraId="792665FE">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加强水库大坝安全检测巡查工作，遇到异常情况及时通报主管部门，并及时积极采取相应的加固措施，确保大坝运行安全。</w:t>
      </w:r>
    </w:p>
    <w:p w14:paraId="4195AF07">
      <w:pPr>
        <w:pStyle w:val="3"/>
        <w:rPr>
          <w:rFonts w:ascii="Times New Roman" w:hAnsi="Times New Roman" w:eastAsia="楷体"/>
          <w:color w:val="auto"/>
          <w:highlight w:val="none"/>
        </w:rPr>
      </w:pPr>
      <w:bookmarkStart w:id="13" w:name="_Toc28284"/>
      <w:r>
        <w:rPr>
          <w:rFonts w:ascii="Times New Roman" w:hAnsi="Times New Roman" w:eastAsia="楷体"/>
          <w:color w:val="auto"/>
          <w:kern w:val="0"/>
          <w:sz w:val="28"/>
          <w:szCs w:val="28"/>
          <w:highlight w:val="none"/>
        </w:rPr>
        <w:t>2.3</w:t>
      </w:r>
      <w:r>
        <w:rPr>
          <w:rFonts w:ascii="Times New Roman" w:hAnsi="Times New Roman" w:eastAsia="楷体"/>
          <w:color w:val="auto"/>
          <w:highlight w:val="none"/>
        </w:rPr>
        <w:t>水情工情测报系统及观测资料整理</w:t>
      </w:r>
      <w:bookmarkEnd w:id="13"/>
    </w:p>
    <w:p w14:paraId="0558E09C">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w:t>
      </w:r>
      <w:r>
        <w:rPr>
          <w:rFonts w:hint="eastAsia" w:eastAsia="楷体"/>
          <w:color w:val="auto"/>
          <w:sz w:val="28"/>
          <w:szCs w:val="28"/>
          <w:highlight w:val="none"/>
          <w:lang w:eastAsia="zh-CN"/>
        </w:rPr>
        <w:t>已设置自动监测雨量水位站</w:t>
      </w:r>
      <w:r>
        <w:rPr>
          <w:rFonts w:eastAsia="楷体"/>
          <w:color w:val="auto"/>
          <w:sz w:val="28"/>
          <w:szCs w:val="28"/>
          <w:highlight w:val="none"/>
        </w:rPr>
        <w:t>。</w:t>
      </w:r>
      <w:bookmarkStart w:id="14" w:name="_Toc29389"/>
    </w:p>
    <w:p w14:paraId="7F2970F6">
      <w:pPr>
        <w:pStyle w:val="2"/>
        <w:spacing w:beforeLines="100" w:afterLines="100" w:line="360" w:lineRule="auto"/>
        <w:jc w:val="center"/>
        <w:rPr>
          <w:rFonts w:eastAsia="楷体"/>
          <w:color w:val="auto"/>
          <w:kern w:val="0"/>
          <w:sz w:val="32"/>
          <w:szCs w:val="32"/>
          <w:highlight w:val="none"/>
        </w:rPr>
      </w:pPr>
    </w:p>
    <w:p w14:paraId="5ABCFC2D">
      <w:pPr>
        <w:pStyle w:val="2"/>
        <w:spacing w:beforeLines="100" w:afterLines="100" w:line="360" w:lineRule="auto"/>
        <w:jc w:val="center"/>
        <w:rPr>
          <w:rFonts w:eastAsia="楷体"/>
          <w:color w:val="auto"/>
          <w:kern w:val="0"/>
          <w:sz w:val="32"/>
          <w:szCs w:val="32"/>
          <w:highlight w:val="none"/>
        </w:rPr>
      </w:pPr>
    </w:p>
    <w:p w14:paraId="0F681E58">
      <w:pPr>
        <w:pStyle w:val="2"/>
        <w:spacing w:beforeLines="100" w:afterLines="100" w:line="360" w:lineRule="auto"/>
        <w:jc w:val="center"/>
        <w:rPr>
          <w:rFonts w:eastAsia="楷体"/>
          <w:color w:val="auto"/>
          <w:kern w:val="0"/>
          <w:sz w:val="32"/>
          <w:szCs w:val="32"/>
          <w:highlight w:val="none"/>
        </w:rPr>
      </w:pPr>
    </w:p>
    <w:p w14:paraId="225CAA05">
      <w:pPr>
        <w:pStyle w:val="2"/>
        <w:spacing w:beforeLines="100" w:afterLines="100" w:line="360" w:lineRule="auto"/>
        <w:jc w:val="both"/>
        <w:rPr>
          <w:rFonts w:eastAsia="楷体"/>
          <w:color w:val="auto"/>
          <w:kern w:val="0"/>
          <w:sz w:val="32"/>
          <w:szCs w:val="32"/>
          <w:highlight w:val="none"/>
        </w:rPr>
      </w:pPr>
    </w:p>
    <w:p w14:paraId="324DCDE8">
      <w:pPr>
        <w:rPr>
          <w:rFonts w:eastAsia="楷体"/>
          <w:color w:val="auto"/>
          <w:kern w:val="0"/>
          <w:sz w:val="32"/>
          <w:szCs w:val="32"/>
          <w:highlight w:val="none"/>
        </w:rPr>
      </w:pPr>
    </w:p>
    <w:p w14:paraId="2A30786D">
      <w:pPr>
        <w:pStyle w:val="9"/>
        <w:rPr>
          <w:color w:val="auto"/>
          <w:highlight w:val="none"/>
        </w:rPr>
      </w:pPr>
    </w:p>
    <w:p w14:paraId="0DDE685D">
      <w:pPr>
        <w:pStyle w:val="9"/>
        <w:rPr>
          <w:color w:val="auto"/>
          <w:highlight w:val="none"/>
        </w:rPr>
      </w:pPr>
    </w:p>
    <w:p w14:paraId="347BA64C">
      <w:pPr>
        <w:pStyle w:val="9"/>
        <w:rPr>
          <w:color w:val="auto"/>
          <w:highlight w:val="none"/>
        </w:rPr>
      </w:pPr>
    </w:p>
    <w:p w14:paraId="2A4A4AA4">
      <w:pPr>
        <w:pStyle w:val="9"/>
        <w:rPr>
          <w:color w:val="auto"/>
          <w:highlight w:val="none"/>
        </w:rPr>
      </w:pPr>
    </w:p>
    <w:p w14:paraId="05FC8A56">
      <w:pPr>
        <w:pStyle w:val="9"/>
        <w:rPr>
          <w:color w:val="auto"/>
          <w:highlight w:val="none"/>
        </w:rPr>
      </w:pPr>
    </w:p>
    <w:p w14:paraId="6CE2BE51">
      <w:pPr>
        <w:pStyle w:val="9"/>
        <w:rPr>
          <w:color w:val="auto"/>
          <w:highlight w:val="none"/>
        </w:rPr>
      </w:pPr>
    </w:p>
    <w:p w14:paraId="486C935A">
      <w:pPr>
        <w:pStyle w:val="9"/>
        <w:rPr>
          <w:color w:val="auto"/>
          <w:highlight w:val="none"/>
        </w:rPr>
      </w:pPr>
    </w:p>
    <w:p w14:paraId="46F7F018">
      <w:pPr>
        <w:pStyle w:val="9"/>
        <w:rPr>
          <w:color w:val="auto"/>
          <w:highlight w:val="none"/>
        </w:rPr>
      </w:pPr>
    </w:p>
    <w:p w14:paraId="77E25058">
      <w:pPr>
        <w:pStyle w:val="9"/>
        <w:rPr>
          <w:color w:val="auto"/>
          <w:highlight w:val="none"/>
        </w:rPr>
      </w:pPr>
    </w:p>
    <w:p w14:paraId="484D421C">
      <w:pPr>
        <w:pStyle w:val="9"/>
        <w:rPr>
          <w:color w:val="auto"/>
          <w:highlight w:val="none"/>
        </w:rPr>
      </w:pPr>
    </w:p>
    <w:p w14:paraId="41A27899">
      <w:pPr>
        <w:pStyle w:val="9"/>
        <w:rPr>
          <w:color w:val="auto"/>
          <w:highlight w:val="none"/>
        </w:rPr>
      </w:pPr>
    </w:p>
    <w:p w14:paraId="65B8D30C">
      <w:pPr>
        <w:pStyle w:val="2"/>
        <w:spacing w:beforeLines="100" w:afterLines="100" w:line="360" w:lineRule="auto"/>
        <w:jc w:val="center"/>
        <w:rPr>
          <w:rFonts w:eastAsia="楷体"/>
          <w:color w:val="auto"/>
          <w:sz w:val="28"/>
          <w:szCs w:val="28"/>
          <w:highlight w:val="none"/>
        </w:rPr>
      </w:pPr>
      <w:r>
        <w:rPr>
          <w:rFonts w:eastAsia="楷体"/>
          <w:color w:val="auto"/>
          <w:kern w:val="0"/>
          <w:sz w:val="32"/>
          <w:szCs w:val="32"/>
          <w:highlight w:val="none"/>
        </w:rPr>
        <w:t>3  水库大坝防洪情况</w:t>
      </w:r>
    </w:p>
    <w:p w14:paraId="0EA835E6">
      <w:pPr>
        <w:pStyle w:val="3"/>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3.1 水库防洪标准</w:t>
      </w:r>
    </w:p>
    <w:p w14:paraId="0B998DD2">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根据水利部发布的《水利水电工程等级划分及洪水标准》(SL252-20</w:t>
      </w:r>
      <w:r>
        <w:rPr>
          <w:rFonts w:hint="eastAsia" w:eastAsia="楷体"/>
          <w:color w:val="auto"/>
          <w:sz w:val="28"/>
          <w:szCs w:val="28"/>
          <w:highlight w:val="none"/>
        </w:rPr>
        <w:t>17</w:t>
      </w:r>
      <w:r>
        <w:rPr>
          <w:rFonts w:eastAsia="楷体"/>
          <w:color w:val="auto"/>
          <w:sz w:val="28"/>
          <w:szCs w:val="28"/>
          <w:highlight w:val="none"/>
        </w:rPr>
        <w:t>)，前烧水库为小（</w:t>
      </w:r>
      <w:r>
        <w:rPr>
          <w:rFonts w:hint="eastAsia" w:eastAsia="楷体"/>
          <w:color w:val="auto"/>
          <w:sz w:val="28"/>
          <w:szCs w:val="28"/>
          <w:highlight w:val="none"/>
        </w:rPr>
        <w:t>2</w:t>
      </w:r>
      <w:r>
        <w:rPr>
          <w:rFonts w:eastAsia="楷体"/>
          <w:color w:val="auto"/>
          <w:sz w:val="28"/>
          <w:szCs w:val="28"/>
          <w:highlight w:val="none"/>
        </w:rPr>
        <w:t>）型水库，属</w:t>
      </w:r>
      <w:r>
        <w:rPr>
          <w:color w:val="auto"/>
          <w:sz w:val="28"/>
          <w:szCs w:val="28"/>
          <w:highlight w:val="none"/>
        </w:rPr>
        <w:t>Ⅴ</w:t>
      </w:r>
      <w:r>
        <w:rPr>
          <w:rFonts w:eastAsia="楷体"/>
          <w:color w:val="auto"/>
          <w:sz w:val="28"/>
          <w:szCs w:val="28"/>
          <w:highlight w:val="none"/>
        </w:rPr>
        <w:t>等工程，主要建筑物为</w:t>
      </w:r>
      <w:r>
        <w:rPr>
          <w:rFonts w:hint="eastAsia" w:eastAsia="楷体"/>
          <w:color w:val="auto"/>
          <w:sz w:val="28"/>
          <w:szCs w:val="28"/>
          <w:highlight w:val="none"/>
        </w:rPr>
        <w:t>5</w:t>
      </w:r>
      <w:r>
        <w:rPr>
          <w:rFonts w:eastAsia="楷体"/>
          <w:color w:val="auto"/>
          <w:sz w:val="28"/>
          <w:szCs w:val="28"/>
          <w:highlight w:val="none"/>
        </w:rPr>
        <w:t>级，次要建筑物为</w:t>
      </w:r>
      <w:r>
        <w:rPr>
          <w:rFonts w:hint="eastAsia" w:eastAsia="楷体"/>
          <w:color w:val="auto"/>
          <w:sz w:val="28"/>
          <w:szCs w:val="28"/>
          <w:highlight w:val="none"/>
        </w:rPr>
        <w:t>5</w:t>
      </w:r>
      <w:r>
        <w:rPr>
          <w:rFonts w:eastAsia="楷体"/>
          <w:color w:val="auto"/>
          <w:sz w:val="28"/>
          <w:szCs w:val="28"/>
          <w:highlight w:val="none"/>
        </w:rPr>
        <w:t>级，临时建筑物为5级，设计洪水标准为</w:t>
      </w:r>
      <w:r>
        <w:rPr>
          <w:rFonts w:hint="eastAsia" w:eastAsia="楷体"/>
          <w:color w:val="auto"/>
          <w:sz w:val="28"/>
          <w:szCs w:val="28"/>
          <w:highlight w:val="none"/>
        </w:rPr>
        <w:t>2</w:t>
      </w:r>
      <w:r>
        <w:rPr>
          <w:rFonts w:eastAsia="楷体"/>
          <w:color w:val="auto"/>
          <w:sz w:val="28"/>
          <w:szCs w:val="28"/>
          <w:highlight w:val="none"/>
        </w:rPr>
        <w:t>0年一遇，校核洪水标准为</w:t>
      </w:r>
      <w:r>
        <w:rPr>
          <w:rFonts w:hint="eastAsia" w:eastAsia="楷体"/>
          <w:color w:val="auto"/>
          <w:sz w:val="28"/>
          <w:szCs w:val="28"/>
          <w:highlight w:val="none"/>
        </w:rPr>
        <w:t>2</w:t>
      </w:r>
      <w:r>
        <w:rPr>
          <w:rFonts w:eastAsia="楷体"/>
          <w:color w:val="auto"/>
          <w:sz w:val="28"/>
          <w:szCs w:val="28"/>
          <w:highlight w:val="none"/>
        </w:rPr>
        <w:t>00年一遇。</w:t>
      </w:r>
    </w:p>
    <w:p w14:paraId="60062B50">
      <w:pPr>
        <w:pStyle w:val="3"/>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3.2 水库特征曲线</w:t>
      </w:r>
    </w:p>
    <w:p w14:paraId="2012A30D">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前烧</w:t>
      </w:r>
      <w:r>
        <w:rPr>
          <w:rFonts w:eastAsia="楷体"/>
          <w:color w:val="auto"/>
          <w:sz w:val="28"/>
          <w:szCs w:val="28"/>
          <w:highlight w:val="none"/>
        </w:rPr>
        <w:t>水库库容曲线</w:t>
      </w:r>
    </w:p>
    <w:p w14:paraId="17C350AB">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w:t>
      </w:r>
      <w:r>
        <w:rPr>
          <w:rFonts w:hint="eastAsia" w:eastAsia="楷体"/>
          <w:color w:val="auto"/>
          <w:sz w:val="28"/>
          <w:szCs w:val="28"/>
          <w:highlight w:val="none"/>
        </w:rPr>
        <w:t>前烧</w:t>
      </w:r>
      <w:r>
        <w:rPr>
          <w:rFonts w:eastAsia="楷体"/>
          <w:color w:val="auto"/>
          <w:sz w:val="28"/>
          <w:szCs w:val="28"/>
          <w:highlight w:val="none"/>
        </w:rPr>
        <w:t>水库除险加固工程初步设计报告（报批稿）》（泉州市水利水电勘测设计院，201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5</w:t>
      </w:r>
      <w:r>
        <w:rPr>
          <w:rFonts w:eastAsia="楷体"/>
          <w:color w:val="auto"/>
          <w:sz w:val="28"/>
          <w:szCs w:val="28"/>
          <w:highlight w:val="none"/>
        </w:rPr>
        <w:t>月），</w:t>
      </w:r>
      <w:r>
        <w:rPr>
          <w:rFonts w:hint="eastAsia" w:eastAsia="楷体"/>
          <w:color w:val="auto"/>
          <w:sz w:val="28"/>
          <w:szCs w:val="28"/>
          <w:highlight w:val="none"/>
        </w:rPr>
        <w:t>前烧</w:t>
      </w:r>
      <w:r>
        <w:rPr>
          <w:rFonts w:eastAsia="楷体"/>
          <w:color w:val="auto"/>
          <w:sz w:val="28"/>
          <w:szCs w:val="28"/>
          <w:highlight w:val="none"/>
        </w:rPr>
        <w:t>水库坝址水位库容关系曲线见表3-1。</w:t>
      </w:r>
    </w:p>
    <w:p w14:paraId="7EF79153">
      <w:pPr>
        <w:pStyle w:val="9"/>
        <w:rPr>
          <w:rFonts w:eastAsia="楷体"/>
          <w:color w:val="auto"/>
          <w:sz w:val="28"/>
          <w:szCs w:val="28"/>
          <w:highlight w:val="none"/>
        </w:rPr>
      </w:pPr>
    </w:p>
    <w:p w14:paraId="4313E092">
      <w:pPr>
        <w:pStyle w:val="9"/>
        <w:rPr>
          <w:rFonts w:eastAsia="楷体"/>
          <w:color w:val="auto"/>
          <w:sz w:val="28"/>
          <w:szCs w:val="28"/>
          <w:highlight w:val="none"/>
        </w:rPr>
        <w:sectPr>
          <w:footerReference r:id="rId6" w:type="default"/>
          <w:pgSz w:w="11906" w:h="16838"/>
          <w:pgMar w:top="1440" w:right="1803" w:bottom="1440" w:left="1803" w:header="851" w:footer="992" w:gutter="0"/>
          <w:pgNumType w:fmt="numberInDash"/>
          <w:cols w:space="720" w:num="1"/>
          <w:docGrid w:type="lines" w:linePitch="319" w:charSpace="0"/>
        </w:sectPr>
      </w:pPr>
    </w:p>
    <w:bookmarkEnd w:id="14"/>
    <w:p w14:paraId="0EBF12B2">
      <w:pPr>
        <w:pStyle w:val="30"/>
        <w:jc w:val="both"/>
        <w:rPr>
          <w:rFonts w:eastAsia="楷体"/>
          <w:b/>
          <w:bCs/>
          <w:color w:val="auto"/>
          <w:sz w:val="28"/>
          <w:szCs w:val="28"/>
          <w:highlight w:val="none"/>
        </w:rPr>
      </w:pPr>
      <w:r>
        <w:rPr>
          <w:rFonts w:eastAsia="楷体"/>
          <w:b/>
          <w:bCs/>
          <w:color w:val="auto"/>
          <w:sz w:val="28"/>
          <w:szCs w:val="28"/>
          <w:highlight w:val="none"/>
        </w:rPr>
        <w:t>表3-1              坝址水位库容关系曲线表</w:t>
      </w:r>
    </w:p>
    <w:tbl>
      <w:tblPr>
        <w:tblStyle w:val="19"/>
        <w:tblW w:w="85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258"/>
      </w:tblGrid>
      <w:tr w14:paraId="6A3AB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2B64CAA3">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258" w:type="dxa"/>
            <w:tcBorders>
              <w:tl2br w:val="nil"/>
              <w:tr2bl w:val="nil"/>
            </w:tcBorders>
            <w:vAlign w:val="center"/>
          </w:tcPr>
          <w:p w14:paraId="28754DE7">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7C8BB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07405D2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33.72</w:t>
            </w:r>
          </w:p>
        </w:tc>
        <w:tc>
          <w:tcPr>
            <w:tcW w:w="4258" w:type="dxa"/>
            <w:tcBorders>
              <w:tl2br w:val="nil"/>
              <w:tr2bl w:val="nil"/>
            </w:tcBorders>
            <w:vAlign w:val="center"/>
          </w:tcPr>
          <w:p w14:paraId="1678FAB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6.00</w:t>
            </w:r>
          </w:p>
        </w:tc>
      </w:tr>
      <w:tr w14:paraId="38B31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87E734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34.00</w:t>
            </w:r>
          </w:p>
        </w:tc>
        <w:tc>
          <w:tcPr>
            <w:tcW w:w="4258" w:type="dxa"/>
            <w:tcBorders>
              <w:tl2br w:val="nil"/>
              <w:tr2bl w:val="nil"/>
            </w:tcBorders>
            <w:vAlign w:val="center"/>
          </w:tcPr>
          <w:p w14:paraId="2923539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6.86</w:t>
            </w:r>
          </w:p>
        </w:tc>
      </w:tr>
      <w:tr w14:paraId="5F312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F96C85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35.00</w:t>
            </w:r>
          </w:p>
        </w:tc>
        <w:tc>
          <w:tcPr>
            <w:tcW w:w="4258" w:type="dxa"/>
            <w:tcBorders>
              <w:tl2br w:val="nil"/>
              <w:tr2bl w:val="nil"/>
            </w:tcBorders>
            <w:vAlign w:val="center"/>
          </w:tcPr>
          <w:p w14:paraId="0979754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10.56</w:t>
            </w:r>
          </w:p>
        </w:tc>
      </w:tr>
      <w:tr w14:paraId="0C0D2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D43EF3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36.00</w:t>
            </w:r>
          </w:p>
        </w:tc>
        <w:tc>
          <w:tcPr>
            <w:tcW w:w="4258" w:type="dxa"/>
            <w:tcBorders>
              <w:tl2br w:val="nil"/>
              <w:tr2bl w:val="nil"/>
            </w:tcBorders>
            <w:vAlign w:val="center"/>
          </w:tcPr>
          <w:p w14:paraId="537A084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14.89</w:t>
            </w:r>
          </w:p>
        </w:tc>
      </w:tr>
      <w:tr w14:paraId="7749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6D50BF0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37.00</w:t>
            </w:r>
          </w:p>
        </w:tc>
        <w:tc>
          <w:tcPr>
            <w:tcW w:w="4258" w:type="dxa"/>
            <w:tcBorders>
              <w:tl2br w:val="nil"/>
              <w:tr2bl w:val="nil"/>
            </w:tcBorders>
            <w:vAlign w:val="center"/>
          </w:tcPr>
          <w:p w14:paraId="7FC5F12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19.92</w:t>
            </w:r>
          </w:p>
        </w:tc>
      </w:tr>
      <w:tr w14:paraId="53EC0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74D7C5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37.75</w:t>
            </w:r>
          </w:p>
        </w:tc>
        <w:tc>
          <w:tcPr>
            <w:tcW w:w="4258" w:type="dxa"/>
            <w:tcBorders>
              <w:tl2br w:val="nil"/>
              <w:tr2bl w:val="nil"/>
            </w:tcBorders>
            <w:vAlign w:val="center"/>
          </w:tcPr>
          <w:p w14:paraId="3FF745D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24.18</w:t>
            </w:r>
          </w:p>
        </w:tc>
      </w:tr>
      <w:tr w14:paraId="22F53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EC8414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38.00</w:t>
            </w:r>
          </w:p>
        </w:tc>
        <w:tc>
          <w:tcPr>
            <w:tcW w:w="4258" w:type="dxa"/>
            <w:tcBorders>
              <w:tl2br w:val="nil"/>
              <w:tr2bl w:val="nil"/>
            </w:tcBorders>
            <w:vAlign w:val="center"/>
          </w:tcPr>
          <w:p w14:paraId="14F6F1A6">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25.68</w:t>
            </w:r>
          </w:p>
        </w:tc>
      </w:tr>
      <w:tr w14:paraId="0F812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00275DC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39.00</w:t>
            </w:r>
          </w:p>
        </w:tc>
        <w:tc>
          <w:tcPr>
            <w:tcW w:w="4258" w:type="dxa"/>
            <w:tcBorders>
              <w:tl2br w:val="nil"/>
              <w:tr2bl w:val="nil"/>
            </w:tcBorders>
            <w:vAlign w:val="center"/>
          </w:tcPr>
          <w:p w14:paraId="6F272B5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32.05</w:t>
            </w:r>
          </w:p>
        </w:tc>
      </w:tr>
      <w:tr w14:paraId="22014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61C6DB1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39.80</w:t>
            </w:r>
          </w:p>
        </w:tc>
        <w:tc>
          <w:tcPr>
            <w:tcW w:w="4258" w:type="dxa"/>
            <w:tcBorders>
              <w:tl2br w:val="nil"/>
              <w:tr2bl w:val="nil"/>
            </w:tcBorders>
            <w:vAlign w:val="center"/>
          </w:tcPr>
          <w:p w14:paraId="4DFCEDE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37.65</w:t>
            </w:r>
          </w:p>
        </w:tc>
      </w:tr>
    </w:tbl>
    <w:p w14:paraId="6E9CD4AE">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（2）前烧水库泄流曲线</w:t>
      </w:r>
    </w:p>
    <w:p w14:paraId="02446E62">
      <w:pPr>
        <w:adjustRightInd w:val="0"/>
        <w:snapToGrid w:val="0"/>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前烧水库溢洪道位于大坝坝体左侧，溢洪道上方有一座人行桥，中墩</w:t>
      </w:r>
      <w:r>
        <w:rPr>
          <w:rFonts w:hint="eastAsia" w:hAnsi="楷体" w:eastAsia="楷体"/>
          <w:color w:val="auto"/>
          <w:sz w:val="28"/>
          <w:szCs w:val="28"/>
          <w:highlight w:val="none"/>
        </w:rPr>
        <w:t>宽</w:t>
      </w:r>
      <w:r>
        <w:rPr>
          <w:rFonts w:eastAsia="楷体"/>
          <w:color w:val="auto"/>
          <w:sz w:val="28"/>
          <w:szCs w:val="28"/>
          <w:highlight w:val="none"/>
        </w:rPr>
        <w:t>0.6m</w:t>
      </w:r>
      <w:r>
        <w:rPr>
          <w:rFonts w:hAnsi="楷体" w:eastAsia="楷体"/>
          <w:color w:val="auto"/>
          <w:sz w:val="28"/>
          <w:szCs w:val="28"/>
          <w:highlight w:val="none"/>
        </w:rPr>
        <w:t>，净宽为</w:t>
      </w:r>
      <w:r>
        <w:rPr>
          <w:rFonts w:eastAsia="楷体"/>
          <w:color w:val="auto"/>
          <w:sz w:val="28"/>
          <w:szCs w:val="28"/>
          <w:highlight w:val="none"/>
        </w:rPr>
        <w:t>2×2.85m</w:t>
      </w:r>
      <w:r>
        <w:rPr>
          <w:rFonts w:hAnsi="楷体" w:eastAsia="楷体"/>
          <w:color w:val="auto"/>
          <w:sz w:val="28"/>
          <w:szCs w:val="28"/>
          <w:highlight w:val="none"/>
        </w:rPr>
        <w:t>，桥底高程为</w:t>
      </w:r>
      <w:r>
        <w:rPr>
          <w:rFonts w:eastAsia="楷体"/>
          <w:color w:val="auto"/>
          <w:sz w:val="28"/>
          <w:szCs w:val="28"/>
          <w:highlight w:val="none"/>
        </w:rPr>
        <w:t>37.75m</w:t>
      </w:r>
      <w:r>
        <w:rPr>
          <w:rFonts w:hAnsi="楷体" w:eastAsia="楷体"/>
          <w:color w:val="auto"/>
          <w:sz w:val="28"/>
          <w:szCs w:val="28"/>
          <w:highlight w:val="none"/>
        </w:rPr>
        <w:t>，下游接陡坡段。根据《水力计算手册》（</w:t>
      </w:r>
      <w:r>
        <w:rPr>
          <w:rFonts w:eastAsia="楷体"/>
          <w:color w:val="auto"/>
          <w:sz w:val="28"/>
          <w:szCs w:val="28"/>
          <w:highlight w:val="none"/>
        </w:rPr>
        <w:t>2006</w:t>
      </w:r>
      <w:r>
        <w:rPr>
          <w:rFonts w:hAnsi="楷体" w:eastAsia="楷体"/>
          <w:color w:val="auto"/>
          <w:sz w:val="28"/>
          <w:szCs w:val="28"/>
          <w:highlight w:val="none"/>
        </w:rPr>
        <w:t>年第二版）第三篇关于堰型的分类，判定前烧水库溢洪道形式为无底坎宽顶堰。因此，本次调洪演算原则为：起调水位为</w:t>
      </w:r>
      <w:r>
        <w:rPr>
          <w:rFonts w:eastAsia="楷体"/>
          <w:color w:val="auto"/>
          <w:sz w:val="28"/>
          <w:szCs w:val="28"/>
          <w:highlight w:val="none"/>
        </w:rPr>
        <w:t>37.75m</w:t>
      </w:r>
      <w:r>
        <w:rPr>
          <w:rFonts w:hAnsi="楷体" w:eastAsia="楷体"/>
          <w:color w:val="auto"/>
          <w:sz w:val="28"/>
          <w:szCs w:val="28"/>
          <w:highlight w:val="none"/>
        </w:rPr>
        <w:t>，当水库水位超过溢洪道顶高程（</w:t>
      </w:r>
      <w:r>
        <w:rPr>
          <w:rFonts w:eastAsia="楷体"/>
          <w:color w:val="auto"/>
          <w:sz w:val="28"/>
          <w:szCs w:val="28"/>
          <w:highlight w:val="none"/>
        </w:rPr>
        <w:t>37.75m</w:t>
      </w:r>
      <w:r>
        <w:rPr>
          <w:rFonts w:hAnsi="楷体" w:eastAsia="楷体"/>
          <w:color w:val="auto"/>
          <w:sz w:val="28"/>
          <w:szCs w:val="28"/>
          <w:highlight w:val="none"/>
        </w:rPr>
        <w:t>）时，按自由溢流进行计算，计算式如下：</w:t>
      </w:r>
      <w:r>
        <w:rPr>
          <w:rFonts w:eastAsia="楷体"/>
          <w:color w:val="auto"/>
          <w:sz w:val="28"/>
          <w:szCs w:val="28"/>
          <w:highlight w:val="none"/>
        </w:rPr>
        <w:t xml:space="preserve"> </w:t>
      </w:r>
    </w:p>
    <w:p w14:paraId="40A17AEB">
      <w:pPr>
        <w:spacing w:line="520" w:lineRule="exact"/>
        <w:ind w:firstLine="2730" w:firstLineChars="1300"/>
        <w:rPr>
          <w:rFonts w:eastAsia="楷体"/>
          <w:color w:val="auto"/>
          <w:highlight w:val="none"/>
        </w:rPr>
      </w:pPr>
      <w:r>
        <w:rPr>
          <w:rFonts w:ascii="Times New Roman" w:hAnsi="Times New Roman" w:eastAsia="楷体" w:cs="Times New Roman"/>
          <w:color w:val="auto"/>
          <w:kern w:val="2"/>
          <w:position w:val="-12"/>
          <w:sz w:val="21"/>
          <w:szCs w:val="24"/>
          <w:highlight w:val="none"/>
          <w:lang w:val="en-US" w:eastAsia="zh-CN" w:bidi="ar-SA"/>
        </w:rPr>
        <w:object>
          <v:shape id="_x0000_i1025" o:spt="75" type="#_x0000_t75" style="height:19.5pt;width:94.5pt;"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o:OLEObject Type="Embed" ProgID="" ShapeID="_x0000_i1025" DrawAspect="Content" ObjectID="_1468075725" r:id="rId12">
            <o:LockedField>false</o:LockedField>
          </o:OLEObject>
        </w:object>
      </w:r>
      <w:r>
        <w:rPr>
          <w:rFonts w:eastAsia="楷体"/>
          <w:color w:val="auto"/>
          <w:highlight w:val="none"/>
        </w:rPr>
        <w:t xml:space="preserve">                                 </w:t>
      </w:r>
    </w:p>
    <w:p w14:paraId="78DB50EF">
      <w:pPr>
        <w:spacing w:line="520" w:lineRule="exact"/>
        <w:ind w:left="1680" w:hanging="1680" w:hangingChars="600"/>
        <w:rPr>
          <w:rFonts w:eastAsia="楷体"/>
          <w:color w:val="auto"/>
          <w:sz w:val="28"/>
          <w:szCs w:val="28"/>
          <w:highlight w:val="none"/>
        </w:rPr>
      </w:pPr>
      <w:r>
        <w:rPr>
          <w:rFonts w:hAnsi="楷体" w:eastAsia="楷体"/>
          <w:color w:val="auto"/>
          <w:sz w:val="28"/>
          <w:szCs w:val="28"/>
          <w:highlight w:val="none"/>
        </w:rPr>
        <w:t>式中：</w:t>
      </w:r>
      <w:r>
        <w:rPr>
          <w:rFonts w:ascii="Times New Roman" w:hAnsi="Times New Roman" w:eastAsia="楷体" w:cs="Times New Roman"/>
          <w:color w:val="auto"/>
          <w:kern w:val="2"/>
          <w:position w:val="-6"/>
          <w:sz w:val="21"/>
          <w:szCs w:val="24"/>
          <w:highlight w:val="none"/>
          <w:lang w:val="en-US" w:eastAsia="zh-CN" w:bidi="ar-SA"/>
        </w:rPr>
        <w:object>
          <v:shape id="_x0000_i1026" o:spt="75" type="#_x0000_t75" style="height:11.25pt;width:12.75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 ShapeID="_x0000_i1026" DrawAspect="Content" ObjectID="_1468075726" r:id="rId14">
            <o:LockedField>false</o:LockedField>
          </o:OLEObject>
        </w:object>
      </w:r>
      <w:r>
        <w:rPr>
          <w:rFonts w:eastAsia="楷体"/>
          <w:color w:val="auto"/>
          <w:sz w:val="28"/>
          <w:szCs w:val="28"/>
          <w:highlight w:val="none"/>
        </w:rPr>
        <w:t>——</w:t>
      </w:r>
      <w:r>
        <w:rPr>
          <w:rFonts w:hAnsi="楷体" w:eastAsia="楷体"/>
          <w:color w:val="auto"/>
          <w:sz w:val="28"/>
          <w:szCs w:val="28"/>
          <w:highlight w:val="none"/>
        </w:rPr>
        <w:t>流量系数，根据宽顶堰溢流系数查算图表取得，取值范围为</w:t>
      </w:r>
      <w:r>
        <w:rPr>
          <w:rFonts w:eastAsia="楷体"/>
          <w:color w:val="auto"/>
          <w:sz w:val="28"/>
          <w:szCs w:val="28"/>
          <w:highlight w:val="none"/>
        </w:rPr>
        <w:t>0.34</w:t>
      </w:r>
      <w:r>
        <w:rPr>
          <w:rFonts w:hAnsi="楷体" w:eastAsia="楷体"/>
          <w:color w:val="auto"/>
          <w:sz w:val="28"/>
          <w:szCs w:val="28"/>
          <w:highlight w:val="none"/>
        </w:rPr>
        <w:t>～</w:t>
      </w:r>
      <w:r>
        <w:rPr>
          <w:rFonts w:eastAsia="楷体"/>
          <w:color w:val="auto"/>
          <w:sz w:val="28"/>
          <w:szCs w:val="28"/>
          <w:highlight w:val="none"/>
        </w:rPr>
        <w:t>0.36</w:t>
      </w:r>
      <w:r>
        <w:rPr>
          <w:rFonts w:hAnsi="楷体" w:eastAsia="楷体"/>
          <w:color w:val="auto"/>
          <w:sz w:val="28"/>
          <w:szCs w:val="28"/>
          <w:highlight w:val="none"/>
        </w:rPr>
        <w:t>；</w:t>
      </w:r>
      <w:r>
        <w:rPr>
          <w:rFonts w:eastAsia="楷体"/>
          <w:color w:val="auto"/>
          <w:sz w:val="28"/>
          <w:szCs w:val="28"/>
          <w:highlight w:val="none"/>
        </w:rPr>
        <w:t xml:space="preserve"> </w:t>
      </w:r>
    </w:p>
    <w:p w14:paraId="372B1930">
      <w:pPr>
        <w:spacing w:line="520" w:lineRule="exact"/>
        <w:rPr>
          <w:rFonts w:eastAsia="楷体"/>
          <w:color w:val="auto"/>
          <w:sz w:val="28"/>
          <w:szCs w:val="28"/>
          <w:highlight w:val="none"/>
        </w:rPr>
      </w:pPr>
      <w:r>
        <w:rPr>
          <w:rFonts w:eastAsia="楷体"/>
          <w:color w:val="auto"/>
          <w:sz w:val="28"/>
          <w:szCs w:val="28"/>
          <w:highlight w:val="none"/>
        </w:rPr>
        <w:tab/>
      </w:r>
      <w:r>
        <w:rPr>
          <w:rFonts w:eastAsia="楷体"/>
          <w:color w:val="auto"/>
          <w:sz w:val="28"/>
          <w:szCs w:val="28"/>
          <w:highlight w:val="none"/>
        </w:rPr>
        <w:tab/>
      </w:r>
      <w:r>
        <w:rPr>
          <w:rFonts w:ascii="Times New Roman" w:hAnsi="Times New Roman" w:eastAsia="楷体" w:cs="Times New Roman"/>
          <w:color w:val="auto"/>
          <w:kern w:val="2"/>
          <w:position w:val="-12"/>
          <w:sz w:val="21"/>
          <w:szCs w:val="24"/>
          <w:highlight w:val="none"/>
          <w:lang w:val="en-US" w:eastAsia="zh-CN" w:bidi="ar-SA"/>
        </w:rPr>
        <w:object>
          <v:shape id="_x0000_i1027" o:spt="75" type="#_x0000_t75" style="height:18.75pt;width:17.25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 ShapeID="_x0000_i1027" DrawAspect="Content" ObjectID="_1468075727" r:id="rId16">
            <o:LockedField>false</o:LockedField>
          </o:OLEObject>
        </w:object>
      </w:r>
      <w:r>
        <w:rPr>
          <w:rFonts w:eastAsia="楷体"/>
          <w:color w:val="auto"/>
          <w:sz w:val="28"/>
          <w:szCs w:val="28"/>
          <w:highlight w:val="none"/>
        </w:rPr>
        <w:t>——</w:t>
      </w:r>
      <w:r>
        <w:rPr>
          <w:rFonts w:hAnsi="楷体" w:eastAsia="楷体"/>
          <w:color w:val="auto"/>
          <w:sz w:val="28"/>
          <w:szCs w:val="28"/>
          <w:highlight w:val="none"/>
        </w:rPr>
        <w:t>堰顶水头，</w:t>
      </w:r>
      <w:r>
        <w:rPr>
          <w:rFonts w:eastAsia="楷体"/>
          <w:color w:val="auto"/>
          <w:sz w:val="28"/>
          <w:szCs w:val="28"/>
          <w:highlight w:val="none"/>
        </w:rPr>
        <w:t>m</w:t>
      </w:r>
      <w:r>
        <w:rPr>
          <w:rFonts w:hAnsi="楷体" w:eastAsia="楷体"/>
          <w:color w:val="auto"/>
          <w:sz w:val="28"/>
          <w:szCs w:val="28"/>
          <w:highlight w:val="none"/>
        </w:rPr>
        <w:t>；</w:t>
      </w:r>
    </w:p>
    <w:p w14:paraId="4BB8A763">
      <w:pPr>
        <w:spacing w:line="520" w:lineRule="exact"/>
        <w:ind w:left="1680" w:hanging="1680" w:hangingChars="600"/>
        <w:rPr>
          <w:rFonts w:eastAsia="楷体"/>
          <w:color w:val="auto"/>
          <w:kern w:val="0"/>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6"/>
          <w:sz w:val="21"/>
          <w:szCs w:val="24"/>
          <w:highlight w:val="none"/>
          <w:lang w:val="en-US" w:eastAsia="zh-CN" w:bidi="ar-SA"/>
        </w:rPr>
        <w:object>
          <v:shape id="_x0000_i1028" o:spt="75" type="#_x0000_t75" style="height:12.75pt;width:11.25pt;"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o:OLEObject Type="Embed" ProgID="" ShapeID="_x0000_i1028" DrawAspect="Content" ObjectID="_1468075728" r:id="rId18">
            <o:LockedField>false</o:LockedField>
          </o:OLEObject>
        </w:object>
      </w:r>
      <w:r>
        <w:rPr>
          <w:rFonts w:eastAsia="楷体"/>
          <w:color w:val="auto"/>
          <w:sz w:val="28"/>
          <w:szCs w:val="28"/>
          <w:highlight w:val="none"/>
        </w:rPr>
        <w:t>——</w:t>
      </w:r>
      <w:r>
        <w:rPr>
          <w:rFonts w:hAnsi="楷体" w:eastAsia="楷体"/>
          <w:color w:val="auto"/>
          <w:sz w:val="28"/>
          <w:szCs w:val="28"/>
          <w:highlight w:val="none"/>
        </w:rPr>
        <w:t>侧收缩系数，根据《溢洪道设计规范》</w:t>
      </w:r>
      <w:r>
        <w:rPr>
          <w:rFonts w:eastAsia="楷体"/>
          <w:color w:val="auto"/>
          <w:sz w:val="28"/>
          <w:szCs w:val="28"/>
          <w:highlight w:val="none"/>
        </w:rPr>
        <w:t>SL253-2000</w:t>
      </w:r>
      <w:r>
        <w:rPr>
          <w:rFonts w:hAnsi="楷体" w:eastAsia="楷体"/>
          <w:color w:val="auto"/>
          <w:sz w:val="28"/>
          <w:szCs w:val="28"/>
          <w:highlight w:val="none"/>
        </w:rPr>
        <w:t>中侧收缩系数的计算规程，取</w:t>
      </w:r>
      <w:r>
        <w:rPr>
          <w:rFonts w:eastAsia="楷体"/>
          <w:color w:val="auto"/>
          <w:sz w:val="28"/>
          <w:szCs w:val="28"/>
          <w:highlight w:val="none"/>
        </w:rPr>
        <w:t>0.95</w:t>
      </w:r>
      <w:r>
        <w:rPr>
          <w:rFonts w:hAnsi="楷体" w:eastAsia="楷体"/>
          <w:color w:val="auto"/>
          <w:sz w:val="28"/>
          <w:szCs w:val="28"/>
          <w:highlight w:val="none"/>
        </w:rPr>
        <w:t>；</w:t>
      </w:r>
    </w:p>
    <w:p w14:paraId="071EB709">
      <w:pPr>
        <w:spacing w:line="520" w:lineRule="exact"/>
        <w:ind w:firstLine="560" w:firstLineChars="200"/>
        <w:rPr>
          <w:rFonts w:eastAsia="楷体"/>
          <w:color w:val="auto"/>
          <w:sz w:val="28"/>
          <w:szCs w:val="28"/>
          <w:highlight w:val="none"/>
        </w:rPr>
      </w:pPr>
      <w:r>
        <w:rPr>
          <w:rFonts w:eastAsia="楷体"/>
          <w:color w:val="auto"/>
          <w:kern w:val="0"/>
          <w:sz w:val="28"/>
          <w:szCs w:val="28"/>
          <w:highlight w:val="none"/>
        </w:rPr>
        <w:tab/>
      </w:r>
      <w:r>
        <w:rPr>
          <w:rFonts w:ascii="Times New Roman" w:hAnsi="Times New Roman" w:eastAsia="楷体" w:cs="Times New Roman"/>
          <w:color w:val="auto"/>
          <w:kern w:val="2"/>
          <w:position w:val="-4"/>
          <w:sz w:val="21"/>
          <w:szCs w:val="24"/>
          <w:highlight w:val="none"/>
          <w:lang w:val="en-US" w:eastAsia="zh-CN" w:bidi="ar-SA"/>
        </w:rPr>
        <w:object>
          <v:shape id="_x0000_i1029" o:spt="75" type="#_x0000_t75" style="height:12.75pt;width:12.75pt;"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none"/>
            <w10:anchorlock/>
          </v:shape>
          <o:OLEObject Type="Embed" ProgID="" ShapeID="_x0000_i1029" DrawAspect="Content" ObjectID="_1468075729" r:id="rId20">
            <o:LockedField>false</o:LockedField>
          </o:OLEObject>
        </w:object>
      </w:r>
      <w:r>
        <w:rPr>
          <w:rFonts w:eastAsia="楷体"/>
          <w:color w:val="auto"/>
          <w:sz w:val="28"/>
          <w:szCs w:val="28"/>
          <w:highlight w:val="none"/>
        </w:rPr>
        <w:t>——</w:t>
      </w:r>
      <w:r>
        <w:rPr>
          <w:rFonts w:hAnsi="楷体" w:eastAsia="楷体"/>
          <w:color w:val="auto"/>
          <w:sz w:val="28"/>
          <w:szCs w:val="28"/>
          <w:highlight w:val="none"/>
        </w:rPr>
        <w:t>溢洪道净宽，</w:t>
      </w:r>
      <w:r>
        <w:rPr>
          <w:rFonts w:eastAsia="楷体"/>
          <w:color w:val="auto"/>
          <w:sz w:val="28"/>
          <w:szCs w:val="28"/>
          <w:highlight w:val="none"/>
        </w:rPr>
        <w:t>5.70m</w:t>
      </w:r>
      <w:r>
        <w:rPr>
          <w:rFonts w:hAnsi="楷体" w:eastAsia="楷体"/>
          <w:color w:val="auto"/>
          <w:sz w:val="28"/>
          <w:szCs w:val="28"/>
          <w:highlight w:val="none"/>
        </w:rPr>
        <w:t>；</w:t>
      </w:r>
    </w:p>
    <w:p w14:paraId="69420E21">
      <w:pPr>
        <w:spacing w:line="520" w:lineRule="exact"/>
        <w:ind w:firstLine="560" w:firstLineChars="200"/>
        <w:rPr>
          <w:rFonts w:eastAsia="楷体"/>
          <w:color w:val="auto"/>
          <w:sz w:val="28"/>
          <w:szCs w:val="28"/>
          <w:highlight w:val="none"/>
        </w:rPr>
      </w:pPr>
      <w:r>
        <w:rPr>
          <w:rFonts w:hAnsi="楷体" w:eastAsia="楷体"/>
          <w:color w:val="auto"/>
          <w:kern w:val="0"/>
          <w:sz w:val="28"/>
          <w:szCs w:val="28"/>
          <w:highlight w:val="none"/>
        </w:rPr>
        <w:t>根据以上所列的宽顶堰计算公式，最终求得</w:t>
      </w:r>
      <w:r>
        <w:rPr>
          <w:rFonts w:hAnsi="楷体" w:eastAsia="楷体"/>
          <w:color w:val="auto"/>
          <w:sz w:val="28"/>
          <w:szCs w:val="28"/>
          <w:highlight w:val="none"/>
        </w:rPr>
        <w:t>前烧水库水位～泄流关系曲线如下表</w:t>
      </w:r>
      <w:r>
        <w:rPr>
          <w:rFonts w:eastAsia="楷体"/>
          <w:color w:val="auto"/>
          <w:sz w:val="28"/>
          <w:szCs w:val="28"/>
          <w:highlight w:val="none"/>
        </w:rPr>
        <w:t>3-2</w:t>
      </w:r>
      <w:r>
        <w:rPr>
          <w:rFonts w:hAnsi="楷体" w:eastAsia="楷体"/>
          <w:color w:val="auto"/>
          <w:sz w:val="28"/>
          <w:szCs w:val="28"/>
          <w:highlight w:val="none"/>
        </w:rPr>
        <w:t>所示：</w:t>
      </w:r>
    </w:p>
    <w:p w14:paraId="54B2A2D5">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表3</w:t>
      </w:r>
      <w:r>
        <w:rPr>
          <w:rFonts w:hint="eastAsia" w:eastAsia="楷体"/>
          <w:b/>
          <w:bCs/>
          <w:color w:val="auto"/>
          <w:kern w:val="0"/>
          <w:sz w:val="28"/>
          <w:szCs w:val="28"/>
          <w:highlight w:val="none"/>
        </w:rPr>
        <w:t>-2</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前烧水库溢洪道下泄曲线表</w:t>
      </w:r>
    </w:p>
    <w:tbl>
      <w:tblPr>
        <w:tblStyle w:val="19"/>
        <w:tblW w:w="833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1768"/>
        <w:gridCol w:w="751"/>
        <w:gridCol w:w="831"/>
        <w:gridCol w:w="830"/>
        <w:gridCol w:w="830"/>
        <w:gridCol w:w="830"/>
        <w:gridCol w:w="830"/>
        <w:gridCol w:w="830"/>
        <w:gridCol w:w="830"/>
      </w:tblGrid>
      <w:tr w14:paraId="2F0600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768" w:type="dxa"/>
            <w:vAlign w:val="center"/>
          </w:tcPr>
          <w:p w14:paraId="662EF0F8">
            <w:pPr>
              <w:widowControl/>
              <w:jc w:val="center"/>
              <w:textAlignment w:val="center"/>
              <w:rPr>
                <w:rFonts w:eastAsia="楷体"/>
                <w:color w:val="auto"/>
                <w:sz w:val="24"/>
                <w:highlight w:val="none"/>
              </w:rPr>
            </w:pPr>
            <w:bookmarkStart w:id="15" w:name="_Toc30807"/>
            <w:r>
              <w:rPr>
                <w:rFonts w:eastAsia="楷体"/>
                <w:color w:val="auto"/>
                <w:kern w:val="0"/>
                <w:sz w:val="24"/>
                <w:highlight w:val="none"/>
              </w:rPr>
              <w:t>水库水位(m)</w:t>
            </w:r>
          </w:p>
        </w:tc>
        <w:tc>
          <w:tcPr>
            <w:tcW w:w="751" w:type="dxa"/>
            <w:vAlign w:val="center"/>
          </w:tcPr>
          <w:p w14:paraId="781C1EBE">
            <w:pPr>
              <w:widowControl/>
              <w:jc w:val="center"/>
              <w:textAlignment w:val="center"/>
              <w:rPr>
                <w:rFonts w:eastAsia="楷体"/>
                <w:color w:val="auto"/>
                <w:sz w:val="24"/>
                <w:highlight w:val="none"/>
              </w:rPr>
            </w:pPr>
            <w:r>
              <w:rPr>
                <w:rFonts w:hint="eastAsia" w:eastAsia="楷体"/>
                <w:color w:val="auto"/>
                <w:kern w:val="0"/>
                <w:sz w:val="24"/>
                <w:highlight w:val="none"/>
              </w:rPr>
              <w:t>37.75</w:t>
            </w:r>
          </w:p>
        </w:tc>
        <w:tc>
          <w:tcPr>
            <w:tcW w:w="831" w:type="dxa"/>
            <w:vAlign w:val="center"/>
          </w:tcPr>
          <w:p w14:paraId="13951C64">
            <w:pPr>
              <w:widowControl/>
              <w:jc w:val="center"/>
              <w:textAlignment w:val="center"/>
              <w:rPr>
                <w:rFonts w:eastAsia="楷体"/>
                <w:color w:val="auto"/>
                <w:sz w:val="24"/>
                <w:highlight w:val="none"/>
              </w:rPr>
            </w:pPr>
            <w:r>
              <w:rPr>
                <w:rFonts w:hint="eastAsia" w:eastAsia="楷体"/>
                <w:color w:val="auto"/>
                <w:kern w:val="0"/>
                <w:sz w:val="24"/>
                <w:highlight w:val="none"/>
              </w:rPr>
              <w:t>37.80</w:t>
            </w:r>
          </w:p>
        </w:tc>
        <w:tc>
          <w:tcPr>
            <w:tcW w:w="830" w:type="dxa"/>
            <w:vAlign w:val="center"/>
          </w:tcPr>
          <w:p w14:paraId="2121D454">
            <w:pPr>
              <w:widowControl/>
              <w:jc w:val="center"/>
              <w:textAlignment w:val="center"/>
              <w:rPr>
                <w:rFonts w:eastAsia="楷体"/>
                <w:color w:val="auto"/>
                <w:sz w:val="24"/>
                <w:highlight w:val="none"/>
              </w:rPr>
            </w:pPr>
            <w:r>
              <w:rPr>
                <w:rFonts w:hint="eastAsia" w:eastAsia="楷体"/>
                <w:color w:val="auto"/>
                <w:kern w:val="0"/>
                <w:sz w:val="24"/>
                <w:highlight w:val="none"/>
              </w:rPr>
              <w:t>37.90</w:t>
            </w:r>
          </w:p>
        </w:tc>
        <w:tc>
          <w:tcPr>
            <w:tcW w:w="830" w:type="dxa"/>
            <w:vAlign w:val="center"/>
          </w:tcPr>
          <w:p w14:paraId="322CD2E2">
            <w:pPr>
              <w:widowControl/>
              <w:jc w:val="center"/>
              <w:textAlignment w:val="center"/>
              <w:rPr>
                <w:rFonts w:eastAsia="楷体"/>
                <w:color w:val="auto"/>
                <w:sz w:val="24"/>
                <w:highlight w:val="none"/>
              </w:rPr>
            </w:pPr>
            <w:r>
              <w:rPr>
                <w:rFonts w:hint="eastAsia" w:eastAsia="楷体"/>
                <w:color w:val="auto"/>
                <w:kern w:val="0"/>
                <w:sz w:val="24"/>
                <w:highlight w:val="none"/>
              </w:rPr>
              <w:t>38.00</w:t>
            </w:r>
          </w:p>
        </w:tc>
        <w:tc>
          <w:tcPr>
            <w:tcW w:w="830" w:type="dxa"/>
            <w:vAlign w:val="center"/>
          </w:tcPr>
          <w:p w14:paraId="3603898F">
            <w:pPr>
              <w:widowControl/>
              <w:jc w:val="center"/>
              <w:textAlignment w:val="center"/>
              <w:rPr>
                <w:rFonts w:eastAsia="楷体"/>
                <w:color w:val="auto"/>
                <w:sz w:val="24"/>
                <w:highlight w:val="none"/>
              </w:rPr>
            </w:pPr>
            <w:r>
              <w:rPr>
                <w:rFonts w:hint="eastAsia" w:eastAsia="楷体"/>
                <w:color w:val="auto"/>
                <w:kern w:val="0"/>
                <w:sz w:val="24"/>
                <w:highlight w:val="none"/>
              </w:rPr>
              <w:t>38.10</w:t>
            </w:r>
          </w:p>
        </w:tc>
        <w:tc>
          <w:tcPr>
            <w:tcW w:w="830" w:type="dxa"/>
            <w:vAlign w:val="center"/>
          </w:tcPr>
          <w:p w14:paraId="37B8FBAB">
            <w:pPr>
              <w:widowControl/>
              <w:jc w:val="center"/>
              <w:textAlignment w:val="center"/>
              <w:rPr>
                <w:rFonts w:eastAsia="楷体"/>
                <w:color w:val="auto"/>
                <w:sz w:val="24"/>
                <w:highlight w:val="none"/>
              </w:rPr>
            </w:pPr>
            <w:r>
              <w:rPr>
                <w:rFonts w:hint="eastAsia" w:eastAsia="楷体"/>
                <w:color w:val="auto"/>
                <w:kern w:val="0"/>
                <w:sz w:val="24"/>
                <w:highlight w:val="none"/>
              </w:rPr>
              <w:t>38.20</w:t>
            </w:r>
          </w:p>
        </w:tc>
        <w:tc>
          <w:tcPr>
            <w:tcW w:w="830" w:type="dxa"/>
            <w:vAlign w:val="center"/>
          </w:tcPr>
          <w:p w14:paraId="00767354">
            <w:pPr>
              <w:widowControl/>
              <w:jc w:val="center"/>
              <w:textAlignment w:val="center"/>
              <w:rPr>
                <w:rFonts w:eastAsia="楷体"/>
                <w:color w:val="auto"/>
                <w:sz w:val="24"/>
                <w:highlight w:val="none"/>
              </w:rPr>
            </w:pPr>
            <w:r>
              <w:rPr>
                <w:rFonts w:hint="eastAsia" w:eastAsia="楷体"/>
                <w:color w:val="auto"/>
                <w:kern w:val="0"/>
                <w:sz w:val="24"/>
                <w:highlight w:val="none"/>
              </w:rPr>
              <w:t>38.30</w:t>
            </w:r>
          </w:p>
        </w:tc>
        <w:tc>
          <w:tcPr>
            <w:tcW w:w="830" w:type="dxa"/>
            <w:vAlign w:val="top"/>
          </w:tcPr>
          <w:p w14:paraId="35D299B8">
            <w:pPr>
              <w:widowControl/>
              <w:jc w:val="center"/>
              <w:textAlignment w:val="center"/>
              <w:rPr>
                <w:rFonts w:eastAsia="楷体"/>
                <w:color w:val="auto"/>
                <w:kern w:val="0"/>
                <w:sz w:val="24"/>
                <w:highlight w:val="none"/>
              </w:rPr>
            </w:pPr>
            <w:r>
              <w:rPr>
                <w:rFonts w:hint="eastAsia" w:eastAsia="楷体"/>
                <w:color w:val="auto"/>
                <w:kern w:val="0"/>
                <w:sz w:val="24"/>
                <w:highlight w:val="none"/>
              </w:rPr>
              <w:t>38.40</w:t>
            </w:r>
          </w:p>
        </w:tc>
      </w:tr>
      <w:tr w14:paraId="1858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768" w:type="dxa"/>
            <w:vAlign w:val="center"/>
          </w:tcPr>
          <w:p w14:paraId="4EADC514">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751" w:type="dxa"/>
            <w:vAlign w:val="center"/>
          </w:tcPr>
          <w:p w14:paraId="4EAAD53A">
            <w:pPr>
              <w:widowControl/>
              <w:jc w:val="center"/>
              <w:textAlignment w:val="center"/>
              <w:rPr>
                <w:rFonts w:eastAsia="楷体"/>
                <w:color w:val="auto"/>
                <w:sz w:val="24"/>
                <w:highlight w:val="none"/>
              </w:rPr>
            </w:pPr>
            <w:r>
              <w:rPr>
                <w:rFonts w:eastAsia="楷体"/>
                <w:color w:val="auto"/>
                <w:kern w:val="0"/>
                <w:sz w:val="24"/>
                <w:highlight w:val="none"/>
              </w:rPr>
              <w:t>0</w:t>
            </w:r>
          </w:p>
        </w:tc>
        <w:tc>
          <w:tcPr>
            <w:tcW w:w="831" w:type="dxa"/>
            <w:vAlign w:val="center"/>
          </w:tcPr>
          <w:p w14:paraId="23C9054C">
            <w:pPr>
              <w:widowControl/>
              <w:jc w:val="center"/>
              <w:textAlignment w:val="center"/>
              <w:rPr>
                <w:rFonts w:eastAsia="楷体"/>
                <w:color w:val="auto"/>
                <w:sz w:val="24"/>
                <w:highlight w:val="none"/>
              </w:rPr>
            </w:pPr>
            <w:r>
              <w:rPr>
                <w:rFonts w:hint="eastAsia" w:eastAsia="楷体"/>
                <w:color w:val="auto"/>
                <w:kern w:val="0"/>
                <w:sz w:val="24"/>
                <w:highlight w:val="none"/>
              </w:rPr>
              <w:t>0.09</w:t>
            </w:r>
          </w:p>
        </w:tc>
        <w:tc>
          <w:tcPr>
            <w:tcW w:w="830" w:type="dxa"/>
            <w:vAlign w:val="center"/>
          </w:tcPr>
          <w:p w14:paraId="15B250D2">
            <w:pPr>
              <w:widowControl/>
              <w:jc w:val="center"/>
              <w:textAlignment w:val="center"/>
              <w:rPr>
                <w:rFonts w:eastAsia="楷体"/>
                <w:color w:val="auto"/>
                <w:sz w:val="24"/>
                <w:highlight w:val="none"/>
              </w:rPr>
            </w:pPr>
            <w:r>
              <w:rPr>
                <w:rFonts w:hint="eastAsia" w:eastAsia="楷体"/>
                <w:color w:val="auto"/>
                <w:kern w:val="0"/>
                <w:sz w:val="24"/>
                <w:highlight w:val="none"/>
              </w:rPr>
              <w:t>0.49</w:t>
            </w:r>
          </w:p>
        </w:tc>
        <w:tc>
          <w:tcPr>
            <w:tcW w:w="830" w:type="dxa"/>
            <w:vAlign w:val="center"/>
          </w:tcPr>
          <w:p w14:paraId="04AAF783">
            <w:pPr>
              <w:widowControl/>
              <w:jc w:val="center"/>
              <w:textAlignment w:val="center"/>
              <w:rPr>
                <w:rFonts w:eastAsia="楷体"/>
                <w:color w:val="auto"/>
                <w:sz w:val="24"/>
                <w:highlight w:val="none"/>
              </w:rPr>
            </w:pPr>
            <w:r>
              <w:rPr>
                <w:rFonts w:hint="eastAsia" w:eastAsia="楷体"/>
                <w:color w:val="auto"/>
                <w:kern w:val="0"/>
                <w:sz w:val="24"/>
                <w:highlight w:val="none"/>
              </w:rPr>
              <w:t>1.05</w:t>
            </w:r>
          </w:p>
        </w:tc>
        <w:tc>
          <w:tcPr>
            <w:tcW w:w="830" w:type="dxa"/>
            <w:vAlign w:val="center"/>
          </w:tcPr>
          <w:p w14:paraId="7512DF7B">
            <w:pPr>
              <w:widowControl/>
              <w:jc w:val="center"/>
              <w:textAlignment w:val="center"/>
              <w:rPr>
                <w:rFonts w:eastAsia="楷体"/>
                <w:color w:val="auto"/>
                <w:sz w:val="24"/>
                <w:highlight w:val="none"/>
              </w:rPr>
            </w:pPr>
            <w:r>
              <w:rPr>
                <w:rFonts w:hint="eastAsia" w:eastAsia="楷体"/>
                <w:color w:val="auto"/>
                <w:kern w:val="0"/>
                <w:sz w:val="24"/>
                <w:highlight w:val="none"/>
              </w:rPr>
              <w:t>1.74</w:t>
            </w:r>
          </w:p>
        </w:tc>
        <w:tc>
          <w:tcPr>
            <w:tcW w:w="830" w:type="dxa"/>
            <w:vAlign w:val="center"/>
          </w:tcPr>
          <w:p w14:paraId="22FDB240">
            <w:pPr>
              <w:widowControl/>
              <w:jc w:val="center"/>
              <w:textAlignment w:val="center"/>
              <w:rPr>
                <w:rFonts w:eastAsia="楷体"/>
                <w:color w:val="auto"/>
                <w:sz w:val="24"/>
                <w:highlight w:val="none"/>
              </w:rPr>
            </w:pPr>
            <w:r>
              <w:rPr>
                <w:rFonts w:hint="eastAsia" w:eastAsia="楷体"/>
                <w:color w:val="auto"/>
                <w:kern w:val="0"/>
                <w:sz w:val="24"/>
                <w:highlight w:val="none"/>
              </w:rPr>
              <w:t>2.53</w:t>
            </w:r>
          </w:p>
        </w:tc>
        <w:tc>
          <w:tcPr>
            <w:tcW w:w="830" w:type="dxa"/>
            <w:vAlign w:val="center"/>
          </w:tcPr>
          <w:p w14:paraId="264CE57D">
            <w:pPr>
              <w:widowControl/>
              <w:jc w:val="center"/>
              <w:textAlignment w:val="center"/>
              <w:rPr>
                <w:rFonts w:eastAsia="楷体"/>
                <w:color w:val="auto"/>
                <w:sz w:val="24"/>
                <w:highlight w:val="none"/>
              </w:rPr>
            </w:pPr>
            <w:r>
              <w:rPr>
                <w:rFonts w:hint="eastAsia" w:eastAsia="楷体"/>
                <w:color w:val="auto"/>
                <w:kern w:val="0"/>
                <w:sz w:val="24"/>
                <w:highlight w:val="none"/>
              </w:rPr>
              <w:t>3.42</w:t>
            </w:r>
          </w:p>
        </w:tc>
        <w:tc>
          <w:tcPr>
            <w:tcW w:w="830" w:type="dxa"/>
            <w:vAlign w:val="top"/>
          </w:tcPr>
          <w:p w14:paraId="1A758091">
            <w:pPr>
              <w:widowControl/>
              <w:jc w:val="center"/>
              <w:textAlignment w:val="center"/>
              <w:rPr>
                <w:rFonts w:eastAsia="楷体"/>
                <w:color w:val="auto"/>
                <w:kern w:val="0"/>
                <w:sz w:val="24"/>
                <w:highlight w:val="none"/>
              </w:rPr>
            </w:pPr>
            <w:r>
              <w:rPr>
                <w:rFonts w:hint="eastAsia" w:eastAsia="楷体"/>
                <w:color w:val="auto"/>
                <w:kern w:val="0"/>
                <w:sz w:val="24"/>
                <w:highlight w:val="none"/>
              </w:rPr>
              <w:t>4.40</w:t>
            </w:r>
          </w:p>
        </w:tc>
      </w:tr>
      <w:tr w14:paraId="0636AA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768" w:type="dxa"/>
            <w:vAlign w:val="center"/>
          </w:tcPr>
          <w:p w14:paraId="424361C1">
            <w:pPr>
              <w:widowControl/>
              <w:jc w:val="center"/>
              <w:textAlignment w:val="center"/>
              <w:rPr>
                <w:rFonts w:eastAsia="楷体"/>
                <w:color w:val="auto"/>
                <w:sz w:val="24"/>
                <w:highlight w:val="none"/>
              </w:rPr>
            </w:pPr>
            <w:r>
              <w:rPr>
                <w:rFonts w:eastAsia="楷体"/>
                <w:color w:val="auto"/>
                <w:kern w:val="0"/>
                <w:sz w:val="24"/>
                <w:highlight w:val="none"/>
              </w:rPr>
              <w:t>水库水位(m)</w:t>
            </w:r>
          </w:p>
        </w:tc>
        <w:tc>
          <w:tcPr>
            <w:tcW w:w="751" w:type="dxa"/>
            <w:vAlign w:val="center"/>
          </w:tcPr>
          <w:p w14:paraId="58F96196">
            <w:pPr>
              <w:widowControl/>
              <w:jc w:val="center"/>
              <w:textAlignment w:val="center"/>
              <w:rPr>
                <w:rFonts w:eastAsia="楷体"/>
                <w:color w:val="auto"/>
                <w:sz w:val="24"/>
                <w:highlight w:val="none"/>
              </w:rPr>
            </w:pPr>
            <w:r>
              <w:rPr>
                <w:rFonts w:hint="eastAsia" w:eastAsia="楷体"/>
                <w:color w:val="auto"/>
                <w:kern w:val="0"/>
                <w:sz w:val="24"/>
                <w:highlight w:val="none"/>
              </w:rPr>
              <w:t>38.50</w:t>
            </w:r>
          </w:p>
        </w:tc>
        <w:tc>
          <w:tcPr>
            <w:tcW w:w="831" w:type="dxa"/>
            <w:vAlign w:val="center"/>
          </w:tcPr>
          <w:p w14:paraId="4EA8B0B7">
            <w:pPr>
              <w:widowControl/>
              <w:jc w:val="center"/>
              <w:textAlignment w:val="center"/>
              <w:rPr>
                <w:rFonts w:eastAsia="楷体"/>
                <w:color w:val="auto"/>
                <w:sz w:val="24"/>
                <w:highlight w:val="none"/>
              </w:rPr>
            </w:pPr>
            <w:r>
              <w:rPr>
                <w:rFonts w:hint="eastAsia" w:eastAsia="楷体"/>
                <w:color w:val="auto"/>
                <w:kern w:val="0"/>
                <w:sz w:val="24"/>
                <w:highlight w:val="none"/>
              </w:rPr>
              <w:t>38.60</w:t>
            </w:r>
          </w:p>
        </w:tc>
        <w:tc>
          <w:tcPr>
            <w:tcW w:w="830" w:type="dxa"/>
            <w:vAlign w:val="center"/>
          </w:tcPr>
          <w:p w14:paraId="39976B5E">
            <w:pPr>
              <w:widowControl/>
              <w:jc w:val="center"/>
              <w:textAlignment w:val="center"/>
              <w:rPr>
                <w:rFonts w:eastAsia="楷体"/>
                <w:color w:val="auto"/>
                <w:sz w:val="24"/>
                <w:highlight w:val="none"/>
              </w:rPr>
            </w:pPr>
            <w:r>
              <w:rPr>
                <w:rFonts w:hint="eastAsia" w:eastAsia="楷体"/>
                <w:color w:val="auto"/>
                <w:kern w:val="0"/>
                <w:sz w:val="24"/>
                <w:highlight w:val="none"/>
              </w:rPr>
              <w:t>38.70</w:t>
            </w:r>
          </w:p>
        </w:tc>
        <w:tc>
          <w:tcPr>
            <w:tcW w:w="830" w:type="dxa"/>
            <w:vAlign w:val="center"/>
          </w:tcPr>
          <w:p w14:paraId="5A950B98">
            <w:pPr>
              <w:widowControl/>
              <w:jc w:val="center"/>
              <w:textAlignment w:val="center"/>
              <w:rPr>
                <w:rFonts w:eastAsia="楷体"/>
                <w:color w:val="auto"/>
                <w:sz w:val="24"/>
                <w:highlight w:val="none"/>
              </w:rPr>
            </w:pPr>
            <w:r>
              <w:rPr>
                <w:rFonts w:hint="eastAsia" w:eastAsia="楷体"/>
                <w:color w:val="auto"/>
                <w:kern w:val="0"/>
                <w:sz w:val="24"/>
                <w:highlight w:val="none"/>
              </w:rPr>
              <w:t>38.80</w:t>
            </w:r>
          </w:p>
        </w:tc>
        <w:tc>
          <w:tcPr>
            <w:tcW w:w="830" w:type="dxa"/>
            <w:vAlign w:val="center"/>
          </w:tcPr>
          <w:p w14:paraId="0EA5816C">
            <w:pPr>
              <w:widowControl/>
              <w:jc w:val="center"/>
              <w:textAlignment w:val="center"/>
              <w:rPr>
                <w:rFonts w:eastAsia="楷体"/>
                <w:color w:val="auto"/>
                <w:sz w:val="24"/>
                <w:highlight w:val="none"/>
              </w:rPr>
            </w:pPr>
            <w:r>
              <w:rPr>
                <w:rFonts w:hint="eastAsia" w:eastAsia="楷体"/>
                <w:color w:val="auto"/>
                <w:kern w:val="0"/>
                <w:sz w:val="24"/>
                <w:highlight w:val="none"/>
              </w:rPr>
              <w:t>38.90</w:t>
            </w:r>
          </w:p>
        </w:tc>
        <w:tc>
          <w:tcPr>
            <w:tcW w:w="830" w:type="dxa"/>
            <w:vAlign w:val="center"/>
          </w:tcPr>
          <w:p w14:paraId="62A952C7">
            <w:pPr>
              <w:widowControl/>
              <w:jc w:val="center"/>
              <w:textAlignment w:val="center"/>
              <w:rPr>
                <w:rFonts w:eastAsia="楷体"/>
                <w:color w:val="auto"/>
                <w:sz w:val="24"/>
                <w:highlight w:val="none"/>
              </w:rPr>
            </w:pPr>
            <w:r>
              <w:rPr>
                <w:rFonts w:hint="eastAsia" w:eastAsia="楷体"/>
                <w:color w:val="auto"/>
                <w:kern w:val="0"/>
                <w:sz w:val="24"/>
                <w:highlight w:val="none"/>
              </w:rPr>
              <w:t>39.00</w:t>
            </w:r>
          </w:p>
        </w:tc>
        <w:tc>
          <w:tcPr>
            <w:tcW w:w="830" w:type="dxa"/>
            <w:vAlign w:val="center"/>
          </w:tcPr>
          <w:p w14:paraId="15A5F04B">
            <w:pPr>
              <w:widowControl/>
              <w:jc w:val="center"/>
              <w:textAlignment w:val="center"/>
              <w:rPr>
                <w:rFonts w:eastAsia="楷体"/>
                <w:color w:val="auto"/>
                <w:sz w:val="24"/>
                <w:highlight w:val="none"/>
              </w:rPr>
            </w:pPr>
            <w:r>
              <w:rPr>
                <w:rFonts w:hint="eastAsia" w:eastAsia="楷体"/>
                <w:color w:val="auto"/>
                <w:kern w:val="0"/>
                <w:sz w:val="24"/>
                <w:highlight w:val="none"/>
              </w:rPr>
              <w:t>39.20</w:t>
            </w:r>
          </w:p>
        </w:tc>
        <w:tc>
          <w:tcPr>
            <w:tcW w:w="830" w:type="dxa"/>
            <w:vAlign w:val="top"/>
          </w:tcPr>
          <w:p w14:paraId="2878E3E2">
            <w:pPr>
              <w:widowControl/>
              <w:jc w:val="center"/>
              <w:textAlignment w:val="center"/>
              <w:rPr>
                <w:rFonts w:eastAsia="楷体"/>
                <w:color w:val="auto"/>
                <w:kern w:val="0"/>
                <w:sz w:val="24"/>
                <w:highlight w:val="none"/>
              </w:rPr>
            </w:pPr>
          </w:p>
        </w:tc>
      </w:tr>
      <w:tr w14:paraId="522E90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768" w:type="dxa"/>
            <w:vAlign w:val="center"/>
          </w:tcPr>
          <w:p w14:paraId="5156C3D0">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751" w:type="dxa"/>
            <w:vAlign w:val="center"/>
          </w:tcPr>
          <w:p w14:paraId="4E5264FB">
            <w:pPr>
              <w:widowControl/>
              <w:jc w:val="center"/>
              <w:textAlignment w:val="center"/>
              <w:rPr>
                <w:rFonts w:eastAsia="楷体"/>
                <w:color w:val="auto"/>
                <w:sz w:val="24"/>
                <w:highlight w:val="none"/>
              </w:rPr>
            </w:pPr>
            <w:r>
              <w:rPr>
                <w:rFonts w:hint="eastAsia" w:eastAsia="楷体"/>
                <w:color w:val="auto"/>
                <w:kern w:val="0"/>
                <w:sz w:val="24"/>
                <w:highlight w:val="none"/>
              </w:rPr>
              <w:t>5.45</w:t>
            </w:r>
          </w:p>
        </w:tc>
        <w:tc>
          <w:tcPr>
            <w:tcW w:w="831" w:type="dxa"/>
            <w:vAlign w:val="center"/>
          </w:tcPr>
          <w:p w14:paraId="0253B937">
            <w:pPr>
              <w:widowControl/>
              <w:jc w:val="center"/>
              <w:textAlignment w:val="center"/>
              <w:rPr>
                <w:rFonts w:eastAsia="楷体"/>
                <w:color w:val="auto"/>
                <w:sz w:val="24"/>
                <w:highlight w:val="none"/>
              </w:rPr>
            </w:pPr>
            <w:r>
              <w:rPr>
                <w:rFonts w:hint="eastAsia" w:eastAsia="楷体"/>
                <w:color w:val="auto"/>
                <w:kern w:val="0"/>
                <w:sz w:val="24"/>
                <w:highlight w:val="none"/>
              </w:rPr>
              <w:t>6.58</w:t>
            </w:r>
          </w:p>
        </w:tc>
        <w:tc>
          <w:tcPr>
            <w:tcW w:w="830" w:type="dxa"/>
            <w:vAlign w:val="center"/>
          </w:tcPr>
          <w:p w14:paraId="753FA2B2">
            <w:pPr>
              <w:widowControl/>
              <w:jc w:val="center"/>
              <w:textAlignment w:val="center"/>
              <w:rPr>
                <w:rFonts w:eastAsia="楷体"/>
                <w:color w:val="auto"/>
                <w:sz w:val="24"/>
                <w:highlight w:val="none"/>
              </w:rPr>
            </w:pPr>
            <w:r>
              <w:rPr>
                <w:rFonts w:hint="eastAsia" w:eastAsia="楷体"/>
                <w:color w:val="auto"/>
                <w:kern w:val="0"/>
                <w:sz w:val="24"/>
                <w:highlight w:val="none"/>
              </w:rPr>
              <w:t>7.77</w:t>
            </w:r>
          </w:p>
        </w:tc>
        <w:tc>
          <w:tcPr>
            <w:tcW w:w="830" w:type="dxa"/>
            <w:vAlign w:val="center"/>
          </w:tcPr>
          <w:p w14:paraId="428B775A">
            <w:pPr>
              <w:widowControl/>
              <w:jc w:val="center"/>
              <w:textAlignment w:val="center"/>
              <w:rPr>
                <w:rFonts w:eastAsia="楷体"/>
                <w:color w:val="auto"/>
                <w:sz w:val="24"/>
                <w:highlight w:val="none"/>
              </w:rPr>
            </w:pPr>
            <w:r>
              <w:rPr>
                <w:rFonts w:hint="eastAsia" w:eastAsia="楷体"/>
                <w:color w:val="auto"/>
                <w:kern w:val="0"/>
                <w:sz w:val="24"/>
                <w:highlight w:val="none"/>
              </w:rPr>
              <w:t>9.03</w:t>
            </w:r>
          </w:p>
        </w:tc>
        <w:tc>
          <w:tcPr>
            <w:tcW w:w="830" w:type="dxa"/>
            <w:vAlign w:val="center"/>
          </w:tcPr>
          <w:p w14:paraId="17726EB4">
            <w:pPr>
              <w:widowControl/>
              <w:jc w:val="center"/>
              <w:textAlignment w:val="center"/>
              <w:rPr>
                <w:rFonts w:eastAsia="楷体"/>
                <w:color w:val="auto"/>
                <w:sz w:val="24"/>
                <w:highlight w:val="none"/>
              </w:rPr>
            </w:pPr>
            <w:r>
              <w:rPr>
                <w:rFonts w:hint="eastAsia" w:eastAsia="楷体"/>
                <w:color w:val="auto"/>
                <w:kern w:val="0"/>
                <w:sz w:val="24"/>
                <w:highlight w:val="none"/>
              </w:rPr>
              <w:t>10.35</w:t>
            </w:r>
          </w:p>
        </w:tc>
        <w:tc>
          <w:tcPr>
            <w:tcW w:w="830" w:type="dxa"/>
            <w:vAlign w:val="center"/>
          </w:tcPr>
          <w:p w14:paraId="3E54302E">
            <w:pPr>
              <w:widowControl/>
              <w:jc w:val="center"/>
              <w:textAlignment w:val="center"/>
              <w:rPr>
                <w:rFonts w:eastAsia="楷体"/>
                <w:color w:val="auto"/>
                <w:sz w:val="24"/>
                <w:highlight w:val="none"/>
              </w:rPr>
            </w:pPr>
            <w:r>
              <w:rPr>
                <w:rFonts w:hint="eastAsia" w:eastAsia="楷体"/>
                <w:color w:val="auto"/>
                <w:kern w:val="0"/>
                <w:sz w:val="24"/>
                <w:highlight w:val="none"/>
              </w:rPr>
              <w:t>11.73</w:t>
            </w:r>
          </w:p>
        </w:tc>
        <w:tc>
          <w:tcPr>
            <w:tcW w:w="830" w:type="dxa"/>
            <w:vAlign w:val="center"/>
          </w:tcPr>
          <w:p w14:paraId="1E223CEF">
            <w:pPr>
              <w:widowControl/>
              <w:jc w:val="center"/>
              <w:textAlignment w:val="center"/>
              <w:rPr>
                <w:rFonts w:eastAsia="楷体"/>
                <w:color w:val="auto"/>
                <w:sz w:val="24"/>
                <w:highlight w:val="none"/>
              </w:rPr>
            </w:pPr>
            <w:r>
              <w:rPr>
                <w:rFonts w:hint="eastAsia" w:eastAsia="楷体"/>
                <w:color w:val="auto"/>
                <w:kern w:val="0"/>
                <w:sz w:val="24"/>
                <w:highlight w:val="none"/>
              </w:rPr>
              <w:t>14.65</w:t>
            </w:r>
          </w:p>
        </w:tc>
        <w:tc>
          <w:tcPr>
            <w:tcW w:w="830" w:type="dxa"/>
            <w:vAlign w:val="top"/>
          </w:tcPr>
          <w:p w14:paraId="338C3833">
            <w:pPr>
              <w:widowControl/>
              <w:jc w:val="center"/>
              <w:textAlignment w:val="center"/>
              <w:rPr>
                <w:rFonts w:eastAsia="楷体"/>
                <w:color w:val="auto"/>
                <w:kern w:val="0"/>
                <w:sz w:val="24"/>
                <w:highlight w:val="none"/>
              </w:rPr>
            </w:pPr>
          </w:p>
        </w:tc>
      </w:tr>
    </w:tbl>
    <w:p w14:paraId="39EBCC1C">
      <w:pPr>
        <w:pStyle w:val="3"/>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3.3 水库上、下游情况</w:t>
      </w:r>
      <w:bookmarkEnd w:id="15"/>
    </w:p>
    <w:p w14:paraId="60BBD5CB">
      <w:pPr>
        <w:spacing w:line="520" w:lineRule="exact"/>
        <w:ind w:firstLine="560" w:firstLineChars="200"/>
        <w:rPr>
          <w:rFonts w:eastAsia="楷体"/>
          <w:color w:val="auto"/>
          <w:sz w:val="28"/>
          <w:szCs w:val="28"/>
          <w:highlight w:val="none"/>
        </w:rPr>
      </w:pPr>
      <w:bookmarkStart w:id="16" w:name="OLE_LINK36"/>
      <w:bookmarkStart w:id="17" w:name="_Toc8846"/>
      <w:r>
        <w:rPr>
          <w:rFonts w:eastAsia="楷体"/>
          <w:color w:val="auto"/>
          <w:sz w:val="28"/>
          <w:szCs w:val="28"/>
          <w:highlight w:val="none"/>
        </w:rPr>
        <w:t>前烧水库库区上游及周围都没有厂矿企业污染源，人烟稀少，沿河所接纳废水以农村生活废水和农田废水为主，现状水质</w:t>
      </w:r>
      <w:r>
        <w:rPr>
          <w:rFonts w:hint="eastAsia" w:eastAsia="楷体"/>
          <w:color w:val="auto"/>
          <w:sz w:val="28"/>
          <w:szCs w:val="28"/>
          <w:highlight w:val="none"/>
          <w:lang w:val="en-US" w:eastAsia="zh-CN"/>
        </w:rPr>
        <w:t>较好</w:t>
      </w:r>
      <w:r>
        <w:rPr>
          <w:rFonts w:eastAsia="楷体"/>
          <w:color w:val="auto"/>
          <w:sz w:val="28"/>
          <w:szCs w:val="28"/>
          <w:highlight w:val="none"/>
        </w:rPr>
        <w:t>。</w:t>
      </w:r>
    </w:p>
    <w:p w14:paraId="73514250">
      <w:pPr>
        <w:spacing w:line="520" w:lineRule="exact"/>
        <w:ind w:firstLine="560" w:firstLineChars="200"/>
        <w:rPr>
          <w:rFonts w:eastAsia="楷体"/>
          <w:color w:val="auto"/>
          <w:sz w:val="30"/>
          <w:szCs w:val="30"/>
          <w:highlight w:val="none"/>
        </w:rPr>
      </w:pPr>
      <w:r>
        <w:rPr>
          <w:rFonts w:eastAsia="楷体"/>
          <w:color w:val="auto"/>
          <w:sz w:val="28"/>
          <w:szCs w:val="28"/>
          <w:highlight w:val="none"/>
        </w:rPr>
        <w:t>前烧水库所在流域水资源利用程度较低，位于</w:t>
      </w:r>
      <w:r>
        <w:rPr>
          <w:rFonts w:hint="eastAsia" w:eastAsia="楷体"/>
          <w:color w:val="auto"/>
          <w:sz w:val="28"/>
          <w:szCs w:val="28"/>
          <w:highlight w:val="none"/>
        </w:rPr>
        <w:t>坝头溪</w:t>
      </w:r>
      <w:r>
        <w:rPr>
          <w:rFonts w:eastAsia="楷体"/>
          <w:color w:val="auto"/>
          <w:sz w:val="28"/>
          <w:szCs w:val="28"/>
          <w:highlight w:val="none"/>
        </w:rPr>
        <w:t>上游支流处，坝址上游</w:t>
      </w:r>
      <w:r>
        <w:rPr>
          <w:rFonts w:hint="eastAsia" w:eastAsia="楷体"/>
          <w:color w:val="auto"/>
          <w:sz w:val="28"/>
          <w:szCs w:val="28"/>
          <w:highlight w:val="none"/>
        </w:rPr>
        <w:t>无</w:t>
      </w:r>
      <w:r>
        <w:rPr>
          <w:rFonts w:eastAsia="楷体"/>
          <w:color w:val="auto"/>
          <w:sz w:val="28"/>
          <w:szCs w:val="28"/>
          <w:highlight w:val="none"/>
        </w:rPr>
        <w:t>水库，是以</w:t>
      </w:r>
      <w:r>
        <w:rPr>
          <w:rFonts w:hint="eastAsia" w:eastAsia="楷体"/>
          <w:color w:val="auto"/>
          <w:sz w:val="28"/>
          <w:szCs w:val="28"/>
          <w:highlight w:val="none"/>
        </w:rPr>
        <w:t>农田</w:t>
      </w:r>
      <w:r>
        <w:rPr>
          <w:rFonts w:eastAsia="楷体"/>
          <w:color w:val="auto"/>
          <w:sz w:val="28"/>
          <w:szCs w:val="28"/>
          <w:highlight w:val="none"/>
        </w:rPr>
        <w:t>灌溉为主的小（2）型水库。水库下游现有</w:t>
      </w:r>
      <w:r>
        <w:rPr>
          <w:rFonts w:hint="eastAsia" w:eastAsia="楷体"/>
          <w:color w:val="auto"/>
          <w:sz w:val="28"/>
          <w:szCs w:val="28"/>
          <w:highlight w:val="none"/>
        </w:rPr>
        <w:t>500</w:t>
      </w:r>
      <w:r>
        <w:rPr>
          <w:rFonts w:eastAsia="楷体"/>
          <w:color w:val="auto"/>
          <w:sz w:val="28"/>
          <w:szCs w:val="28"/>
          <w:highlight w:val="none"/>
        </w:rPr>
        <w:t>亩灌区，以种植水稻、蔬菜等农作物为主，现状仅建有少数简陋的小型引水工程，依靠天然河道径流引水自流灌溉。水库下游约</w:t>
      </w:r>
      <w:r>
        <w:rPr>
          <w:rFonts w:hint="eastAsia" w:eastAsia="楷体"/>
          <w:color w:val="auto"/>
          <w:sz w:val="28"/>
          <w:szCs w:val="28"/>
          <w:highlight w:val="none"/>
        </w:rPr>
        <w:t>1</w:t>
      </w:r>
      <w:r>
        <w:rPr>
          <w:rFonts w:eastAsia="楷体"/>
          <w:color w:val="auto"/>
          <w:sz w:val="28"/>
          <w:szCs w:val="28"/>
          <w:highlight w:val="none"/>
        </w:rPr>
        <w:t>km处为</w:t>
      </w:r>
      <w:r>
        <w:rPr>
          <w:rFonts w:hint="eastAsia" w:eastAsia="楷体"/>
          <w:color w:val="auto"/>
          <w:sz w:val="28"/>
          <w:szCs w:val="28"/>
          <w:highlight w:val="none"/>
        </w:rPr>
        <w:t>前烧村</w:t>
      </w:r>
      <w:r>
        <w:rPr>
          <w:rFonts w:eastAsia="楷体"/>
          <w:color w:val="auto"/>
          <w:sz w:val="28"/>
          <w:szCs w:val="28"/>
          <w:highlight w:val="none"/>
        </w:rPr>
        <w:t>，对外交通以公路为主，目前尚无乡镇供水工程。</w:t>
      </w:r>
    </w:p>
    <w:bookmarkEnd w:id="16"/>
    <w:p w14:paraId="6727CB13">
      <w:pPr>
        <w:pStyle w:val="3"/>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3.4 上年度控制运用情况</w:t>
      </w:r>
      <w:bookmarkEnd w:id="17"/>
    </w:p>
    <w:p w14:paraId="51C0578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根据20</w:t>
      </w:r>
      <w:r>
        <w:rPr>
          <w:rFonts w:hint="eastAsia" w:eastAsia="楷体"/>
          <w:color w:val="auto"/>
          <w:sz w:val="28"/>
          <w:szCs w:val="28"/>
          <w:highlight w:val="none"/>
          <w:lang w:val="en-US" w:eastAsia="zh-CN"/>
        </w:rPr>
        <w:t>25</w:t>
      </w:r>
      <w:r>
        <w:rPr>
          <w:rFonts w:hint="eastAsia" w:eastAsia="楷体"/>
          <w:color w:val="auto"/>
          <w:sz w:val="28"/>
          <w:szCs w:val="28"/>
          <w:highlight w:val="none"/>
        </w:rPr>
        <w:t>年</w:t>
      </w:r>
      <w:r>
        <w:rPr>
          <w:rFonts w:hint="eastAsia" w:eastAsia="楷体"/>
          <w:color w:val="auto"/>
          <w:sz w:val="28"/>
          <w:szCs w:val="28"/>
          <w:highlight w:val="none"/>
          <w:lang w:eastAsia="zh-CN"/>
        </w:rPr>
        <w:t>前烧</w:t>
      </w:r>
      <w:r>
        <w:rPr>
          <w:rFonts w:hint="eastAsia" w:eastAsia="楷体"/>
          <w:color w:val="auto"/>
          <w:sz w:val="28"/>
          <w:szCs w:val="28"/>
          <w:highlight w:val="none"/>
        </w:rPr>
        <w:t>水库的运行情况可知，</w:t>
      </w:r>
      <w:r>
        <w:rPr>
          <w:rFonts w:hint="eastAsia" w:eastAsia="楷体"/>
          <w:color w:val="auto"/>
          <w:sz w:val="28"/>
          <w:szCs w:val="28"/>
          <w:highlight w:val="none"/>
          <w:lang w:val="en-US" w:eastAsia="zh-CN"/>
        </w:rPr>
        <w:t>前烧水库2025年的汛限水位为37.75m，未出现溢洪道泄洪的情况，最高水位约36.70m（2025年1月），</w:t>
      </w:r>
      <w:r>
        <w:rPr>
          <w:rFonts w:hint="eastAsia" w:eastAsia="楷体"/>
          <w:color w:val="auto"/>
          <w:sz w:val="28"/>
          <w:szCs w:val="28"/>
          <w:highlight w:val="none"/>
        </w:rPr>
        <w:t>防洪调度情况良好</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未发生险情</w:t>
      </w:r>
      <w:r>
        <w:rPr>
          <w:rFonts w:hint="eastAsia" w:eastAsia="楷体"/>
          <w:color w:val="auto"/>
          <w:sz w:val="28"/>
          <w:szCs w:val="28"/>
          <w:highlight w:val="none"/>
        </w:rPr>
        <w:t>。</w:t>
      </w:r>
    </w:p>
    <w:p w14:paraId="2355CB71">
      <w:pPr>
        <w:pStyle w:val="2"/>
        <w:spacing w:beforeLines="100" w:afterLines="100" w:line="360" w:lineRule="auto"/>
        <w:jc w:val="both"/>
        <w:rPr>
          <w:rFonts w:eastAsia="楷体"/>
          <w:color w:val="auto"/>
          <w:kern w:val="0"/>
          <w:sz w:val="32"/>
          <w:szCs w:val="32"/>
          <w:highlight w:val="none"/>
        </w:rPr>
      </w:pPr>
      <w:bookmarkStart w:id="18" w:name="_Toc19608"/>
    </w:p>
    <w:p w14:paraId="7C71D658">
      <w:pPr>
        <w:rPr>
          <w:rFonts w:eastAsia="楷体"/>
          <w:color w:val="auto"/>
          <w:kern w:val="0"/>
          <w:sz w:val="32"/>
          <w:szCs w:val="32"/>
          <w:highlight w:val="none"/>
        </w:rPr>
      </w:pPr>
    </w:p>
    <w:p w14:paraId="55C758C6">
      <w:pPr>
        <w:pStyle w:val="9"/>
        <w:rPr>
          <w:color w:val="auto"/>
          <w:highlight w:val="none"/>
        </w:rPr>
      </w:pPr>
    </w:p>
    <w:p w14:paraId="7EDD12B4">
      <w:pPr>
        <w:pStyle w:val="2"/>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4  洪水调度原则</w:t>
      </w:r>
      <w:bookmarkEnd w:id="18"/>
    </w:p>
    <w:p w14:paraId="06DD7D71">
      <w:pPr>
        <w:pStyle w:val="3"/>
        <w:spacing w:beforeLines="50" w:afterLines="50" w:line="360" w:lineRule="auto"/>
        <w:contextualSpacing/>
        <w:rPr>
          <w:rFonts w:ascii="Times New Roman" w:hAnsi="Times New Roman" w:eastAsia="楷体"/>
          <w:color w:val="auto"/>
          <w:kern w:val="0"/>
          <w:sz w:val="28"/>
          <w:szCs w:val="28"/>
          <w:highlight w:val="none"/>
        </w:rPr>
      </w:pPr>
      <w:bookmarkStart w:id="19" w:name="_Toc7899"/>
      <w:r>
        <w:rPr>
          <w:rFonts w:ascii="Times New Roman" w:hAnsi="Times New Roman" w:eastAsia="楷体"/>
          <w:color w:val="auto"/>
          <w:kern w:val="0"/>
          <w:sz w:val="28"/>
          <w:szCs w:val="28"/>
          <w:highlight w:val="none"/>
        </w:rPr>
        <w:t>4.1 汛期划分</w:t>
      </w:r>
      <w:bookmarkEnd w:id="19"/>
    </w:p>
    <w:p w14:paraId="7521210B">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泉州市</w:t>
      </w:r>
      <w:r>
        <w:rPr>
          <w:rFonts w:eastAsia="楷体"/>
          <w:color w:val="auto"/>
          <w:sz w:val="28"/>
          <w:szCs w:val="28"/>
          <w:highlight w:val="none"/>
        </w:rPr>
        <w:t>防洪防台风应急预案规定，4月1日至10月15日为汛期，其中前汛期为4月1日～6月30日，主汛期为7月1日～9月20日，后汛期为9月21日～10月15日。</w:t>
      </w:r>
    </w:p>
    <w:p w14:paraId="6B9114C3">
      <w:pPr>
        <w:pStyle w:val="3"/>
        <w:spacing w:beforeLines="50" w:afterLines="50" w:line="360" w:lineRule="auto"/>
        <w:contextualSpacing/>
        <w:rPr>
          <w:rFonts w:ascii="Times New Roman" w:hAnsi="Times New Roman" w:eastAsia="楷体"/>
          <w:color w:val="auto"/>
          <w:kern w:val="0"/>
          <w:sz w:val="28"/>
          <w:szCs w:val="28"/>
          <w:highlight w:val="none"/>
        </w:rPr>
      </w:pPr>
      <w:bookmarkStart w:id="20" w:name="_Toc6049"/>
      <w:r>
        <w:rPr>
          <w:rFonts w:ascii="Times New Roman" w:hAnsi="Times New Roman" w:eastAsia="楷体"/>
          <w:color w:val="auto"/>
          <w:kern w:val="0"/>
          <w:sz w:val="28"/>
          <w:szCs w:val="28"/>
          <w:highlight w:val="none"/>
        </w:rPr>
        <w:t>4.2 洪水调度原则</w:t>
      </w:r>
      <w:bookmarkEnd w:id="20"/>
    </w:p>
    <w:p w14:paraId="4EDD3972">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58D1E2E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52DF68DE">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60548919">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6036689E">
      <w:pPr>
        <w:spacing w:line="520" w:lineRule="exact"/>
        <w:ind w:firstLine="560" w:firstLineChars="200"/>
        <w:rPr>
          <w:rFonts w:eastAsia="楷体"/>
          <w:color w:val="auto"/>
          <w:sz w:val="28"/>
          <w:szCs w:val="28"/>
          <w:highlight w:val="none"/>
        </w:rPr>
      </w:pPr>
      <w:r>
        <w:rPr>
          <w:rFonts w:eastAsia="楷体"/>
          <w:color w:val="auto"/>
          <w:sz w:val="28"/>
          <w:szCs w:val="28"/>
          <w:highlight w:val="none"/>
        </w:rPr>
        <w:t>2、通过对水库承受洪水能力分析，落实预泄预排方案，加强渠道沿线巡逻，及时开闸排洪，以免过流损毁渠道工程。</w:t>
      </w:r>
    </w:p>
    <w:p w14:paraId="3F27F906">
      <w:pPr>
        <w:spacing w:line="520" w:lineRule="exact"/>
        <w:ind w:firstLine="560" w:firstLineChars="200"/>
        <w:rPr>
          <w:rFonts w:eastAsia="楷体"/>
          <w:color w:val="auto"/>
          <w:sz w:val="28"/>
          <w:szCs w:val="28"/>
          <w:highlight w:val="none"/>
        </w:rPr>
      </w:pPr>
      <w:r>
        <w:rPr>
          <w:rFonts w:eastAsia="楷体"/>
          <w:color w:val="auto"/>
          <w:sz w:val="28"/>
          <w:szCs w:val="28"/>
          <w:highlight w:val="none"/>
        </w:rPr>
        <w:t>3、加大工程巡查力度，对排洪泄水闸启闭系统、通讯、交通、供电设备进行全面检查，始终保持良好状况，排除一切不安全因素，确保使用及时。</w:t>
      </w:r>
    </w:p>
    <w:p w14:paraId="62243036">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0F3F8294">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72E4C6AC">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6D05F15C">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7BD4B611">
      <w:pPr>
        <w:pStyle w:val="3"/>
        <w:spacing w:beforeLines="50" w:afterLines="50" w:line="360" w:lineRule="auto"/>
        <w:contextualSpacing/>
        <w:rPr>
          <w:rFonts w:ascii="Times New Roman" w:hAnsi="Times New Roman" w:eastAsia="楷体"/>
          <w:color w:val="auto"/>
          <w:kern w:val="0"/>
          <w:sz w:val="28"/>
          <w:szCs w:val="28"/>
          <w:highlight w:val="none"/>
        </w:rPr>
      </w:pPr>
      <w:bookmarkStart w:id="21" w:name="_Toc31889"/>
      <w:r>
        <w:rPr>
          <w:rFonts w:ascii="Times New Roman" w:hAnsi="Times New Roman" w:eastAsia="楷体"/>
          <w:color w:val="auto"/>
          <w:kern w:val="0"/>
          <w:sz w:val="28"/>
          <w:szCs w:val="28"/>
          <w:highlight w:val="none"/>
        </w:rPr>
        <w:t>4.3 汛限水位的确定</w:t>
      </w:r>
      <w:bookmarkEnd w:id="21"/>
    </w:p>
    <w:p w14:paraId="29D8CAEF">
      <w:pPr>
        <w:ind w:firstLine="560" w:firstLineChars="200"/>
        <w:rPr>
          <w:rFonts w:eastAsia="楷体"/>
          <w:color w:val="auto"/>
          <w:sz w:val="28"/>
          <w:szCs w:val="28"/>
          <w:highlight w:val="none"/>
        </w:rPr>
      </w:pPr>
      <w:r>
        <w:rPr>
          <w:rFonts w:eastAsia="楷体"/>
          <w:color w:val="auto"/>
          <w:sz w:val="28"/>
          <w:szCs w:val="28"/>
          <w:highlight w:val="none"/>
        </w:rPr>
        <w:t>汛限水位的确定从以下几个方面来确定：</w:t>
      </w:r>
    </w:p>
    <w:p w14:paraId="275EB8DB">
      <w:pPr>
        <w:numPr>
          <w:ilvl w:val="0"/>
          <w:numId w:val="2"/>
        </w:num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泉港区前黄镇前烧水库除险加固工程</w:t>
      </w:r>
      <w:r>
        <w:rPr>
          <w:rFonts w:eastAsia="楷体"/>
          <w:color w:val="auto"/>
          <w:sz w:val="28"/>
          <w:szCs w:val="28"/>
          <w:highlight w:val="none"/>
        </w:rPr>
        <w:t>初步设计报告（报批稿）》（</w:t>
      </w:r>
      <w:r>
        <w:rPr>
          <w:rFonts w:hint="eastAsia" w:eastAsia="楷体"/>
          <w:color w:val="auto"/>
          <w:sz w:val="28"/>
          <w:szCs w:val="28"/>
          <w:highlight w:val="none"/>
        </w:rPr>
        <w:t>泉州市水利水电勘测设计院，</w:t>
      </w:r>
      <w:r>
        <w:rPr>
          <w:rFonts w:eastAsia="楷体"/>
          <w:color w:val="auto"/>
          <w:sz w:val="28"/>
          <w:szCs w:val="28"/>
          <w:highlight w:val="none"/>
        </w:rPr>
        <w:t>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5</w:t>
      </w:r>
      <w:r>
        <w:rPr>
          <w:rFonts w:eastAsia="楷体"/>
          <w:color w:val="auto"/>
          <w:sz w:val="28"/>
          <w:szCs w:val="28"/>
          <w:highlight w:val="none"/>
        </w:rPr>
        <w:t>月）的</w:t>
      </w:r>
      <w:r>
        <w:rPr>
          <w:rFonts w:hint="eastAsia" w:eastAsia="楷体"/>
          <w:color w:val="auto"/>
          <w:sz w:val="28"/>
          <w:szCs w:val="28"/>
          <w:highlight w:val="none"/>
        </w:rPr>
        <w:t>设计内容</w:t>
      </w:r>
      <w:r>
        <w:rPr>
          <w:rFonts w:eastAsia="楷体"/>
          <w:color w:val="auto"/>
          <w:sz w:val="28"/>
          <w:szCs w:val="28"/>
          <w:highlight w:val="none"/>
        </w:rPr>
        <w:t>可知，前烧水库</w:t>
      </w:r>
      <w:r>
        <w:rPr>
          <w:rFonts w:hint="eastAsia" w:eastAsia="楷体"/>
          <w:color w:val="auto"/>
          <w:sz w:val="28"/>
          <w:szCs w:val="28"/>
          <w:highlight w:val="none"/>
          <w:lang w:val="en-US" w:eastAsia="zh-CN"/>
        </w:rPr>
        <w:t>的正常蓄</w:t>
      </w:r>
      <w:r>
        <w:rPr>
          <w:rFonts w:eastAsia="楷体"/>
          <w:color w:val="auto"/>
          <w:sz w:val="28"/>
          <w:szCs w:val="28"/>
          <w:highlight w:val="none"/>
        </w:rPr>
        <w:t>水位</w:t>
      </w:r>
      <w:r>
        <w:rPr>
          <w:rFonts w:hint="eastAsia" w:eastAsia="楷体"/>
          <w:color w:val="auto"/>
          <w:sz w:val="28"/>
          <w:szCs w:val="28"/>
          <w:highlight w:val="none"/>
          <w:lang w:val="en-US" w:eastAsia="zh-CN"/>
        </w:rPr>
        <w:t>为</w:t>
      </w:r>
      <w:r>
        <w:rPr>
          <w:rFonts w:hint="eastAsia" w:eastAsia="楷体"/>
          <w:color w:val="auto"/>
          <w:sz w:val="28"/>
          <w:szCs w:val="28"/>
          <w:highlight w:val="none"/>
          <w:lang w:eastAsia="zh-CN"/>
        </w:rPr>
        <w:t>37.75</w:t>
      </w:r>
      <w:r>
        <w:rPr>
          <w:rFonts w:eastAsia="楷体"/>
          <w:color w:val="auto"/>
          <w:sz w:val="28"/>
          <w:szCs w:val="28"/>
          <w:highlight w:val="none"/>
        </w:rPr>
        <w:t>m</w:t>
      </w:r>
      <w:r>
        <w:rPr>
          <w:rFonts w:hint="eastAsia" w:eastAsia="楷体"/>
          <w:color w:val="auto"/>
          <w:sz w:val="28"/>
          <w:szCs w:val="28"/>
          <w:highlight w:val="none"/>
          <w:lang w:eastAsia="zh-CN"/>
        </w:rPr>
        <w:t>，</w:t>
      </w:r>
      <w:r>
        <w:rPr>
          <w:rFonts w:eastAsia="楷体"/>
          <w:color w:val="auto"/>
          <w:sz w:val="28"/>
          <w:szCs w:val="28"/>
          <w:highlight w:val="none"/>
        </w:rPr>
        <w:t>对应库容为</w:t>
      </w:r>
      <w:r>
        <w:rPr>
          <w:rFonts w:hint="eastAsia" w:eastAsia="楷体"/>
          <w:color w:val="auto"/>
          <w:sz w:val="28"/>
          <w:szCs w:val="28"/>
          <w:highlight w:val="none"/>
          <w:lang w:eastAsia="zh-CN"/>
        </w:rPr>
        <w:t>24.18</w:t>
      </w:r>
      <w:r>
        <w:rPr>
          <w:rFonts w:eastAsia="楷体"/>
          <w:color w:val="auto"/>
          <w:sz w:val="28"/>
          <w:szCs w:val="28"/>
          <w:highlight w:val="none"/>
        </w:rPr>
        <w:t>万m</w:t>
      </w:r>
      <w:r>
        <w:rPr>
          <w:rFonts w:eastAsia="楷体"/>
          <w:color w:val="auto"/>
          <w:sz w:val="28"/>
          <w:szCs w:val="28"/>
          <w:highlight w:val="none"/>
          <w:vertAlign w:val="superscript"/>
        </w:rPr>
        <w:t>3</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 xml:space="preserve"> </w:t>
      </w:r>
    </w:p>
    <w:p w14:paraId="4E42EFD6">
      <w:pPr>
        <w:ind w:firstLine="560" w:firstLineChars="200"/>
        <w:rPr>
          <w:color w:val="auto"/>
          <w:highlight w:val="none"/>
        </w:rPr>
      </w:pPr>
      <w:r>
        <w:rPr>
          <w:rFonts w:hint="eastAsia" w:eastAsia="楷体"/>
          <w:color w:val="auto"/>
          <w:sz w:val="28"/>
          <w:szCs w:val="28"/>
          <w:highlight w:val="none"/>
          <w:lang w:val="en-US" w:eastAsia="zh-CN"/>
        </w:rPr>
        <w:t>2、根据现场踏勘情况及水库管理人员了解可知，</w:t>
      </w:r>
      <w:r>
        <w:rPr>
          <w:rFonts w:eastAsia="楷体"/>
          <w:color w:val="auto"/>
          <w:sz w:val="28"/>
          <w:szCs w:val="28"/>
          <w:highlight w:val="none"/>
        </w:rPr>
        <w:t>201</w:t>
      </w:r>
      <w:r>
        <w:rPr>
          <w:rFonts w:hint="eastAsia" w:eastAsia="楷体"/>
          <w:color w:val="auto"/>
          <w:sz w:val="28"/>
          <w:szCs w:val="28"/>
          <w:highlight w:val="none"/>
        </w:rPr>
        <w:t>8</w:t>
      </w:r>
      <w:r>
        <w:rPr>
          <w:rFonts w:eastAsia="楷体"/>
          <w:color w:val="auto"/>
          <w:sz w:val="28"/>
          <w:szCs w:val="28"/>
          <w:highlight w:val="none"/>
        </w:rPr>
        <w:t>年前烧水库</w:t>
      </w:r>
      <w:r>
        <w:rPr>
          <w:rFonts w:hint="eastAsia" w:eastAsia="楷体"/>
          <w:color w:val="auto"/>
          <w:sz w:val="28"/>
          <w:szCs w:val="28"/>
          <w:highlight w:val="none"/>
          <w:lang w:val="en-US" w:eastAsia="zh-CN"/>
        </w:rPr>
        <w:t>低涵发生堵塞情况，泉港区农水局立即牵头，由前黄镇人民政府组织，对</w:t>
      </w:r>
      <w:r>
        <w:rPr>
          <w:rFonts w:eastAsia="楷体"/>
          <w:color w:val="auto"/>
          <w:sz w:val="28"/>
          <w:szCs w:val="28"/>
          <w:highlight w:val="none"/>
        </w:rPr>
        <w:t>前烧水库</w:t>
      </w:r>
      <w:r>
        <w:rPr>
          <w:rFonts w:hint="eastAsia" w:eastAsia="楷体"/>
          <w:color w:val="auto"/>
          <w:sz w:val="28"/>
          <w:szCs w:val="28"/>
          <w:highlight w:val="none"/>
          <w:lang w:val="en-US" w:eastAsia="zh-CN"/>
        </w:rPr>
        <w:t>进行应急除险加固，已</w:t>
      </w:r>
      <w:r>
        <w:rPr>
          <w:rFonts w:hint="eastAsia" w:eastAsia="楷体"/>
          <w:color w:val="auto"/>
          <w:sz w:val="28"/>
          <w:szCs w:val="28"/>
          <w:highlight w:val="none"/>
        </w:rPr>
        <w:t>20</w:t>
      </w:r>
      <w:r>
        <w:rPr>
          <w:rFonts w:hint="eastAsia" w:eastAsia="楷体"/>
          <w:color w:val="auto"/>
          <w:sz w:val="28"/>
          <w:szCs w:val="28"/>
          <w:highlight w:val="none"/>
          <w:lang w:val="en-US" w:eastAsia="zh-CN"/>
        </w:rPr>
        <w:t>21</w:t>
      </w:r>
      <w:r>
        <w:rPr>
          <w:rFonts w:hint="eastAsia" w:eastAsia="楷体"/>
          <w:color w:val="auto"/>
          <w:sz w:val="28"/>
          <w:szCs w:val="28"/>
          <w:highlight w:val="none"/>
        </w:rPr>
        <w:t>年</w:t>
      </w:r>
      <w:r>
        <w:rPr>
          <w:rFonts w:hint="eastAsia" w:eastAsia="楷体"/>
          <w:color w:val="auto"/>
          <w:sz w:val="28"/>
          <w:szCs w:val="28"/>
          <w:highlight w:val="none"/>
          <w:lang w:eastAsia="zh-CN"/>
        </w:rPr>
        <w:t>对</w:t>
      </w:r>
      <w:r>
        <w:rPr>
          <w:rFonts w:hint="eastAsia" w:eastAsia="楷体"/>
          <w:color w:val="auto"/>
          <w:sz w:val="28"/>
          <w:szCs w:val="28"/>
          <w:highlight w:val="none"/>
        </w:rPr>
        <w:t>前烧水库的</w:t>
      </w:r>
      <w:r>
        <w:rPr>
          <w:rFonts w:hint="eastAsia" w:eastAsia="楷体"/>
          <w:color w:val="auto"/>
          <w:sz w:val="28"/>
          <w:szCs w:val="28"/>
          <w:highlight w:val="none"/>
          <w:lang w:eastAsia="zh-CN"/>
        </w:rPr>
        <w:t>常态化加固完工验收</w:t>
      </w:r>
      <w:r>
        <w:rPr>
          <w:rFonts w:hint="eastAsia" w:eastAsia="楷体"/>
          <w:color w:val="auto"/>
          <w:sz w:val="28"/>
          <w:szCs w:val="28"/>
          <w:highlight w:val="none"/>
        </w:rPr>
        <w:t>，</w:t>
      </w:r>
      <w:r>
        <w:rPr>
          <w:rFonts w:hint="eastAsia" w:eastAsia="楷体"/>
          <w:color w:val="auto"/>
          <w:sz w:val="28"/>
          <w:szCs w:val="28"/>
          <w:highlight w:val="none"/>
          <w:lang w:val="en-US" w:eastAsia="zh-CN"/>
        </w:rPr>
        <w:t>2022</w:t>
      </w:r>
      <w:r>
        <w:rPr>
          <w:rFonts w:hint="eastAsia" w:eastAsia="楷体"/>
          <w:color w:val="auto"/>
          <w:sz w:val="28"/>
          <w:szCs w:val="28"/>
          <w:highlight w:val="none"/>
          <w:lang w:eastAsia="zh-CN"/>
        </w:rPr>
        <w:t>年</w:t>
      </w:r>
      <w:r>
        <w:rPr>
          <w:rFonts w:hint="eastAsia" w:eastAsia="楷体"/>
          <w:color w:val="auto"/>
          <w:sz w:val="28"/>
          <w:szCs w:val="28"/>
          <w:highlight w:val="none"/>
          <w:lang w:val="en-US" w:eastAsia="zh-CN"/>
        </w:rPr>
        <w:t>4月份</w:t>
      </w:r>
      <w:r>
        <w:rPr>
          <w:rFonts w:hint="eastAsia" w:eastAsia="楷体"/>
          <w:color w:val="auto"/>
          <w:sz w:val="28"/>
          <w:szCs w:val="28"/>
          <w:highlight w:val="none"/>
        </w:rPr>
        <w:t>按三个不同水位分期蓄水，汛限水位</w:t>
      </w:r>
      <w:r>
        <w:rPr>
          <w:rFonts w:hint="eastAsia" w:eastAsia="楷体"/>
          <w:color w:val="auto"/>
          <w:sz w:val="28"/>
          <w:szCs w:val="28"/>
          <w:highlight w:val="none"/>
          <w:lang w:eastAsia="zh-CN"/>
        </w:rPr>
        <w:t>定</w:t>
      </w:r>
      <w:r>
        <w:rPr>
          <w:rFonts w:hint="eastAsia" w:eastAsia="楷体"/>
          <w:color w:val="auto"/>
          <w:sz w:val="28"/>
          <w:szCs w:val="28"/>
          <w:highlight w:val="none"/>
        </w:rPr>
        <w:t>为</w:t>
      </w:r>
      <w:r>
        <w:rPr>
          <w:rFonts w:hint="eastAsia" w:eastAsia="楷体"/>
          <w:color w:val="auto"/>
          <w:sz w:val="28"/>
          <w:szCs w:val="28"/>
          <w:highlight w:val="none"/>
          <w:lang w:val="en-US" w:eastAsia="zh-CN"/>
        </w:rPr>
        <w:t>37.75</w:t>
      </w:r>
      <w:r>
        <w:rPr>
          <w:rFonts w:hint="eastAsia" w:eastAsia="楷体"/>
          <w:color w:val="auto"/>
          <w:sz w:val="28"/>
          <w:szCs w:val="28"/>
          <w:highlight w:val="none"/>
        </w:rPr>
        <w:t>m。</w:t>
      </w:r>
    </w:p>
    <w:p w14:paraId="7C6383A2">
      <w:pPr>
        <w:numPr>
          <w:ilvl w:val="0"/>
          <w:numId w:val="0"/>
        </w:num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3、根据2025年前烧水库的运行情况可知，2025年前烧水库的汛限水位为37.75m，</w:t>
      </w:r>
      <w:r>
        <w:rPr>
          <w:rFonts w:eastAsia="楷体"/>
          <w:color w:val="auto"/>
          <w:sz w:val="28"/>
          <w:szCs w:val="28"/>
          <w:highlight w:val="none"/>
        </w:rPr>
        <w:t>总体运行状况良好，即便在台风期，前烧水库仍很好的完成了防汛任务；</w:t>
      </w:r>
    </w:p>
    <w:p w14:paraId="7A62E69C">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4</w:t>
      </w:r>
      <w:r>
        <w:rPr>
          <w:rFonts w:eastAsia="楷体"/>
          <w:color w:val="auto"/>
          <w:sz w:val="28"/>
          <w:szCs w:val="28"/>
          <w:highlight w:val="none"/>
        </w:rPr>
        <w:t>、</w:t>
      </w:r>
      <w:r>
        <w:rPr>
          <w:rFonts w:hint="eastAsia" w:eastAsia="楷体"/>
          <w:color w:val="auto"/>
          <w:sz w:val="28"/>
          <w:szCs w:val="28"/>
          <w:highlight w:val="none"/>
          <w:lang w:val="en-US" w:eastAsia="zh-CN"/>
        </w:rPr>
        <w:t>考虑到前烧水库有下游600亩农田的灌溉任务，因此，进行兴利调节计算以确定最合理的汛限水位：</w:t>
      </w:r>
    </w:p>
    <w:p w14:paraId="6BB86987">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（1）根据《福建省行业用水定额》（DB35/T 772-2013），泉港区属于福建省灌溉分区中的Ⅱ类，前烧水库所承担的600亩农田基本为单季稻，在P=90%保证率下，单季稻的用水定额为484m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/亩，下游农田在P=90%保证率下的用水量为29.04万m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w:t>
      </w:r>
    </w:p>
    <w:p w14:paraId="2B7C5EF0">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（2）前烧水库的集雨面积为0.87km</w:t>
      </w:r>
      <w:r>
        <w:rPr>
          <w:rFonts w:hint="eastAsia" w:eastAsia="楷体"/>
          <w:color w:val="auto"/>
          <w:sz w:val="28"/>
          <w:szCs w:val="28"/>
          <w:highlight w:val="none"/>
          <w:vertAlign w:val="superscript"/>
          <w:lang w:val="en-US" w:eastAsia="zh-CN"/>
        </w:rPr>
        <w:t>2</w:t>
      </w:r>
      <w:r>
        <w:rPr>
          <w:rFonts w:hint="eastAsia" w:eastAsia="楷体"/>
          <w:color w:val="auto"/>
          <w:sz w:val="28"/>
          <w:szCs w:val="28"/>
          <w:highlight w:val="none"/>
          <w:lang w:val="en-US" w:eastAsia="zh-CN"/>
        </w:rPr>
        <w:t>，多年平均降雨量为1350mm，多年平均径流量为810mm，多年平均来水量为70.47万m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，在P=90%保证率下的用水量为38.05万m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，引用菱溪水库来水资料确定前烧水库P=90%下的逐月来水过程线。</w:t>
      </w:r>
    </w:p>
    <w:p w14:paraId="087CC859">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1</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P=90%保证率逐月来水过程线</w:t>
      </w:r>
    </w:p>
    <w:tbl>
      <w:tblPr>
        <w:tblStyle w:val="19"/>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52"/>
        <w:gridCol w:w="632"/>
        <w:gridCol w:w="632"/>
        <w:gridCol w:w="632"/>
        <w:gridCol w:w="632"/>
        <w:gridCol w:w="632"/>
        <w:gridCol w:w="632"/>
        <w:gridCol w:w="632"/>
        <w:gridCol w:w="632"/>
        <w:gridCol w:w="632"/>
        <w:gridCol w:w="632"/>
        <w:gridCol w:w="632"/>
        <w:gridCol w:w="632"/>
        <w:gridCol w:w="632"/>
      </w:tblGrid>
      <w:tr w14:paraId="0D47F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52" w:type="dxa"/>
            <w:tcBorders>
              <w:tl2br w:val="nil"/>
              <w:tr2bl w:val="nil"/>
            </w:tcBorders>
            <w:tcMar>
              <w:top w:w="15" w:type="dxa"/>
              <w:left w:w="15" w:type="dxa"/>
              <w:right w:w="15" w:type="dxa"/>
            </w:tcMar>
            <w:vAlign w:val="center"/>
          </w:tcPr>
          <w:p w14:paraId="35F35155">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月份</w:t>
            </w:r>
          </w:p>
        </w:tc>
        <w:tc>
          <w:tcPr>
            <w:tcW w:w="632" w:type="dxa"/>
            <w:tcBorders>
              <w:tl2br w:val="nil"/>
              <w:tr2bl w:val="nil"/>
            </w:tcBorders>
            <w:tcMar>
              <w:top w:w="15" w:type="dxa"/>
              <w:left w:w="15" w:type="dxa"/>
              <w:right w:w="15" w:type="dxa"/>
            </w:tcMar>
            <w:vAlign w:val="center"/>
          </w:tcPr>
          <w:p w14:paraId="409B03AA">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4</w:t>
            </w:r>
          </w:p>
        </w:tc>
        <w:tc>
          <w:tcPr>
            <w:tcW w:w="632" w:type="dxa"/>
            <w:tcBorders>
              <w:tl2br w:val="nil"/>
              <w:tr2bl w:val="nil"/>
            </w:tcBorders>
            <w:tcMar>
              <w:top w:w="15" w:type="dxa"/>
              <w:left w:w="15" w:type="dxa"/>
              <w:right w:w="15" w:type="dxa"/>
            </w:tcMar>
            <w:vAlign w:val="center"/>
          </w:tcPr>
          <w:p w14:paraId="0F8378EB">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5</w:t>
            </w:r>
          </w:p>
        </w:tc>
        <w:tc>
          <w:tcPr>
            <w:tcW w:w="632" w:type="dxa"/>
            <w:tcBorders>
              <w:tl2br w:val="nil"/>
              <w:tr2bl w:val="nil"/>
            </w:tcBorders>
            <w:tcMar>
              <w:top w:w="15" w:type="dxa"/>
              <w:left w:w="15" w:type="dxa"/>
              <w:right w:w="15" w:type="dxa"/>
            </w:tcMar>
            <w:vAlign w:val="center"/>
          </w:tcPr>
          <w:p w14:paraId="283F36B1">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6</w:t>
            </w:r>
          </w:p>
        </w:tc>
        <w:tc>
          <w:tcPr>
            <w:tcW w:w="632" w:type="dxa"/>
            <w:tcBorders>
              <w:tl2br w:val="nil"/>
              <w:tr2bl w:val="nil"/>
            </w:tcBorders>
            <w:tcMar>
              <w:top w:w="15" w:type="dxa"/>
              <w:left w:w="15" w:type="dxa"/>
              <w:right w:w="15" w:type="dxa"/>
            </w:tcMar>
            <w:vAlign w:val="center"/>
          </w:tcPr>
          <w:p w14:paraId="6CF3C724">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7</w:t>
            </w:r>
          </w:p>
        </w:tc>
        <w:tc>
          <w:tcPr>
            <w:tcW w:w="632" w:type="dxa"/>
            <w:tcBorders>
              <w:tl2br w:val="nil"/>
              <w:tr2bl w:val="nil"/>
            </w:tcBorders>
            <w:tcMar>
              <w:top w:w="15" w:type="dxa"/>
              <w:left w:w="15" w:type="dxa"/>
              <w:right w:w="15" w:type="dxa"/>
            </w:tcMar>
            <w:vAlign w:val="center"/>
          </w:tcPr>
          <w:p w14:paraId="51F94650">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8</w:t>
            </w:r>
          </w:p>
        </w:tc>
        <w:tc>
          <w:tcPr>
            <w:tcW w:w="632" w:type="dxa"/>
            <w:tcBorders>
              <w:tl2br w:val="nil"/>
              <w:tr2bl w:val="nil"/>
            </w:tcBorders>
            <w:tcMar>
              <w:top w:w="15" w:type="dxa"/>
              <w:left w:w="15" w:type="dxa"/>
              <w:right w:w="15" w:type="dxa"/>
            </w:tcMar>
            <w:vAlign w:val="center"/>
          </w:tcPr>
          <w:p w14:paraId="696C3092">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9</w:t>
            </w:r>
          </w:p>
        </w:tc>
        <w:tc>
          <w:tcPr>
            <w:tcW w:w="632" w:type="dxa"/>
            <w:tcBorders>
              <w:tl2br w:val="nil"/>
              <w:tr2bl w:val="nil"/>
            </w:tcBorders>
            <w:tcMar>
              <w:top w:w="15" w:type="dxa"/>
              <w:left w:w="15" w:type="dxa"/>
              <w:right w:w="15" w:type="dxa"/>
            </w:tcMar>
            <w:vAlign w:val="center"/>
          </w:tcPr>
          <w:p w14:paraId="01639EA0">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10</w:t>
            </w:r>
          </w:p>
        </w:tc>
        <w:tc>
          <w:tcPr>
            <w:tcW w:w="632" w:type="dxa"/>
            <w:tcBorders>
              <w:tl2br w:val="nil"/>
              <w:tr2bl w:val="nil"/>
            </w:tcBorders>
            <w:tcMar>
              <w:top w:w="15" w:type="dxa"/>
              <w:left w:w="15" w:type="dxa"/>
              <w:right w:w="15" w:type="dxa"/>
            </w:tcMar>
            <w:vAlign w:val="center"/>
          </w:tcPr>
          <w:p w14:paraId="311969BB">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11</w:t>
            </w:r>
          </w:p>
        </w:tc>
        <w:tc>
          <w:tcPr>
            <w:tcW w:w="632" w:type="dxa"/>
            <w:tcBorders>
              <w:tl2br w:val="nil"/>
              <w:tr2bl w:val="nil"/>
            </w:tcBorders>
            <w:tcMar>
              <w:top w:w="15" w:type="dxa"/>
              <w:left w:w="15" w:type="dxa"/>
              <w:right w:w="15" w:type="dxa"/>
            </w:tcMar>
            <w:vAlign w:val="center"/>
          </w:tcPr>
          <w:p w14:paraId="3AE38198">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12</w:t>
            </w:r>
          </w:p>
        </w:tc>
        <w:tc>
          <w:tcPr>
            <w:tcW w:w="632" w:type="dxa"/>
            <w:tcBorders>
              <w:tl2br w:val="nil"/>
              <w:tr2bl w:val="nil"/>
            </w:tcBorders>
            <w:tcMar>
              <w:top w:w="15" w:type="dxa"/>
              <w:left w:w="15" w:type="dxa"/>
              <w:right w:w="15" w:type="dxa"/>
            </w:tcMar>
            <w:vAlign w:val="center"/>
          </w:tcPr>
          <w:p w14:paraId="4A1EBB66">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w:t>
            </w:r>
          </w:p>
        </w:tc>
        <w:tc>
          <w:tcPr>
            <w:tcW w:w="632" w:type="dxa"/>
            <w:tcBorders>
              <w:tl2br w:val="nil"/>
              <w:tr2bl w:val="nil"/>
            </w:tcBorders>
            <w:tcMar>
              <w:top w:w="15" w:type="dxa"/>
              <w:left w:w="15" w:type="dxa"/>
              <w:right w:w="15" w:type="dxa"/>
            </w:tcMar>
            <w:vAlign w:val="center"/>
          </w:tcPr>
          <w:p w14:paraId="1A636482">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2</w:t>
            </w:r>
          </w:p>
        </w:tc>
        <w:tc>
          <w:tcPr>
            <w:tcW w:w="632" w:type="dxa"/>
            <w:tcBorders>
              <w:tl2br w:val="nil"/>
              <w:tr2bl w:val="nil"/>
            </w:tcBorders>
            <w:tcMar>
              <w:top w:w="15" w:type="dxa"/>
              <w:left w:w="15" w:type="dxa"/>
              <w:right w:w="15" w:type="dxa"/>
            </w:tcMar>
            <w:vAlign w:val="center"/>
          </w:tcPr>
          <w:p w14:paraId="7CF963F7">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3</w:t>
            </w:r>
          </w:p>
        </w:tc>
        <w:tc>
          <w:tcPr>
            <w:tcW w:w="632" w:type="dxa"/>
            <w:tcBorders>
              <w:tl2br w:val="nil"/>
              <w:tr2bl w:val="nil"/>
            </w:tcBorders>
            <w:tcMar>
              <w:top w:w="15" w:type="dxa"/>
              <w:left w:w="15" w:type="dxa"/>
              <w:right w:w="15" w:type="dxa"/>
            </w:tcMar>
            <w:vAlign w:val="center"/>
          </w:tcPr>
          <w:p w14:paraId="33B68C97">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总计</w:t>
            </w:r>
          </w:p>
        </w:tc>
      </w:tr>
      <w:tr w14:paraId="2E1A7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52" w:type="dxa"/>
            <w:tcBorders>
              <w:tl2br w:val="nil"/>
              <w:tr2bl w:val="nil"/>
            </w:tcBorders>
            <w:tcMar>
              <w:top w:w="15" w:type="dxa"/>
              <w:left w:w="15" w:type="dxa"/>
              <w:right w:w="15" w:type="dxa"/>
            </w:tcMar>
            <w:vAlign w:val="center"/>
          </w:tcPr>
          <w:p w14:paraId="420B82B2">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来水量（万m</w:t>
            </w:r>
            <w:r>
              <w:rPr>
                <w:rFonts w:hint="default" w:ascii="Times New Roman" w:hAnsi="Times New Roman" w:eastAsia="宋体" w:cs="Times New Roman"/>
                <w:i w:val="0"/>
                <w:color w:val="auto"/>
                <w:kern w:val="0"/>
                <w:sz w:val="24"/>
                <w:szCs w:val="24"/>
                <w:highlight w:val="none"/>
                <w:u w:val="none"/>
                <w:vertAlign w:val="superscript"/>
                <w:lang w:val="en-US" w:eastAsia="zh-CN"/>
              </w:rPr>
              <w:t>3</w:t>
            </w:r>
            <w:r>
              <w:rPr>
                <w:rFonts w:hint="default" w:ascii="Times New Roman" w:hAnsi="Times New Roman" w:eastAsia="宋体" w:cs="Times New Roman"/>
                <w:i w:val="0"/>
                <w:color w:val="auto"/>
                <w:kern w:val="0"/>
                <w:sz w:val="24"/>
                <w:szCs w:val="24"/>
                <w:highlight w:val="none"/>
                <w:u w:val="none"/>
                <w:lang w:val="en-US" w:eastAsia="zh-CN"/>
              </w:rPr>
              <w:t>）</w:t>
            </w:r>
          </w:p>
        </w:tc>
        <w:tc>
          <w:tcPr>
            <w:tcW w:w="632" w:type="dxa"/>
            <w:tcBorders>
              <w:tl2br w:val="nil"/>
              <w:tr2bl w:val="nil"/>
            </w:tcBorders>
            <w:tcMar>
              <w:top w:w="15" w:type="dxa"/>
              <w:left w:w="15" w:type="dxa"/>
              <w:right w:w="15" w:type="dxa"/>
            </w:tcMar>
            <w:vAlign w:val="center"/>
          </w:tcPr>
          <w:p w14:paraId="2C5B46B6">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1.66</w:t>
            </w:r>
          </w:p>
        </w:tc>
        <w:tc>
          <w:tcPr>
            <w:tcW w:w="632" w:type="dxa"/>
            <w:tcBorders>
              <w:tl2br w:val="nil"/>
              <w:tr2bl w:val="nil"/>
            </w:tcBorders>
            <w:tcMar>
              <w:top w:w="15" w:type="dxa"/>
              <w:left w:w="15" w:type="dxa"/>
              <w:right w:w="15" w:type="dxa"/>
            </w:tcMar>
            <w:vAlign w:val="center"/>
          </w:tcPr>
          <w:p w14:paraId="478A929C">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2.42</w:t>
            </w:r>
          </w:p>
        </w:tc>
        <w:tc>
          <w:tcPr>
            <w:tcW w:w="632" w:type="dxa"/>
            <w:tcBorders>
              <w:tl2br w:val="nil"/>
              <w:tr2bl w:val="nil"/>
            </w:tcBorders>
            <w:tcMar>
              <w:top w:w="15" w:type="dxa"/>
              <w:left w:w="15" w:type="dxa"/>
              <w:right w:w="15" w:type="dxa"/>
            </w:tcMar>
            <w:vAlign w:val="center"/>
          </w:tcPr>
          <w:p w14:paraId="51785057">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3.92</w:t>
            </w:r>
          </w:p>
        </w:tc>
        <w:tc>
          <w:tcPr>
            <w:tcW w:w="632" w:type="dxa"/>
            <w:tcBorders>
              <w:tl2br w:val="nil"/>
              <w:tr2bl w:val="nil"/>
            </w:tcBorders>
            <w:tcMar>
              <w:top w:w="15" w:type="dxa"/>
              <w:left w:w="15" w:type="dxa"/>
              <w:right w:w="15" w:type="dxa"/>
            </w:tcMar>
            <w:vAlign w:val="center"/>
          </w:tcPr>
          <w:p w14:paraId="7FEDF163">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9.88</w:t>
            </w:r>
          </w:p>
        </w:tc>
        <w:tc>
          <w:tcPr>
            <w:tcW w:w="632" w:type="dxa"/>
            <w:tcBorders>
              <w:tl2br w:val="nil"/>
              <w:tr2bl w:val="nil"/>
            </w:tcBorders>
            <w:tcMar>
              <w:top w:w="15" w:type="dxa"/>
              <w:left w:w="15" w:type="dxa"/>
              <w:right w:w="15" w:type="dxa"/>
            </w:tcMar>
            <w:vAlign w:val="center"/>
          </w:tcPr>
          <w:p w14:paraId="0310E4D1">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6.75</w:t>
            </w:r>
          </w:p>
        </w:tc>
        <w:tc>
          <w:tcPr>
            <w:tcW w:w="632" w:type="dxa"/>
            <w:tcBorders>
              <w:tl2br w:val="nil"/>
              <w:tr2bl w:val="nil"/>
            </w:tcBorders>
            <w:tcMar>
              <w:top w:w="15" w:type="dxa"/>
              <w:left w:w="15" w:type="dxa"/>
              <w:right w:w="15" w:type="dxa"/>
            </w:tcMar>
            <w:vAlign w:val="center"/>
          </w:tcPr>
          <w:p w14:paraId="54615B87">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3.78</w:t>
            </w:r>
          </w:p>
        </w:tc>
        <w:tc>
          <w:tcPr>
            <w:tcW w:w="632" w:type="dxa"/>
            <w:tcBorders>
              <w:tl2br w:val="nil"/>
              <w:tr2bl w:val="nil"/>
            </w:tcBorders>
            <w:tcMar>
              <w:top w:w="15" w:type="dxa"/>
              <w:left w:w="15" w:type="dxa"/>
              <w:right w:w="15" w:type="dxa"/>
            </w:tcMar>
            <w:vAlign w:val="center"/>
          </w:tcPr>
          <w:p w14:paraId="78E8FEEA">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2.5</w:t>
            </w:r>
          </w:p>
        </w:tc>
        <w:tc>
          <w:tcPr>
            <w:tcW w:w="632" w:type="dxa"/>
            <w:tcBorders>
              <w:tl2br w:val="nil"/>
              <w:tr2bl w:val="nil"/>
            </w:tcBorders>
            <w:tcMar>
              <w:top w:w="15" w:type="dxa"/>
              <w:left w:w="15" w:type="dxa"/>
              <w:right w:w="15" w:type="dxa"/>
            </w:tcMar>
            <w:vAlign w:val="center"/>
          </w:tcPr>
          <w:p w14:paraId="12369FF5">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2.95</w:t>
            </w:r>
          </w:p>
        </w:tc>
        <w:tc>
          <w:tcPr>
            <w:tcW w:w="632" w:type="dxa"/>
            <w:tcBorders>
              <w:tl2br w:val="nil"/>
              <w:tr2bl w:val="nil"/>
            </w:tcBorders>
            <w:tcMar>
              <w:top w:w="15" w:type="dxa"/>
              <w:left w:w="15" w:type="dxa"/>
              <w:right w:w="15" w:type="dxa"/>
            </w:tcMar>
            <w:vAlign w:val="center"/>
          </w:tcPr>
          <w:p w14:paraId="1EDB1A45">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1.41</w:t>
            </w:r>
          </w:p>
        </w:tc>
        <w:tc>
          <w:tcPr>
            <w:tcW w:w="632" w:type="dxa"/>
            <w:tcBorders>
              <w:tl2br w:val="nil"/>
              <w:tr2bl w:val="nil"/>
            </w:tcBorders>
            <w:tcMar>
              <w:top w:w="15" w:type="dxa"/>
              <w:left w:w="15" w:type="dxa"/>
              <w:right w:w="15" w:type="dxa"/>
            </w:tcMar>
            <w:vAlign w:val="center"/>
          </w:tcPr>
          <w:p w14:paraId="56679542">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1.21</w:t>
            </w:r>
          </w:p>
        </w:tc>
        <w:tc>
          <w:tcPr>
            <w:tcW w:w="632" w:type="dxa"/>
            <w:tcBorders>
              <w:tl2br w:val="nil"/>
              <w:tr2bl w:val="nil"/>
            </w:tcBorders>
            <w:tcMar>
              <w:top w:w="15" w:type="dxa"/>
              <w:left w:w="15" w:type="dxa"/>
              <w:right w:w="15" w:type="dxa"/>
            </w:tcMar>
            <w:vAlign w:val="center"/>
          </w:tcPr>
          <w:p w14:paraId="630BA2FF">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0.82</w:t>
            </w:r>
          </w:p>
        </w:tc>
        <w:tc>
          <w:tcPr>
            <w:tcW w:w="632" w:type="dxa"/>
            <w:tcBorders>
              <w:tl2br w:val="nil"/>
              <w:tr2bl w:val="nil"/>
            </w:tcBorders>
            <w:tcMar>
              <w:top w:w="15" w:type="dxa"/>
              <w:left w:w="15" w:type="dxa"/>
              <w:right w:w="15" w:type="dxa"/>
            </w:tcMar>
            <w:vAlign w:val="center"/>
          </w:tcPr>
          <w:p w14:paraId="76824900">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0.76</w:t>
            </w:r>
          </w:p>
        </w:tc>
        <w:tc>
          <w:tcPr>
            <w:tcW w:w="632" w:type="dxa"/>
            <w:tcBorders>
              <w:tl2br w:val="nil"/>
              <w:tr2bl w:val="nil"/>
            </w:tcBorders>
            <w:tcMar>
              <w:top w:w="15" w:type="dxa"/>
              <w:left w:w="15" w:type="dxa"/>
              <w:right w:w="15" w:type="dxa"/>
            </w:tcMar>
            <w:vAlign w:val="center"/>
          </w:tcPr>
          <w:p w14:paraId="7E553798">
            <w:pPr>
              <w:widowControl/>
              <w:wordWrap/>
              <w:adjustRightInd/>
              <w:snapToGrid/>
              <w:spacing w:line="46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38.06</w:t>
            </w:r>
          </w:p>
        </w:tc>
      </w:tr>
    </w:tbl>
    <w:p w14:paraId="42514920">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（3）库容曲线</w:t>
      </w:r>
    </w:p>
    <w:p w14:paraId="48D88B37">
      <w:pPr>
        <w:autoSpaceDE w:val="0"/>
        <w:autoSpaceDN w:val="0"/>
        <w:snapToGrid w:val="0"/>
        <w:spacing w:line="520" w:lineRule="exact"/>
        <w:ind w:firstLine="560" w:firstLineChars="200"/>
        <w:rPr>
          <w:rFonts w:eastAsia="楷体"/>
          <w:b/>
          <w:bCs/>
          <w:color w:val="auto"/>
          <w:kern w:val="0"/>
          <w:sz w:val="28"/>
          <w:szCs w:val="28"/>
          <w:highlight w:val="none"/>
        </w:rPr>
      </w:pPr>
      <w:r>
        <w:rPr>
          <w:rFonts w:hint="default" w:ascii="Times New Roman" w:hAnsi="Times New Roman" w:eastAsia="楷体" w:cs="Times New Roman"/>
          <w:color w:val="auto"/>
          <w:sz w:val="28"/>
          <w:szCs w:val="28"/>
          <w:highlight w:val="none"/>
        </w:rPr>
        <w:t>根据《泉港区前黄镇前烧水库除险加固工程初步设计报告（报批稿）》（泉州市水利水电勘测设计院，2013年5月），前烧水库坝址水位库容关系曲线见表</w:t>
      </w:r>
      <w:r>
        <w:rPr>
          <w:rFonts w:hint="eastAsia" w:eastAsia="楷体" w:cs="Times New Roman"/>
          <w:color w:val="auto"/>
          <w:sz w:val="28"/>
          <w:szCs w:val="28"/>
          <w:highlight w:val="none"/>
          <w:lang w:val="en-US" w:eastAsia="zh-CN"/>
        </w:rPr>
        <w:t>4</w:t>
      </w:r>
      <w:r>
        <w:rPr>
          <w:rFonts w:hint="default" w:ascii="Times New Roman" w:hAnsi="Times New Roman" w:eastAsia="楷体" w:cs="Times New Roman"/>
          <w:color w:val="auto"/>
          <w:sz w:val="28"/>
          <w:szCs w:val="28"/>
          <w:highlight w:val="none"/>
        </w:rPr>
        <w:t>-</w:t>
      </w:r>
      <w:r>
        <w:rPr>
          <w:rFonts w:hint="eastAsia"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p>
    <w:p w14:paraId="5ACF8320">
      <w:pPr>
        <w:spacing w:line="520" w:lineRule="exact"/>
        <w:rPr>
          <w:rFonts w:eastAsia="楷体"/>
          <w:b/>
          <w:bCs/>
          <w:color w:val="auto"/>
          <w:kern w:val="0"/>
          <w:sz w:val="28"/>
          <w:szCs w:val="28"/>
          <w:highlight w:val="none"/>
        </w:rPr>
      </w:pPr>
    </w:p>
    <w:p w14:paraId="58DE5265">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2</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水位~库容关系表</w:t>
      </w:r>
    </w:p>
    <w:tbl>
      <w:tblPr>
        <w:tblStyle w:val="19"/>
        <w:tblW w:w="910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70"/>
        <w:gridCol w:w="4931"/>
      </w:tblGrid>
      <w:tr w14:paraId="07D78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18F5BBD5">
            <w:pPr>
              <w:widowControl/>
              <w:wordWrap/>
              <w:adjustRightInd/>
              <w:snapToGrid/>
              <w:spacing w:line="440" w:lineRule="exact"/>
              <w:jc w:val="center"/>
              <w:textAlignment w:val="center"/>
              <w:rPr>
                <w:rFonts w:hint="default" w:ascii="Times New Roman" w:hAnsi="Times New Roman" w:eastAsia="宋体" w:cs="Times New Roman"/>
                <w:b/>
                <w:bCs/>
                <w:i w:val="0"/>
                <w:color w:val="auto"/>
                <w:sz w:val="24"/>
                <w:szCs w:val="24"/>
                <w:highlight w:val="none"/>
                <w:u w:val="none"/>
              </w:rPr>
            </w:pPr>
            <w:r>
              <w:rPr>
                <w:rFonts w:hint="default" w:ascii="Times New Roman" w:hAnsi="Times New Roman" w:eastAsia="宋体" w:cs="Times New Roman"/>
                <w:b/>
                <w:bCs/>
                <w:i w:val="0"/>
                <w:color w:val="auto"/>
                <w:kern w:val="0"/>
                <w:sz w:val="24"/>
                <w:szCs w:val="24"/>
                <w:highlight w:val="none"/>
                <w:u w:val="none"/>
                <w:lang w:val="en-US" w:eastAsia="zh-CN"/>
              </w:rPr>
              <w:t>高程(m)</w:t>
            </w:r>
          </w:p>
        </w:tc>
        <w:tc>
          <w:tcPr>
            <w:tcW w:w="4931" w:type="dxa"/>
            <w:tcBorders>
              <w:tl2br w:val="nil"/>
              <w:tr2bl w:val="nil"/>
            </w:tcBorders>
            <w:tcMar>
              <w:top w:w="15" w:type="dxa"/>
              <w:left w:w="15" w:type="dxa"/>
              <w:right w:w="15" w:type="dxa"/>
            </w:tcMar>
            <w:vAlign w:val="center"/>
          </w:tcPr>
          <w:p w14:paraId="00DB0507">
            <w:pPr>
              <w:widowControl/>
              <w:wordWrap/>
              <w:adjustRightInd/>
              <w:snapToGrid/>
              <w:spacing w:line="440" w:lineRule="exact"/>
              <w:jc w:val="center"/>
              <w:textAlignment w:val="center"/>
              <w:rPr>
                <w:rFonts w:hint="default" w:ascii="Times New Roman" w:hAnsi="Times New Roman" w:eastAsia="宋体" w:cs="Times New Roman"/>
                <w:b/>
                <w:bCs/>
                <w:i w:val="0"/>
                <w:color w:val="auto"/>
                <w:sz w:val="24"/>
                <w:szCs w:val="24"/>
                <w:highlight w:val="none"/>
                <w:u w:val="none"/>
              </w:rPr>
            </w:pPr>
            <w:r>
              <w:rPr>
                <w:rFonts w:hint="default" w:ascii="Times New Roman" w:hAnsi="Times New Roman" w:eastAsia="宋体" w:cs="Times New Roman"/>
                <w:b/>
                <w:bCs/>
                <w:i w:val="0"/>
                <w:color w:val="auto"/>
                <w:kern w:val="0"/>
                <w:sz w:val="24"/>
                <w:szCs w:val="24"/>
                <w:highlight w:val="none"/>
                <w:u w:val="none"/>
                <w:lang w:val="en-US" w:eastAsia="zh-CN"/>
              </w:rPr>
              <w:t>库容(万m</w:t>
            </w:r>
            <w:r>
              <w:rPr>
                <w:rFonts w:hint="default" w:ascii="Times New Roman" w:hAnsi="Times New Roman" w:eastAsia="宋体" w:cs="Times New Roman"/>
                <w:b/>
                <w:bCs/>
                <w:i w:val="0"/>
                <w:color w:val="auto"/>
                <w:kern w:val="0"/>
                <w:sz w:val="24"/>
                <w:szCs w:val="24"/>
                <w:highlight w:val="none"/>
                <w:u w:val="none"/>
                <w:vertAlign w:val="superscript"/>
                <w:lang w:val="en-US" w:eastAsia="zh-CN"/>
              </w:rPr>
              <w:t>3</w:t>
            </w:r>
            <w:r>
              <w:rPr>
                <w:rFonts w:hint="default" w:ascii="Times New Roman" w:hAnsi="Times New Roman" w:eastAsia="宋体" w:cs="Times New Roman"/>
                <w:b/>
                <w:bCs/>
                <w:i w:val="0"/>
                <w:color w:val="auto"/>
                <w:kern w:val="0"/>
                <w:sz w:val="24"/>
                <w:szCs w:val="24"/>
                <w:highlight w:val="none"/>
                <w:u w:val="none"/>
                <w:lang w:val="en-US" w:eastAsia="zh-CN"/>
              </w:rPr>
              <w:t>)</w:t>
            </w:r>
          </w:p>
        </w:tc>
      </w:tr>
      <w:tr w14:paraId="798765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0D1A0C1E">
            <w:pPr>
              <w:widowControl/>
              <w:wordWrap/>
              <w:adjustRightInd/>
              <w:snapToGrid/>
              <w:spacing w:line="4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29.45</w:t>
            </w:r>
          </w:p>
        </w:tc>
        <w:tc>
          <w:tcPr>
            <w:tcW w:w="4931" w:type="dxa"/>
            <w:tcBorders>
              <w:tl2br w:val="nil"/>
              <w:tr2bl w:val="nil"/>
            </w:tcBorders>
            <w:tcMar>
              <w:top w:w="15" w:type="dxa"/>
              <w:left w:w="15" w:type="dxa"/>
              <w:right w:w="15" w:type="dxa"/>
            </w:tcMar>
            <w:vAlign w:val="center"/>
          </w:tcPr>
          <w:p w14:paraId="1DCC7E0A">
            <w:pPr>
              <w:widowControl/>
              <w:wordWrap/>
              <w:adjustRightInd/>
              <w:snapToGrid/>
              <w:spacing w:line="4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rPr>
              <w:t>3.48</w:t>
            </w:r>
          </w:p>
        </w:tc>
      </w:tr>
      <w:tr w14:paraId="16E58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579E78E7">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33.72</w:t>
            </w:r>
          </w:p>
        </w:tc>
        <w:tc>
          <w:tcPr>
            <w:tcW w:w="4931" w:type="dxa"/>
            <w:tcBorders>
              <w:tl2br w:val="nil"/>
              <w:tr2bl w:val="nil"/>
            </w:tcBorders>
            <w:tcMar>
              <w:top w:w="15" w:type="dxa"/>
              <w:left w:w="15" w:type="dxa"/>
              <w:right w:w="15" w:type="dxa"/>
            </w:tcMar>
            <w:vAlign w:val="center"/>
          </w:tcPr>
          <w:p w14:paraId="0D5C33E9">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6</w:t>
            </w:r>
          </w:p>
        </w:tc>
      </w:tr>
      <w:tr w14:paraId="51D44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1448849A">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34</w:t>
            </w:r>
          </w:p>
        </w:tc>
        <w:tc>
          <w:tcPr>
            <w:tcW w:w="4931" w:type="dxa"/>
            <w:tcBorders>
              <w:tl2br w:val="nil"/>
              <w:tr2bl w:val="nil"/>
            </w:tcBorders>
            <w:tcMar>
              <w:top w:w="15" w:type="dxa"/>
              <w:left w:w="15" w:type="dxa"/>
              <w:right w:w="15" w:type="dxa"/>
            </w:tcMar>
            <w:vAlign w:val="center"/>
          </w:tcPr>
          <w:p w14:paraId="52B32E56">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6.86</w:t>
            </w:r>
          </w:p>
        </w:tc>
      </w:tr>
      <w:tr w14:paraId="6EDF4A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4C2C10A6">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35</w:t>
            </w:r>
          </w:p>
        </w:tc>
        <w:tc>
          <w:tcPr>
            <w:tcW w:w="4931" w:type="dxa"/>
            <w:tcBorders>
              <w:tl2br w:val="nil"/>
              <w:tr2bl w:val="nil"/>
            </w:tcBorders>
            <w:tcMar>
              <w:top w:w="15" w:type="dxa"/>
              <w:left w:w="15" w:type="dxa"/>
              <w:right w:w="15" w:type="dxa"/>
            </w:tcMar>
            <w:vAlign w:val="center"/>
          </w:tcPr>
          <w:p w14:paraId="5935E234">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10.56</w:t>
            </w:r>
          </w:p>
        </w:tc>
      </w:tr>
      <w:tr w14:paraId="62415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17F471DE">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36</w:t>
            </w:r>
          </w:p>
        </w:tc>
        <w:tc>
          <w:tcPr>
            <w:tcW w:w="4931" w:type="dxa"/>
            <w:tcBorders>
              <w:tl2br w:val="nil"/>
              <w:tr2bl w:val="nil"/>
            </w:tcBorders>
            <w:tcMar>
              <w:top w:w="15" w:type="dxa"/>
              <w:left w:w="15" w:type="dxa"/>
              <w:right w:w="15" w:type="dxa"/>
            </w:tcMar>
            <w:vAlign w:val="center"/>
          </w:tcPr>
          <w:p w14:paraId="787E7E20">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14.89</w:t>
            </w:r>
          </w:p>
        </w:tc>
      </w:tr>
      <w:tr w14:paraId="59D417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09EDC96B">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37</w:t>
            </w:r>
          </w:p>
        </w:tc>
        <w:tc>
          <w:tcPr>
            <w:tcW w:w="4931" w:type="dxa"/>
            <w:tcBorders>
              <w:tl2br w:val="nil"/>
              <w:tr2bl w:val="nil"/>
            </w:tcBorders>
            <w:tcMar>
              <w:top w:w="15" w:type="dxa"/>
              <w:left w:w="15" w:type="dxa"/>
              <w:right w:w="15" w:type="dxa"/>
            </w:tcMar>
            <w:vAlign w:val="center"/>
          </w:tcPr>
          <w:p w14:paraId="148CA937">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19.92</w:t>
            </w:r>
          </w:p>
        </w:tc>
      </w:tr>
      <w:tr w14:paraId="5F5B2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313B1027">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37.75</w:t>
            </w:r>
          </w:p>
        </w:tc>
        <w:tc>
          <w:tcPr>
            <w:tcW w:w="4931" w:type="dxa"/>
            <w:tcBorders>
              <w:tl2br w:val="nil"/>
              <w:tr2bl w:val="nil"/>
            </w:tcBorders>
            <w:tcMar>
              <w:top w:w="15" w:type="dxa"/>
              <w:left w:w="15" w:type="dxa"/>
              <w:right w:w="15" w:type="dxa"/>
            </w:tcMar>
            <w:vAlign w:val="center"/>
          </w:tcPr>
          <w:p w14:paraId="225183D7">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24.18</w:t>
            </w:r>
          </w:p>
        </w:tc>
      </w:tr>
      <w:tr w14:paraId="3F279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7AF0ABFB">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38</w:t>
            </w:r>
          </w:p>
        </w:tc>
        <w:tc>
          <w:tcPr>
            <w:tcW w:w="4931" w:type="dxa"/>
            <w:tcBorders>
              <w:tl2br w:val="nil"/>
              <w:tr2bl w:val="nil"/>
            </w:tcBorders>
            <w:tcMar>
              <w:top w:w="15" w:type="dxa"/>
              <w:left w:w="15" w:type="dxa"/>
              <w:right w:w="15" w:type="dxa"/>
            </w:tcMar>
            <w:vAlign w:val="center"/>
          </w:tcPr>
          <w:p w14:paraId="63A78541">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25.68</w:t>
            </w:r>
          </w:p>
        </w:tc>
      </w:tr>
      <w:tr w14:paraId="1A16F4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724ED2AB">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39</w:t>
            </w:r>
          </w:p>
        </w:tc>
        <w:tc>
          <w:tcPr>
            <w:tcW w:w="4931" w:type="dxa"/>
            <w:tcBorders>
              <w:tl2br w:val="nil"/>
              <w:tr2bl w:val="nil"/>
            </w:tcBorders>
            <w:tcMar>
              <w:top w:w="15" w:type="dxa"/>
              <w:left w:w="15" w:type="dxa"/>
              <w:right w:w="15" w:type="dxa"/>
            </w:tcMar>
            <w:vAlign w:val="center"/>
          </w:tcPr>
          <w:p w14:paraId="6FE86E9E">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32.05</w:t>
            </w:r>
          </w:p>
        </w:tc>
      </w:tr>
      <w:tr w14:paraId="00EBC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tcMar>
              <w:top w:w="15" w:type="dxa"/>
              <w:left w:w="15" w:type="dxa"/>
              <w:right w:w="15" w:type="dxa"/>
            </w:tcMar>
            <w:vAlign w:val="center"/>
          </w:tcPr>
          <w:p w14:paraId="5BA31A4F">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39.8</w:t>
            </w:r>
          </w:p>
        </w:tc>
        <w:tc>
          <w:tcPr>
            <w:tcW w:w="4931" w:type="dxa"/>
            <w:tcBorders>
              <w:tl2br w:val="nil"/>
              <w:tr2bl w:val="nil"/>
            </w:tcBorders>
            <w:tcMar>
              <w:top w:w="15" w:type="dxa"/>
              <w:left w:w="15" w:type="dxa"/>
              <w:right w:w="15" w:type="dxa"/>
            </w:tcMar>
            <w:vAlign w:val="center"/>
          </w:tcPr>
          <w:p w14:paraId="785AC3E3">
            <w:pPr>
              <w:widowControl/>
              <w:wordWrap/>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rPr>
              <w:t>37.65</w:t>
            </w:r>
          </w:p>
        </w:tc>
      </w:tr>
    </w:tbl>
    <w:p w14:paraId="43AD88E0">
      <w:pPr>
        <w:spacing w:line="520" w:lineRule="exact"/>
        <w:ind w:firstLine="560" w:firstLineChars="200"/>
        <w:rPr>
          <w:rFonts w:hint="eastAsia" w:eastAsia="楷体"/>
          <w:color w:val="auto"/>
          <w:sz w:val="28"/>
          <w:szCs w:val="28"/>
          <w:highlight w:val="none"/>
          <w:lang w:val="en-US" w:eastAsia="zh-CN"/>
        </w:rPr>
      </w:pPr>
    </w:p>
    <w:p w14:paraId="3DFFECFA">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（4）兴利调节</w:t>
      </w:r>
    </w:p>
    <w:p w14:paraId="20BE9E1F">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根据以上所收集资料进行兴利调节计算，确定汛限水位为37.75m，具体计算表格如下：</w:t>
      </w:r>
    </w:p>
    <w:p w14:paraId="09D79649">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3</w:t>
      </w:r>
      <w:r>
        <w:rPr>
          <w:rFonts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兴利调节计算表格</w:t>
      </w:r>
    </w:p>
    <w:tbl>
      <w:tblPr>
        <w:tblStyle w:val="19"/>
        <w:tblW w:w="9101"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5"/>
        <w:gridCol w:w="821"/>
        <w:gridCol w:w="822"/>
        <w:gridCol w:w="821"/>
        <w:gridCol w:w="1107"/>
        <w:gridCol w:w="980"/>
        <w:gridCol w:w="1439"/>
        <w:gridCol w:w="1150"/>
        <w:gridCol w:w="966"/>
      </w:tblGrid>
      <w:tr w14:paraId="28F984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995" w:type="dxa"/>
            <w:tcBorders>
              <w:tl2br w:val="nil"/>
              <w:tr2bl w:val="nil"/>
            </w:tcBorders>
            <w:tcMar>
              <w:top w:w="15" w:type="dxa"/>
              <w:left w:w="15" w:type="dxa"/>
              <w:right w:w="15" w:type="dxa"/>
            </w:tcMar>
            <w:vAlign w:val="center"/>
          </w:tcPr>
          <w:p w14:paraId="7E560BD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年份</w:t>
            </w:r>
          </w:p>
        </w:tc>
        <w:tc>
          <w:tcPr>
            <w:tcW w:w="821" w:type="dxa"/>
            <w:tcBorders>
              <w:tl2br w:val="nil"/>
              <w:tr2bl w:val="nil"/>
            </w:tcBorders>
            <w:tcMar>
              <w:top w:w="15" w:type="dxa"/>
              <w:left w:w="15" w:type="dxa"/>
              <w:right w:w="15" w:type="dxa"/>
            </w:tcMar>
            <w:vAlign w:val="center"/>
          </w:tcPr>
          <w:p w14:paraId="2816DD3B">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月份</w:t>
            </w:r>
          </w:p>
        </w:tc>
        <w:tc>
          <w:tcPr>
            <w:tcW w:w="822" w:type="dxa"/>
            <w:tcBorders>
              <w:tl2br w:val="nil"/>
              <w:tr2bl w:val="nil"/>
            </w:tcBorders>
            <w:tcMar>
              <w:top w:w="15" w:type="dxa"/>
              <w:left w:w="15" w:type="dxa"/>
              <w:right w:w="15" w:type="dxa"/>
            </w:tcMar>
            <w:vAlign w:val="center"/>
          </w:tcPr>
          <w:p w14:paraId="538BFE2B">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时间节点</w:t>
            </w:r>
          </w:p>
        </w:tc>
        <w:tc>
          <w:tcPr>
            <w:tcW w:w="821" w:type="dxa"/>
            <w:tcBorders>
              <w:tl2br w:val="nil"/>
              <w:tr2bl w:val="nil"/>
            </w:tcBorders>
            <w:tcMar>
              <w:top w:w="15" w:type="dxa"/>
              <w:left w:w="15" w:type="dxa"/>
              <w:right w:w="15" w:type="dxa"/>
            </w:tcMar>
            <w:vAlign w:val="center"/>
          </w:tcPr>
          <w:p w14:paraId="281C9E8C">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水位（m）</w:t>
            </w:r>
          </w:p>
        </w:tc>
        <w:tc>
          <w:tcPr>
            <w:tcW w:w="1107" w:type="dxa"/>
            <w:tcBorders>
              <w:tl2br w:val="nil"/>
              <w:tr2bl w:val="nil"/>
            </w:tcBorders>
            <w:tcMar>
              <w:top w:w="15" w:type="dxa"/>
              <w:left w:w="15" w:type="dxa"/>
              <w:right w:w="15" w:type="dxa"/>
            </w:tcMar>
            <w:vAlign w:val="center"/>
          </w:tcPr>
          <w:p w14:paraId="17995222">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库容（万m</w:t>
            </w:r>
            <w:r>
              <w:rPr>
                <w:rFonts w:hint="default" w:ascii="Times New Roman" w:hAnsi="Times New Roman" w:eastAsia="宋体" w:cs="Times New Roman"/>
                <w:i w:val="0"/>
                <w:color w:val="auto"/>
                <w:kern w:val="0"/>
                <w:sz w:val="21"/>
                <w:szCs w:val="21"/>
                <w:highlight w:val="none"/>
                <w:u w:val="none"/>
                <w:vertAlign w:val="superscript"/>
                <w:lang w:val="en-US" w:eastAsia="zh-CN"/>
              </w:rPr>
              <w:t>3</w:t>
            </w:r>
            <w:r>
              <w:rPr>
                <w:rFonts w:hint="default" w:ascii="Times New Roman" w:hAnsi="Times New Roman" w:eastAsia="宋体" w:cs="Times New Roman"/>
                <w:i w:val="0"/>
                <w:color w:val="auto"/>
                <w:kern w:val="0"/>
                <w:sz w:val="21"/>
                <w:szCs w:val="21"/>
                <w:highlight w:val="none"/>
                <w:u w:val="none"/>
                <w:lang w:val="en-US" w:eastAsia="zh-CN"/>
              </w:rPr>
              <w:t>）</w:t>
            </w:r>
          </w:p>
        </w:tc>
        <w:tc>
          <w:tcPr>
            <w:tcW w:w="980" w:type="dxa"/>
            <w:tcBorders>
              <w:tl2br w:val="nil"/>
              <w:tr2bl w:val="nil"/>
            </w:tcBorders>
            <w:tcMar>
              <w:top w:w="15" w:type="dxa"/>
              <w:left w:w="15" w:type="dxa"/>
              <w:right w:w="15" w:type="dxa"/>
            </w:tcMar>
            <w:vAlign w:val="center"/>
          </w:tcPr>
          <w:p w14:paraId="34821591">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来水量（万m</w:t>
            </w:r>
            <w:r>
              <w:rPr>
                <w:rFonts w:hint="default" w:ascii="Times New Roman" w:hAnsi="Times New Roman" w:eastAsia="宋体" w:cs="Times New Roman"/>
                <w:i w:val="0"/>
                <w:color w:val="auto"/>
                <w:kern w:val="0"/>
                <w:sz w:val="21"/>
                <w:szCs w:val="21"/>
                <w:highlight w:val="none"/>
                <w:u w:val="none"/>
                <w:vertAlign w:val="superscript"/>
                <w:lang w:val="en-US" w:eastAsia="zh-CN"/>
              </w:rPr>
              <w:t>3</w:t>
            </w:r>
            <w:r>
              <w:rPr>
                <w:rFonts w:hint="default" w:ascii="Times New Roman" w:hAnsi="Times New Roman" w:eastAsia="宋体" w:cs="Times New Roman"/>
                <w:i w:val="0"/>
                <w:color w:val="auto"/>
                <w:kern w:val="0"/>
                <w:sz w:val="21"/>
                <w:szCs w:val="21"/>
                <w:highlight w:val="none"/>
                <w:u w:val="none"/>
                <w:lang w:val="en-US" w:eastAsia="zh-CN"/>
              </w:rPr>
              <w:t>）</w:t>
            </w:r>
          </w:p>
        </w:tc>
        <w:tc>
          <w:tcPr>
            <w:tcW w:w="1439" w:type="dxa"/>
            <w:tcBorders>
              <w:tl2br w:val="nil"/>
              <w:tr2bl w:val="nil"/>
            </w:tcBorders>
            <w:tcMar>
              <w:top w:w="15" w:type="dxa"/>
              <w:left w:w="15" w:type="dxa"/>
              <w:right w:w="15" w:type="dxa"/>
            </w:tcMar>
            <w:vAlign w:val="center"/>
          </w:tcPr>
          <w:p w14:paraId="36E68F01">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生态基流(10%)及蒸发渗漏(3%)（万m</w:t>
            </w:r>
            <w:r>
              <w:rPr>
                <w:rFonts w:hint="default" w:ascii="Times New Roman" w:hAnsi="Times New Roman" w:eastAsia="宋体" w:cs="Times New Roman"/>
                <w:i w:val="0"/>
                <w:color w:val="auto"/>
                <w:kern w:val="0"/>
                <w:sz w:val="21"/>
                <w:szCs w:val="21"/>
                <w:highlight w:val="none"/>
                <w:u w:val="none"/>
                <w:vertAlign w:val="superscript"/>
                <w:lang w:val="en-US" w:eastAsia="zh-CN"/>
              </w:rPr>
              <w:t>3</w:t>
            </w:r>
            <w:r>
              <w:rPr>
                <w:rFonts w:hint="default" w:ascii="Times New Roman" w:hAnsi="Times New Roman" w:eastAsia="宋体" w:cs="Times New Roman"/>
                <w:i w:val="0"/>
                <w:color w:val="auto"/>
                <w:kern w:val="0"/>
                <w:sz w:val="21"/>
                <w:szCs w:val="21"/>
                <w:highlight w:val="none"/>
                <w:u w:val="none"/>
                <w:lang w:val="en-US" w:eastAsia="zh-CN"/>
              </w:rPr>
              <w:t>）</w:t>
            </w:r>
          </w:p>
        </w:tc>
        <w:tc>
          <w:tcPr>
            <w:tcW w:w="1150" w:type="dxa"/>
            <w:tcBorders>
              <w:tl2br w:val="nil"/>
              <w:tr2bl w:val="nil"/>
            </w:tcBorders>
            <w:tcMar>
              <w:top w:w="15" w:type="dxa"/>
              <w:left w:w="15" w:type="dxa"/>
              <w:right w:w="15" w:type="dxa"/>
            </w:tcMar>
            <w:vAlign w:val="center"/>
          </w:tcPr>
          <w:p w14:paraId="24037C6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用水(下游灌溉用水)（万m</w:t>
            </w:r>
            <w:r>
              <w:rPr>
                <w:rFonts w:hint="default" w:ascii="Times New Roman" w:hAnsi="Times New Roman" w:eastAsia="宋体" w:cs="Times New Roman"/>
                <w:i w:val="0"/>
                <w:color w:val="auto"/>
                <w:kern w:val="0"/>
                <w:sz w:val="21"/>
                <w:szCs w:val="21"/>
                <w:highlight w:val="none"/>
                <w:u w:val="none"/>
                <w:vertAlign w:val="superscript"/>
                <w:lang w:val="en-US" w:eastAsia="zh-CN"/>
              </w:rPr>
              <w:t>3</w:t>
            </w:r>
            <w:r>
              <w:rPr>
                <w:rFonts w:hint="default" w:ascii="Times New Roman" w:hAnsi="Times New Roman" w:eastAsia="宋体" w:cs="Times New Roman"/>
                <w:i w:val="0"/>
                <w:color w:val="auto"/>
                <w:kern w:val="0"/>
                <w:sz w:val="21"/>
                <w:szCs w:val="21"/>
                <w:highlight w:val="none"/>
                <w:u w:val="none"/>
                <w:lang w:val="en-US" w:eastAsia="zh-CN"/>
              </w:rPr>
              <w:t>）</w:t>
            </w:r>
          </w:p>
        </w:tc>
        <w:tc>
          <w:tcPr>
            <w:tcW w:w="966" w:type="dxa"/>
            <w:tcBorders>
              <w:tl2br w:val="nil"/>
              <w:tr2bl w:val="nil"/>
            </w:tcBorders>
            <w:tcMar>
              <w:top w:w="15" w:type="dxa"/>
              <w:left w:w="15" w:type="dxa"/>
              <w:right w:w="15" w:type="dxa"/>
            </w:tcMar>
            <w:vAlign w:val="center"/>
          </w:tcPr>
          <w:p w14:paraId="6D3F5DE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弃水（万m</w:t>
            </w:r>
            <w:r>
              <w:rPr>
                <w:rFonts w:hint="default" w:ascii="Times New Roman" w:hAnsi="Times New Roman" w:eastAsia="宋体" w:cs="Times New Roman"/>
                <w:i w:val="0"/>
                <w:color w:val="auto"/>
                <w:kern w:val="0"/>
                <w:sz w:val="21"/>
                <w:szCs w:val="21"/>
                <w:highlight w:val="none"/>
                <w:u w:val="none"/>
                <w:vertAlign w:val="superscript"/>
                <w:lang w:val="en-US" w:eastAsia="zh-CN"/>
              </w:rPr>
              <w:t>3</w:t>
            </w:r>
            <w:r>
              <w:rPr>
                <w:rFonts w:hint="default" w:ascii="Times New Roman" w:hAnsi="Times New Roman" w:eastAsia="宋体" w:cs="Times New Roman"/>
                <w:i w:val="0"/>
                <w:color w:val="auto"/>
                <w:kern w:val="0"/>
                <w:sz w:val="21"/>
                <w:szCs w:val="21"/>
                <w:highlight w:val="none"/>
                <w:u w:val="none"/>
                <w:lang w:val="en-US" w:eastAsia="zh-CN"/>
              </w:rPr>
              <w:t>）</w:t>
            </w:r>
          </w:p>
        </w:tc>
      </w:tr>
      <w:tr w14:paraId="66D20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vMerge w:val="restart"/>
            <w:tcBorders>
              <w:tl2br w:val="nil"/>
              <w:tr2bl w:val="nil"/>
            </w:tcBorders>
            <w:tcMar>
              <w:top w:w="15" w:type="dxa"/>
              <w:left w:w="15" w:type="dxa"/>
              <w:right w:w="15" w:type="dxa"/>
            </w:tcMar>
            <w:vAlign w:val="center"/>
          </w:tcPr>
          <w:p w14:paraId="4FF5E566">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20</w:t>
            </w:r>
            <w:r>
              <w:rPr>
                <w:rFonts w:hint="eastAsia" w:cs="Times New Roman"/>
                <w:i w:val="0"/>
                <w:color w:val="auto"/>
                <w:kern w:val="0"/>
                <w:sz w:val="21"/>
                <w:szCs w:val="21"/>
                <w:highlight w:val="none"/>
                <w:u w:val="none"/>
                <w:lang w:val="en-US" w:eastAsia="zh-CN"/>
              </w:rPr>
              <w:t>25</w:t>
            </w:r>
            <w:r>
              <w:rPr>
                <w:rFonts w:hint="default" w:ascii="Times New Roman" w:hAnsi="Times New Roman" w:eastAsia="宋体" w:cs="Times New Roman"/>
                <w:i w:val="0"/>
                <w:color w:val="auto"/>
                <w:kern w:val="0"/>
                <w:sz w:val="21"/>
                <w:szCs w:val="21"/>
                <w:highlight w:val="none"/>
                <w:u w:val="none"/>
                <w:lang w:val="en-US" w:eastAsia="zh-CN"/>
              </w:rPr>
              <w:t>年汛期</w:t>
            </w:r>
          </w:p>
        </w:tc>
        <w:tc>
          <w:tcPr>
            <w:tcW w:w="821" w:type="dxa"/>
            <w:vMerge w:val="restart"/>
            <w:tcBorders>
              <w:tl2br w:val="nil"/>
              <w:tr2bl w:val="nil"/>
            </w:tcBorders>
            <w:tcMar>
              <w:top w:w="15" w:type="dxa"/>
              <w:left w:w="15" w:type="dxa"/>
              <w:right w:w="15" w:type="dxa"/>
            </w:tcMar>
            <w:vAlign w:val="center"/>
          </w:tcPr>
          <w:p w14:paraId="0268BC6E">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w:t>
            </w:r>
          </w:p>
        </w:tc>
        <w:tc>
          <w:tcPr>
            <w:tcW w:w="822" w:type="dxa"/>
            <w:tcBorders>
              <w:tl2br w:val="nil"/>
              <w:tr2bl w:val="nil"/>
            </w:tcBorders>
            <w:tcMar>
              <w:top w:w="15" w:type="dxa"/>
              <w:left w:w="15" w:type="dxa"/>
              <w:right w:w="15" w:type="dxa"/>
            </w:tcMar>
            <w:vAlign w:val="center"/>
          </w:tcPr>
          <w:p w14:paraId="5EA171D0">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15</w:t>
            </w:r>
            <w:r>
              <w:rPr>
                <w:rFonts w:hint="eastAsia" w:cs="Times New Roman"/>
                <w:i w:val="0"/>
                <w:color w:val="auto"/>
                <w:kern w:val="0"/>
                <w:sz w:val="21"/>
                <w:szCs w:val="21"/>
                <w:highlight w:val="none"/>
                <w:u w:val="none"/>
                <w:lang w:val="en-US" w:eastAsia="zh-CN"/>
              </w:rPr>
              <w:t>日</w:t>
            </w:r>
          </w:p>
        </w:tc>
        <w:tc>
          <w:tcPr>
            <w:tcW w:w="821" w:type="dxa"/>
            <w:tcBorders>
              <w:tl2br w:val="nil"/>
              <w:tr2bl w:val="nil"/>
            </w:tcBorders>
            <w:tcMar>
              <w:top w:w="15" w:type="dxa"/>
              <w:left w:w="15" w:type="dxa"/>
              <w:right w:w="15" w:type="dxa"/>
            </w:tcMar>
            <w:vAlign w:val="center"/>
          </w:tcPr>
          <w:p w14:paraId="5D0DD7A5">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35.3</w:t>
            </w:r>
          </w:p>
        </w:tc>
        <w:tc>
          <w:tcPr>
            <w:tcW w:w="1107" w:type="dxa"/>
            <w:tcBorders>
              <w:tl2br w:val="nil"/>
              <w:tr2bl w:val="nil"/>
            </w:tcBorders>
            <w:tcMar>
              <w:top w:w="15" w:type="dxa"/>
              <w:left w:w="15" w:type="dxa"/>
              <w:right w:w="15" w:type="dxa"/>
            </w:tcMar>
            <w:vAlign w:val="center"/>
          </w:tcPr>
          <w:p w14:paraId="10C261E2">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11.8</w:t>
            </w:r>
          </w:p>
        </w:tc>
        <w:tc>
          <w:tcPr>
            <w:tcW w:w="980" w:type="dxa"/>
            <w:tcBorders>
              <w:tl2br w:val="nil"/>
              <w:tr2bl w:val="nil"/>
            </w:tcBorders>
            <w:tcMar>
              <w:top w:w="15" w:type="dxa"/>
              <w:left w:w="15" w:type="dxa"/>
              <w:right w:w="15" w:type="dxa"/>
            </w:tcMar>
            <w:vAlign w:val="center"/>
          </w:tcPr>
          <w:p w14:paraId="6CF3564D">
            <w:pPr>
              <w:jc w:val="center"/>
              <w:rPr>
                <w:rFonts w:hint="default" w:ascii="Times New Roman" w:hAnsi="Times New Roman" w:eastAsia="宋体" w:cs="Times New Roman"/>
                <w:i w:val="0"/>
                <w:color w:val="auto"/>
                <w:sz w:val="21"/>
                <w:szCs w:val="21"/>
                <w:highlight w:val="none"/>
                <w:u w:val="none"/>
              </w:rPr>
            </w:pPr>
          </w:p>
        </w:tc>
        <w:tc>
          <w:tcPr>
            <w:tcW w:w="1439" w:type="dxa"/>
            <w:tcBorders>
              <w:tl2br w:val="nil"/>
              <w:tr2bl w:val="nil"/>
            </w:tcBorders>
            <w:tcMar>
              <w:top w:w="15" w:type="dxa"/>
              <w:left w:w="15" w:type="dxa"/>
              <w:right w:w="15" w:type="dxa"/>
            </w:tcMar>
            <w:vAlign w:val="center"/>
          </w:tcPr>
          <w:p w14:paraId="0C3A4078">
            <w:pPr>
              <w:jc w:val="center"/>
              <w:rPr>
                <w:rFonts w:hint="default" w:ascii="Times New Roman" w:hAnsi="Times New Roman" w:eastAsia="宋体" w:cs="Times New Roman"/>
                <w:i w:val="0"/>
                <w:color w:val="auto"/>
                <w:sz w:val="21"/>
                <w:szCs w:val="21"/>
                <w:highlight w:val="none"/>
                <w:u w:val="none"/>
              </w:rPr>
            </w:pPr>
          </w:p>
        </w:tc>
        <w:tc>
          <w:tcPr>
            <w:tcW w:w="1150" w:type="dxa"/>
            <w:tcBorders>
              <w:tl2br w:val="nil"/>
              <w:tr2bl w:val="nil"/>
            </w:tcBorders>
            <w:tcMar>
              <w:top w:w="15" w:type="dxa"/>
              <w:left w:w="15" w:type="dxa"/>
              <w:right w:w="15" w:type="dxa"/>
            </w:tcMar>
            <w:vAlign w:val="center"/>
          </w:tcPr>
          <w:p w14:paraId="1D4196FF">
            <w:pPr>
              <w:jc w:val="center"/>
              <w:rPr>
                <w:rFonts w:hint="default" w:ascii="Times New Roman" w:hAnsi="Times New Roman" w:eastAsia="宋体" w:cs="Times New Roman"/>
                <w:i w:val="0"/>
                <w:color w:val="auto"/>
                <w:sz w:val="21"/>
                <w:szCs w:val="21"/>
                <w:highlight w:val="none"/>
                <w:u w:val="none"/>
              </w:rPr>
            </w:pPr>
          </w:p>
        </w:tc>
        <w:tc>
          <w:tcPr>
            <w:tcW w:w="966" w:type="dxa"/>
            <w:tcBorders>
              <w:tl2br w:val="nil"/>
              <w:tr2bl w:val="nil"/>
            </w:tcBorders>
            <w:tcMar>
              <w:top w:w="15" w:type="dxa"/>
              <w:left w:w="15" w:type="dxa"/>
              <w:right w:w="15" w:type="dxa"/>
            </w:tcMar>
            <w:vAlign w:val="center"/>
          </w:tcPr>
          <w:p w14:paraId="7C9D01DB">
            <w:pPr>
              <w:jc w:val="center"/>
              <w:rPr>
                <w:rFonts w:hint="default" w:ascii="Times New Roman" w:hAnsi="Times New Roman" w:eastAsia="宋体" w:cs="Times New Roman"/>
                <w:i w:val="0"/>
                <w:color w:val="auto"/>
                <w:sz w:val="21"/>
                <w:szCs w:val="21"/>
                <w:highlight w:val="none"/>
                <w:u w:val="none"/>
              </w:rPr>
            </w:pPr>
          </w:p>
        </w:tc>
      </w:tr>
      <w:tr w14:paraId="452D1B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766B53C9">
            <w:pPr>
              <w:jc w:val="center"/>
              <w:rPr>
                <w:rFonts w:hint="default" w:ascii="Times New Roman" w:hAnsi="Times New Roman" w:eastAsia="宋体" w:cs="Times New Roman"/>
                <w:i w:val="0"/>
                <w:color w:val="auto"/>
                <w:sz w:val="21"/>
                <w:szCs w:val="21"/>
                <w:highlight w:val="none"/>
                <w:u w:val="none"/>
              </w:rPr>
            </w:pPr>
          </w:p>
        </w:tc>
        <w:tc>
          <w:tcPr>
            <w:tcW w:w="821" w:type="dxa"/>
            <w:vMerge w:val="continue"/>
            <w:tcBorders>
              <w:tl2br w:val="nil"/>
              <w:tr2bl w:val="nil"/>
            </w:tcBorders>
            <w:tcMar>
              <w:top w:w="15" w:type="dxa"/>
              <w:left w:w="15" w:type="dxa"/>
              <w:right w:w="15" w:type="dxa"/>
            </w:tcMar>
            <w:vAlign w:val="center"/>
          </w:tcPr>
          <w:p w14:paraId="1E16311D">
            <w:pPr>
              <w:jc w:val="center"/>
              <w:rPr>
                <w:rFonts w:hint="default" w:ascii="Times New Roman" w:hAnsi="Times New Roman" w:eastAsia="宋体" w:cs="Times New Roman"/>
                <w:i w:val="0"/>
                <w:color w:val="auto"/>
                <w:sz w:val="21"/>
                <w:szCs w:val="21"/>
                <w:highlight w:val="none"/>
                <w:u w:val="none"/>
              </w:rPr>
            </w:pPr>
          </w:p>
        </w:tc>
        <w:tc>
          <w:tcPr>
            <w:tcW w:w="822" w:type="dxa"/>
            <w:tcBorders>
              <w:tl2br w:val="nil"/>
              <w:tr2bl w:val="nil"/>
            </w:tcBorders>
            <w:tcMar>
              <w:top w:w="15" w:type="dxa"/>
              <w:left w:w="15" w:type="dxa"/>
              <w:right w:w="15" w:type="dxa"/>
            </w:tcMar>
            <w:vAlign w:val="center"/>
          </w:tcPr>
          <w:p w14:paraId="3608CC8B">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7D688048">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35.4</w:t>
            </w:r>
          </w:p>
        </w:tc>
        <w:tc>
          <w:tcPr>
            <w:tcW w:w="1107" w:type="dxa"/>
            <w:tcBorders>
              <w:tl2br w:val="nil"/>
              <w:tr2bl w:val="nil"/>
            </w:tcBorders>
            <w:tcMar>
              <w:top w:w="15" w:type="dxa"/>
              <w:left w:w="15" w:type="dxa"/>
              <w:right w:w="15" w:type="dxa"/>
            </w:tcMar>
            <w:vAlign w:val="center"/>
          </w:tcPr>
          <w:p w14:paraId="0D9DD685">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12.1</w:t>
            </w:r>
          </w:p>
        </w:tc>
        <w:tc>
          <w:tcPr>
            <w:tcW w:w="980" w:type="dxa"/>
            <w:tcBorders>
              <w:tl2br w:val="nil"/>
              <w:tr2bl w:val="nil"/>
            </w:tcBorders>
            <w:tcMar>
              <w:top w:w="15" w:type="dxa"/>
              <w:left w:w="15" w:type="dxa"/>
              <w:right w:w="15" w:type="dxa"/>
            </w:tcMar>
            <w:vAlign w:val="center"/>
          </w:tcPr>
          <w:p w14:paraId="6DB5D721">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1.66</w:t>
            </w:r>
          </w:p>
        </w:tc>
        <w:tc>
          <w:tcPr>
            <w:tcW w:w="1439" w:type="dxa"/>
            <w:tcBorders>
              <w:tl2br w:val="nil"/>
              <w:tr2bl w:val="nil"/>
            </w:tcBorders>
            <w:tcMar>
              <w:top w:w="15" w:type="dxa"/>
              <w:left w:w="15" w:type="dxa"/>
              <w:right w:w="15" w:type="dxa"/>
            </w:tcMar>
            <w:vAlign w:val="center"/>
          </w:tcPr>
          <w:p w14:paraId="4997418C">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0.22 </w:t>
            </w:r>
          </w:p>
        </w:tc>
        <w:tc>
          <w:tcPr>
            <w:tcW w:w="1150" w:type="dxa"/>
            <w:tcBorders>
              <w:tl2br w:val="nil"/>
              <w:tr2bl w:val="nil"/>
            </w:tcBorders>
            <w:tcMar>
              <w:top w:w="15" w:type="dxa"/>
              <w:left w:w="15" w:type="dxa"/>
              <w:right w:w="15" w:type="dxa"/>
            </w:tcMar>
            <w:vAlign w:val="center"/>
          </w:tcPr>
          <w:p w14:paraId="33A64012">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0D6E254E">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1.44</w:t>
            </w:r>
          </w:p>
        </w:tc>
      </w:tr>
      <w:tr w14:paraId="6DD1CA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1FD5709F">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7C1D6AD8">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5</w:t>
            </w:r>
          </w:p>
        </w:tc>
        <w:tc>
          <w:tcPr>
            <w:tcW w:w="822" w:type="dxa"/>
            <w:tcBorders>
              <w:tl2br w:val="nil"/>
              <w:tr2bl w:val="nil"/>
            </w:tcBorders>
            <w:tcMar>
              <w:top w:w="15" w:type="dxa"/>
              <w:left w:w="15" w:type="dxa"/>
              <w:right w:w="15" w:type="dxa"/>
            </w:tcMar>
            <w:vAlign w:val="center"/>
          </w:tcPr>
          <w:p w14:paraId="24B7D2C0">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529C0A9B">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35.1</w:t>
            </w:r>
          </w:p>
        </w:tc>
        <w:tc>
          <w:tcPr>
            <w:tcW w:w="1107" w:type="dxa"/>
            <w:tcBorders>
              <w:tl2br w:val="nil"/>
              <w:tr2bl w:val="nil"/>
            </w:tcBorders>
            <w:tcMar>
              <w:top w:w="15" w:type="dxa"/>
              <w:left w:w="15" w:type="dxa"/>
              <w:right w:w="15" w:type="dxa"/>
            </w:tcMar>
            <w:vAlign w:val="center"/>
          </w:tcPr>
          <w:p w14:paraId="32AC90AB">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11.3</w:t>
            </w:r>
          </w:p>
        </w:tc>
        <w:tc>
          <w:tcPr>
            <w:tcW w:w="980" w:type="dxa"/>
            <w:tcBorders>
              <w:tl2br w:val="nil"/>
              <w:tr2bl w:val="nil"/>
            </w:tcBorders>
            <w:tcMar>
              <w:top w:w="15" w:type="dxa"/>
              <w:left w:w="15" w:type="dxa"/>
              <w:right w:w="15" w:type="dxa"/>
            </w:tcMar>
            <w:vAlign w:val="center"/>
          </w:tcPr>
          <w:p w14:paraId="2B1C92CE">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2.42</w:t>
            </w:r>
          </w:p>
        </w:tc>
        <w:tc>
          <w:tcPr>
            <w:tcW w:w="1439" w:type="dxa"/>
            <w:tcBorders>
              <w:tl2br w:val="nil"/>
              <w:tr2bl w:val="nil"/>
            </w:tcBorders>
            <w:tcMar>
              <w:top w:w="15" w:type="dxa"/>
              <w:left w:w="15" w:type="dxa"/>
              <w:right w:w="15" w:type="dxa"/>
            </w:tcMar>
            <w:vAlign w:val="center"/>
          </w:tcPr>
          <w:p w14:paraId="54B4DF5D">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0.31 </w:t>
            </w:r>
          </w:p>
        </w:tc>
        <w:tc>
          <w:tcPr>
            <w:tcW w:w="1150" w:type="dxa"/>
            <w:tcBorders>
              <w:tl2br w:val="nil"/>
              <w:tr2bl w:val="nil"/>
            </w:tcBorders>
            <w:tcMar>
              <w:top w:w="15" w:type="dxa"/>
              <w:left w:w="15" w:type="dxa"/>
              <w:right w:w="15" w:type="dxa"/>
            </w:tcMar>
            <w:vAlign w:val="center"/>
          </w:tcPr>
          <w:p w14:paraId="08F20DA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5.01</w:t>
            </w:r>
          </w:p>
        </w:tc>
        <w:tc>
          <w:tcPr>
            <w:tcW w:w="966" w:type="dxa"/>
            <w:tcBorders>
              <w:tl2br w:val="nil"/>
              <w:tr2bl w:val="nil"/>
            </w:tcBorders>
            <w:tcMar>
              <w:top w:w="15" w:type="dxa"/>
              <w:left w:w="15" w:type="dxa"/>
              <w:right w:w="15" w:type="dxa"/>
            </w:tcMar>
            <w:vAlign w:val="center"/>
          </w:tcPr>
          <w:p w14:paraId="5544303E">
            <w:pPr>
              <w:jc w:val="center"/>
              <w:rPr>
                <w:rFonts w:hint="default" w:ascii="Times New Roman" w:hAnsi="Times New Roman" w:eastAsia="宋体" w:cs="Times New Roman"/>
                <w:i w:val="0"/>
                <w:color w:val="auto"/>
                <w:sz w:val="21"/>
                <w:szCs w:val="21"/>
                <w:highlight w:val="none"/>
                <w:u w:val="none"/>
              </w:rPr>
            </w:pPr>
          </w:p>
        </w:tc>
      </w:tr>
      <w:tr w14:paraId="47EC9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7AFA7D66">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0A0E6A69">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6</w:t>
            </w:r>
          </w:p>
        </w:tc>
        <w:tc>
          <w:tcPr>
            <w:tcW w:w="822" w:type="dxa"/>
            <w:tcBorders>
              <w:tl2br w:val="nil"/>
              <w:tr2bl w:val="nil"/>
            </w:tcBorders>
            <w:tcMar>
              <w:top w:w="15" w:type="dxa"/>
              <w:left w:w="15" w:type="dxa"/>
              <w:right w:w="15" w:type="dxa"/>
            </w:tcMar>
            <w:vAlign w:val="center"/>
          </w:tcPr>
          <w:p w14:paraId="5B50D074">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6634A3BE">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w:t>
            </w:r>
          </w:p>
        </w:tc>
        <w:tc>
          <w:tcPr>
            <w:tcW w:w="1107" w:type="dxa"/>
            <w:tcBorders>
              <w:tl2br w:val="nil"/>
              <w:tr2bl w:val="nil"/>
            </w:tcBorders>
            <w:tcMar>
              <w:top w:w="15" w:type="dxa"/>
              <w:left w:w="15" w:type="dxa"/>
              <w:right w:w="15" w:type="dxa"/>
            </w:tcMar>
            <w:vAlign w:val="center"/>
          </w:tcPr>
          <w:p w14:paraId="110DEBCC">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11</w:t>
            </w:r>
          </w:p>
        </w:tc>
        <w:tc>
          <w:tcPr>
            <w:tcW w:w="980" w:type="dxa"/>
            <w:tcBorders>
              <w:tl2br w:val="nil"/>
              <w:tr2bl w:val="nil"/>
            </w:tcBorders>
            <w:tcMar>
              <w:top w:w="15" w:type="dxa"/>
              <w:left w:w="15" w:type="dxa"/>
              <w:right w:w="15" w:type="dxa"/>
            </w:tcMar>
            <w:vAlign w:val="center"/>
          </w:tcPr>
          <w:p w14:paraId="50A0A6C3">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3.92</w:t>
            </w:r>
          </w:p>
        </w:tc>
        <w:tc>
          <w:tcPr>
            <w:tcW w:w="1439" w:type="dxa"/>
            <w:tcBorders>
              <w:tl2br w:val="nil"/>
              <w:tr2bl w:val="nil"/>
            </w:tcBorders>
            <w:tcMar>
              <w:top w:w="15" w:type="dxa"/>
              <w:left w:w="15" w:type="dxa"/>
              <w:right w:w="15" w:type="dxa"/>
            </w:tcMar>
            <w:vAlign w:val="center"/>
          </w:tcPr>
          <w:p w14:paraId="76512594">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0.51 </w:t>
            </w:r>
          </w:p>
        </w:tc>
        <w:tc>
          <w:tcPr>
            <w:tcW w:w="1150" w:type="dxa"/>
            <w:tcBorders>
              <w:tl2br w:val="nil"/>
              <w:tr2bl w:val="nil"/>
            </w:tcBorders>
            <w:tcMar>
              <w:top w:w="15" w:type="dxa"/>
              <w:left w:w="15" w:type="dxa"/>
              <w:right w:w="15" w:type="dxa"/>
            </w:tcMar>
            <w:vAlign w:val="center"/>
          </w:tcPr>
          <w:p w14:paraId="10E4284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6.3</w:t>
            </w:r>
          </w:p>
        </w:tc>
        <w:tc>
          <w:tcPr>
            <w:tcW w:w="966" w:type="dxa"/>
            <w:tcBorders>
              <w:tl2br w:val="nil"/>
              <w:tr2bl w:val="nil"/>
            </w:tcBorders>
            <w:tcMar>
              <w:top w:w="15" w:type="dxa"/>
              <w:left w:w="15" w:type="dxa"/>
              <w:right w:w="15" w:type="dxa"/>
            </w:tcMar>
            <w:vAlign w:val="center"/>
          </w:tcPr>
          <w:p w14:paraId="384CFBA7">
            <w:pPr>
              <w:jc w:val="center"/>
              <w:rPr>
                <w:rFonts w:hint="default" w:ascii="Times New Roman" w:hAnsi="Times New Roman" w:eastAsia="宋体" w:cs="Times New Roman"/>
                <w:i w:val="0"/>
                <w:color w:val="auto"/>
                <w:sz w:val="21"/>
                <w:szCs w:val="21"/>
                <w:highlight w:val="none"/>
                <w:u w:val="none"/>
              </w:rPr>
            </w:pPr>
          </w:p>
        </w:tc>
      </w:tr>
      <w:tr w14:paraId="3C0B37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04A29E08">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4C89B242">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7</w:t>
            </w:r>
          </w:p>
        </w:tc>
        <w:tc>
          <w:tcPr>
            <w:tcW w:w="822" w:type="dxa"/>
            <w:tcBorders>
              <w:tl2br w:val="nil"/>
              <w:tr2bl w:val="nil"/>
            </w:tcBorders>
            <w:tcMar>
              <w:top w:w="15" w:type="dxa"/>
              <w:left w:w="15" w:type="dxa"/>
              <w:right w:w="15" w:type="dxa"/>
            </w:tcMar>
            <w:vAlign w:val="center"/>
          </w:tcPr>
          <w:p w14:paraId="7BDE4561">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542D6F14">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36.4</w:t>
            </w:r>
          </w:p>
        </w:tc>
        <w:tc>
          <w:tcPr>
            <w:tcW w:w="1107" w:type="dxa"/>
            <w:tcBorders>
              <w:tl2br w:val="nil"/>
              <w:tr2bl w:val="nil"/>
            </w:tcBorders>
            <w:tcMar>
              <w:top w:w="15" w:type="dxa"/>
              <w:left w:w="15" w:type="dxa"/>
              <w:right w:w="15" w:type="dxa"/>
            </w:tcMar>
            <w:vAlign w:val="center"/>
          </w:tcPr>
          <w:p w14:paraId="56D21FE7">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16.4</w:t>
            </w:r>
          </w:p>
        </w:tc>
        <w:tc>
          <w:tcPr>
            <w:tcW w:w="980" w:type="dxa"/>
            <w:tcBorders>
              <w:tl2br w:val="nil"/>
              <w:tr2bl w:val="nil"/>
            </w:tcBorders>
            <w:tcMar>
              <w:top w:w="15" w:type="dxa"/>
              <w:left w:w="15" w:type="dxa"/>
              <w:right w:w="15" w:type="dxa"/>
            </w:tcMar>
            <w:vAlign w:val="center"/>
          </w:tcPr>
          <w:p w14:paraId="5DCA40C6">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9.88</w:t>
            </w:r>
          </w:p>
        </w:tc>
        <w:tc>
          <w:tcPr>
            <w:tcW w:w="1439" w:type="dxa"/>
            <w:tcBorders>
              <w:tl2br w:val="nil"/>
              <w:tr2bl w:val="nil"/>
            </w:tcBorders>
            <w:tcMar>
              <w:top w:w="15" w:type="dxa"/>
              <w:left w:w="15" w:type="dxa"/>
              <w:right w:w="15" w:type="dxa"/>
            </w:tcMar>
            <w:vAlign w:val="center"/>
          </w:tcPr>
          <w:p w14:paraId="6A4B74E1">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1.28 </w:t>
            </w:r>
          </w:p>
        </w:tc>
        <w:tc>
          <w:tcPr>
            <w:tcW w:w="1150" w:type="dxa"/>
            <w:tcBorders>
              <w:tl2br w:val="nil"/>
              <w:tr2bl w:val="nil"/>
            </w:tcBorders>
            <w:tcMar>
              <w:top w:w="15" w:type="dxa"/>
              <w:left w:w="15" w:type="dxa"/>
              <w:right w:w="15" w:type="dxa"/>
            </w:tcMar>
            <w:vAlign w:val="center"/>
          </w:tcPr>
          <w:p w14:paraId="08F83ADB">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8.09</w:t>
            </w:r>
          </w:p>
        </w:tc>
        <w:tc>
          <w:tcPr>
            <w:tcW w:w="966" w:type="dxa"/>
            <w:tcBorders>
              <w:tl2br w:val="nil"/>
              <w:tr2bl w:val="nil"/>
            </w:tcBorders>
            <w:tcMar>
              <w:top w:w="15" w:type="dxa"/>
              <w:left w:w="15" w:type="dxa"/>
              <w:right w:w="15" w:type="dxa"/>
            </w:tcMar>
            <w:vAlign w:val="center"/>
          </w:tcPr>
          <w:p w14:paraId="31C8FE3A">
            <w:pPr>
              <w:jc w:val="center"/>
              <w:rPr>
                <w:rFonts w:hint="default" w:ascii="Times New Roman" w:hAnsi="Times New Roman" w:eastAsia="宋体" w:cs="Times New Roman"/>
                <w:i w:val="0"/>
                <w:color w:val="auto"/>
                <w:sz w:val="21"/>
                <w:szCs w:val="21"/>
                <w:highlight w:val="none"/>
                <w:u w:val="none"/>
              </w:rPr>
            </w:pPr>
          </w:p>
        </w:tc>
      </w:tr>
      <w:tr w14:paraId="06CCCB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4FAD2289">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232C223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8</w:t>
            </w:r>
          </w:p>
        </w:tc>
        <w:tc>
          <w:tcPr>
            <w:tcW w:w="822" w:type="dxa"/>
            <w:tcBorders>
              <w:tl2br w:val="nil"/>
              <w:tr2bl w:val="nil"/>
            </w:tcBorders>
            <w:tcMar>
              <w:top w:w="15" w:type="dxa"/>
              <w:left w:w="15" w:type="dxa"/>
              <w:right w:w="15" w:type="dxa"/>
            </w:tcMar>
            <w:vAlign w:val="center"/>
          </w:tcPr>
          <w:p w14:paraId="07F0180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3AD38557">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35.7</w:t>
            </w:r>
          </w:p>
        </w:tc>
        <w:tc>
          <w:tcPr>
            <w:tcW w:w="1107" w:type="dxa"/>
            <w:tcBorders>
              <w:tl2br w:val="nil"/>
              <w:tr2bl w:val="nil"/>
            </w:tcBorders>
            <w:tcMar>
              <w:top w:w="15" w:type="dxa"/>
              <w:left w:w="15" w:type="dxa"/>
              <w:right w:w="15" w:type="dxa"/>
            </w:tcMar>
            <w:vAlign w:val="center"/>
          </w:tcPr>
          <w:p w14:paraId="1B7941C2">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13.8</w:t>
            </w:r>
          </w:p>
        </w:tc>
        <w:tc>
          <w:tcPr>
            <w:tcW w:w="980" w:type="dxa"/>
            <w:tcBorders>
              <w:tl2br w:val="nil"/>
              <w:tr2bl w:val="nil"/>
            </w:tcBorders>
            <w:tcMar>
              <w:top w:w="15" w:type="dxa"/>
              <w:left w:w="15" w:type="dxa"/>
              <w:right w:w="15" w:type="dxa"/>
            </w:tcMar>
            <w:vAlign w:val="center"/>
          </w:tcPr>
          <w:p w14:paraId="515F080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6.75</w:t>
            </w:r>
          </w:p>
        </w:tc>
        <w:tc>
          <w:tcPr>
            <w:tcW w:w="1439" w:type="dxa"/>
            <w:tcBorders>
              <w:tl2br w:val="nil"/>
              <w:tr2bl w:val="nil"/>
            </w:tcBorders>
            <w:tcMar>
              <w:top w:w="15" w:type="dxa"/>
              <w:left w:w="15" w:type="dxa"/>
              <w:right w:w="15" w:type="dxa"/>
            </w:tcMar>
            <w:vAlign w:val="center"/>
          </w:tcPr>
          <w:p w14:paraId="736CDAE3">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0.88 </w:t>
            </w:r>
          </w:p>
        </w:tc>
        <w:tc>
          <w:tcPr>
            <w:tcW w:w="1150" w:type="dxa"/>
            <w:tcBorders>
              <w:tl2br w:val="nil"/>
              <w:tr2bl w:val="nil"/>
            </w:tcBorders>
            <w:tcMar>
              <w:top w:w="15" w:type="dxa"/>
              <w:left w:w="15" w:type="dxa"/>
              <w:right w:w="15" w:type="dxa"/>
            </w:tcMar>
            <w:vAlign w:val="center"/>
          </w:tcPr>
          <w:p w14:paraId="7545B196">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7.79</w:t>
            </w:r>
          </w:p>
        </w:tc>
        <w:tc>
          <w:tcPr>
            <w:tcW w:w="966" w:type="dxa"/>
            <w:tcBorders>
              <w:tl2br w:val="nil"/>
              <w:tr2bl w:val="nil"/>
            </w:tcBorders>
            <w:tcMar>
              <w:top w:w="15" w:type="dxa"/>
              <w:left w:w="15" w:type="dxa"/>
              <w:right w:w="15" w:type="dxa"/>
            </w:tcMar>
            <w:vAlign w:val="center"/>
          </w:tcPr>
          <w:p w14:paraId="50DA9F20">
            <w:pPr>
              <w:jc w:val="center"/>
              <w:rPr>
                <w:rFonts w:hint="default" w:ascii="Times New Roman" w:hAnsi="Times New Roman" w:eastAsia="宋体" w:cs="Times New Roman"/>
                <w:i w:val="0"/>
                <w:color w:val="auto"/>
                <w:sz w:val="21"/>
                <w:szCs w:val="21"/>
                <w:highlight w:val="none"/>
                <w:u w:val="none"/>
              </w:rPr>
            </w:pPr>
          </w:p>
        </w:tc>
      </w:tr>
      <w:tr w14:paraId="24EE38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3E8C719C">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367AECF8">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9</w:t>
            </w:r>
          </w:p>
        </w:tc>
        <w:tc>
          <w:tcPr>
            <w:tcW w:w="822" w:type="dxa"/>
            <w:tcBorders>
              <w:tl2br w:val="nil"/>
              <w:tr2bl w:val="nil"/>
            </w:tcBorders>
            <w:tcMar>
              <w:top w:w="15" w:type="dxa"/>
              <w:left w:w="15" w:type="dxa"/>
              <w:right w:w="15" w:type="dxa"/>
            </w:tcMar>
            <w:vAlign w:val="center"/>
          </w:tcPr>
          <w:p w14:paraId="35DD5710">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34209A1B">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35.4</w:t>
            </w:r>
          </w:p>
        </w:tc>
        <w:tc>
          <w:tcPr>
            <w:tcW w:w="1107" w:type="dxa"/>
            <w:tcBorders>
              <w:tl2br w:val="nil"/>
              <w:tr2bl w:val="nil"/>
            </w:tcBorders>
            <w:tcMar>
              <w:top w:w="15" w:type="dxa"/>
              <w:left w:w="15" w:type="dxa"/>
              <w:right w:w="15" w:type="dxa"/>
            </w:tcMar>
            <w:vAlign w:val="center"/>
          </w:tcPr>
          <w:p w14:paraId="7C87FCC5">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12.1</w:t>
            </w:r>
          </w:p>
        </w:tc>
        <w:tc>
          <w:tcPr>
            <w:tcW w:w="980" w:type="dxa"/>
            <w:tcBorders>
              <w:tl2br w:val="nil"/>
              <w:tr2bl w:val="nil"/>
            </w:tcBorders>
            <w:tcMar>
              <w:top w:w="15" w:type="dxa"/>
              <w:left w:w="15" w:type="dxa"/>
              <w:right w:w="15" w:type="dxa"/>
            </w:tcMar>
            <w:vAlign w:val="center"/>
          </w:tcPr>
          <w:p w14:paraId="1DF926DA">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3.78</w:t>
            </w:r>
          </w:p>
        </w:tc>
        <w:tc>
          <w:tcPr>
            <w:tcW w:w="1439" w:type="dxa"/>
            <w:tcBorders>
              <w:tl2br w:val="nil"/>
              <w:tr2bl w:val="nil"/>
            </w:tcBorders>
            <w:tcMar>
              <w:top w:w="15" w:type="dxa"/>
              <w:left w:w="15" w:type="dxa"/>
              <w:right w:w="15" w:type="dxa"/>
            </w:tcMar>
            <w:vAlign w:val="center"/>
          </w:tcPr>
          <w:p w14:paraId="35500FA8">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0.49 </w:t>
            </w:r>
          </w:p>
        </w:tc>
        <w:tc>
          <w:tcPr>
            <w:tcW w:w="1150" w:type="dxa"/>
            <w:tcBorders>
              <w:tl2br w:val="nil"/>
              <w:tr2bl w:val="nil"/>
            </w:tcBorders>
            <w:tcMar>
              <w:top w:w="15" w:type="dxa"/>
              <w:left w:w="15" w:type="dxa"/>
              <w:right w:w="15" w:type="dxa"/>
            </w:tcMar>
            <w:vAlign w:val="center"/>
          </w:tcPr>
          <w:p w14:paraId="2C6C351F">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1.85</w:t>
            </w:r>
          </w:p>
        </w:tc>
        <w:tc>
          <w:tcPr>
            <w:tcW w:w="966" w:type="dxa"/>
            <w:tcBorders>
              <w:tl2br w:val="nil"/>
              <w:tr2bl w:val="nil"/>
            </w:tcBorders>
            <w:tcMar>
              <w:top w:w="15" w:type="dxa"/>
              <w:left w:w="15" w:type="dxa"/>
              <w:right w:w="15" w:type="dxa"/>
            </w:tcMar>
            <w:vAlign w:val="center"/>
          </w:tcPr>
          <w:p w14:paraId="7A0ED538">
            <w:pPr>
              <w:jc w:val="center"/>
              <w:rPr>
                <w:rFonts w:hint="default" w:ascii="Times New Roman" w:hAnsi="Times New Roman" w:eastAsia="宋体" w:cs="Times New Roman"/>
                <w:i w:val="0"/>
                <w:color w:val="auto"/>
                <w:sz w:val="21"/>
                <w:szCs w:val="21"/>
                <w:highlight w:val="none"/>
                <w:u w:val="none"/>
              </w:rPr>
            </w:pPr>
          </w:p>
        </w:tc>
      </w:tr>
      <w:tr w14:paraId="260305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3D04ECBC">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1D96A0D3">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10</w:t>
            </w:r>
          </w:p>
        </w:tc>
        <w:tc>
          <w:tcPr>
            <w:tcW w:w="822" w:type="dxa"/>
            <w:tcBorders>
              <w:tl2br w:val="nil"/>
              <w:tr2bl w:val="nil"/>
            </w:tcBorders>
            <w:tcMar>
              <w:top w:w="15" w:type="dxa"/>
              <w:left w:w="15" w:type="dxa"/>
              <w:right w:w="15" w:type="dxa"/>
            </w:tcMar>
            <w:vAlign w:val="center"/>
          </w:tcPr>
          <w:p w14:paraId="2EB2368D">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537A1734">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34.9</w:t>
            </w:r>
          </w:p>
        </w:tc>
        <w:tc>
          <w:tcPr>
            <w:tcW w:w="1107" w:type="dxa"/>
            <w:tcBorders>
              <w:tl2br w:val="nil"/>
              <w:tr2bl w:val="nil"/>
            </w:tcBorders>
            <w:tcMar>
              <w:top w:w="15" w:type="dxa"/>
              <w:left w:w="15" w:type="dxa"/>
              <w:right w:w="15" w:type="dxa"/>
            </w:tcMar>
            <w:vAlign w:val="center"/>
          </w:tcPr>
          <w:p w14:paraId="484D2F92">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10.5</w:t>
            </w:r>
          </w:p>
        </w:tc>
        <w:tc>
          <w:tcPr>
            <w:tcW w:w="980" w:type="dxa"/>
            <w:tcBorders>
              <w:tl2br w:val="nil"/>
              <w:tr2bl w:val="nil"/>
            </w:tcBorders>
            <w:tcMar>
              <w:top w:w="15" w:type="dxa"/>
              <w:left w:w="15" w:type="dxa"/>
              <w:right w:w="15" w:type="dxa"/>
            </w:tcMar>
            <w:vAlign w:val="center"/>
          </w:tcPr>
          <w:p w14:paraId="0DE6B93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2.5</w:t>
            </w:r>
          </w:p>
        </w:tc>
        <w:tc>
          <w:tcPr>
            <w:tcW w:w="1439" w:type="dxa"/>
            <w:tcBorders>
              <w:tl2br w:val="nil"/>
              <w:tr2bl w:val="nil"/>
            </w:tcBorders>
            <w:tcMar>
              <w:top w:w="15" w:type="dxa"/>
              <w:left w:w="15" w:type="dxa"/>
              <w:right w:w="15" w:type="dxa"/>
            </w:tcMar>
            <w:vAlign w:val="center"/>
          </w:tcPr>
          <w:p w14:paraId="708254EE">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0.33 </w:t>
            </w:r>
          </w:p>
        </w:tc>
        <w:tc>
          <w:tcPr>
            <w:tcW w:w="1150" w:type="dxa"/>
            <w:tcBorders>
              <w:tl2br w:val="nil"/>
              <w:tr2bl w:val="nil"/>
            </w:tcBorders>
            <w:tcMar>
              <w:top w:w="15" w:type="dxa"/>
              <w:left w:w="15" w:type="dxa"/>
              <w:right w:w="15" w:type="dxa"/>
            </w:tcMar>
            <w:vAlign w:val="center"/>
          </w:tcPr>
          <w:p w14:paraId="7BAC53A9">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528ADB49">
            <w:pPr>
              <w:jc w:val="center"/>
              <w:rPr>
                <w:rFonts w:hint="default" w:ascii="Times New Roman" w:hAnsi="Times New Roman" w:eastAsia="宋体" w:cs="Times New Roman"/>
                <w:i w:val="0"/>
                <w:color w:val="auto"/>
                <w:sz w:val="21"/>
                <w:szCs w:val="21"/>
                <w:highlight w:val="none"/>
                <w:u w:val="none"/>
              </w:rPr>
            </w:pPr>
          </w:p>
        </w:tc>
      </w:tr>
      <w:tr w14:paraId="77C21E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restart"/>
            <w:tcBorders>
              <w:tl2br w:val="nil"/>
              <w:tr2bl w:val="nil"/>
            </w:tcBorders>
            <w:tcMar>
              <w:top w:w="15" w:type="dxa"/>
              <w:left w:w="15" w:type="dxa"/>
              <w:right w:w="15" w:type="dxa"/>
            </w:tcMar>
            <w:vAlign w:val="center"/>
          </w:tcPr>
          <w:p w14:paraId="5686C4CA">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20</w:t>
            </w:r>
            <w:r>
              <w:rPr>
                <w:rFonts w:hint="eastAsia" w:cs="Times New Roman"/>
                <w:i w:val="0"/>
                <w:color w:val="auto"/>
                <w:kern w:val="0"/>
                <w:sz w:val="21"/>
                <w:szCs w:val="21"/>
                <w:highlight w:val="none"/>
                <w:u w:val="none"/>
                <w:lang w:val="en-US" w:eastAsia="zh-CN"/>
              </w:rPr>
              <w:t>25</w:t>
            </w:r>
            <w:r>
              <w:rPr>
                <w:rFonts w:hint="default" w:ascii="Times New Roman" w:hAnsi="Times New Roman" w:eastAsia="宋体" w:cs="Times New Roman"/>
                <w:i w:val="0"/>
                <w:color w:val="auto"/>
                <w:kern w:val="0"/>
                <w:sz w:val="21"/>
                <w:szCs w:val="21"/>
                <w:highlight w:val="none"/>
                <w:u w:val="none"/>
                <w:lang w:val="en-US" w:eastAsia="zh-CN"/>
              </w:rPr>
              <w:t>年非汛期</w:t>
            </w:r>
          </w:p>
        </w:tc>
        <w:tc>
          <w:tcPr>
            <w:tcW w:w="821" w:type="dxa"/>
            <w:tcBorders>
              <w:tl2br w:val="nil"/>
              <w:tr2bl w:val="nil"/>
            </w:tcBorders>
            <w:shd w:val="clear" w:color="auto" w:fill="auto"/>
            <w:tcMar>
              <w:top w:w="15" w:type="dxa"/>
              <w:left w:w="15" w:type="dxa"/>
              <w:right w:w="15" w:type="dxa"/>
            </w:tcMar>
            <w:vAlign w:val="center"/>
          </w:tcPr>
          <w:p w14:paraId="398712CB">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11</w:t>
            </w:r>
          </w:p>
        </w:tc>
        <w:tc>
          <w:tcPr>
            <w:tcW w:w="822" w:type="dxa"/>
            <w:tcBorders>
              <w:tl2br w:val="nil"/>
              <w:tr2bl w:val="nil"/>
            </w:tcBorders>
            <w:shd w:val="clear" w:color="auto" w:fill="auto"/>
            <w:tcMar>
              <w:top w:w="15" w:type="dxa"/>
              <w:left w:w="15" w:type="dxa"/>
              <w:right w:w="15" w:type="dxa"/>
            </w:tcMar>
            <w:vAlign w:val="center"/>
          </w:tcPr>
          <w:p w14:paraId="252CBCED">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shd w:val="clear" w:color="auto" w:fill="auto"/>
            <w:tcMar>
              <w:top w:w="15" w:type="dxa"/>
              <w:left w:w="15" w:type="dxa"/>
              <w:right w:w="15" w:type="dxa"/>
            </w:tcMar>
            <w:vAlign w:val="center"/>
          </w:tcPr>
          <w:p w14:paraId="7050E3DD">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0"/>
                <w:sz w:val="21"/>
                <w:szCs w:val="21"/>
                <w:highlight w:val="none"/>
                <w:u w:val="none"/>
                <w:lang w:val="en-US" w:eastAsia="zh-CN"/>
              </w:rPr>
              <w:t>33.3</w:t>
            </w:r>
          </w:p>
        </w:tc>
        <w:tc>
          <w:tcPr>
            <w:tcW w:w="1107" w:type="dxa"/>
            <w:tcBorders>
              <w:tl2br w:val="nil"/>
              <w:tr2bl w:val="nil"/>
            </w:tcBorders>
            <w:shd w:val="clear" w:color="auto" w:fill="auto"/>
            <w:tcMar>
              <w:top w:w="15" w:type="dxa"/>
              <w:left w:w="15" w:type="dxa"/>
              <w:right w:w="15" w:type="dxa"/>
            </w:tcMar>
            <w:vAlign w:val="center"/>
          </w:tcPr>
          <w:p w14:paraId="445A8EA2">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4.5</w:t>
            </w:r>
          </w:p>
        </w:tc>
        <w:tc>
          <w:tcPr>
            <w:tcW w:w="980" w:type="dxa"/>
            <w:tcBorders>
              <w:tl2br w:val="nil"/>
              <w:tr2bl w:val="nil"/>
            </w:tcBorders>
            <w:shd w:val="clear" w:color="auto" w:fill="auto"/>
            <w:tcMar>
              <w:top w:w="15" w:type="dxa"/>
              <w:left w:w="15" w:type="dxa"/>
              <w:right w:w="15" w:type="dxa"/>
            </w:tcMar>
            <w:vAlign w:val="center"/>
          </w:tcPr>
          <w:p w14:paraId="20C792C4">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2.95</w:t>
            </w:r>
          </w:p>
        </w:tc>
        <w:tc>
          <w:tcPr>
            <w:tcW w:w="1439" w:type="dxa"/>
            <w:tcBorders>
              <w:tl2br w:val="nil"/>
              <w:tr2bl w:val="nil"/>
            </w:tcBorders>
            <w:shd w:val="clear" w:color="auto" w:fill="auto"/>
            <w:tcMar>
              <w:top w:w="15" w:type="dxa"/>
              <w:left w:w="15" w:type="dxa"/>
              <w:right w:w="15" w:type="dxa"/>
            </w:tcMar>
            <w:vAlign w:val="center"/>
          </w:tcPr>
          <w:p w14:paraId="01DCDC98">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 xml:space="preserve">0.38 </w:t>
            </w:r>
          </w:p>
        </w:tc>
        <w:tc>
          <w:tcPr>
            <w:tcW w:w="1150" w:type="dxa"/>
            <w:tcBorders>
              <w:tl2br w:val="nil"/>
              <w:tr2bl w:val="nil"/>
            </w:tcBorders>
            <w:shd w:val="clear" w:color="auto" w:fill="auto"/>
            <w:tcMar>
              <w:top w:w="15" w:type="dxa"/>
              <w:left w:w="15" w:type="dxa"/>
              <w:right w:w="15" w:type="dxa"/>
            </w:tcMar>
            <w:vAlign w:val="center"/>
          </w:tcPr>
          <w:p w14:paraId="72033577">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5578FE26">
            <w:pPr>
              <w:jc w:val="center"/>
              <w:rPr>
                <w:rFonts w:hint="default" w:ascii="Times New Roman" w:hAnsi="Times New Roman" w:eastAsia="宋体" w:cs="Times New Roman"/>
                <w:i w:val="0"/>
                <w:color w:val="auto"/>
                <w:sz w:val="21"/>
                <w:szCs w:val="21"/>
                <w:highlight w:val="none"/>
                <w:u w:val="none"/>
              </w:rPr>
            </w:pPr>
          </w:p>
        </w:tc>
      </w:tr>
      <w:tr w14:paraId="47E094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01580A6D">
            <w:pPr>
              <w:widowControl/>
              <w:jc w:val="center"/>
              <w:textAlignment w:val="center"/>
              <w:rPr>
                <w:rFonts w:hint="default" w:ascii="Times New Roman" w:hAnsi="Times New Roman" w:eastAsia="宋体" w:cs="Times New Roman"/>
                <w:i w:val="0"/>
                <w:color w:val="auto"/>
                <w:kern w:val="0"/>
                <w:sz w:val="21"/>
                <w:szCs w:val="21"/>
                <w:highlight w:val="none"/>
                <w:u w:val="none"/>
                <w:lang w:val="en-US" w:eastAsia="zh-CN"/>
              </w:rPr>
            </w:pPr>
          </w:p>
        </w:tc>
        <w:tc>
          <w:tcPr>
            <w:tcW w:w="821" w:type="dxa"/>
            <w:tcBorders>
              <w:tl2br w:val="nil"/>
              <w:tr2bl w:val="nil"/>
            </w:tcBorders>
            <w:shd w:val="clear" w:color="auto" w:fill="auto"/>
            <w:tcMar>
              <w:top w:w="15" w:type="dxa"/>
              <w:left w:w="15" w:type="dxa"/>
              <w:right w:w="15" w:type="dxa"/>
            </w:tcMar>
            <w:vAlign w:val="center"/>
          </w:tcPr>
          <w:p w14:paraId="7B2AD332">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12</w:t>
            </w:r>
          </w:p>
        </w:tc>
        <w:tc>
          <w:tcPr>
            <w:tcW w:w="822" w:type="dxa"/>
            <w:tcBorders>
              <w:tl2br w:val="nil"/>
              <w:tr2bl w:val="nil"/>
            </w:tcBorders>
            <w:shd w:val="clear" w:color="auto" w:fill="auto"/>
            <w:tcMar>
              <w:top w:w="15" w:type="dxa"/>
              <w:left w:w="15" w:type="dxa"/>
              <w:right w:w="15" w:type="dxa"/>
            </w:tcMar>
            <w:vAlign w:val="center"/>
          </w:tcPr>
          <w:p w14:paraId="728EEC44">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shd w:val="clear" w:color="auto" w:fill="auto"/>
            <w:tcMar>
              <w:top w:w="15" w:type="dxa"/>
              <w:left w:w="15" w:type="dxa"/>
              <w:right w:w="15" w:type="dxa"/>
            </w:tcMar>
            <w:vAlign w:val="center"/>
          </w:tcPr>
          <w:p w14:paraId="330376B0">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0"/>
                <w:sz w:val="21"/>
                <w:szCs w:val="21"/>
                <w:highlight w:val="none"/>
                <w:u w:val="none"/>
                <w:lang w:val="en-US" w:eastAsia="zh-CN"/>
              </w:rPr>
              <w:t>31.4</w:t>
            </w:r>
          </w:p>
        </w:tc>
        <w:tc>
          <w:tcPr>
            <w:tcW w:w="1107" w:type="dxa"/>
            <w:tcBorders>
              <w:tl2br w:val="nil"/>
              <w:tr2bl w:val="nil"/>
            </w:tcBorders>
            <w:shd w:val="clear" w:color="auto" w:fill="auto"/>
            <w:tcMar>
              <w:top w:w="15" w:type="dxa"/>
              <w:left w:w="15" w:type="dxa"/>
              <w:right w:w="15" w:type="dxa"/>
            </w:tcMar>
            <w:vAlign w:val="center"/>
          </w:tcPr>
          <w:p w14:paraId="6B7709DC">
            <w:pPr>
              <w:widowControl/>
              <w:jc w:val="center"/>
              <w:textAlignment w:val="center"/>
              <w:rPr>
                <w:rFonts w:hint="eastAsia" w:ascii="Times New Roman" w:hAnsi="Times New Roman" w:eastAsia="宋体" w:cs="Times New Roman"/>
                <w:i w:val="0"/>
                <w:color w:val="auto"/>
                <w:kern w:val="2"/>
                <w:sz w:val="21"/>
                <w:szCs w:val="21"/>
                <w:highlight w:val="none"/>
                <w:u w:val="none"/>
                <w:lang w:val="en-US" w:eastAsia="zh-CN" w:bidi="ar-SA"/>
              </w:rPr>
            </w:pPr>
          </w:p>
        </w:tc>
        <w:tc>
          <w:tcPr>
            <w:tcW w:w="980" w:type="dxa"/>
            <w:tcBorders>
              <w:tl2br w:val="nil"/>
              <w:tr2bl w:val="nil"/>
            </w:tcBorders>
            <w:shd w:val="clear" w:color="auto" w:fill="auto"/>
            <w:tcMar>
              <w:top w:w="15" w:type="dxa"/>
              <w:left w:w="15" w:type="dxa"/>
              <w:right w:w="15" w:type="dxa"/>
            </w:tcMar>
            <w:vAlign w:val="center"/>
          </w:tcPr>
          <w:p w14:paraId="53F7E48A">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1.41</w:t>
            </w:r>
          </w:p>
        </w:tc>
        <w:tc>
          <w:tcPr>
            <w:tcW w:w="1439" w:type="dxa"/>
            <w:tcBorders>
              <w:tl2br w:val="nil"/>
              <w:tr2bl w:val="nil"/>
            </w:tcBorders>
            <w:shd w:val="clear" w:color="auto" w:fill="auto"/>
            <w:tcMar>
              <w:top w:w="15" w:type="dxa"/>
              <w:left w:w="15" w:type="dxa"/>
              <w:right w:w="15" w:type="dxa"/>
            </w:tcMar>
            <w:vAlign w:val="center"/>
          </w:tcPr>
          <w:p w14:paraId="52078312">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 xml:space="preserve">0.18 </w:t>
            </w:r>
          </w:p>
        </w:tc>
        <w:tc>
          <w:tcPr>
            <w:tcW w:w="1150" w:type="dxa"/>
            <w:tcBorders>
              <w:tl2br w:val="nil"/>
              <w:tr2bl w:val="nil"/>
            </w:tcBorders>
            <w:shd w:val="clear" w:color="auto" w:fill="auto"/>
            <w:tcMar>
              <w:top w:w="15" w:type="dxa"/>
              <w:left w:w="15" w:type="dxa"/>
              <w:right w:w="15" w:type="dxa"/>
            </w:tcMar>
            <w:vAlign w:val="center"/>
          </w:tcPr>
          <w:p w14:paraId="55F94046">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369F6655">
            <w:pPr>
              <w:jc w:val="center"/>
              <w:rPr>
                <w:rFonts w:hint="default" w:ascii="Times New Roman" w:hAnsi="Times New Roman" w:eastAsia="宋体" w:cs="Times New Roman"/>
                <w:i w:val="0"/>
                <w:color w:val="auto"/>
                <w:sz w:val="21"/>
                <w:szCs w:val="21"/>
                <w:highlight w:val="none"/>
                <w:u w:val="none"/>
              </w:rPr>
            </w:pPr>
          </w:p>
        </w:tc>
      </w:tr>
      <w:tr w14:paraId="3F9769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522E44FA">
            <w:pPr>
              <w:widowControl/>
              <w:jc w:val="center"/>
              <w:textAlignment w:val="center"/>
              <w:rPr>
                <w:rFonts w:hint="default" w:ascii="Times New Roman" w:hAnsi="Times New Roman" w:eastAsia="宋体" w:cs="Times New Roman"/>
                <w:i w:val="0"/>
                <w:color w:val="auto"/>
                <w:kern w:val="0"/>
                <w:sz w:val="21"/>
                <w:szCs w:val="21"/>
                <w:highlight w:val="none"/>
                <w:u w:val="none"/>
                <w:lang w:val="en-US" w:eastAsia="zh-CN"/>
              </w:rPr>
            </w:pPr>
          </w:p>
        </w:tc>
        <w:tc>
          <w:tcPr>
            <w:tcW w:w="821" w:type="dxa"/>
            <w:tcBorders>
              <w:tl2br w:val="nil"/>
              <w:tr2bl w:val="nil"/>
            </w:tcBorders>
            <w:shd w:val="clear" w:color="auto" w:fill="auto"/>
            <w:tcMar>
              <w:top w:w="15" w:type="dxa"/>
              <w:left w:w="15" w:type="dxa"/>
              <w:right w:w="15" w:type="dxa"/>
            </w:tcMar>
            <w:vAlign w:val="center"/>
          </w:tcPr>
          <w:p w14:paraId="1C12B7A2">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w:t>
            </w:r>
          </w:p>
        </w:tc>
        <w:tc>
          <w:tcPr>
            <w:tcW w:w="822" w:type="dxa"/>
            <w:tcBorders>
              <w:tl2br w:val="nil"/>
              <w:tr2bl w:val="nil"/>
            </w:tcBorders>
            <w:shd w:val="clear" w:color="auto" w:fill="auto"/>
            <w:tcMar>
              <w:top w:w="15" w:type="dxa"/>
              <w:left w:w="15" w:type="dxa"/>
              <w:right w:w="15" w:type="dxa"/>
            </w:tcMar>
            <w:vAlign w:val="center"/>
          </w:tcPr>
          <w:p w14:paraId="45E0CA97">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shd w:val="clear" w:color="auto" w:fill="auto"/>
            <w:tcMar>
              <w:top w:w="15" w:type="dxa"/>
              <w:left w:w="15" w:type="dxa"/>
              <w:right w:w="15" w:type="dxa"/>
            </w:tcMar>
            <w:vAlign w:val="center"/>
          </w:tcPr>
          <w:p w14:paraId="1F75FB30">
            <w:pPr>
              <w:widowControl/>
              <w:jc w:val="center"/>
              <w:textAlignment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0"/>
                <w:sz w:val="21"/>
                <w:szCs w:val="21"/>
                <w:highlight w:val="none"/>
                <w:u w:val="none"/>
                <w:lang w:val="en-US" w:eastAsia="zh-CN"/>
              </w:rPr>
              <w:t>36.6</w:t>
            </w:r>
          </w:p>
        </w:tc>
        <w:tc>
          <w:tcPr>
            <w:tcW w:w="1107" w:type="dxa"/>
            <w:tcBorders>
              <w:tl2br w:val="nil"/>
              <w:tr2bl w:val="nil"/>
            </w:tcBorders>
            <w:shd w:val="clear" w:color="auto" w:fill="auto"/>
            <w:tcMar>
              <w:top w:w="15" w:type="dxa"/>
              <w:left w:w="15" w:type="dxa"/>
              <w:right w:w="15" w:type="dxa"/>
            </w:tcMar>
            <w:vAlign w:val="center"/>
          </w:tcPr>
          <w:p w14:paraId="1322DBAE">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17.5</w:t>
            </w:r>
          </w:p>
        </w:tc>
        <w:tc>
          <w:tcPr>
            <w:tcW w:w="980" w:type="dxa"/>
            <w:tcBorders>
              <w:tl2br w:val="nil"/>
              <w:tr2bl w:val="nil"/>
            </w:tcBorders>
            <w:shd w:val="clear" w:color="auto" w:fill="auto"/>
            <w:tcMar>
              <w:top w:w="15" w:type="dxa"/>
              <w:left w:w="15" w:type="dxa"/>
              <w:right w:w="15" w:type="dxa"/>
            </w:tcMar>
            <w:vAlign w:val="center"/>
          </w:tcPr>
          <w:p w14:paraId="1489F980">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1.21</w:t>
            </w:r>
          </w:p>
        </w:tc>
        <w:tc>
          <w:tcPr>
            <w:tcW w:w="1439" w:type="dxa"/>
            <w:tcBorders>
              <w:tl2br w:val="nil"/>
              <w:tr2bl w:val="nil"/>
            </w:tcBorders>
            <w:shd w:val="clear" w:color="auto" w:fill="auto"/>
            <w:tcMar>
              <w:top w:w="15" w:type="dxa"/>
              <w:left w:w="15" w:type="dxa"/>
              <w:right w:w="15" w:type="dxa"/>
            </w:tcMar>
            <w:vAlign w:val="center"/>
          </w:tcPr>
          <w:p w14:paraId="349A84F6">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 xml:space="preserve">0.16 </w:t>
            </w:r>
          </w:p>
        </w:tc>
        <w:tc>
          <w:tcPr>
            <w:tcW w:w="1150" w:type="dxa"/>
            <w:tcBorders>
              <w:tl2br w:val="nil"/>
              <w:tr2bl w:val="nil"/>
            </w:tcBorders>
            <w:shd w:val="clear" w:color="auto" w:fill="auto"/>
            <w:tcMar>
              <w:top w:w="15" w:type="dxa"/>
              <w:left w:w="15" w:type="dxa"/>
              <w:right w:w="15" w:type="dxa"/>
            </w:tcMar>
            <w:vAlign w:val="center"/>
          </w:tcPr>
          <w:p w14:paraId="2939BDB2">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shd w:val="clear" w:color="auto" w:fill="auto"/>
            <w:tcMar>
              <w:top w:w="15" w:type="dxa"/>
              <w:left w:w="15" w:type="dxa"/>
              <w:right w:w="15" w:type="dxa"/>
            </w:tcMar>
            <w:vAlign w:val="center"/>
          </w:tcPr>
          <w:p w14:paraId="6B074537">
            <w:pPr>
              <w:jc w:val="center"/>
              <w:rPr>
                <w:rFonts w:hint="default" w:ascii="Times New Roman" w:hAnsi="Times New Roman" w:eastAsia="宋体" w:cs="Times New Roman"/>
                <w:i w:val="0"/>
                <w:color w:val="auto"/>
                <w:kern w:val="2"/>
                <w:sz w:val="21"/>
                <w:szCs w:val="21"/>
                <w:highlight w:val="none"/>
                <w:u w:val="none"/>
                <w:lang w:val="en-US" w:eastAsia="zh-CN" w:bidi="ar-SA"/>
              </w:rPr>
            </w:pPr>
          </w:p>
        </w:tc>
      </w:tr>
      <w:tr w14:paraId="00E189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436FE892">
            <w:pPr>
              <w:widowControl/>
              <w:jc w:val="center"/>
              <w:textAlignment w:val="center"/>
              <w:rPr>
                <w:rFonts w:hint="default" w:ascii="Times New Roman" w:hAnsi="Times New Roman" w:eastAsia="宋体" w:cs="Times New Roman"/>
                <w:i w:val="0"/>
                <w:color w:val="auto"/>
                <w:kern w:val="0"/>
                <w:sz w:val="21"/>
                <w:szCs w:val="21"/>
                <w:highlight w:val="none"/>
                <w:u w:val="none"/>
                <w:lang w:val="en-US" w:eastAsia="zh-CN"/>
              </w:rPr>
            </w:pPr>
          </w:p>
        </w:tc>
        <w:tc>
          <w:tcPr>
            <w:tcW w:w="821" w:type="dxa"/>
            <w:tcBorders>
              <w:tl2br w:val="nil"/>
              <w:tr2bl w:val="nil"/>
            </w:tcBorders>
            <w:shd w:val="clear" w:color="auto" w:fill="auto"/>
            <w:tcMar>
              <w:top w:w="15" w:type="dxa"/>
              <w:left w:w="15" w:type="dxa"/>
              <w:right w:w="15" w:type="dxa"/>
            </w:tcMar>
            <w:vAlign w:val="center"/>
          </w:tcPr>
          <w:p w14:paraId="6820B268">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2</w:t>
            </w:r>
          </w:p>
        </w:tc>
        <w:tc>
          <w:tcPr>
            <w:tcW w:w="822" w:type="dxa"/>
            <w:tcBorders>
              <w:tl2br w:val="nil"/>
              <w:tr2bl w:val="nil"/>
            </w:tcBorders>
            <w:shd w:val="clear" w:color="auto" w:fill="auto"/>
            <w:tcMar>
              <w:top w:w="15" w:type="dxa"/>
              <w:left w:w="15" w:type="dxa"/>
              <w:right w:w="15" w:type="dxa"/>
            </w:tcMar>
            <w:vAlign w:val="center"/>
          </w:tcPr>
          <w:p w14:paraId="2D963EF1">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shd w:val="clear" w:color="auto" w:fill="auto"/>
            <w:tcMar>
              <w:top w:w="15" w:type="dxa"/>
              <w:left w:w="15" w:type="dxa"/>
              <w:right w:w="15" w:type="dxa"/>
            </w:tcMar>
            <w:vAlign w:val="center"/>
          </w:tcPr>
          <w:p w14:paraId="6E179ECA">
            <w:pPr>
              <w:widowControl/>
              <w:jc w:val="center"/>
              <w:textAlignment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0"/>
                <w:sz w:val="21"/>
                <w:szCs w:val="21"/>
                <w:highlight w:val="none"/>
                <w:u w:val="none"/>
                <w:lang w:val="en-US" w:eastAsia="zh-CN"/>
              </w:rPr>
              <w:t>36.4</w:t>
            </w:r>
          </w:p>
        </w:tc>
        <w:tc>
          <w:tcPr>
            <w:tcW w:w="1107" w:type="dxa"/>
            <w:tcBorders>
              <w:tl2br w:val="nil"/>
              <w:tr2bl w:val="nil"/>
            </w:tcBorders>
            <w:shd w:val="clear" w:color="auto" w:fill="auto"/>
            <w:tcMar>
              <w:top w:w="15" w:type="dxa"/>
              <w:left w:w="15" w:type="dxa"/>
              <w:right w:w="15" w:type="dxa"/>
            </w:tcMar>
            <w:vAlign w:val="center"/>
          </w:tcPr>
          <w:p w14:paraId="066D82E7">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16.4</w:t>
            </w:r>
          </w:p>
        </w:tc>
        <w:tc>
          <w:tcPr>
            <w:tcW w:w="980" w:type="dxa"/>
            <w:tcBorders>
              <w:tl2br w:val="nil"/>
              <w:tr2bl w:val="nil"/>
            </w:tcBorders>
            <w:shd w:val="clear" w:color="auto" w:fill="auto"/>
            <w:tcMar>
              <w:top w:w="15" w:type="dxa"/>
              <w:left w:w="15" w:type="dxa"/>
              <w:right w:w="15" w:type="dxa"/>
            </w:tcMar>
            <w:vAlign w:val="center"/>
          </w:tcPr>
          <w:p w14:paraId="1565BAA9">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0.82</w:t>
            </w:r>
          </w:p>
        </w:tc>
        <w:tc>
          <w:tcPr>
            <w:tcW w:w="1439" w:type="dxa"/>
            <w:tcBorders>
              <w:tl2br w:val="nil"/>
              <w:tr2bl w:val="nil"/>
            </w:tcBorders>
            <w:shd w:val="clear" w:color="auto" w:fill="auto"/>
            <w:tcMar>
              <w:top w:w="15" w:type="dxa"/>
              <w:left w:w="15" w:type="dxa"/>
              <w:right w:w="15" w:type="dxa"/>
            </w:tcMar>
            <w:vAlign w:val="center"/>
          </w:tcPr>
          <w:p w14:paraId="77C060BC">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 xml:space="preserve">0.11 </w:t>
            </w:r>
          </w:p>
        </w:tc>
        <w:tc>
          <w:tcPr>
            <w:tcW w:w="1150" w:type="dxa"/>
            <w:tcBorders>
              <w:tl2br w:val="nil"/>
              <w:tr2bl w:val="nil"/>
            </w:tcBorders>
            <w:shd w:val="clear" w:color="auto" w:fill="auto"/>
            <w:tcMar>
              <w:top w:w="15" w:type="dxa"/>
              <w:left w:w="15" w:type="dxa"/>
              <w:right w:w="15" w:type="dxa"/>
            </w:tcMar>
            <w:vAlign w:val="center"/>
          </w:tcPr>
          <w:p w14:paraId="6EB52174">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shd w:val="clear" w:color="auto" w:fill="auto"/>
            <w:tcMar>
              <w:top w:w="15" w:type="dxa"/>
              <w:left w:w="15" w:type="dxa"/>
              <w:right w:w="15" w:type="dxa"/>
            </w:tcMar>
            <w:vAlign w:val="center"/>
          </w:tcPr>
          <w:p w14:paraId="3FC8C57D">
            <w:pPr>
              <w:jc w:val="center"/>
              <w:rPr>
                <w:rFonts w:hint="default" w:ascii="Times New Roman" w:hAnsi="Times New Roman" w:eastAsia="宋体" w:cs="Times New Roman"/>
                <w:i w:val="0"/>
                <w:color w:val="auto"/>
                <w:kern w:val="2"/>
                <w:sz w:val="21"/>
                <w:szCs w:val="21"/>
                <w:highlight w:val="none"/>
                <w:u w:val="none"/>
                <w:lang w:val="en-US" w:eastAsia="zh-CN" w:bidi="ar-SA"/>
              </w:rPr>
            </w:pPr>
          </w:p>
        </w:tc>
      </w:tr>
      <w:tr w14:paraId="1AF66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19C07C96">
            <w:pPr>
              <w:widowControl/>
              <w:jc w:val="center"/>
              <w:textAlignment w:val="center"/>
              <w:rPr>
                <w:rFonts w:hint="default" w:ascii="Times New Roman" w:hAnsi="Times New Roman" w:eastAsia="宋体" w:cs="Times New Roman"/>
                <w:i w:val="0"/>
                <w:color w:val="auto"/>
                <w:kern w:val="0"/>
                <w:sz w:val="21"/>
                <w:szCs w:val="21"/>
                <w:highlight w:val="none"/>
                <w:u w:val="none"/>
                <w:lang w:val="en-US" w:eastAsia="zh-CN"/>
              </w:rPr>
            </w:pPr>
          </w:p>
        </w:tc>
        <w:tc>
          <w:tcPr>
            <w:tcW w:w="821" w:type="dxa"/>
            <w:tcBorders>
              <w:tl2br w:val="nil"/>
              <w:tr2bl w:val="nil"/>
            </w:tcBorders>
            <w:shd w:val="clear" w:color="auto" w:fill="auto"/>
            <w:tcMar>
              <w:top w:w="15" w:type="dxa"/>
              <w:left w:w="15" w:type="dxa"/>
              <w:right w:w="15" w:type="dxa"/>
            </w:tcMar>
            <w:vAlign w:val="center"/>
          </w:tcPr>
          <w:p w14:paraId="6F8B4A97">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3</w:t>
            </w:r>
          </w:p>
        </w:tc>
        <w:tc>
          <w:tcPr>
            <w:tcW w:w="822" w:type="dxa"/>
            <w:tcBorders>
              <w:tl2br w:val="nil"/>
              <w:tr2bl w:val="nil"/>
            </w:tcBorders>
            <w:shd w:val="clear" w:color="auto" w:fill="auto"/>
            <w:tcMar>
              <w:top w:w="15" w:type="dxa"/>
              <w:left w:w="15" w:type="dxa"/>
              <w:right w:w="15" w:type="dxa"/>
            </w:tcMar>
            <w:vAlign w:val="center"/>
          </w:tcPr>
          <w:p w14:paraId="2A95CC8E">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shd w:val="clear" w:color="auto" w:fill="auto"/>
            <w:tcMar>
              <w:top w:w="15" w:type="dxa"/>
              <w:left w:w="15" w:type="dxa"/>
              <w:right w:w="15" w:type="dxa"/>
            </w:tcMar>
            <w:vAlign w:val="center"/>
          </w:tcPr>
          <w:p w14:paraId="57879E1F">
            <w:pPr>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36.2</w:t>
            </w:r>
          </w:p>
        </w:tc>
        <w:tc>
          <w:tcPr>
            <w:tcW w:w="1107" w:type="dxa"/>
            <w:tcBorders>
              <w:tl2br w:val="nil"/>
              <w:tr2bl w:val="nil"/>
            </w:tcBorders>
            <w:shd w:val="clear" w:color="auto" w:fill="auto"/>
            <w:tcMar>
              <w:top w:w="15" w:type="dxa"/>
              <w:left w:w="15" w:type="dxa"/>
              <w:right w:w="15" w:type="dxa"/>
            </w:tcMar>
            <w:vAlign w:val="center"/>
          </w:tcPr>
          <w:p w14:paraId="3CCF9B9D">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16</w:t>
            </w:r>
          </w:p>
        </w:tc>
        <w:tc>
          <w:tcPr>
            <w:tcW w:w="980" w:type="dxa"/>
            <w:tcBorders>
              <w:tl2br w:val="nil"/>
              <w:tr2bl w:val="nil"/>
            </w:tcBorders>
            <w:shd w:val="clear" w:color="auto" w:fill="auto"/>
            <w:tcMar>
              <w:top w:w="15" w:type="dxa"/>
              <w:left w:w="15" w:type="dxa"/>
              <w:right w:w="15" w:type="dxa"/>
            </w:tcMar>
            <w:vAlign w:val="center"/>
          </w:tcPr>
          <w:p w14:paraId="7502EAB9">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0.76</w:t>
            </w:r>
          </w:p>
        </w:tc>
        <w:tc>
          <w:tcPr>
            <w:tcW w:w="1439" w:type="dxa"/>
            <w:tcBorders>
              <w:tl2br w:val="nil"/>
              <w:tr2bl w:val="nil"/>
            </w:tcBorders>
            <w:shd w:val="clear" w:color="auto" w:fill="auto"/>
            <w:tcMar>
              <w:top w:w="15" w:type="dxa"/>
              <w:left w:w="15" w:type="dxa"/>
              <w:right w:w="15" w:type="dxa"/>
            </w:tcMar>
            <w:vAlign w:val="center"/>
          </w:tcPr>
          <w:p w14:paraId="6A742F18">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1150" w:type="dxa"/>
            <w:tcBorders>
              <w:tl2br w:val="nil"/>
              <w:tr2bl w:val="nil"/>
            </w:tcBorders>
            <w:shd w:val="clear" w:color="auto" w:fill="auto"/>
            <w:tcMar>
              <w:top w:w="15" w:type="dxa"/>
              <w:left w:w="15" w:type="dxa"/>
              <w:right w:w="15" w:type="dxa"/>
            </w:tcMar>
            <w:vAlign w:val="center"/>
          </w:tcPr>
          <w:p w14:paraId="7D191D9E">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966" w:type="dxa"/>
            <w:tcBorders>
              <w:tl2br w:val="nil"/>
              <w:tr2bl w:val="nil"/>
            </w:tcBorders>
            <w:shd w:val="clear" w:color="auto" w:fill="auto"/>
            <w:tcMar>
              <w:top w:w="15" w:type="dxa"/>
              <w:left w:w="15" w:type="dxa"/>
              <w:right w:w="15" w:type="dxa"/>
            </w:tcMar>
            <w:vAlign w:val="center"/>
          </w:tcPr>
          <w:p w14:paraId="226F3C90">
            <w:pPr>
              <w:jc w:val="center"/>
              <w:rPr>
                <w:rFonts w:hint="default" w:ascii="Times New Roman" w:hAnsi="Times New Roman" w:eastAsia="宋体" w:cs="Times New Roman"/>
                <w:i w:val="0"/>
                <w:color w:val="auto"/>
                <w:kern w:val="2"/>
                <w:sz w:val="21"/>
                <w:szCs w:val="21"/>
                <w:highlight w:val="none"/>
                <w:u w:val="none"/>
                <w:lang w:val="en-US" w:eastAsia="zh-CN" w:bidi="ar-SA"/>
              </w:rPr>
            </w:pPr>
          </w:p>
        </w:tc>
      </w:tr>
      <w:tr w14:paraId="3D92E5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2B8845BE">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shd w:val="clear" w:color="auto" w:fill="auto"/>
            <w:tcMar>
              <w:top w:w="15" w:type="dxa"/>
              <w:left w:w="15" w:type="dxa"/>
              <w:right w:w="15" w:type="dxa"/>
            </w:tcMar>
            <w:vAlign w:val="center"/>
          </w:tcPr>
          <w:p w14:paraId="5E5A7130">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4</w:t>
            </w:r>
          </w:p>
        </w:tc>
        <w:tc>
          <w:tcPr>
            <w:tcW w:w="822" w:type="dxa"/>
            <w:tcBorders>
              <w:tl2br w:val="nil"/>
              <w:tr2bl w:val="nil"/>
            </w:tcBorders>
            <w:shd w:val="clear" w:color="auto" w:fill="auto"/>
            <w:tcMar>
              <w:top w:w="15" w:type="dxa"/>
              <w:left w:w="15" w:type="dxa"/>
              <w:right w:w="15" w:type="dxa"/>
            </w:tcMar>
            <w:vAlign w:val="center"/>
          </w:tcPr>
          <w:p w14:paraId="1EE11CD5">
            <w:pPr>
              <w:widowControl/>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15日</w:t>
            </w:r>
          </w:p>
        </w:tc>
        <w:tc>
          <w:tcPr>
            <w:tcW w:w="821" w:type="dxa"/>
            <w:tcBorders>
              <w:tl2br w:val="nil"/>
              <w:tr2bl w:val="nil"/>
            </w:tcBorders>
            <w:shd w:val="clear" w:color="auto" w:fill="auto"/>
            <w:tcMar>
              <w:top w:w="15" w:type="dxa"/>
              <w:left w:w="15" w:type="dxa"/>
              <w:right w:w="15" w:type="dxa"/>
            </w:tcMar>
            <w:vAlign w:val="center"/>
          </w:tcPr>
          <w:p w14:paraId="521A0324">
            <w:pPr>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35.3</w:t>
            </w:r>
          </w:p>
        </w:tc>
        <w:tc>
          <w:tcPr>
            <w:tcW w:w="1107" w:type="dxa"/>
            <w:tcBorders>
              <w:tl2br w:val="nil"/>
              <w:tr2bl w:val="nil"/>
            </w:tcBorders>
            <w:shd w:val="clear" w:color="auto" w:fill="auto"/>
            <w:tcMar>
              <w:top w:w="15" w:type="dxa"/>
              <w:left w:w="15" w:type="dxa"/>
              <w:right w:w="15" w:type="dxa"/>
            </w:tcMar>
            <w:vAlign w:val="center"/>
          </w:tcPr>
          <w:p w14:paraId="2CBD8DE4">
            <w:pPr>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11.8</w:t>
            </w:r>
          </w:p>
        </w:tc>
        <w:tc>
          <w:tcPr>
            <w:tcW w:w="980" w:type="dxa"/>
            <w:tcBorders>
              <w:tl2br w:val="nil"/>
              <w:tr2bl w:val="nil"/>
            </w:tcBorders>
            <w:shd w:val="clear" w:color="auto" w:fill="auto"/>
            <w:tcMar>
              <w:top w:w="15" w:type="dxa"/>
              <w:left w:w="15" w:type="dxa"/>
              <w:right w:w="15" w:type="dxa"/>
            </w:tcMar>
            <w:vAlign w:val="center"/>
          </w:tcPr>
          <w:p w14:paraId="3054284A">
            <w:pPr>
              <w:jc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1439" w:type="dxa"/>
            <w:tcBorders>
              <w:tl2br w:val="nil"/>
              <w:tr2bl w:val="nil"/>
            </w:tcBorders>
            <w:shd w:val="clear" w:color="auto" w:fill="auto"/>
            <w:tcMar>
              <w:top w:w="15" w:type="dxa"/>
              <w:left w:w="15" w:type="dxa"/>
              <w:right w:w="15" w:type="dxa"/>
            </w:tcMar>
            <w:vAlign w:val="center"/>
          </w:tcPr>
          <w:p w14:paraId="666DE012">
            <w:pPr>
              <w:jc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1150" w:type="dxa"/>
            <w:tcBorders>
              <w:tl2br w:val="nil"/>
              <w:tr2bl w:val="nil"/>
            </w:tcBorders>
            <w:shd w:val="clear" w:color="auto" w:fill="auto"/>
            <w:tcMar>
              <w:top w:w="15" w:type="dxa"/>
              <w:left w:w="15" w:type="dxa"/>
              <w:right w:w="15" w:type="dxa"/>
            </w:tcMar>
            <w:vAlign w:val="center"/>
          </w:tcPr>
          <w:p w14:paraId="00886DDB">
            <w:pPr>
              <w:jc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966" w:type="dxa"/>
            <w:tcBorders>
              <w:tl2br w:val="nil"/>
              <w:tr2bl w:val="nil"/>
            </w:tcBorders>
            <w:shd w:val="clear" w:color="auto" w:fill="auto"/>
            <w:tcMar>
              <w:top w:w="15" w:type="dxa"/>
              <w:left w:w="15" w:type="dxa"/>
              <w:right w:w="15" w:type="dxa"/>
            </w:tcMar>
            <w:vAlign w:val="center"/>
          </w:tcPr>
          <w:p w14:paraId="02A0040A">
            <w:pPr>
              <w:jc w:val="center"/>
              <w:rPr>
                <w:rFonts w:hint="default" w:ascii="Times New Roman" w:hAnsi="Times New Roman" w:eastAsia="宋体" w:cs="Times New Roman"/>
                <w:i w:val="0"/>
                <w:color w:val="auto"/>
                <w:kern w:val="2"/>
                <w:sz w:val="21"/>
                <w:szCs w:val="21"/>
                <w:highlight w:val="none"/>
                <w:u w:val="none"/>
                <w:lang w:val="en-US" w:eastAsia="zh-CN" w:bidi="ar-SA"/>
              </w:rPr>
            </w:pPr>
          </w:p>
        </w:tc>
      </w:tr>
      <w:tr w14:paraId="30AAE4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995" w:type="dxa"/>
            <w:vMerge w:val="restart"/>
            <w:tcBorders>
              <w:tl2br w:val="nil"/>
              <w:tr2bl w:val="nil"/>
            </w:tcBorders>
            <w:tcMar>
              <w:top w:w="15" w:type="dxa"/>
              <w:left w:w="15" w:type="dxa"/>
              <w:right w:w="15" w:type="dxa"/>
            </w:tcMar>
            <w:vAlign w:val="center"/>
          </w:tcPr>
          <w:p w14:paraId="0CDB522E">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20</w:t>
            </w:r>
            <w:r>
              <w:rPr>
                <w:rFonts w:hint="eastAsia" w:cs="Times New Roman"/>
                <w:i w:val="0"/>
                <w:color w:val="auto"/>
                <w:kern w:val="0"/>
                <w:sz w:val="21"/>
                <w:szCs w:val="21"/>
                <w:highlight w:val="none"/>
                <w:u w:val="none"/>
                <w:lang w:val="en-US" w:eastAsia="zh-CN"/>
              </w:rPr>
              <w:t>26</w:t>
            </w:r>
            <w:r>
              <w:rPr>
                <w:rFonts w:hint="default" w:ascii="Times New Roman" w:hAnsi="Times New Roman" w:eastAsia="宋体" w:cs="Times New Roman"/>
                <w:i w:val="0"/>
                <w:color w:val="auto"/>
                <w:kern w:val="0"/>
                <w:sz w:val="21"/>
                <w:szCs w:val="21"/>
                <w:highlight w:val="none"/>
                <w:u w:val="none"/>
                <w:lang w:val="en-US" w:eastAsia="zh-CN"/>
              </w:rPr>
              <w:t>年</w:t>
            </w:r>
            <w:r>
              <w:rPr>
                <w:rFonts w:hint="eastAsia" w:cs="Times New Roman"/>
                <w:i w:val="0"/>
                <w:color w:val="auto"/>
                <w:kern w:val="0"/>
                <w:sz w:val="21"/>
                <w:szCs w:val="21"/>
                <w:highlight w:val="none"/>
                <w:u w:val="none"/>
                <w:lang w:val="en-US" w:eastAsia="zh-CN"/>
              </w:rPr>
              <w:t>非</w:t>
            </w:r>
            <w:r>
              <w:rPr>
                <w:rFonts w:hint="default" w:ascii="Times New Roman" w:hAnsi="Times New Roman" w:eastAsia="宋体" w:cs="Times New Roman"/>
                <w:i w:val="0"/>
                <w:color w:val="auto"/>
                <w:kern w:val="0"/>
                <w:sz w:val="21"/>
                <w:szCs w:val="21"/>
                <w:highlight w:val="none"/>
                <w:u w:val="none"/>
                <w:lang w:val="en-US" w:eastAsia="zh-CN"/>
              </w:rPr>
              <w:t>汛期</w:t>
            </w:r>
          </w:p>
        </w:tc>
        <w:tc>
          <w:tcPr>
            <w:tcW w:w="821" w:type="dxa"/>
            <w:tcBorders>
              <w:tl2br w:val="nil"/>
              <w:tr2bl w:val="nil"/>
            </w:tcBorders>
            <w:tcMar>
              <w:top w:w="15" w:type="dxa"/>
              <w:left w:w="15" w:type="dxa"/>
              <w:right w:w="15" w:type="dxa"/>
            </w:tcMar>
            <w:vAlign w:val="center"/>
          </w:tcPr>
          <w:p w14:paraId="3FC6CEB6">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w:t>
            </w:r>
          </w:p>
        </w:tc>
        <w:tc>
          <w:tcPr>
            <w:tcW w:w="822" w:type="dxa"/>
            <w:tcBorders>
              <w:tl2br w:val="nil"/>
              <w:tr2bl w:val="nil"/>
            </w:tcBorders>
            <w:tcMar>
              <w:top w:w="15" w:type="dxa"/>
              <w:left w:w="15" w:type="dxa"/>
              <w:right w:w="15" w:type="dxa"/>
            </w:tcMar>
            <w:vAlign w:val="center"/>
          </w:tcPr>
          <w:p w14:paraId="4A98802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0EFA1603">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31.4</w:t>
            </w:r>
          </w:p>
        </w:tc>
        <w:tc>
          <w:tcPr>
            <w:tcW w:w="1107" w:type="dxa"/>
            <w:tcBorders>
              <w:tl2br w:val="nil"/>
              <w:tr2bl w:val="nil"/>
            </w:tcBorders>
            <w:tcMar>
              <w:top w:w="15" w:type="dxa"/>
              <w:left w:w="15" w:type="dxa"/>
              <w:right w:w="15" w:type="dxa"/>
            </w:tcMar>
            <w:vAlign w:val="center"/>
          </w:tcPr>
          <w:p w14:paraId="5309E194">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980" w:type="dxa"/>
            <w:tcBorders>
              <w:tl2br w:val="nil"/>
              <w:tr2bl w:val="nil"/>
            </w:tcBorders>
            <w:tcMar>
              <w:top w:w="15" w:type="dxa"/>
              <w:left w:w="15" w:type="dxa"/>
              <w:right w:w="15" w:type="dxa"/>
            </w:tcMar>
            <w:vAlign w:val="center"/>
          </w:tcPr>
          <w:p w14:paraId="031BD628">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1.21</w:t>
            </w:r>
          </w:p>
        </w:tc>
        <w:tc>
          <w:tcPr>
            <w:tcW w:w="1439" w:type="dxa"/>
            <w:tcBorders>
              <w:tl2br w:val="nil"/>
              <w:tr2bl w:val="nil"/>
            </w:tcBorders>
            <w:tcMar>
              <w:top w:w="15" w:type="dxa"/>
              <w:left w:w="15" w:type="dxa"/>
              <w:right w:w="15" w:type="dxa"/>
            </w:tcMar>
            <w:vAlign w:val="center"/>
          </w:tcPr>
          <w:p w14:paraId="1F91A8D2">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0.16 </w:t>
            </w:r>
          </w:p>
        </w:tc>
        <w:tc>
          <w:tcPr>
            <w:tcW w:w="1150" w:type="dxa"/>
            <w:tcBorders>
              <w:tl2br w:val="nil"/>
              <w:tr2bl w:val="nil"/>
            </w:tcBorders>
            <w:tcMar>
              <w:top w:w="15" w:type="dxa"/>
              <w:left w:w="15" w:type="dxa"/>
              <w:right w:w="15" w:type="dxa"/>
            </w:tcMar>
            <w:vAlign w:val="center"/>
          </w:tcPr>
          <w:p w14:paraId="696B68CC">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0F022619">
            <w:pPr>
              <w:jc w:val="center"/>
              <w:rPr>
                <w:rFonts w:hint="default" w:ascii="Times New Roman" w:hAnsi="Times New Roman" w:eastAsia="宋体" w:cs="Times New Roman"/>
                <w:i w:val="0"/>
                <w:color w:val="auto"/>
                <w:sz w:val="21"/>
                <w:szCs w:val="21"/>
                <w:highlight w:val="none"/>
                <w:u w:val="none"/>
              </w:rPr>
            </w:pPr>
          </w:p>
        </w:tc>
      </w:tr>
      <w:tr w14:paraId="1C9EE8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5F61334D">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550EED3D">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w:t>
            </w:r>
          </w:p>
        </w:tc>
        <w:tc>
          <w:tcPr>
            <w:tcW w:w="822" w:type="dxa"/>
            <w:tcBorders>
              <w:tl2br w:val="nil"/>
              <w:tr2bl w:val="nil"/>
            </w:tcBorders>
            <w:tcMar>
              <w:top w:w="15" w:type="dxa"/>
              <w:left w:w="15" w:type="dxa"/>
              <w:right w:w="15" w:type="dxa"/>
            </w:tcMar>
            <w:vAlign w:val="center"/>
          </w:tcPr>
          <w:p w14:paraId="21C6DA65">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tcMar>
              <w:top w:w="15" w:type="dxa"/>
              <w:left w:w="15" w:type="dxa"/>
              <w:right w:w="15" w:type="dxa"/>
            </w:tcMar>
            <w:vAlign w:val="center"/>
          </w:tcPr>
          <w:p w14:paraId="4B672240">
            <w:pPr>
              <w:widowControl/>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31.4</w:t>
            </w:r>
          </w:p>
        </w:tc>
        <w:tc>
          <w:tcPr>
            <w:tcW w:w="1107" w:type="dxa"/>
            <w:tcBorders>
              <w:tl2br w:val="nil"/>
              <w:tr2bl w:val="nil"/>
            </w:tcBorders>
            <w:tcMar>
              <w:top w:w="15" w:type="dxa"/>
              <w:left w:w="15" w:type="dxa"/>
              <w:right w:w="15" w:type="dxa"/>
            </w:tcMar>
            <w:vAlign w:val="center"/>
          </w:tcPr>
          <w:p w14:paraId="5EE39EC8">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980" w:type="dxa"/>
            <w:tcBorders>
              <w:tl2br w:val="nil"/>
              <w:tr2bl w:val="nil"/>
            </w:tcBorders>
            <w:tcMar>
              <w:top w:w="15" w:type="dxa"/>
              <w:left w:w="15" w:type="dxa"/>
              <w:right w:w="15" w:type="dxa"/>
            </w:tcMar>
            <w:vAlign w:val="center"/>
          </w:tcPr>
          <w:p w14:paraId="221AC8FF">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0.82</w:t>
            </w:r>
          </w:p>
        </w:tc>
        <w:tc>
          <w:tcPr>
            <w:tcW w:w="1439" w:type="dxa"/>
            <w:tcBorders>
              <w:tl2br w:val="nil"/>
              <w:tr2bl w:val="nil"/>
            </w:tcBorders>
            <w:tcMar>
              <w:top w:w="15" w:type="dxa"/>
              <w:left w:w="15" w:type="dxa"/>
              <w:right w:w="15" w:type="dxa"/>
            </w:tcMar>
            <w:vAlign w:val="center"/>
          </w:tcPr>
          <w:p w14:paraId="04264A83">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0.11 </w:t>
            </w:r>
          </w:p>
        </w:tc>
        <w:tc>
          <w:tcPr>
            <w:tcW w:w="1150" w:type="dxa"/>
            <w:tcBorders>
              <w:tl2br w:val="nil"/>
              <w:tr2bl w:val="nil"/>
            </w:tcBorders>
            <w:tcMar>
              <w:top w:w="15" w:type="dxa"/>
              <w:left w:w="15" w:type="dxa"/>
              <w:right w:w="15" w:type="dxa"/>
            </w:tcMar>
            <w:vAlign w:val="center"/>
          </w:tcPr>
          <w:p w14:paraId="03F069FB">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tcMar>
              <w:top w:w="15" w:type="dxa"/>
              <w:left w:w="15" w:type="dxa"/>
              <w:right w:w="15" w:type="dxa"/>
            </w:tcMar>
            <w:vAlign w:val="center"/>
          </w:tcPr>
          <w:p w14:paraId="1ED9405A">
            <w:pPr>
              <w:jc w:val="center"/>
              <w:rPr>
                <w:rFonts w:hint="default" w:ascii="Times New Roman" w:hAnsi="Times New Roman" w:eastAsia="宋体" w:cs="Times New Roman"/>
                <w:i w:val="0"/>
                <w:color w:val="auto"/>
                <w:sz w:val="21"/>
                <w:szCs w:val="21"/>
                <w:highlight w:val="none"/>
                <w:u w:val="none"/>
              </w:rPr>
            </w:pPr>
          </w:p>
        </w:tc>
      </w:tr>
      <w:tr w14:paraId="1BA12B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tcMar>
              <w:top w:w="15" w:type="dxa"/>
              <w:left w:w="15" w:type="dxa"/>
              <w:right w:w="15" w:type="dxa"/>
            </w:tcMar>
            <w:vAlign w:val="center"/>
          </w:tcPr>
          <w:p w14:paraId="75D67F19">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1C02DE53">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3</w:t>
            </w:r>
          </w:p>
        </w:tc>
        <w:tc>
          <w:tcPr>
            <w:tcW w:w="822" w:type="dxa"/>
            <w:tcBorders>
              <w:tl2br w:val="nil"/>
              <w:tr2bl w:val="nil"/>
            </w:tcBorders>
            <w:tcMar>
              <w:top w:w="15" w:type="dxa"/>
              <w:left w:w="15" w:type="dxa"/>
              <w:right w:w="15" w:type="dxa"/>
            </w:tcMar>
            <w:vAlign w:val="center"/>
          </w:tcPr>
          <w:p w14:paraId="766FE27F">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15日</w:t>
            </w:r>
          </w:p>
        </w:tc>
        <w:tc>
          <w:tcPr>
            <w:tcW w:w="821" w:type="dxa"/>
            <w:tcBorders>
              <w:tl2br w:val="nil"/>
              <w:tr2bl w:val="nil"/>
            </w:tcBorders>
            <w:tcMar>
              <w:top w:w="15" w:type="dxa"/>
              <w:left w:w="15" w:type="dxa"/>
              <w:right w:w="15" w:type="dxa"/>
            </w:tcMar>
            <w:vAlign w:val="center"/>
          </w:tcPr>
          <w:p w14:paraId="09B52B5D">
            <w:pPr>
              <w:jc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31.42</w:t>
            </w:r>
          </w:p>
        </w:tc>
        <w:tc>
          <w:tcPr>
            <w:tcW w:w="1107" w:type="dxa"/>
            <w:tcBorders>
              <w:tl2br w:val="nil"/>
              <w:tr2bl w:val="nil"/>
            </w:tcBorders>
            <w:tcMar>
              <w:top w:w="15" w:type="dxa"/>
              <w:left w:w="15" w:type="dxa"/>
              <w:right w:w="15" w:type="dxa"/>
            </w:tcMar>
            <w:vAlign w:val="center"/>
          </w:tcPr>
          <w:p w14:paraId="790D619C">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980" w:type="dxa"/>
            <w:tcBorders>
              <w:tl2br w:val="nil"/>
              <w:tr2bl w:val="nil"/>
            </w:tcBorders>
            <w:tcMar>
              <w:top w:w="15" w:type="dxa"/>
              <w:left w:w="15" w:type="dxa"/>
              <w:right w:w="15" w:type="dxa"/>
            </w:tcMar>
            <w:vAlign w:val="center"/>
          </w:tcPr>
          <w:p w14:paraId="6C07679D">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1439" w:type="dxa"/>
            <w:tcBorders>
              <w:tl2br w:val="nil"/>
              <w:tr2bl w:val="nil"/>
            </w:tcBorders>
            <w:tcMar>
              <w:top w:w="15" w:type="dxa"/>
              <w:left w:w="15" w:type="dxa"/>
              <w:right w:w="15" w:type="dxa"/>
            </w:tcMar>
            <w:vAlign w:val="center"/>
          </w:tcPr>
          <w:p w14:paraId="16449E35">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1150" w:type="dxa"/>
            <w:tcBorders>
              <w:tl2br w:val="nil"/>
              <w:tr2bl w:val="nil"/>
            </w:tcBorders>
            <w:tcMar>
              <w:top w:w="15" w:type="dxa"/>
              <w:left w:w="15" w:type="dxa"/>
              <w:right w:w="15" w:type="dxa"/>
            </w:tcMar>
            <w:vAlign w:val="center"/>
          </w:tcPr>
          <w:p w14:paraId="01D339FE">
            <w:pPr>
              <w:widowControl/>
              <w:jc w:val="center"/>
              <w:textAlignment w:val="center"/>
              <w:rPr>
                <w:rFonts w:hint="default" w:ascii="Times New Roman" w:hAnsi="Times New Roman" w:eastAsia="宋体" w:cs="Times New Roman"/>
                <w:i w:val="0"/>
                <w:color w:val="auto"/>
                <w:sz w:val="21"/>
                <w:szCs w:val="21"/>
                <w:highlight w:val="none"/>
                <w:u w:val="none"/>
              </w:rPr>
            </w:pPr>
          </w:p>
        </w:tc>
        <w:tc>
          <w:tcPr>
            <w:tcW w:w="966" w:type="dxa"/>
            <w:tcBorders>
              <w:tl2br w:val="nil"/>
              <w:tr2bl w:val="nil"/>
            </w:tcBorders>
            <w:tcMar>
              <w:top w:w="15" w:type="dxa"/>
              <w:left w:w="15" w:type="dxa"/>
              <w:right w:w="15" w:type="dxa"/>
            </w:tcMar>
            <w:vAlign w:val="center"/>
          </w:tcPr>
          <w:p w14:paraId="4D1481A0">
            <w:pPr>
              <w:jc w:val="center"/>
              <w:rPr>
                <w:rFonts w:hint="default" w:ascii="Times New Roman" w:hAnsi="Times New Roman" w:eastAsia="宋体" w:cs="Times New Roman"/>
                <w:i w:val="0"/>
                <w:color w:val="auto"/>
                <w:sz w:val="21"/>
                <w:szCs w:val="21"/>
                <w:highlight w:val="none"/>
                <w:u w:val="none"/>
              </w:rPr>
            </w:pPr>
          </w:p>
        </w:tc>
      </w:tr>
      <w:tr w14:paraId="7B1B23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0" w:hRule="atLeast"/>
        </w:trPr>
        <w:tc>
          <w:tcPr>
            <w:tcW w:w="995" w:type="dxa"/>
            <w:tcBorders>
              <w:tl2br w:val="nil"/>
              <w:tr2bl w:val="nil"/>
            </w:tcBorders>
            <w:tcMar>
              <w:top w:w="15" w:type="dxa"/>
              <w:left w:w="15" w:type="dxa"/>
              <w:right w:w="15" w:type="dxa"/>
            </w:tcMar>
            <w:vAlign w:val="center"/>
          </w:tcPr>
          <w:p w14:paraId="55548BBF">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总计</w:t>
            </w:r>
          </w:p>
        </w:tc>
        <w:tc>
          <w:tcPr>
            <w:tcW w:w="821" w:type="dxa"/>
            <w:tcBorders>
              <w:tl2br w:val="nil"/>
              <w:tr2bl w:val="nil"/>
            </w:tcBorders>
            <w:tcMar>
              <w:top w:w="15" w:type="dxa"/>
              <w:left w:w="15" w:type="dxa"/>
              <w:right w:w="15" w:type="dxa"/>
            </w:tcMar>
            <w:vAlign w:val="center"/>
          </w:tcPr>
          <w:p w14:paraId="608126F3">
            <w:pPr>
              <w:jc w:val="center"/>
              <w:rPr>
                <w:rFonts w:hint="default" w:ascii="Times New Roman" w:hAnsi="Times New Roman" w:eastAsia="宋体" w:cs="Times New Roman"/>
                <w:i w:val="0"/>
                <w:color w:val="auto"/>
                <w:sz w:val="21"/>
                <w:szCs w:val="21"/>
                <w:highlight w:val="none"/>
                <w:u w:val="none"/>
              </w:rPr>
            </w:pPr>
          </w:p>
        </w:tc>
        <w:tc>
          <w:tcPr>
            <w:tcW w:w="822" w:type="dxa"/>
            <w:tcBorders>
              <w:tl2br w:val="nil"/>
              <w:tr2bl w:val="nil"/>
            </w:tcBorders>
            <w:tcMar>
              <w:top w:w="15" w:type="dxa"/>
              <w:left w:w="15" w:type="dxa"/>
              <w:right w:w="15" w:type="dxa"/>
            </w:tcMar>
            <w:vAlign w:val="center"/>
          </w:tcPr>
          <w:p w14:paraId="724A8E38">
            <w:pPr>
              <w:jc w:val="center"/>
              <w:rPr>
                <w:rFonts w:hint="default" w:ascii="Times New Roman" w:hAnsi="Times New Roman" w:eastAsia="宋体" w:cs="Times New Roman"/>
                <w:i w:val="0"/>
                <w:color w:val="auto"/>
                <w:sz w:val="21"/>
                <w:szCs w:val="21"/>
                <w:highlight w:val="none"/>
                <w:u w:val="none"/>
              </w:rPr>
            </w:pPr>
          </w:p>
        </w:tc>
        <w:tc>
          <w:tcPr>
            <w:tcW w:w="821" w:type="dxa"/>
            <w:tcBorders>
              <w:tl2br w:val="nil"/>
              <w:tr2bl w:val="nil"/>
            </w:tcBorders>
            <w:tcMar>
              <w:top w:w="15" w:type="dxa"/>
              <w:left w:w="15" w:type="dxa"/>
              <w:right w:w="15" w:type="dxa"/>
            </w:tcMar>
            <w:vAlign w:val="center"/>
          </w:tcPr>
          <w:p w14:paraId="1D80F23B">
            <w:pPr>
              <w:jc w:val="center"/>
              <w:rPr>
                <w:rFonts w:hint="default" w:ascii="Times New Roman" w:hAnsi="Times New Roman" w:eastAsia="宋体" w:cs="Times New Roman"/>
                <w:i w:val="0"/>
                <w:color w:val="auto"/>
                <w:sz w:val="21"/>
                <w:szCs w:val="21"/>
                <w:highlight w:val="none"/>
                <w:u w:val="none"/>
              </w:rPr>
            </w:pPr>
          </w:p>
        </w:tc>
        <w:tc>
          <w:tcPr>
            <w:tcW w:w="1107" w:type="dxa"/>
            <w:tcBorders>
              <w:tl2br w:val="nil"/>
              <w:tr2bl w:val="nil"/>
            </w:tcBorders>
            <w:tcMar>
              <w:top w:w="15" w:type="dxa"/>
              <w:left w:w="15" w:type="dxa"/>
              <w:right w:w="15" w:type="dxa"/>
            </w:tcMar>
            <w:vAlign w:val="center"/>
          </w:tcPr>
          <w:p w14:paraId="321D4EEA">
            <w:pPr>
              <w:jc w:val="center"/>
              <w:rPr>
                <w:rFonts w:hint="default" w:ascii="Times New Roman" w:hAnsi="Times New Roman" w:eastAsia="宋体" w:cs="Times New Roman"/>
                <w:i w:val="0"/>
                <w:color w:val="auto"/>
                <w:sz w:val="21"/>
                <w:szCs w:val="21"/>
                <w:highlight w:val="none"/>
                <w:u w:val="none"/>
              </w:rPr>
            </w:pPr>
          </w:p>
        </w:tc>
        <w:tc>
          <w:tcPr>
            <w:tcW w:w="980" w:type="dxa"/>
            <w:tcBorders>
              <w:tl2br w:val="nil"/>
              <w:tr2bl w:val="nil"/>
            </w:tcBorders>
            <w:tcMar>
              <w:top w:w="15" w:type="dxa"/>
              <w:left w:w="15" w:type="dxa"/>
              <w:right w:w="15" w:type="dxa"/>
            </w:tcMar>
            <w:vAlign w:val="center"/>
          </w:tcPr>
          <w:p w14:paraId="1EC013BA">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40.09</w:t>
            </w:r>
          </w:p>
        </w:tc>
        <w:tc>
          <w:tcPr>
            <w:tcW w:w="1439" w:type="dxa"/>
            <w:tcBorders>
              <w:tl2br w:val="nil"/>
              <w:tr2bl w:val="nil"/>
            </w:tcBorders>
            <w:tcMar>
              <w:top w:w="15" w:type="dxa"/>
              <w:left w:w="15" w:type="dxa"/>
              <w:right w:w="15" w:type="dxa"/>
            </w:tcMar>
            <w:vAlign w:val="center"/>
          </w:tcPr>
          <w:p w14:paraId="70B250FD">
            <w:pPr>
              <w:widowControl/>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rPr>
              <w:t>5.12</w:t>
            </w:r>
          </w:p>
        </w:tc>
        <w:tc>
          <w:tcPr>
            <w:tcW w:w="1150" w:type="dxa"/>
            <w:tcBorders>
              <w:tl2br w:val="nil"/>
              <w:tr2bl w:val="nil"/>
            </w:tcBorders>
            <w:tcMar>
              <w:top w:w="15" w:type="dxa"/>
              <w:left w:w="15" w:type="dxa"/>
              <w:right w:w="15" w:type="dxa"/>
            </w:tcMar>
            <w:vAlign w:val="center"/>
          </w:tcPr>
          <w:p w14:paraId="368FCA06">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29.04</w:t>
            </w:r>
          </w:p>
        </w:tc>
        <w:tc>
          <w:tcPr>
            <w:tcW w:w="966" w:type="dxa"/>
            <w:tcBorders>
              <w:tl2br w:val="nil"/>
              <w:tr2bl w:val="nil"/>
            </w:tcBorders>
            <w:tcMar>
              <w:top w:w="15" w:type="dxa"/>
              <w:left w:w="15" w:type="dxa"/>
              <w:right w:w="15" w:type="dxa"/>
            </w:tcMar>
            <w:vAlign w:val="center"/>
          </w:tcPr>
          <w:p w14:paraId="07DC5AC7">
            <w:pPr>
              <w:widowControl/>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1.44</w:t>
            </w:r>
          </w:p>
        </w:tc>
      </w:tr>
    </w:tbl>
    <w:p w14:paraId="5A667628">
      <w:pPr>
        <w:ind w:firstLine="560"/>
        <w:rPr>
          <w:rFonts w:eastAsia="楷体"/>
          <w:color w:val="auto"/>
          <w:kern w:val="0"/>
          <w:sz w:val="28"/>
          <w:szCs w:val="28"/>
          <w:highlight w:val="none"/>
        </w:rPr>
      </w:pPr>
      <w:r>
        <w:rPr>
          <w:rFonts w:hint="eastAsia" w:eastAsia="楷体"/>
          <w:color w:val="auto"/>
          <w:sz w:val="28"/>
          <w:szCs w:val="28"/>
          <w:highlight w:val="none"/>
          <w:lang w:val="en-US" w:eastAsia="zh-CN"/>
        </w:rPr>
        <w:t>根据2025年前烧水库的运行可知，采用37.75m不仅可以保障水库的防洪安全，</w:t>
      </w:r>
      <w:r>
        <w:rPr>
          <w:rFonts w:hint="default" w:ascii="Times New Roman" w:hAnsi="Times New Roman" w:eastAsia="楷体" w:cs="Times New Roman"/>
          <w:color w:val="auto"/>
          <w:sz w:val="28"/>
          <w:szCs w:val="28"/>
          <w:highlight w:val="none"/>
        </w:rPr>
        <w:t>又保障了昆山水库的兴利功能要求。</w:t>
      </w:r>
      <w:r>
        <w:rPr>
          <w:rFonts w:hint="eastAsia" w:eastAsia="楷体"/>
          <w:color w:val="auto"/>
          <w:sz w:val="28"/>
          <w:szCs w:val="28"/>
          <w:highlight w:val="none"/>
          <w:lang w:val="en-US" w:eastAsia="zh-CN"/>
        </w:rPr>
        <w:t>因此</w:t>
      </w:r>
      <w:r>
        <w:rPr>
          <w:rFonts w:eastAsia="楷体"/>
          <w:color w:val="auto"/>
          <w:sz w:val="28"/>
          <w:szCs w:val="28"/>
          <w:highlight w:val="none"/>
        </w:rPr>
        <w:t>20</w:t>
      </w:r>
      <w:r>
        <w:rPr>
          <w:rFonts w:hint="eastAsia" w:eastAsia="楷体"/>
          <w:color w:val="auto"/>
          <w:sz w:val="28"/>
          <w:szCs w:val="28"/>
          <w:highlight w:val="none"/>
          <w:lang w:val="en-US" w:eastAsia="zh-CN"/>
        </w:rPr>
        <w:t>26</w:t>
      </w:r>
      <w:r>
        <w:rPr>
          <w:rFonts w:eastAsia="楷体"/>
          <w:color w:val="auto"/>
          <w:sz w:val="28"/>
          <w:szCs w:val="28"/>
          <w:highlight w:val="none"/>
        </w:rPr>
        <w:t>年将</w:t>
      </w:r>
      <w:r>
        <w:rPr>
          <w:rFonts w:hint="eastAsia" w:eastAsia="楷体"/>
          <w:color w:val="auto"/>
          <w:sz w:val="28"/>
          <w:szCs w:val="28"/>
          <w:highlight w:val="none"/>
          <w:lang w:val="en-US" w:eastAsia="zh-CN"/>
        </w:rPr>
        <w:t>37.75</w:t>
      </w:r>
      <w:r>
        <w:rPr>
          <w:rFonts w:eastAsia="楷体"/>
          <w:color w:val="auto"/>
          <w:sz w:val="28"/>
          <w:szCs w:val="28"/>
          <w:highlight w:val="none"/>
        </w:rPr>
        <w:t>m作为前烧水库的汛限水位。</w:t>
      </w:r>
    </w:p>
    <w:p w14:paraId="5E5963FD">
      <w:pPr>
        <w:pStyle w:val="3"/>
        <w:spacing w:beforeLines="50" w:afterLines="50" w:line="360" w:lineRule="auto"/>
        <w:contextualSpacing/>
        <w:rPr>
          <w:rFonts w:ascii="Times New Roman" w:hAnsi="Times New Roman" w:eastAsia="楷体"/>
          <w:color w:val="auto"/>
          <w:kern w:val="0"/>
          <w:sz w:val="28"/>
          <w:szCs w:val="28"/>
          <w:highlight w:val="none"/>
        </w:rPr>
      </w:pPr>
      <w:bookmarkStart w:id="22" w:name="_Toc290367231"/>
      <w:bookmarkStart w:id="23" w:name="_Toc17957"/>
      <w:r>
        <w:rPr>
          <w:rFonts w:ascii="Times New Roman" w:hAnsi="Times New Roman" w:eastAsia="楷体"/>
          <w:color w:val="auto"/>
          <w:kern w:val="0"/>
          <w:sz w:val="28"/>
          <w:szCs w:val="28"/>
          <w:highlight w:val="none"/>
        </w:rPr>
        <w:t>4.4 汛期防洪调度方式</w:t>
      </w:r>
      <w:bookmarkEnd w:id="22"/>
      <w:bookmarkEnd w:id="23"/>
    </w:p>
    <w:p w14:paraId="3ED1816C">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 xml:space="preserve"> （1）水库调洪演算</w:t>
      </w:r>
    </w:p>
    <w:p w14:paraId="41CDDBE4">
      <w:pPr>
        <w:spacing w:line="520" w:lineRule="exact"/>
        <w:ind w:firstLine="560" w:firstLineChars="200"/>
        <w:rPr>
          <w:rFonts w:eastAsia="楷体"/>
          <w:color w:val="auto"/>
          <w:sz w:val="28"/>
          <w:szCs w:val="28"/>
          <w:highlight w:val="none"/>
        </w:rPr>
      </w:pPr>
      <w:r>
        <w:rPr>
          <w:rFonts w:eastAsia="楷体"/>
          <w:color w:val="auto"/>
          <w:sz w:val="28"/>
          <w:szCs w:val="28"/>
          <w:highlight w:val="none"/>
        </w:rPr>
        <w:t>调洪演算按水量平衡方程式逐时段进行试算，计算方程式如下：</w:t>
      </w:r>
    </w:p>
    <w:p w14:paraId="473C13C5">
      <w:pPr>
        <w:ind w:firstLine="2520" w:firstLineChars="900"/>
        <w:rPr>
          <w:rFonts w:eastAsia="楷体"/>
          <w:color w:val="auto"/>
          <w:sz w:val="28"/>
          <w:szCs w:val="28"/>
          <w:highlight w:val="none"/>
        </w:rPr>
      </w:pPr>
      <w:r>
        <w:rPr>
          <w:rFonts w:ascii="Times New Roman" w:hAnsi="Times New Roman" w:eastAsia="楷体" w:cs="Times New Roman"/>
          <w:color w:val="auto"/>
          <w:kern w:val="2"/>
          <w:position w:val="-24"/>
          <w:sz w:val="28"/>
          <w:szCs w:val="28"/>
          <w:highlight w:val="none"/>
          <w:lang w:val="en-US" w:eastAsia="zh-CN" w:bidi="ar-SA"/>
        </w:rPr>
        <w:object>
          <v:shape id="_x0000_i1030" o:spt="75" type="#_x0000_t75" style="height:33.75pt;width:161.25pt;" o:ole="t" fillcolor="#FFFFFF" filled="f" o:preferrelative="t" stroked="f" coordsize="21600,21600">
            <v:path/>
            <v:fill on="f" color2="#FFFFFF" focussize="0,0"/>
            <v:stroke on="f"/>
            <v:imagedata r:id="rId23" gain="65536f" blacklevel="0f" gamma="0" o:title=""/>
            <o:lock v:ext="edit" position="f" selection="f" grouping="f" rotation="f" cropping="f" text="f" aspectratio="t"/>
            <w10:wrap type="none"/>
            <w10:anchorlock/>
          </v:shape>
          <o:OLEObject Type="Embed" ProgID="" ShapeID="_x0000_i1030" DrawAspect="Content" ObjectID="_1468075730" r:id="rId22">
            <o:LockedField>false</o:LockedField>
          </o:OLEObject>
        </w:object>
      </w:r>
      <w:r>
        <w:rPr>
          <w:rFonts w:eastAsia="楷体"/>
          <w:color w:val="auto"/>
          <w:sz w:val="28"/>
          <w:szCs w:val="28"/>
          <w:highlight w:val="none"/>
        </w:rPr>
        <w:t xml:space="preserve">          </w:t>
      </w:r>
    </w:p>
    <w:p w14:paraId="7CCFC38F">
      <w:pPr>
        <w:spacing w:line="520" w:lineRule="exact"/>
        <w:rPr>
          <w:rFonts w:eastAsia="楷体"/>
          <w:color w:val="auto"/>
          <w:sz w:val="28"/>
          <w:szCs w:val="28"/>
          <w:highlight w:val="none"/>
        </w:rPr>
      </w:pPr>
      <w:r>
        <w:rPr>
          <w:rFonts w:eastAsia="楷体"/>
          <w:color w:val="auto"/>
          <w:sz w:val="28"/>
          <w:szCs w:val="28"/>
          <w:highlight w:val="none"/>
        </w:rPr>
        <w:t>式中：</w:t>
      </w:r>
      <w:r>
        <w:rPr>
          <w:rFonts w:ascii="Times New Roman" w:hAnsi="Times New Roman" w:eastAsia="楷体" w:cs="Times New Roman"/>
          <w:color w:val="auto"/>
          <w:kern w:val="2"/>
          <w:position w:val="-12"/>
          <w:sz w:val="28"/>
          <w:szCs w:val="28"/>
          <w:highlight w:val="none"/>
          <w:lang w:val="en-US" w:eastAsia="zh-CN" w:bidi="ar-SA"/>
        </w:rPr>
        <w:object>
          <v:shape id="_x0000_i1031" o:spt="75" type="#_x0000_t75" style="height:17.25pt;width:37.5pt;" o:ole="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none"/>
            <w10:anchorlock/>
          </v:shape>
          <o:OLEObject Type="Embed" ProgID="" ShapeID="_x0000_i1031" DrawAspect="Content" ObjectID="_1468075731" r:id="rId24">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2" o:spt="75" type="#_x0000_t75" style="height:13.5pt;width:15pt;" o:ole="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o:OLEObject Type="Embed" ProgID="" ShapeID="_x0000_i1032" DrawAspect="Content" ObjectID="_1468075732" r:id="rId26">
            <o:LockedField>false</o:LockedField>
          </o:OLEObject>
        </w:object>
      </w:r>
      <w:r>
        <w:rPr>
          <w:rFonts w:eastAsia="楷体"/>
          <w:color w:val="auto"/>
          <w:sz w:val="28"/>
          <w:szCs w:val="28"/>
          <w:highlight w:val="none"/>
        </w:rPr>
        <w:t>始、末的入库流量（</w:t>
      </w:r>
      <w:r>
        <w:rPr>
          <w:rFonts w:ascii="Times New Roman" w:hAnsi="Times New Roman" w:eastAsia="楷体" w:cs="Times New Roman"/>
          <w:color w:val="auto"/>
          <w:kern w:val="2"/>
          <w:position w:val="-6"/>
          <w:sz w:val="28"/>
          <w:szCs w:val="28"/>
          <w:highlight w:val="none"/>
          <w:lang w:val="en-US" w:eastAsia="zh-CN" w:bidi="ar-SA"/>
        </w:rPr>
        <w:object>
          <v:shape id="_x0000_i1033" o:spt="75" type="#_x0000_t75" style="height:16.5pt;width:30pt;" o:ole="t" fillcolor="#FFFFFF" filled="f" o:preferrelative="t" stroked="f" coordsize="21600,21600">
            <v:path/>
            <v:fill on="f" color2="#FFFFFF" focussize="0,0"/>
            <v:stroke on="f"/>
            <v:imagedata r:id="rId29" gain="65536f" blacklevel="0f" gamma="0" o:title=""/>
            <o:lock v:ext="edit" position="f" selection="f" grouping="f" rotation="f" cropping="f" text="f" aspectratio="t"/>
            <w10:wrap type="none"/>
            <w10:anchorlock/>
          </v:shape>
          <o:OLEObject Type="Embed" ProgID="" ShapeID="_x0000_i1033" DrawAspect="Content" ObjectID="_1468075733" r:id="rId28">
            <o:LockedField>false</o:LockedField>
          </o:OLEObject>
        </w:object>
      </w:r>
      <w:r>
        <w:rPr>
          <w:rFonts w:eastAsia="楷体"/>
          <w:color w:val="auto"/>
          <w:sz w:val="28"/>
          <w:szCs w:val="28"/>
          <w:highlight w:val="none"/>
        </w:rPr>
        <w:t>）;</w:t>
      </w:r>
    </w:p>
    <w:p w14:paraId="23089738">
      <w:pPr>
        <w:spacing w:line="520" w:lineRule="exact"/>
        <w:rPr>
          <w:rFonts w:eastAsia="楷体"/>
          <w:color w:val="auto"/>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34" o:spt="75" type="#_x0000_t75" style="height:17.25pt;width:33.75pt;" o:ole="t" fillcolor="#FFFFFF" filled="f" o:preferrelative="t" stroked="f" coordsize="21600,21600">
            <v:path/>
            <v:fill on="f" color2="#FFFFFF" focussize="0,0"/>
            <v:stroke on="f"/>
            <v:imagedata r:id="rId31" gain="65536f" blacklevel="0f" gamma="0" o:title=""/>
            <o:lock v:ext="edit" position="f" selection="f" grouping="f" rotation="f" cropping="f" text="f" aspectratio="t"/>
            <w10:wrap type="none"/>
            <w10:anchorlock/>
          </v:shape>
          <o:OLEObject Type="Embed" ProgID="" ShapeID="_x0000_i1034" DrawAspect="Content" ObjectID="_1468075734" r:id="rId30">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5" o:spt="75" type="#_x0000_t75" style="height:13.5pt;width:15pt;" o:ole="t" fillcolor="#FFFFFF" filled="f" o:preferrelative="t" stroked="f" coordsize="21600,21600">
            <v:path/>
            <v:fill on="f" color2="#FFFFFF" focussize="0,0"/>
            <v:stroke on="f"/>
            <v:imagedata r:id="rId33" gain="65536f" blacklevel="0f" gamma="0" o:title=""/>
            <o:lock v:ext="edit" position="f" selection="f" grouping="f" rotation="f" cropping="f" text="f" aspectratio="t"/>
            <w10:wrap type="none"/>
            <w10:anchorlock/>
          </v:shape>
          <o:OLEObject Type="Embed" ProgID="" ShapeID="_x0000_i1035" DrawAspect="Content" ObjectID="_1468075735" r:id="rId32">
            <o:LockedField>false</o:LockedField>
          </o:OLEObject>
        </w:object>
      </w:r>
      <w:r>
        <w:rPr>
          <w:rFonts w:eastAsia="楷体"/>
          <w:color w:val="auto"/>
          <w:sz w:val="28"/>
          <w:szCs w:val="28"/>
          <w:highlight w:val="none"/>
        </w:rPr>
        <w:t>始、末的出库流量（</w:t>
      </w:r>
      <w:r>
        <w:rPr>
          <w:rFonts w:ascii="Times New Roman" w:hAnsi="Times New Roman" w:eastAsia="楷体" w:cs="Times New Roman"/>
          <w:color w:val="auto"/>
          <w:kern w:val="2"/>
          <w:position w:val="-6"/>
          <w:sz w:val="28"/>
          <w:szCs w:val="28"/>
          <w:highlight w:val="none"/>
          <w:lang w:val="en-US" w:eastAsia="zh-CN" w:bidi="ar-SA"/>
        </w:rPr>
        <w:object>
          <v:shape id="_x0000_i1036" o:spt="75" type="#_x0000_t75" style="height:16.5pt;width:30pt;" o:ole="t" fillcolor="#FFFFFF" filled="f" o:preferrelative="t" stroked="f" coordsize="21600,21600">
            <v:path/>
            <v:fill on="f" color2="#FFFFFF" focussize="0,0"/>
            <v:stroke on="f"/>
            <v:imagedata r:id="rId35" gain="65536f" blacklevel="0f" gamma="0" o:title=""/>
            <o:lock v:ext="edit" position="f" selection="f" grouping="f" rotation="f" cropping="f" text="f" aspectratio="t"/>
            <w10:wrap type="none"/>
            <w10:anchorlock/>
          </v:shape>
          <o:OLEObject Type="Embed" ProgID="" ShapeID="_x0000_i1036" DrawAspect="Content" ObjectID="_1468075736" r:id="rId34">
            <o:LockedField>false</o:LockedField>
          </o:OLEObject>
        </w:object>
      </w:r>
      <w:r>
        <w:rPr>
          <w:rFonts w:eastAsia="楷体"/>
          <w:color w:val="auto"/>
          <w:sz w:val="28"/>
          <w:szCs w:val="28"/>
          <w:highlight w:val="none"/>
        </w:rPr>
        <w:t>）;</w:t>
      </w:r>
    </w:p>
    <w:p w14:paraId="3854770D">
      <w:pPr>
        <w:spacing w:line="520" w:lineRule="exact"/>
        <w:rPr>
          <w:rFonts w:eastAsia="楷体"/>
          <w:color w:val="auto"/>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37" o:spt="75" type="#_x0000_t75" style="height:17.25pt;width:33.75pt;" o:ole="t" fillcolor="#FFFFFF" filled="f" o:preferrelative="t" stroked="f" coordsize="21600,21600">
            <v:path/>
            <v:fill on="f" color2="#FFFFFF" focussize="0,0"/>
            <v:stroke on="f"/>
            <v:imagedata r:id="rId37" gain="65536f" blacklevel="0f" gamma="0" o:title=""/>
            <o:lock v:ext="edit" position="f" selection="f" grouping="f" rotation="f" cropping="f" text="f" aspectratio="t"/>
            <w10:wrap type="none"/>
            <w10:anchorlock/>
          </v:shape>
          <o:OLEObject Type="Embed" ProgID="" ShapeID="_x0000_i1037" DrawAspect="Content" ObjectID="_1468075737" r:id="rId36">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8" o:spt="75" type="#_x0000_t75" style="height:13.5pt;width:15pt;" o:ole="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o:OLEObject Type="Embed" ProgID="" ShapeID="_x0000_i1038" DrawAspect="Content" ObjectID="_1468075738" r:id="rId38">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ascii="Times New Roman" w:hAnsi="Times New Roman" w:eastAsia="楷体" w:cs="Times New Roman"/>
          <w:color w:val="auto"/>
          <w:kern w:val="2"/>
          <w:position w:val="-6"/>
          <w:sz w:val="28"/>
          <w:szCs w:val="28"/>
          <w:highlight w:val="none"/>
          <w:lang w:val="en-US" w:eastAsia="zh-CN" w:bidi="ar-SA"/>
        </w:rPr>
        <w:object>
          <v:shape id="_x0000_i1039" o:spt="75" type="#_x0000_t75" style="height:16.5pt;width:16.5pt;" o:ole="t" fillcolor="#FFFFFF" filled="f" o:preferrelative="t" stroked="f" coordsize="21600,21600">
            <v:path/>
            <v:fill on="f" color2="#FFFFFF" focussize="0,0"/>
            <v:stroke on="f"/>
            <v:imagedata r:id="rId41" gain="65536f" blacklevel="0f" gamma="0" o:title=""/>
            <o:lock v:ext="edit" position="f" selection="f" grouping="f" rotation="f" cropping="f" text="f" aspectratio="t"/>
            <w10:wrap type="none"/>
            <w10:anchorlock/>
          </v:shape>
          <o:OLEObject Type="Embed" ProgID="" ShapeID="_x0000_i1039" DrawAspect="Content" ObjectID="_1468075739" r:id="rId40">
            <o:LockedField>false</o:LockedField>
          </o:OLEObject>
        </w:object>
      </w:r>
      <w:r>
        <w:rPr>
          <w:rFonts w:eastAsia="楷体"/>
          <w:color w:val="auto"/>
          <w:sz w:val="28"/>
          <w:szCs w:val="28"/>
          <w:highlight w:val="none"/>
        </w:rPr>
        <w:t>）</w:t>
      </w:r>
    </w:p>
    <w:p w14:paraId="104FBCCF">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w:t>
      </w:r>
      <w:r>
        <w:rPr>
          <w:rFonts w:hint="eastAsia" w:eastAsia="楷体"/>
          <w:color w:val="auto"/>
          <w:sz w:val="28"/>
          <w:szCs w:val="28"/>
          <w:highlight w:val="none"/>
        </w:rPr>
        <w:t>的</w:t>
      </w:r>
      <w:r>
        <w:rPr>
          <w:rFonts w:eastAsia="楷体"/>
          <w:color w:val="auto"/>
          <w:sz w:val="28"/>
          <w:szCs w:val="28"/>
          <w:highlight w:val="none"/>
        </w:rPr>
        <w:t>正常蓄水位为</w:t>
      </w:r>
      <w:r>
        <w:rPr>
          <w:rFonts w:hint="eastAsia" w:eastAsia="楷体"/>
          <w:color w:val="auto"/>
          <w:sz w:val="28"/>
          <w:szCs w:val="28"/>
          <w:highlight w:val="none"/>
          <w:lang w:eastAsia="zh-CN"/>
        </w:rPr>
        <w:t>37.75</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37.75</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w:t>
      </w:r>
      <w:r>
        <w:rPr>
          <w:rFonts w:hint="eastAsia" w:eastAsia="楷体"/>
          <w:color w:val="auto"/>
          <w:sz w:val="28"/>
          <w:szCs w:val="28"/>
          <w:highlight w:val="none"/>
        </w:rPr>
        <w:t>两</w:t>
      </w:r>
      <w:r>
        <w:rPr>
          <w:rFonts w:eastAsia="楷体"/>
          <w:color w:val="auto"/>
          <w:sz w:val="28"/>
          <w:szCs w:val="28"/>
          <w:highlight w:val="none"/>
        </w:rPr>
        <w:t>种设计频率洪水的调洪演算成果详见表</w:t>
      </w:r>
      <w:r>
        <w:rPr>
          <w:rFonts w:hint="eastAsia" w:eastAsia="楷体"/>
          <w:color w:val="auto"/>
          <w:sz w:val="28"/>
          <w:szCs w:val="28"/>
          <w:highlight w:val="none"/>
        </w:rPr>
        <w:t>4-1</w:t>
      </w:r>
      <w:r>
        <w:rPr>
          <w:rFonts w:eastAsia="楷体"/>
          <w:color w:val="auto"/>
          <w:sz w:val="28"/>
          <w:szCs w:val="28"/>
          <w:highlight w:val="none"/>
        </w:rPr>
        <w:t>。</w:t>
      </w:r>
    </w:p>
    <w:p w14:paraId="20BFF78C">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w:t>
      </w:r>
      <w:r>
        <w:rPr>
          <w:rFonts w:hint="eastAsia" w:eastAsia="楷体"/>
          <w:b/>
          <w:bCs/>
          <w:color w:val="auto"/>
          <w:kern w:val="0"/>
          <w:sz w:val="28"/>
          <w:szCs w:val="28"/>
          <w:highlight w:val="none"/>
        </w:rPr>
        <w:t>4-1</w:t>
      </w:r>
      <w:r>
        <w:rPr>
          <w:rFonts w:eastAsia="楷体"/>
          <w:b/>
          <w:bCs/>
          <w:color w:val="auto"/>
          <w:kern w:val="0"/>
          <w:sz w:val="28"/>
          <w:szCs w:val="28"/>
          <w:highlight w:val="none"/>
        </w:rPr>
        <w:t xml:space="preserve">            前烧水库调洪演算成果表</w:t>
      </w:r>
    </w:p>
    <w:tbl>
      <w:tblPr>
        <w:tblStyle w:val="19"/>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4DD40A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vAlign w:val="center"/>
          </w:tcPr>
          <w:p w14:paraId="17B342F4">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设计频率</w:t>
            </w:r>
          </w:p>
        </w:tc>
        <w:tc>
          <w:tcPr>
            <w:tcW w:w="1875" w:type="dxa"/>
            <w:tcBorders>
              <w:tl2br w:val="nil"/>
              <w:tr2bl w:val="nil"/>
            </w:tcBorders>
            <w:vAlign w:val="center"/>
          </w:tcPr>
          <w:p w14:paraId="17BC432F">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最大入库流量</w:t>
            </w:r>
            <w:r>
              <w:rPr>
                <w:b/>
                <w:color w:val="auto"/>
                <w:kern w:val="0"/>
                <w:sz w:val="24"/>
                <w:highlight w:val="none"/>
              </w:rPr>
              <w:t>(m</w:t>
            </w:r>
            <w:r>
              <w:rPr>
                <w:b/>
                <w:color w:val="auto"/>
                <w:kern w:val="0"/>
                <w:sz w:val="24"/>
                <w:highlight w:val="none"/>
                <w:vertAlign w:val="superscript"/>
              </w:rPr>
              <w:t>3</w:t>
            </w:r>
            <w:r>
              <w:rPr>
                <w:b/>
                <w:color w:val="auto"/>
                <w:kern w:val="0"/>
                <w:sz w:val="24"/>
                <w:highlight w:val="none"/>
              </w:rPr>
              <w:t>/s)</w:t>
            </w:r>
          </w:p>
        </w:tc>
        <w:tc>
          <w:tcPr>
            <w:tcW w:w="1630" w:type="dxa"/>
            <w:tcBorders>
              <w:tl2br w:val="nil"/>
              <w:tr2bl w:val="nil"/>
            </w:tcBorders>
            <w:vAlign w:val="center"/>
          </w:tcPr>
          <w:p w14:paraId="426F5BD7">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最大下泄流量</w:t>
            </w:r>
            <w:r>
              <w:rPr>
                <w:b/>
                <w:color w:val="auto"/>
                <w:kern w:val="0"/>
                <w:sz w:val="24"/>
                <w:highlight w:val="none"/>
              </w:rPr>
              <w:t>(m</w:t>
            </w:r>
            <w:r>
              <w:rPr>
                <w:b/>
                <w:color w:val="auto"/>
                <w:kern w:val="0"/>
                <w:sz w:val="24"/>
                <w:highlight w:val="none"/>
                <w:vertAlign w:val="superscript"/>
              </w:rPr>
              <w:t>3</w:t>
            </w:r>
            <w:r>
              <w:rPr>
                <w:b/>
                <w:color w:val="auto"/>
                <w:kern w:val="0"/>
                <w:sz w:val="24"/>
                <w:highlight w:val="none"/>
              </w:rPr>
              <w:t>/s)</w:t>
            </w:r>
          </w:p>
        </w:tc>
        <w:tc>
          <w:tcPr>
            <w:tcW w:w="1454" w:type="dxa"/>
            <w:tcBorders>
              <w:tl2br w:val="nil"/>
              <w:tr2bl w:val="nil"/>
            </w:tcBorders>
            <w:vAlign w:val="center"/>
          </w:tcPr>
          <w:p w14:paraId="669626AD">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最高库水位（</w:t>
            </w:r>
            <w:r>
              <w:rPr>
                <w:b/>
                <w:color w:val="auto"/>
                <w:kern w:val="0"/>
                <w:sz w:val="24"/>
                <w:highlight w:val="none"/>
              </w:rPr>
              <w:t>m</w:t>
            </w:r>
            <w:r>
              <w:rPr>
                <w:rFonts w:hint="eastAsia" w:ascii="宋体" w:hAnsi="宋体" w:cs="宋体"/>
                <w:b/>
                <w:color w:val="auto"/>
                <w:kern w:val="0"/>
                <w:sz w:val="24"/>
                <w:highlight w:val="none"/>
              </w:rPr>
              <w:t>）</w:t>
            </w:r>
          </w:p>
        </w:tc>
        <w:tc>
          <w:tcPr>
            <w:tcW w:w="1455" w:type="dxa"/>
            <w:tcBorders>
              <w:tl2br w:val="nil"/>
              <w:tr2bl w:val="nil"/>
            </w:tcBorders>
            <w:vAlign w:val="center"/>
          </w:tcPr>
          <w:p w14:paraId="6AE59684">
            <w:pPr>
              <w:widowControl/>
              <w:spacing w:line="440" w:lineRule="exact"/>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设计库容</w:t>
            </w:r>
          </w:p>
          <w:p w14:paraId="3228D7FD">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（万</w:t>
            </w:r>
            <w:r>
              <w:rPr>
                <w:b/>
                <w:color w:val="auto"/>
                <w:kern w:val="0"/>
                <w:sz w:val="24"/>
                <w:highlight w:val="none"/>
              </w:rPr>
              <w:t>m</w:t>
            </w:r>
            <w:r>
              <w:rPr>
                <w:b/>
                <w:color w:val="auto"/>
                <w:kern w:val="0"/>
                <w:sz w:val="24"/>
                <w:highlight w:val="none"/>
                <w:vertAlign w:val="superscript"/>
              </w:rPr>
              <w:t>3</w:t>
            </w:r>
            <w:r>
              <w:rPr>
                <w:rFonts w:hint="eastAsia" w:ascii="宋体" w:hAnsi="宋体" w:cs="宋体"/>
                <w:b/>
                <w:color w:val="auto"/>
                <w:kern w:val="0"/>
                <w:sz w:val="24"/>
                <w:highlight w:val="none"/>
              </w:rPr>
              <w:t>）</w:t>
            </w:r>
          </w:p>
        </w:tc>
      </w:tr>
      <w:tr w14:paraId="648F76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15DCD8EE">
            <w:pPr>
              <w:widowControl/>
              <w:spacing w:line="440" w:lineRule="exact"/>
              <w:jc w:val="center"/>
              <w:textAlignment w:val="center"/>
              <w:rPr>
                <w:color w:val="auto"/>
                <w:sz w:val="24"/>
                <w:highlight w:val="none"/>
              </w:rPr>
            </w:pPr>
            <w:r>
              <w:rPr>
                <w:color w:val="auto"/>
                <w:kern w:val="0"/>
                <w:sz w:val="24"/>
                <w:highlight w:val="none"/>
              </w:rPr>
              <w:t>P=</w:t>
            </w:r>
            <w:r>
              <w:rPr>
                <w:rFonts w:hint="eastAsia"/>
                <w:color w:val="auto"/>
                <w:kern w:val="0"/>
                <w:sz w:val="24"/>
                <w:highlight w:val="none"/>
                <w:lang w:val="en-US" w:eastAsia="zh-CN"/>
              </w:rPr>
              <w:t>5</w:t>
            </w:r>
            <w:r>
              <w:rPr>
                <w:color w:val="auto"/>
                <w:kern w:val="0"/>
                <w:sz w:val="24"/>
                <w:highlight w:val="none"/>
              </w:rPr>
              <w:t>%</w:t>
            </w:r>
          </w:p>
        </w:tc>
        <w:tc>
          <w:tcPr>
            <w:tcW w:w="1875" w:type="dxa"/>
            <w:tcBorders>
              <w:tl2br w:val="nil"/>
              <w:tr2bl w:val="nil"/>
            </w:tcBorders>
            <w:vAlign w:val="center"/>
          </w:tcPr>
          <w:p w14:paraId="6EF631FF">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24.43</w:t>
            </w:r>
          </w:p>
        </w:tc>
        <w:tc>
          <w:tcPr>
            <w:tcW w:w="1630" w:type="dxa"/>
            <w:tcBorders>
              <w:tl2br w:val="nil"/>
              <w:tr2bl w:val="nil"/>
            </w:tcBorders>
            <w:vAlign w:val="center"/>
          </w:tcPr>
          <w:p w14:paraId="61C40CE6">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7.89</w:t>
            </w:r>
          </w:p>
        </w:tc>
        <w:tc>
          <w:tcPr>
            <w:tcW w:w="1454" w:type="dxa"/>
            <w:tcBorders>
              <w:tl2br w:val="nil"/>
              <w:tr2bl w:val="nil"/>
            </w:tcBorders>
            <w:vAlign w:val="center"/>
          </w:tcPr>
          <w:p w14:paraId="2C2B2D22">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38.71</w:t>
            </w:r>
          </w:p>
        </w:tc>
        <w:tc>
          <w:tcPr>
            <w:tcW w:w="1455" w:type="dxa"/>
            <w:tcBorders>
              <w:tl2br w:val="nil"/>
              <w:tr2bl w:val="nil"/>
            </w:tcBorders>
            <w:vAlign w:val="center"/>
          </w:tcPr>
          <w:p w14:paraId="105C2D95">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30.16</w:t>
            </w:r>
          </w:p>
        </w:tc>
      </w:tr>
      <w:tr w14:paraId="5A19A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1C5F0477">
            <w:pPr>
              <w:widowControl/>
              <w:spacing w:line="440" w:lineRule="exact"/>
              <w:jc w:val="center"/>
              <w:textAlignment w:val="center"/>
              <w:rPr>
                <w:color w:val="auto"/>
                <w:sz w:val="24"/>
                <w:highlight w:val="none"/>
              </w:rPr>
            </w:pPr>
            <w:r>
              <w:rPr>
                <w:color w:val="auto"/>
                <w:kern w:val="0"/>
                <w:sz w:val="24"/>
                <w:highlight w:val="none"/>
              </w:rPr>
              <w:t>P=0.</w:t>
            </w:r>
            <w:r>
              <w:rPr>
                <w:rFonts w:hint="eastAsia"/>
                <w:color w:val="auto"/>
                <w:kern w:val="0"/>
                <w:sz w:val="24"/>
                <w:highlight w:val="none"/>
                <w:lang w:val="en-US" w:eastAsia="zh-CN"/>
              </w:rPr>
              <w:t>5</w:t>
            </w:r>
            <w:r>
              <w:rPr>
                <w:color w:val="auto"/>
                <w:kern w:val="0"/>
                <w:sz w:val="24"/>
                <w:highlight w:val="none"/>
              </w:rPr>
              <w:t>%</w:t>
            </w:r>
          </w:p>
        </w:tc>
        <w:tc>
          <w:tcPr>
            <w:tcW w:w="1875" w:type="dxa"/>
            <w:tcBorders>
              <w:tl2br w:val="nil"/>
              <w:tr2bl w:val="nil"/>
            </w:tcBorders>
            <w:vAlign w:val="center"/>
          </w:tcPr>
          <w:p w14:paraId="48AFC37D">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39.07</w:t>
            </w:r>
          </w:p>
        </w:tc>
        <w:tc>
          <w:tcPr>
            <w:tcW w:w="1630" w:type="dxa"/>
            <w:tcBorders>
              <w:tl2br w:val="nil"/>
              <w:tr2bl w:val="nil"/>
            </w:tcBorders>
            <w:vAlign w:val="center"/>
          </w:tcPr>
          <w:p w14:paraId="2C595D1D">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13.12</w:t>
            </w:r>
          </w:p>
        </w:tc>
        <w:tc>
          <w:tcPr>
            <w:tcW w:w="1454" w:type="dxa"/>
            <w:tcBorders>
              <w:tl2br w:val="nil"/>
              <w:tr2bl w:val="nil"/>
            </w:tcBorders>
            <w:vAlign w:val="center"/>
          </w:tcPr>
          <w:p w14:paraId="5419D1F0">
            <w:pPr>
              <w:widowControl/>
              <w:spacing w:line="440" w:lineRule="exact"/>
              <w:jc w:val="center"/>
              <w:textAlignment w:val="center"/>
              <w:rPr>
                <w:rFonts w:hint="default"/>
                <w:color w:val="auto"/>
                <w:kern w:val="0"/>
                <w:sz w:val="24"/>
                <w:highlight w:val="none"/>
                <w:lang w:val="en-US" w:eastAsia="zh-CN"/>
              </w:rPr>
            </w:pPr>
            <w:r>
              <w:rPr>
                <w:rFonts w:hint="eastAsia"/>
                <w:color w:val="auto"/>
                <w:kern w:val="0"/>
                <w:sz w:val="24"/>
                <w:highlight w:val="none"/>
                <w:lang w:val="en-US" w:eastAsia="zh-CN"/>
              </w:rPr>
              <w:t>39.1</w:t>
            </w:r>
          </w:p>
        </w:tc>
        <w:tc>
          <w:tcPr>
            <w:tcW w:w="1455" w:type="dxa"/>
            <w:tcBorders>
              <w:tl2br w:val="nil"/>
              <w:tr2bl w:val="nil"/>
            </w:tcBorders>
            <w:vAlign w:val="center"/>
          </w:tcPr>
          <w:p w14:paraId="6BF4846A">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32.74</w:t>
            </w:r>
          </w:p>
        </w:tc>
      </w:tr>
    </w:tbl>
    <w:p w14:paraId="2858A78A">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（2）前烧水库防汛调度方案</w:t>
      </w:r>
    </w:p>
    <w:p w14:paraId="4B7425A8">
      <w:pPr>
        <w:numPr>
          <w:ilvl w:val="0"/>
          <w:numId w:val="3"/>
        </w:numPr>
        <w:spacing w:line="520" w:lineRule="exact"/>
        <w:ind w:firstLine="560" w:firstLineChars="200"/>
        <w:rPr>
          <w:rFonts w:eastAsia="楷体"/>
          <w:b w:val="0"/>
          <w:bCs w:val="0"/>
          <w:color w:val="auto"/>
          <w:sz w:val="28"/>
          <w:szCs w:val="28"/>
          <w:highlight w:val="none"/>
        </w:rPr>
      </w:pPr>
      <w:r>
        <w:rPr>
          <w:rFonts w:eastAsia="楷体"/>
          <w:b w:val="0"/>
          <w:bCs w:val="0"/>
          <w:color w:val="auto"/>
          <w:sz w:val="28"/>
          <w:szCs w:val="28"/>
          <w:highlight w:val="none"/>
        </w:rPr>
        <w:t>前烧水库汛限水位为</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m，进入汛期前，若前烧水库水位大于</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w:t>
      </w:r>
      <w:r>
        <w:rPr>
          <w:rFonts w:hint="eastAsia" w:eastAsia="楷体"/>
          <w:b w:val="0"/>
          <w:bCs w:val="0"/>
          <w:color w:val="auto"/>
          <w:sz w:val="28"/>
          <w:szCs w:val="28"/>
          <w:highlight w:val="none"/>
        </w:rPr>
        <w:t>则自由泄流</w:t>
      </w:r>
      <w:r>
        <w:rPr>
          <w:rFonts w:eastAsia="楷体"/>
          <w:b w:val="0"/>
          <w:bCs w:val="0"/>
          <w:color w:val="auto"/>
          <w:sz w:val="28"/>
          <w:szCs w:val="28"/>
          <w:highlight w:val="none"/>
        </w:rPr>
        <w:t>，使前烧水库在汛期开始即4月1日前的水库水位控制在</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m以下；汛期期间，水库可根据需要进行蓄水，但不得超过</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w:t>
      </w:r>
    </w:p>
    <w:p w14:paraId="0934F20C">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39EF75AA">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当前烧水库遇到短历时小于50mm的强降雨时，入库最大洪水总量为</w:t>
      </w:r>
      <w:r>
        <w:rPr>
          <w:rFonts w:hint="eastAsia" w:eastAsia="楷体"/>
          <w:color w:val="auto"/>
          <w:sz w:val="28"/>
          <w:szCs w:val="28"/>
          <w:highlight w:val="none"/>
          <w:lang w:val="en-US" w:eastAsia="zh-CN"/>
        </w:rPr>
        <w:t>4.15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37.02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37.02</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37.02</w:t>
      </w:r>
      <w:r>
        <w:rPr>
          <w:rFonts w:eastAsia="楷体"/>
          <w:color w:val="auto"/>
          <w:sz w:val="28"/>
          <w:szCs w:val="28"/>
          <w:highlight w:val="none"/>
        </w:rPr>
        <w:t>m以下；</w:t>
      </w:r>
    </w:p>
    <w:p w14:paraId="38EED20F">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6.22</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36.71</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36.71</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36.71</w:t>
      </w:r>
      <w:r>
        <w:rPr>
          <w:rFonts w:eastAsia="楷体"/>
          <w:color w:val="auto"/>
          <w:sz w:val="28"/>
          <w:szCs w:val="28"/>
          <w:highlight w:val="none"/>
        </w:rPr>
        <w:t>m以下；</w:t>
      </w:r>
    </w:p>
    <w:p w14:paraId="1AD85F93">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8.33</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36.22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36.22</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36.22</w:t>
      </w:r>
      <w:r>
        <w:rPr>
          <w:rFonts w:eastAsia="楷体"/>
          <w:color w:val="auto"/>
          <w:sz w:val="28"/>
          <w:szCs w:val="28"/>
          <w:highlight w:val="none"/>
        </w:rPr>
        <w:t>m以下</w:t>
      </w:r>
      <w:r>
        <w:rPr>
          <w:rFonts w:hint="eastAsia" w:eastAsia="楷体"/>
          <w:color w:val="auto"/>
          <w:sz w:val="28"/>
          <w:szCs w:val="28"/>
          <w:highlight w:val="none"/>
          <w:lang w:eastAsia="zh-CN"/>
        </w:rPr>
        <w:t>。</w:t>
      </w:r>
    </w:p>
    <w:p w14:paraId="1A7F828C">
      <w:pPr>
        <w:numPr>
          <w:ilvl w:val="0"/>
          <w:numId w:val="5"/>
        </w:numPr>
        <w:spacing w:line="520" w:lineRule="exact"/>
        <w:ind w:firstLine="560" w:firstLineChars="200"/>
        <w:rPr>
          <w:rFonts w:eastAsia="楷体"/>
          <w:b w:val="0"/>
          <w:bCs w:val="0"/>
          <w:color w:val="auto"/>
          <w:sz w:val="28"/>
          <w:szCs w:val="28"/>
          <w:highlight w:val="none"/>
        </w:rPr>
      </w:pPr>
      <w:r>
        <w:rPr>
          <w:rFonts w:eastAsia="楷体"/>
          <w:b w:val="0"/>
          <w:bCs w:val="0"/>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32E4A3F2">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7.87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36.33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36.33</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36.33</w:t>
      </w:r>
      <w:r>
        <w:rPr>
          <w:rFonts w:eastAsia="楷体"/>
          <w:color w:val="auto"/>
          <w:sz w:val="28"/>
          <w:szCs w:val="28"/>
          <w:highlight w:val="none"/>
        </w:rPr>
        <w:t>m以下。</w:t>
      </w:r>
    </w:p>
    <w:p w14:paraId="06A14271">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11.78</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35.5</w:t>
      </w:r>
      <w:r>
        <w:rPr>
          <w:rFonts w:eastAsia="楷体"/>
          <w:color w:val="auto"/>
          <w:sz w:val="28"/>
          <w:szCs w:val="28"/>
          <w:highlight w:val="none"/>
        </w:rPr>
        <w:t>m以下，可不考虑水库泄洪；如水库水位在</w:t>
      </w:r>
      <w:r>
        <w:rPr>
          <w:rFonts w:hint="eastAsia" w:eastAsia="楷体"/>
          <w:color w:val="auto"/>
          <w:sz w:val="28"/>
          <w:szCs w:val="28"/>
          <w:highlight w:val="none"/>
        </w:rPr>
        <w:t>1</w:t>
      </w:r>
      <w:r>
        <w:rPr>
          <w:rFonts w:hint="eastAsia" w:eastAsia="楷体"/>
          <w:color w:val="auto"/>
          <w:sz w:val="28"/>
          <w:szCs w:val="28"/>
          <w:highlight w:val="none"/>
          <w:lang w:val="en-US" w:eastAsia="zh-CN"/>
        </w:rPr>
        <w:t>35.5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35.5</w:t>
      </w:r>
      <w:r>
        <w:rPr>
          <w:rFonts w:eastAsia="楷体"/>
          <w:color w:val="auto"/>
          <w:sz w:val="28"/>
          <w:szCs w:val="28"/>
          <w:highlight w:val="none"/>
        </w:rPr>
        <w:t>m以下。</w:t>
      </w:r>
    </w:p>
    <w:p w14:paraId="36ACE3A0">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15.66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34.54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34.54</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34.54</w:t>
      </w:r>
      <w:r>
        <w:rPr>
          <w:rFonts w:eastAsia="楷体"/>
          <w:color w:val="auto"/>
          <w:sz w:val="28"/>
          <w:szCs w:val="28"/>
          <w:highlight w:val="none"/>
        </w:rPr>
        <w:t>m以下。</w:t>
      </w:r>
    </w:p>
    <w:p w14:paraId="2C6BAF10">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19.55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m以下，可不考虑水库泄洪；如水库水位在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降至死水位</w:t>
      </w:r>
      <w:r>
        <w:rPr>
          <w:rFonts w:hint="eastAsia" w:eastAsia="楷体"/>
          <w:color w:val="auto"/>
          <w:sz w:val="28"/>
          <w:szCs w:val="28"/>
          <w:highlight w:val="none"/>
          <w:lang w:val="en-US" w:eastAsia="zh-CN"/>
        </w:rPr>
        <w:t>29.45</w:t>
      </w:r>
      <w:r>
        <w:rPr>
          <w:rFonts w:eastAsia="楷体"/>
          <w:color w:val="auto"/>
          <w:sz w:val="28"/>
          <w:szCs w:val="28"/>
          <w:highlight w:val="none"/>
        </w:rPr>
        <w:t>m以下。</w:t>
      </w:r>
    </w:p>
    <w:p w14:paraId="34D96E29">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23.5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m以下，可不考虑水库泄洪；如水库水位在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降至死水位</w:t>
      </w:r>
      <w:r>
        <w:rPr>
          <w:rFonts w:hint="eastAsia" w:eastAsia="楷体"/>
          <w:color w:val="auto"/>
          <w:sz w:val="28"/>
          <w:szCs w:val="28"/>
          <w:highlight w:val="none"/>
          <w:lang w:val="en-US" w:eastAsia="zh-CN"/>
        </w:rPr>
        <w:t>29.45</w:t>
      </w:r>
      <w:r>
        <w:rPr>
          <w:rFonts w:eastAsia="楷体"/>
          <w:color w:val="auto"/>
          <w:sz w:val="28"/>
          <w:szCs w:val="28"/>
          <w:highlight w:val="none"/>
        </w:rPr>
        <w:t>m。</w:t>
      </w:r>
    </w:p>
    <w:p w14:paraId="427F8FE8">
      <w:pPr>
        <w:spacing w:line="520" w:lineRule="exact"/>
        <w:ind w:left="420" w:leftChars="200"/>
        <w:rPr>
          <w:rFonts w:eastAsia="楷体"/>
          <w:b/>
          <w:bCs/>
          <w:color w:val="auto"/>
          <w:sz w:val="28"/>
          <w:szCs w:val="28"/>
          <w:highlight w:val="none"/>
        </w:rPr>
      </w:pPr>
      <w:r>
        <w:rPr>
          <w:rFonts w:hint="eastAsia" w:eastAsia="楷体"/>
          <w:b/>
          <w:bCs/>
          <w:color w:val="auto"/>
          <w:sz w:val="28"/>
          <w:szCs w:val="28"/>
          <w:highlight w:val="none"/>
          <w:lang w:val="en-US" w:eastAsia="zh-CN"/>
        </w:rPr>
        <w:t>3</w:t>
      </w:r>
      <w:r>
        <w:rPr>
          <w:rFonts w:eastAsia="楷体"/>
          <w:b/>
          <w:bCs/>
          <w:color w:val="auto"/>
          <w:sz w:val="28"/>
          <w:szCs w:val="28"/>
          <w:highlight w:val="none"/>
        </w:rPr>
        <w:t>、预警预报制度</w:t>
      </w:r>
    </w:p>
    <w:p w14:paraId="268C51D2">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由于下游沿岸有一定的居民，沿河人类活动较为频繁，为避免发生意外事件，若</w:t>
      </w:r>
      <w:r>
        <w:rPr>
          <w:rFonts w:hint="eastAsia" w:eastAsia="楷体"/>
          <w:color w:val="auto"/>
          <w:sz w:val="28"/>
          <w:szCs w:val="28"/>
          <w:highlight w:val="none"/>
          <w:lang w:val="en-US" w:eastAsia="zh-CN"/>
        </w:rPr>
        <w:t>下</w:t>
      </w:r>
      <w:r>
        <w:rPr>
          <w:rFonts w:eastAsia="楷体"/>
          <w:color w:val="auto"/>
          <w:sz w:val="28"/>
          <w:szCs w:val="28"/>
          <w:highlight w:val="none"/>
        </w:rPr>
        <w:t>泄流量大于10m</w:t>
      </w:r>
      <w:r>
        <w:rPr>
          <w:rFonts w:eastAsia="楷体"/>
          <w:color w:val="auto"/>
          <w:sz w:val="28"/>
          <w:szCs w:val="28"/>
          <w:highlight w:val="none"/>
          <w:vertAlign w:val="superscript"/>
        </w:rPr>
        <w:t>3</w:t>
      </w:r>
      <w:r>
        <w:rPr>
          <w:rFonts w:eastAsia="楷体"/>
          <w:color w:val="auto"/>
          <w:sz w:val="28"/>
          <w:szCs w:val="28"/>
          <w:highlight w:val="none"/>
        </w:rPr>
        <w:t>/s，要将</w:t>
      </w:r>
      <w:r>
        <w:rPr>
          <w:rFonts w:hint="eastAsia" w:eastAsia="楷体"/>
          <w:color w:val="auto"/>
          <w:sz w:val="28"/>
          <w:szCs w:val="28"/>
          <w:highlight w:val="none"/>
          <w:lang w:val="en-US" w:eastAsia="zh-CN"/>
        </w:rPr>
        <w:t>下泄</w:t>
      </w:r>
      <w:r>
        <w:rPr>
          <w:rFonts w:eastAsia="楷体"/>
          <w:color w:val="auto"/>
          <w:sz w:val="28"/>
          <w:szCs w:val="28"/>
          <w:highlight w:val="none"/>
        </w:rPr>
        <w:t>方案上报</w:t>
      </w:r>
      <w:r>
        <w:rPr>
          <w:rFonts w:hint="eastAsia" w:eastAsia="楷体"/>
          <w:color w:val="auto"/>
          <w:sz w:val="28"/>
          <w:szCs w:val="28"/>
          <w:highlight w:val="none"/>
          <w:lang w:val="en-US" w:eastAsia="zh-CN"/>
        </w:rPr>
        <w:t>泉港区农业农村和水务局</w:t>
      </w:r>
      <w:r>
        <w:rPr>
          <w:rFonts w:hint="eastAsia" w:eastAsia="楷体"/>
          <w:color w:val="auto"/>
          <w:sz w:val="28"/>
          <w:szCs w:val="28"/>
          <w:highlight w:val="none"/>
          <w:lang w:eastAsia="zh-CN"/>
        </w:rPr>
        <w:t>。</w:t>
      </w:r>
    </w:p>
    <w:p w14:paraId="19061A09">
      <w:pPr>
        <w:spacing w:line="520" w:lineRule="exact"/>
        <w:ind w:firstLine="562" w:firstLineChars="200"/>
        <w:rPr>
          <w:rFonts w:eastAsia="楷体"/>
          <w:b/>
          <w:bCs/>
          <w:color w:val="auto"/>
          <w:sz w:val="28"/>
          <w:szCs w:val="28"/>
          <w:highlight w:val="none"/>
        </w:rPr>
      </w:pPr>
      <w:r>
        <w:rPr>
          <w:rFonts w:hint="eastAsia" w:eastAsia="楷体"/>
          <w:b/>
          <w:bCs/>
          <w:color w:val="auto"/>
          <w:sz w:val="28"/>
          <w:szCs w:val="28"/>
          <w:highlight w:val="none"/>
          <w:lang w:val="en-US" w:eastAsia="zh-CN"/>
        </w:rPr>
        <w:t>4</w:t>
      </w:r>
      <w:r>
        <w:rPr>
          <w:rFonts w:eastAsia="楷体"/>
          <w:b/>
          <w:bCs/>
          <w:color w:val="auto"/>
          <w:sz w:val="28"/>
          <w:szCs w:val="28"/>
          <w:highlight w:val="none"/>
        </w:rPr>
        <w:t>、前烧水库泄洪对下游</w:t>
      </w:r>
      <w:r>
        <w:rPr>
          <w:rFonts w:hint="eastAsia" w:eastAsia="楷体"/>
          <w:b/>
          <w:bCs/>
          <w:color w:val="auto"/>
          <w:sz w:val="28"/>
          <w:szCs w:val="28"/>
          <w:highlight w:val="none"/>
        </w:rPr>
        <w:t>河道</w:t>
      </w:r>
      <w:r>
        <w:rPr>
          <w:rFonts w:eastAsia="楷体"/>
          <w:b/>
          <w:bCs/>
          <w:color w:val="auto"/>
          <w:sz w:val="28"/>
          <w:szCs w:val="28"/>
          <w:highlight w:val="none"/>
        </w:rPr>
        <w:t>的防洪调度影响</w:t>
      </w:r>
    </w:p>
    <w:p w14:paraId="7A0B0954">
      <w:pPr>
        <w:spacing w:line="520" w:lineRule="exact"/>
        <w:ind w:firstLine="560" w:firstLineChars="200"/>
        <w:rPr>
          <w:rFonts w:eastAsia="楷体"/>
          <w:color w:val="auto"/>
          <w:sz w:val="28"/>
          <w:szCs w:val="28"/>
          <w:highlight w:val="none"/>
        </w:rPr>
      </w:pPr>
      <w:r>
        <w:rPr>
          <w:rFonts w:eastAsia="楷体"/>
          <w:color w:val="auto"/>
          <w:sz w:val="28"/>
          <w:highlight w:val="none"/>
        </w:rPr>
        <w:t>前烧水库在一定程度上提高了下游</w:t>
      </w:r>
      <w:r>
        <w:rPr>
          <w:rFonts w:hint="eastAsia" w:eastAsia="楷体"/>
          <w:color w:val="auto"/>
          <w:sz w:val="28"/>
          <w:highlight w:val="none"/>
        </w:rPr>
        <w:t>河道</w:t>
      </w:r>
      <w:r>
        <w:rPr>
          <w:rFonts w:eastAsia="楷体"/>
          <w:color w:val="auto"/>
          <w:sz w:val="28"/>
          <w:highlight w:val="none"/>
        </w:rPr>
        <w:t>的防洪能力</w:t>
      </w:r>
      <w:r>
        <w:rPr>
          <w:rFonts w:hint="eastAsia" w:eastAsia="楷体"/>
          <w:color w:val="auto"/>
          <w:sz w:val="28"/>
          <w:highlight w:val="none"/>
        </w:rPr>
        <w:t>，起到了一定的削峰调洪作用</w:t>
      </w:r>
      <w:r>
        <w:rPr>
          <w:rFonts w:eastAsia="楷体"/>
          <w:color w:val="auto"/>
          <w:sz w:val="28"/>
          <w:highlight w:val="none"/>
        </w:rPr>
        <w:t>。</w:t>
      </w:r>
    </w:p>
    <w:p w14:paraId="2696C340">
      <w:pPr>
        <w:spacing w:line="520" w:lineRule="exact"/>
        <w:ind w:firstLine="562" w:firstLineChars="200"/>
        <w:rPr>
          <w:rFonts w:eastAsia="楷体"/>
          <w:b/>
          <w:bCs/>
          <w:color w:val="auto"/>
          <w:sz w:val="28"/>
          <w:szCs w:val="28"/>
          <w:highlight w:val="none"/>
        </w:rPr>
      </w:pPr>
      <w:r>
        <w:rPr>
          <w:rFonts w:hint="eastAsia" w:eastAsia="楷体"/>
          <w:b/>
          <w:bCs/>
          <w:color w:val="auto"/>
          <w:sz w:val="28"/>
          <w:szCs w:val="28"/>
          <w:highlight w:val="none"/>
          <w:lang w:val="en-US" w:eastAsia="zh-CN"/>
        </w:rPr>
        <w:t>5</w:t>
      </w:r>
      <w:r>
        <w:rPr>
          <w:rFonts w:eastAsia="楷体"/>
          <w:b/>
          <w:bCs/>
          <w:color w:val="auto"/>
          <w:sz w:val="28"/>
          <w:szCs w:val="28"/>
          <w:highlight w:val="none"/>
        </w:rPr>
        <w:t>、突发事件调度</w:t>
      </w:r>
    </w:p>
    <w:p w14:paraId="4BEF9A2F">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w:t>
      </w:r>
      <w:r>
        <w:rPr>
          <w:rFonts w:hint="eastAsia" w:eastAsia="楷体"/>
          <w:color w:val="auto"/>
          <w:sz w:val="28"/>
          <w:szCs w:val="28"/>
          <w:highlight w:val="none"/>
          <w:lang w:val="en-US" w:eastAsia="zh-CN"/>
        </w:rPr>
        <w:t>泉港区</w:t>
      </w:r>
      <w:r>
        <w:rPr>
          <w:rFonts w:eastAsia="楷体"/>
          <w:color w:val="auto"/>
          <w:sz w:val="28"/>
          <w:szCs w:val="28"/>
          <w:highlight w:val="none"/>
        </w:rPr>
        <w:t>人民政府防汛抗旱指挥部调度安排，水库具体应急措施包括：</w:t>
      </w:r>
    </w:p>
    <w:p w14:paraId="0179D42D">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58AEAC88">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w:t>
      </w:r>
      <w:r>
        <w:rPr>
          <w:rFonts w:hint="eastAsia" w:eastAsia="楷体"/>
          <w:color w:val="auto"/>
          <w:sz w:val="28"/>
          <w:szCs w:val="28"/>
          <w:highlight w:val="none"/>
        </w:rPr>
        <w:t>前烧村</w:t>
      </w:r>
      <w:r>
        <w:rPr>
          <w:rFonts w:eastAsia="楷体"/>
          <w:color w:val="auto"/>
          <w:sz w:val="28"/>
          <w:szCs w:val="28"/>
          <w:highlight w:val="none"/>
        </w:rPr>
        <w:t>及</w:t>
      </w:r>
      <w:r>
        <w:rPr>
          <w:rFonts w:hint="eastAsia" w:eastAsia="楷体"/>
          <w:color w:val="auto"/>
          <w:sz w:val="28"/>
          <w:szCs w:val="28"/>
          <w:highlight w:val="none"/>
        </w:rPr>
        <w:t>前黄</w:t>
      </w:r>
      <w:r>
        <w:rPr>
          <w:rFonts w:eastAsia="楷体"/>
          <w:color w:val="auto"/>
          <w:sz w:val="28"/>
          <w:szCs w:val="28"/>
          <w:highlight w:val="none"/>
        </w:rPr>
        <w:t>镇政府。</w:t>
      </w:r>
    </w:p>
    <w:p w14:paraId="39205E55">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1749EABC">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前烧水库防洪调度注意事项：一是要严格执行上级防汛部门下达的调指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720F99EF">
      <w:pPr>
        <w:pStyle w:val="3"/>
        <w:rPr>
          <w:rFonts w:ascii="Times New Roman" w:hAnsi="Times New Roman" w:eastAsia="楷体"/>
          <w:color w:val="auto"/>
          <w:sz w:val="28"/>
          <w:szCs w:val="28"/>
          <w:highlight w:val="none"/>
        </w:rPr>
      </w:pPr>
      <w:bookmarkStart w:id="24" w:name="_Toc3500"/>
      <w:r>
        <w:rPr>
          <w:rFonts w:ascii="Times New Roman" w:hAnsi="Times New Roman" w:eastAsia="楷体"/>
          <w:color w:val="auto"/>
          <w:sz w:val="28"/>
          <w:szCs w:val="28"/>
          <w:highlight w:val="none"/>
        </w:rPr>
        <w:t>4.5汛期水库的管理工作</w:t>
      </w:r>
      <w:bookmarkEnd w:id="24"/>
    </w:p>
    <w:p w14:paraId="00B65B40">
      <w:pPr>
        <w:pStyle w:val="3"/>
        <w:ind w:firstLine="560" w:firstLineChars="200"/>
        <w:rPr>
          <w:rFonts w:hint="eastAsia" w:ascii="Times New Roman" w:hAnsi="Times New Roman" w:eastAsia="楷体" w:cs="Times New Roman"/>
          <w:b w:val="0"/>
          <w:bCs/>
          <w:color w:val="auto"/>
          <w:kern w:val="2"/>
          <w:sz w:val="28"/>
          <w:szCs w:val="28"/>
          <w:highlight w:val="none"/>
          <w:lang w:val="en-US" w:eastAsia="zh-CN" w:bidi="ar-SA"/>
        </w:rPr>
      </w:pPr>
      <w:r>
        <w:rPr>
          <w:rFonts w:ascii="Times New Roman" w:hAnsi="Times New Roman" w:eastAsia="楷体" w:cs="Times New Roman"/>
          <w:b w:val="0"/>
          <w:bCs/>
          <w:color w:val="auto"/>
          <w:kern w:val="2"/>
          <w:sz w:val="28"/>
          <w:szCs w:val="28"/>
          <w:highlight w:val="none"/>
          <w:lang w:val="en-US" w:eastAsia="zh-CN" w:bidi="ar-SA"/>
        </w:rPr>
        <w:t>为保障</w:t>
      </w:r>
      <w:r>
        <w:rPr>
          <w:rFonts w:hint="eastAsia" w:ascii="Times New Roman" w:hAnsi="Times New Roman" w:eastAsia="楷体" w:cs="Times New Roman"/>
          <w:b w:val="0"/>
          <w:bCs/>
          <w:color w:val="auto"/>
          <w:kern w:val="2"/>
          <w:sz w:val="28"/>
          <w:szCs w:val="28"/>
          <w:highlight w:val="none"/>
          <w:lang w:val="en-US" w:eastAsia="zh-CN" w:bidi="ar-SA"/>
        </w:rPr>
        <w:t>前烧</w:t>
      </w:r>
      <w:r>
        <w:rPr>
          <w:rFonts w:ascii="Times New Roman" w:hAnsi="Times New Roman" w:eastAsia="楷体" w:cs="Times New Roman"/>
          <w:b w:val="0"/>
          <w:bCs/>
          <w:color w:val="auto"/>
          <w:kern w:val="2"/>
          <w:sz w:val="28"/>
          <w:szCs w:val="28"/>
          <w:highlight w:val="none"/>
          <w:lang w:val="en-US" w:eastAsia="zh-CN" w:bidi="ar-SA"/>
        </w:rPr>
        <w:t>水库20</w:t>
      </w:r>
      <w:r>
        <w:rPr>
          <w:rFonts w:hint="eastAsia" w:ascii="Times New Roman" w:hAnsi="Times New Roman" w:eastAsia="楷体" w:cs="Times New Roman"/>
          <w:b w:val="0"/>
          <w:bCs/>
          <w:color w:val="auto"/>
          <w:kern w:val="2"/>
          <w:sz w:val="28"/>
          <w:szCs w:val="28"/>
          <w:highlight w:val="none"/>
          <w:lang w:val="en-US" w:eastAsia="zh-CN" w:bidi="ar-SA"/>
        </w:rPr>
        <w:t>26</w:t>
      </w:r>
      <w:r>
        <w:rPr>
          <w:rFonts w:ascii="Times New Roman" w:hAnsi="Times New Roman" w:eastAsia="楷体" w:cs="Times New Roman"/>
          <w:b w:val="0"/>
          <w:bCs/>
          <w:color w:val="auto"/>
          <w:kern w:val="2"/>
          <w:sz w:val="28"/>
          <w:szCs w:val="28"/>
          <w:highlight w:val="none"/>
          <w:lang w:val="en-US" w:eastAsia="zh-CN" w:bidi="ar-SA"/>
        </w:rPr>
        <w:t>年防汛工作的顺利进行，成立</w:t>
      </w:r>
      <w:r>
        <w:rPr>
          <w:rFonts w:hint="eastAsia" w:ascii="Times New Roman" w:hAnsi="Times New Roman" w:eastAsia="楷体" w:cs="Times New Roman"/>
          <w:b w:val="0"/>
          <w:bCs/>
          <w:color w:val="auto"/>
          <w:kern w:val="2"/>
          <w:sz w:val="28"/>
          <w:szCs w:val="28"/>
          <w:highlight w:val="none"/>
          <w:lang w:val="en-US" w:eastAsia="zh-CN" w:bidi="ar-SA"/>
        </w:rPr>
        <w:t>前烧</w:t>
      </w:r>
      <w:r>
        <w:rPr>
          <w:rFonts w:ascii="Times New Roman" w:hAnsi="Times New Roman" w:eastAsia="楷体" w:cs="Times New Roman"/>
          <w:b w:val="0"/>
          <w:bCs/>
          <w:color w:val="auto"/>
          <w:kern w:val="2"/>
          <w:sz w:val="28"/>
          <w:szCs w:val="28"/>
          <w:highlight w:val="none"/>
          <w:lang w:val="en-US" w:eastAsia="zh-CN" w:bidi="ar-SA"/>
        </w:rPr>
        <w:t>水库大坝安全应急指挥部，</w:t>
      </w:r>
      <w:r>
        <w:rPr>
          <w:rFonts w:hint="eastAsia" w:ascii="Times New Roman" w:hAnsi="Times New Roman" w:eastAsia="楷体" w:cs="Times New Roman"/>
          <w:b w:val="0"/>
          <w:bCs/>
          <w:color w:val="auto"/>
          <w:kern w:val="2"/>
          <w:sz w:val="28"/>
          <w:szCs w:val="28"/>
          <w:highlight w:val="none"/>
          <w:lang w:val="en-US" w:eastAsia="zh-CN" w:bidi="ar-SA"/>
        </w:rPr>
        <w:t>明确水库防汛领导小组组长、副组长及成员单位负责人，明确实施《应急预案》的职责分工和工作方式。</w:t>
      </w:r>
    </w:p>
    <w:p w14:paraId="791C719F">
      <w:pPr>
        <w:widowControl/>
        <w:wordWrap/>
        <w:adjustRightInd/>
        <w:snapToGrid/>
        <w:spacing w:line="520" w:lineRule="exact"/>
        <w:ind w:left="0" w:leftChars="0" w:right="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4-1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9"/>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1"/>
        <w:gridCol w:w="1383"/>
        <w:gridCol w:w="1499"/>
        <w:gridCol w:w="2884"/>
        <w:gridCol w:w="1705"/>
      </w:tblGrid>
      <w:tr w14:paraId="1BF13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051" w:type="dxa"/>
            <w:vAlign w:val="center"/>
          </w:tcPr>
          <w:p w14:paraId="767AC0F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color w:val="auto"/>
                <w:sz w:val="24"/>
                <w:szCs w:val="24"/>
                <w:highlight w:val="none"/>
              </w:rPr>
              <w:t>序号</w:t>
            </w:r>
          </w:p>
        </w:tc>
        <w:tc>
          <w:tcPr>
            <w:tcW w:w="1383" w:type="dxa"/>
            <w:vAlign w:val="center"/>
          </w:tcPr>
          <w:p w14:paraId="5677962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color w:val="auto"/>
                <w:sz w:val="24"/>
                <w:szCs w:val="24"/>
                <w:highlight w:val="none"/>
              </w:rPr>
              <w:t>单位</w:t>
            </w:r>
          </w:p>
        </w:tc>
        <w:tc>
          <w:tcPr>
            <w:tcW w:w="1499" w:type="dxa"/>
            <w:vAlign w:val="center"/>
          </w:tcPr>
          <w:p w14:paraId="2A0A072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color w:val="auto"/>
                <w:sz w:val="24"/>
                <w:szCs w:val="24"/>
                <w:highlight w:val="none"/>
              </w:rPr>
              <w:t>防汛责任人</w:t>
            </w:r>
          </w:p>
        </w:tc>
        <w:tc>
          <w:tcPr>
            <w:tcW w:w="2884" w:type="dxa"/>
            <w:vAlign w:val="center"/>
          </w:tcPr>
          <w:p w14:paraId="3D068F5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color w:val="auto"/>
                <w:sz w:val="24"/>
                <w:szCs w:val="24"/>
                <w:highlight w:val="none"/>
              </w:rPr>
              <w:t>职务</w:t>
            </w:r>
          </w:p>
        </w:tc>
        <w:tc>
          <w:tcPr>
            <w:tcW w:w="1705" w:type="dxa"/>
            <w:vAlign w:val="center"/>
          </w:tcPr>
          <w:p w14:paraId="3EAAA07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color w:val="auto"/>
                <w:sz w:val="24"/>
                <w:szCs w:val="24"/>
                <w:highlight w:val="none"/>
              </w:rPr>
              <w:t>联系电话</w:t>
            </w:r>
          </w:p>
        </w:tc>
      </w:tr>
      <w:tr w14:paraId="036D7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1" w:type="dxa"/>
            <w:vAlign w:val="center"/>
          </w:tcPr>
          <w:p w14:paraId="24A798B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383" w:type="dxa"/>
            <w:vAlign w:val="center"/>
          </w:tcPr>
          <w:p w14:paraId="4AA2F91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499" w:type="dxa"/>
            <w:vAlign w:val="center"/>
          </w:tcPr>
          <w:p w14:paraId="66705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2884" w:type="dxa"/>
            <w:vAlign w:val="center"/>
          </w:tcPr>
          <w:p w14:paraId="3C3E445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705" w:type="dxa"/>
            <w:vAlign w:val="center"/>
          </w:tcPr>
          <w:p w14:paraId="69C1A20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1F1F1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1" w:type="dxa"/>
            <w:vAlign w:val="center"/>
          </w:tcPr>
          <w:p w14:paraId="1FBA292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383" w:type="dxa"/>
            <w:vAlign w:val="center"/>
          </w:tcPr>
          <w:p w14:paraId="50C0AE0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499" w:type="dxa"/>
            <w:vAlign w:val="center"/>
          </w:tcPr>
          <w:p w14:paraId="73D2535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2884" w:type="dxa"/>
            <w:vAlign w:val="center"/>
          </w:tcPr>
          <w:p w14:paraId="2CB434F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705" w:type="dxa"/>
            <w:vAlign w:val="center"/>
          </w:tcPr>
          <w:p w14:paraId="582EF0C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2DDEA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1" w:type="dxa"/>
            <w:vAlign w:val="center"/>
          </w:tcPr>
          <w:p w14:paraId="7A1E43B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383" w:type="dxa"/>
            <w:vAlign w:val="center"/>
          </w:tcPr>
          <w:p w14:paraId="4D8F3CF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499" w:type="dxa"/>
            <w:vAlign w:val="center"/>
          </w:tcPr>
          <w:p w14:paraId="669A089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贾义海</w:t>
            </w:r>
          </w:p>
        </w:tc>
        <w:tc>
          <w:tcPr>
            <w:tcW w:w="2884" w:type="dxa"/>
            <w:vAlign w:val="center"/>
          </w:tcPr>
          <w:p w14:paraId="2704FA60">
            <w:pPr>
              <w:wordWrap/>
              <w:adjustRightInd/>
              <w:snapToGrid/>
              <w:spacing w:before="0" w:beforeAutospacing="0" w:after="0" w:afterAutospacing="0" w:line="440" w:lineRule="exact"/>
              <w:ind w:left="0" w:leftChars="0" w:right="0" w:rightChars="0"/>
              <w:jc w:val="center"/>
              <w:rPr>
                <w:rFonts w:hint="eastAsia" w:ascii="楷体" w:hAnsi="楷体" w:eastAsia="楷体" w:cs="楷体"/>
                <w:color w:val="auto"/>
                <w:sz w:val="24"/>
                <w:szCs w:val="24"/>
                <w:highlight w:val="none"/>
              </w:rPr>
            </w:pPr>
            <w:r>
              <w:rPr>
                <w:rFonts w:hint="eastAsia" w:ascii="Times New Roman" w:hAnsi="Times New Roman" w:eastAsia="楷体" w:cs="Times New Roman"/>
                <w:color w:val="auto"/>
                <w:sz w:val="24"/>
                <w:szCs w:val="24"/>
                <w:highlight w:val="none"/>
                <w:lang w:val="en-US" w:eastAsia="zh-CN"/>
              </w:rPr>
              <w:t>镇党委委员、人武部部长</w:t>
            </w:r>
          </w:p>
        </w:tc>
        <w:tc>
          <w:tcPr>
            <w:tcW w:w="1705" w:type="dxa"/>
            <w:vAlign w:val="center"/>
          </w:tcPr>
          <w:p w14:paraId="453B8D33">
            <w:pPr>
              <w:wordWrap/>
              <w:adjustRightInd/>
              <w:snapToGrid/>
              <w:spacing w:before="0" w:beforeAutospacing="0" w:after="0" w:afterAutospacing="0" w:line="440" w:lineRule="exact"/>
              <w:ind w:left="0" w:leftChars="0" w:right="0" w:rightChars="0"/>
              <w:jc w:val="center"/>
              <w:rPr>
                <w:rFonts w:hint="eastAsia" w:ascii="楷体" w:hAnsi="楷体" w:eastAsia="楷体" w:cs="楷体"/>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0F3D0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1" w:type="dxa"/>
            <w:vAlign w:val="center"/>
          </w:tcPr>
          <w:p w14:paraId="4E77075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383" w:type="dxa"/>
            <w:vAlign w:val="center"/>
          </w:tcPr>
          <w:p w14:paraId="434EE8D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499" w:type="dxa"/>
            <w:vAlign w:val="center"/>
          </w:tcPr>
          <w:p w14:paraId="57F3A8E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2884" w:type="dxa"/>
            <w:vAlign w:val="center"/>
          </w:tcPr>
          <w:p w14:paraId="40B70765">
            <w:pPr>
              <w:wordWrap/>
              <w:adjustRightInd/>
              <w:snapToGrid/>
              <w:spacing w:before="0" w:beforeAutospacing="0" w:after="0" w:afterAutospacing="0" w:line="440" w:lineRule="exact"/>
              <w:ind w:left="0" w:leftChars="0" w:right="0" w:rightChars="0"/>
              <w:jc w:val="center"/>
              <w:rPr>
                <w:rFonts w:hint="eastAsia" w:ascii="楷体" w:hAnsi="楷体" w:eastAsia="楷体" w:cs="楷体"/>
                <w:i w:val="0"/>
                <w:color w:val="auto"/>
                <w:kern w:val="0"/>
                <w:sz w:val="24"/>
                <w:szCs w:val="24"/>
                <w:highlight w:val="none"/>
                <w:u w:val="none"/>
                <w:lang w:val="en-US"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705" w:type="dxa"/>
            <w:vAlign w:val="center"/>
          </w:tcPr>
          <w:p w14:paraId="1ABEDFCD">
            <w:pPr>
              <w:wordWrap/>
              <w:adjustRightInd/>
              <w:snapToGrid/>
              <w:spacing w:before="0" w:beforeAutospacing="0" w:after="0" w:afterAutospacing="0" w:line="440" w:lineRule="exact"/>
              <w:ind w:left="0" w:leftChars="0" w:right="0" w:rightChars="0"/>
              <w:jc w:val="center"/>
              <w:rPr>
                <w:rFonts w:hint="eastAsia" w:ascii="楷体" w:hAnsi="楷体" w:eastAsia="楷体" w:cs="楷体"/>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r w14:paraId="30930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1" w:type="dxa"/>
            <w:vAlign w:val="center"/>
          </w:tcPr>
          <w:p w14:paraId="700D7E2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383" w:type="dxa"/>
            <w:vAlign w:val="center"/>
          </w:tcPr>
          <w:p w14:paraId="3586931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499" w:type="dxa"/>
            <w:vAlign w:val="center"/>
          </w:tcPr>
          <w:p w14:paraId="482C9BD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肖美金</w:t>
            </w:r>
          </w:p>
        </w:tc>
        <w:tc>
          <w:tcPr>
            <w:tcW w:w="2884" w:type="dxa"/>
            <w:vAlign w:val="center"/>
          </w:tcPr>
          <w:p w14:paraId="5015D0DF">
            <w:pPr>
              <w:wordWrap/>
              <w:adjustRightInd/>
              <w:snapToGrid/>
              <w:spacing w:before="0" w:beforeAutospacing="0" w:after="0" w:afterAutospacing="0" w:line="440" w:lineRule="exact"/>
              <w:ind w:left="0" w:leftChars="0" w:right="0" w:rightChars="0"/>
              <w:jc w:val="center"/>
              <w:rPr>
                <w:rFonts w:hint="eastAsia" w:ascii="楷体" w:hAnsi="楷体" w:eastAsia="楷体" w:cs="楷体"/>
                <w:i w:val="0"/>
                <w:color w:val="auto"/>
                <w:kern w:val="0"/>
                <w:sz w:val="24"/>
                <w:szCs w:val="24"/>
                <w:highlight w:val="none"/>
                <w:u w:val="none"/>
                <w:lang w:val="en-US" w:eastAsia="zh-CN"/>
              </w:rPr>
            </w:pPr>
            <w:r>
              <w:rPr>
                <w:rFonts w:hint="eastAsia" w:ascii="楷体" w:hAnsi="楷体" w:eastAsia="楷体" w:cs="楷体"/>
                <w:i w:val="0"/>
                <w:color w:val="auto"/>
                <w:kern w:val="0"/>
                <w:sz w:val="24"/>
                <w:szCs w:val="24"/>
                <w:highlight w:val="none"/>
                <w:u w:val="none"/>
                <w:lang w:val="en-US" w:eastAsia="zh-CN"/>
              </w:rPr>
              <w:t>镇社会事务服务中心主任</w:t>
            </w:r>
          </w:p>
        </w:tc>
        <w:tc>
          <w:tcPr>
            <w:tcW w:w="1705" w:type="dxa"/>
            <w:vAlign w:val="center"/>
          </w:tcPr>
          <w:p w14:paraId="4ECAAA0C">
            <w:pPr>
              <w:wordWrap/>
              <w:adjustRightInd/>
              <w:snapToGrid/>
              <w:spacing w:before="0" w:beforeAutospacing="0" w:after="0" w:afterAutospacing="0" w:line="440" w:lineRule="exact"/>
              <w:ind w:left="0" w:leftChars="0" w:right="0" w:rightChars="0"/>
              <w:jc w:val="center"/>
              <w:rPr>
                <w:rFonts w:hint="default" w:ascii="楷体" w:hAnsi="楷体" w:eastAsia="楷体" w:cs="楷体"/>
                <w:color w:val="auto"/>
                <w:sz w:val="24"/>
                <w:szCs w:val="24"/>
                <w:highlight w:val="none"/>
                <w:lang w:val="en-US" w:eastAsia="zh-CN"/>
              </w:rPr>
            </w:pPr>
            <w:r>
              <w:rPr>
                <w:rFonts w:hint="eastAsia" w:eastAsia="楷体" w:cs="Times New Roman"/>
                <w:color w:val="auto"/>
                <w:sz w:val="24"/>
                <w:szCs w:val="24"/>
                <w:highlight w:val="none"/>
                <w:lang w:val="en-US" w:eastAsia="zh-CN"/>
              </w:rPr>
              <w:t>87966515</w:t>
            </w:r>
          </w:p>
        </w:tc>
      </w:tr>
    </w:tbl>
    <w:p w14:paraId="394A4B5B">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099EA4EF">
      <w:pPr>
        <w:spacing w:line="520" w:lineRule="exact"/>
        <w:ind w:firstLine="560" w:firstLineChars="200"/>
        <w:rPr>
          <w:rFonts w:hint="eastAsia" w:eastAsia="楷体"/>
          <w:bCs/>
          <w:color w:val="auto"/>
          <w:sz w:val="28"/>
          <w:szCs w:val="28"/>
          <w:highlight w:val="none"/>
          <w:lang w:eastAsia="zh-CN"/>
        </w:rPr>
      </w:pPr>
      <w:r>
        <w:rPr>
          <w:rFonts w:eastAsia="楷体"/>
          <w:bCs/>
          <w:color w:val="auto"/>
          <w:sz w:val="28"/>
          <w:szCs w:val="28"/>
          <w:highlight w:val="none"/>
        </w:rPr>
        <w:t>要制定汛期值班和工程的巡查制度，关注气象预报，掌握雨情、水情变化情况，认真执行本防洪调度方案措</w:t>
      </w:r>
      <w:r>
        <w:rPr>
          <w:rFonts w:hint="eastAsia" w:eastAsia="楷体"/>
          <w:bCs/>
          <w:color w:val="auto"/>
          <w:sz w:val="28"/>
          <w:szCs w:val="28"/>
          <w:highlight w:val="none"/>
          <w:lang w:eastAsia="zh-CN"/>
        </w:rPr>
        <w:t>施。</w:t>
      </w:r>
    </w:p>
    <w:p w14:paraId="74F0BF46">
      <w:pPr>
        <w:rPr>
          <w:rFonts w:hint="eastAsia" w:eastAsia="楷体"/>
          <w:bCs/>
          <w:color w:val="auto"/>
          <w:sz w:val="28"/>
          <w:szCs w:val="28"/>
          <w:highlight w:val="none"/>
          <w:lang w:eastAsia="zh-CN"/>
        </w:rPr>
      </w:pPr>
      <w:r>
        <w:rPr>
          <w:rFonts w:hint="eastAsia" w:eastAsia="楷体"/>
          <w:bCs/>
          <w:color w:val="auto"/>
          <w:sz w:val="28"/>
          <w:szCs w:val="28"/>
          <w:highlight w:val="none"/>
          <w:lang w:eastAsia="zh-CN"/>
        </w:rPr>
        <w:br w:type="page"/>
      </w:r>
    </w:p>
    <w:p w14:paraId="4A4FECB1">
      <w:pPr>
        <w:autoSpaceDE w:val="0"/>
        <w:autoSpaceDN w:val="0"/>
        <w:adjustRightInd w:val="0"/>
        <w:ind w:firstLine="964"/>
        <w:jc w:val="center"/>
        <w:rPr>
          <w:rFonts w:hint="eastAsia" w:eastAsia="楷体"/>
          <w:b/>
          <w:bCs/>
          <w:shadow/>
          <w:color w:val="auto"/>
          <w:sz w:val="48"/>
          <w:szCs w:val="52"/>
          <w:highlight w:val="none"/>
          <w:lang w:val="zh-CN" w:eastAsia="zh-CN"/>
        </w:rPr>
      </w:pPr>
    </w:p>
    <w:p w14:paraId="65C9936C">
      <w:pPr>
        <w:autoSpaceDE w:val="0"/>
        <w:autoSpaceDN w:val="0"/>
        <w:adjustRightInd w:val="0"/>
        <w:ind w:firstLine="964"/>
        <w:jc w:val="center"/>
        <w:rPr>
          <w:rFonts w:eastAsia="楷体"/>
          <w:b/>
          <w:bCs/>
          <w:shadow/>
          <w:color w:val="auto"/>
          <w:sz w:val="48"/>
          <w:szCs w:val="52"/>
          <w:highlight w:val="none"/>
          <w:lang w:val="zh-CN"/>
        </w:rPr>
      </w:pPr>
    </w:p>
    <w:p w14:paraId="316E6DDC">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val="en-US" w:eastAsia="zh-CN"/>
        </w:rPr>
        <w:t>前黄镇前烧水库</w:t>
      </w:r>
      <w:r>
        <w:rPr>
          <w:rFonts w:eastAsia="楷体"/>
          <w:b/>
          <w:color w:val="auto"/>
          <w:kern w:val="0"/>
          <w:sz w:val="52"/>
          <w:szCs w:val="52"/>
          <w:highlight w:val="none"/>
        </w:rPr>
        <w:t>防洪抢险应急预案</w:t>
      </w:r>
    </w:p>
    <w:p w14:paraId="24504B84">
      <w:pPr>
        <w:spacing w:line="360" w:lineRule="auto"/>
        <w:ind w:firstLine="880"/>
        <w:jc w:val="center"/>
        <w:rPr>
          <w:rFonts w:eastAsia="楷体"/>
          <w:b/>
          <w:color w:val="auto"/>
          <w:kern w:val="0"/>
          <w:sz w:val="44"/>
          <w:szCs w:val="44"/>
          <w:highlight w:val="none"/>
        </w:rPr>
      </w:pPr>
    </w:p>
    <w:p w14:paraId="5BC97D72">
      <w:pPr>
        <w:spacing w:line="360" w:lineRule="auto"/>
        <w:ind w:firstLine="1040"/>
        <w:jc w:val="center"/>
        <w:rPr>
          <w:rFonts w:eastAsia="楷体"/>
          <w:b/>
          <w:color w:val="auto"/>
          <w:kern w:val="0"/>
          <w:sz w:val="52"/>
          <w:szCs w:val="52"/>
          <w:highlight w:val="none"/>
        </w:rPr>
      </w:pPr>
    </w:p>
    <w:p w14:paraId="187E1140">
      <w:pPr>
        <w:spacing w:line="360" w:lineRule="auto"/>
        <w:ind w:firstLine="1040"/>
        <w:jc w:val="center"/>
        <w:rPr>
          <w:rFonts w:eastAsia="楷体"/>
          <w:b/>
          <w:color w:val="auto"/>
          <w:kern w:val="0"/>
          <w:sz w:val="52"/>
          <w:szCs w:val="52"/>
          <w:highlight w:val="none"/>
        </w:rPr>
      </w:pPr>
    </w:p>
    <w:p w14:paraId="51A4EE48">
      <w:pPr>
        <w:spacing w:line="360" w:lineRule="auto"/>
        <w:ind w:firstLine="1040"/>
        <w:jc w:val="center"/>
        <w:rPr>
          <w:rFonts w:eastAsia="楷体"/>
          <w:b/>
          <w:color w:val="auto"/>
          <w:kern w:val="0"/>
          <w:sz w:val="52"/>
          <w:szCs w:val="52"/>
          <w:highlight w:val="none"/>
        </w:rPr>
      </w:pPr>
    </w:p>
    <w:p w14:paraId="0935D0FB">
      <w:pPr>
        <w:spacing w:line="360" w:lineRule="auto"/>
        <w:ind w:firstLine="1040"/>
        <w:jc w:val="center"/>
        <w:rPr>
          <w:rFonts w:eastAsia="楷体"/>
          <w:b/>
          <w:color w:val="auto"/>
          <w:kern w:val="0"/>
          <w:sz w:val="52"/>
          <w:szCs w:val="52"/>
          <w:highlight w:val="none"/>
        </w:rPr>
      </w:pPr>
    </w:p>
    <w:p w14:paraId="603CAB5E">
      <w:pPr>
        <w:spacing w:line="360" w:lineRule="auto"/>
        <w:ind w:firstLine="1040"/>
        <w:jc w:val="center"/>
        <w:rPr>
          <w:rFonts w:eastAsia="楷体"/>
          <w:b/>
          <w:color w:val="auto"/>
          <w:kern w:val="0"/>
          <w:sz w:val="52"/>
          <w:szCs w:val="52"/>
          <w:highlight w:val="none"/>
        </w:rPr>
      </w:pPr>
    </w:p>
    <w:p w14:paraId="3784A276">
      <w:pPr>
        <w:spacing w:line="360" w:lineRule="auto"/>
        <w:ind w:firstLine="1040"/>
        <w:jc w:val="center"/>
        <w:rPr>
          <w:rFonts w:eastAsia="楷体"/>
          <w:b/>
          <w:color w:val="auto"/>
          <w:kern w:val="0"/>
          <w:sz w:val="52"/>
          <w:szCs w:val="52"/>
          <w:highlight w:val="none"/>
        </w:rPr>
      </w:pPr>
    </w:p>
    <w:p w14:paraId="40A47B86">
      <w:pPr>
        <w:spacing w:line="360" w:lineRule="auto"/>
        <w:ind w:firstLine="1040"/>
        <w:jc w:val="center"/>
        <w:rPr>
          <w:rFonts w:eastAsia="楷体"/>
          <w:b/>
          <w:color w:val="auto"/>
          <w:kern w:val="0"/>
          <w:sz w:val="52"/>
          <w:szCs w:val="52"/>
          <w:highlight w:val="none"/>
        </w:rPr>
      </w:pPr>
    </w:p>
    <w:p w14:paraId="649B25C2">
      <w:pPr>
        <w:spacing w:line="360" w:lineRule="auto"/>
        <w:ind w:firstLine="1040"/>
        <w:jc w:val="center"/>
        <w:rPr>
          <w:rFonts w:eastAsia="楷体"/>
          <w:b/>
          <w:color w:val="auto"/>
          <w:kern w:val="0"/>
          <w:sz w:val="52"/>
          <w:szCs w:val="52"/>
          <w:highlight w:val="none"/>
        </w:rPr>
      </w:pPr>
    </w:p>
    <w:p w14:paraId="565A8D96">
      <w:pPr>
        <w:spacing w:line="360" w:lineRule="auto"/>
        <w:ind w:firstLine="1040"/>
        <w:jc w:val="center"/>
        <w:rPr>
          <w:rFonts w:eastAsia="楷体"/>
          <w:b/>
          <w:color w:val="auto"/>
          <w:kern w:val="0"/>
          <w:sz w:val="52"/>
          <w:szCs w:val="52"/>
          <w:highlight w:val="none"/>
        </w:rPr>
      </w:pPr>
    </w:p>
    <w:p w14:paraId="185D2385">
      <w:pPr>
        <w:spacing w:line="360" w:lineRule="auto"/>
        <w:ind w:firstLine="1040"/>
        <w:jc w:val="center"/>
        <w:rPr>
          <w:rFonts w:eastAsia="楷体"/>
          <w:b/>
          <w:color w:val="auto"/>
          <w:kern w:val="0"/>
          <w:sz w:val="52"/>
          <w:szCs w:val="52"/>
          <w:highlight w:val="none"/>
        </w:rPr>
      </w:pPr>
    </w:p>
    <w:p w14:paraId="2BF035E1">
      <w:pPr>
        <w:spacing w:line="360" w:lineRule="auto"/>
        <w:ind w:firstLine="1040"/>
        <w:jc w:val="center"/>
        <w:rPr>
          <w:rFonts w:eastAsia="楷体"/>
          <w:b/>
          <w:color w:val="auto"/>
          <w:kern w:val="0"/>
          <w:sz w:val="52"/>
          <w:szCs w:val="52"/>
          <w:highlight w:val="none"/>
        </w:rPr>
      </w:pPr>
    </w:p>
    <w:p w14:paraId="35538D0C">
      <w:pPr>
        <w:spacing w:line="360" w:lineRule="auto"/>
        <w:ind w:firstLine="1040"/>
        <w:jc w:val="center"/>
        <w:rPr>
          <w:rFonts w:eastAsia="楷体"/>
          <w:b/>
          <w:color w:val="auto"/>
          <w:kern w:val="0"/>
          <w:sz w:val="52"/>
          <w:szCs w:val="52"/>
          <w:highlight w:val="none"/>
        </w:rPr>
      </w:pPr>
    </w:p>
    <w:p w14:paraId="06230CF6">
      <w:pPr>
        <w:spacing w:line="360" w:lineRule="auto"/>
        <w:ind w:firstLine="1040"/>
        <w:jc w:val="center"/>
        <w:rPr>
          <w:rFonts w:eastAsia="楷体"/>
          <w:b/>
          <w:color w:val="auto"/>
          <w:kern w:val="0"/>
          <w:sz w:val="52"/>
          <w:szCs w:val="52"/>
          <w:highlight w:val="none"/>
        </w:rPr>
      </w:pPr>
    </w:p>
    <w:p w14:paraId="3A86E36E">
      <w:pPr>
        <w:spacing w:line="360" w:lineRule="auto"/>
        <w:ind w:firstLine="1040"/>
        <w:jc w:val="center"/>
        <w:rPr>
          <w:rFonts w:eastAsia="楷体"/>
          <w:b/>
          <w:color w:val="auto"/>
          <w:kern w:val="0"/>
          <w:sz w:val="52"/>
          <w:szCs w:val="52"/>
          <w:highlight w:val="none"/>
        </w:rPr>
      </w:pPr>
    </w:p>
    <w:p w14:paraId="32B0FAC3">
      <w:pPr>
        <w:spacing w:line="360" w:lineRule="auto"/>
        <w:jc w:val="center"/>
        <w:rPr>
          <w:rFonts w:hint="eastAsia" w:eastAsia="楷体"/>
          <w:b/>
          <w:bCs/>
          <w:color w:val="auto"/>
          <w:sz w:val="32"/>
          <w:szCs w:val="32"/>
          <w:highlight w:val="none"/>
          <w:lang w:val="zh-CN"/>
        </w:rPr>
      </w:pPr>
      <w:r>
        <w:rPr>
          <w:rFonts w:hint="eastAsia" w:eastAsia="楷体"/>
          <w:b/>
          <w:bCs/>
          <w:color w:val="auto"/>
          <w:sz w:val="32"/>
          <w:szCs w:val="32"/>
          <w:highlight w:val="none"/>
          <w:lang w:val="zh-CN"/>
        </w:rPr>
        <w:t>前黄镇人民政府</w:t>
      </w:r>
    </w:p>
    <w:p w14:paraId="0F12B07B">
      <w:pPr>
        <w:spacing w:line="360" w:lineRule="auto"/>
        <w:jc w:val="center"/>
        <w:rPr>
          <w:rFonts w:eastAsia="楷体"/>
          <w:b/>
          <w:color w:val="auto"/>
          <w:kern w:val="0"/>
          <w:sz w:val="32"/>
          <w:szCs w:val="32"/>
          <w:highlight w:val="none"/>
        </w:rPr>
      </w:pPr>
      <w:r>
        <w:rPr>
          <w:rFonts w:eastAsia="楷体"/>
          <w:b/>
          <w:color w:val="auto"/>
          <w:kern w:val="0"/>
          <w:sz w:val="32"/>
          <w:szCs w:val="32"/>
          <w:highlight w:val="none"/>
        </w:rPr>
        <w:t>20</w:t>
      </w:r>
      <w:r>
        <w:rPr>
          <w:rFonts w:hint="eastAsia" w:eastAsia="楷体"/>
          <w:b/>
          <w:color w:val="auto"/>
          <w:kern w:val="0"/>
          <w:sz w:val="32"/>
          <w:szCs w:val="32"/>
          <w:highlight w:val="none"/>
          <w:lang w:val="en-US" w:eastAsia="zh-CN"/>
        </w:rPr>
        <w:t>26</w:t>
      </w:r>
      <w:r>
        <w:rPr>
          <w:rFonts w:eastAsia="楷体"/>
          <w:b/>
          <w:color w:val="auto"/>
          <w:kern w:val="0"/>
          <w:sz w:val="32"/>
          <w:szCs w:val="32"/>
          <w:highlight w:val="none"/>
        </w:rPr>
        <w:t>年</w:t>
      </w:r>
      <w:r>
        <w:rPr>
          <w:rFonts w:hint="eastAsia" w:eastAsia="楷体"/>
          <w:b/>
          <w:color w:val="auto"/>
          <w:kern w:val="0"/>
          <w:sz w:val="32"/>
          <w:szCs w:val="32"/>
          <w:highlight w:val="none"/>
          <w:lang w:val="en-US" w:eastAsia="zh-CN"/>
        </w:rPr>
        <w:t>4</w:t>
      </w:r>
      <w:r>
        <w:rPr>
          <w:rFonts w:eastAsia="楷体"/>
          <w:b/>
          <w:color w:val="auto"/>
          <w:kern w:val="0"/>
          <w:sz w:val="32"/>
          <w:szCs w:val="32"/>
          <w:highlight w:val="none"/>
        </w:rPr>
        <w:t>月</w:t>
      </w:r>
    </w:p>
    <w:p w14:paraId="2393D004">
      <w:pPr>
        <w:spacing w:line="360" w:lineRule="auto"/>
        <w:jc w:val="center"/>
        <w:rPr>
          <w:rFonts w:eastAsia="楷体"/>
          <w:b/>
          <w:color w:val="auto"/>
          <w:kern w:val="0"/>
          <w:sz w:val="32"/>
          <w:szCs w:val="32"/>
          <w:highlight w:val="none"/>
        </w:rPr>
      </w:pPr>
    </w:p>
    <w:p w14:paraId="32E28AE6">
      <w:pPr>
        <w:spacing w:before="156" w:beforeLines="50" w:after="156" w:afterLines="50" w:line="360" w:lineRule="auto"/>
        <w:ind w:firstLine="640"/>
        <w:jc w:val="center"/>
        <w:rPr>
          <w:rFonts w:eastAsia="楷体"/>
          <w:b/>
          <w:color w:val="auto"/>
          <w:kern w:val="0"/>
          <w:sz w:val="32"/>
          <w:szCs w:val="32"/>
          <w:highlight w:val="none"/>
        </w:rPr>
      </w:pPr>
      <w:r>
        <w:rPr>
          <w:rFonts w:eastAsia="楷体"/>
          <w:b/>
          <w:color w:val="auto"/>
          <w:kern w:val="0"/>
          <w:sz w:val="32"/>
          <w:szCs w:val="32"/>
          <w:highlight w:val="none"/>
        </w:rPr>
        <w:t>目  录</w:t>
      </w:r>
    </w:p>
    <w:p w14:paraId="6EACED34">
      <w:pPr>
        <w:pStyle w:val="15"/>
        <w:tabs>
          <w:tab w:val="right" w:leader="dot" w:pos="8306"/>
          <w:tab w:val="clear" w:pos="8296"/>
        </w:tabs>
        <w:spacing w:line="520" w:lineRule="exact"/>
        <w:ind w:firstLine="562"/>
        <w:rPr>
          <w:rFonts w:hint="eastAsia" w:ascii="Times New Roman" w:eastAsia="楷体"/>
          <w:color w:val="auto"/>
          <w:highlight w:val="none"/>
          <w:lang w:val="en-US" w:eastAsia="zh-CN"/>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TOC \o "1-2" \h \z \u </w:instrText>
      </w:r>
      <w:r>
        <w:rPr>
          <w:rFonts w:ascii="Times New Roman" w:eastAsia="楷体"/>
          <w:color w:val="auto"/>
          <w:kern w:val="0"/>
          <w:highlight w:val="none"/>
        </w:rPr>
        <w:fldChar w:fldCharType="separate"/>
      </w: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_Toc32304 </w:instrText>
      </w:r>
      <w:r>
        <w:rPr>
          <w:rFonts w:ascii="Times New Roman" w:eastAsia="楷体"/>
          <w:color w:val="auto"/>
          <w:kern w:val="0"/>
          <w:highlight w:val="none"/>
        </w:rPr>
        <w:fldChar w:fldCharType="separate"/>
      </w:r>
      <w:r>
        <w:rPr>
          <w:rFonts w:ascii="Times New Roman" w:eastAsia="楷体"/>
          <w:color w:val="auto"/>
          <w:highlight w:val="none"/>
        </w:rPr>
        <w:t>1 总则</w:t>
      </w:r>
      <w:r>
        <w:rPr>
          <w:rFonts w:ascii="Times New Roman" w:eastAsia="楷体"/>
          <w:color w:val="auto"/>
          <w:highlight w:val="none"/>
        </w:rPr>
        <w:tab/>
      </w:r>
      <w:r>
        <w:rPr>
          <w:rFonts w:hint="eastAsia" w:ascii="Times New Roman" w:eastAsia="楷体"/>
          <w:color w:val="auto"/>
          <w:highlight w:val="none"/>
          <w:lang w:val="en-US" w:eastAsia="zh-CN"/>
        </w:rPr>
        <w:t>7</w:t>
      </w:r>
      <w:r>
        <w:rPr>
          <w:rFonts w:ascii="Times New Roman" w:eastAsia="楷体"/>
          <w:color w:val="auto"/>
          <w:kern w:val="0"/>
          <w:highlight w:val="none"/>
        </w:rPr>
        <w:fldChar w:fldCharType="end"/>
      </w:r>
      <w:r>
        <w:rPr>
          <w:rFonts w:hint="eastAsia" w:ascii="Times New Roman" w:eastAsia="楷体"/>
          <w:color w:val="auto"/>
          <w:kern w:val="0"/>
          <w:highlight w:val="none"/>
          <w:lang w:val="en-US" w:eastAsia="zh-CN"/>
        </w:rPr>
        <w:t>9</w:t>
      </w:r>
    </w:p>
    <w:p w14:paraId="2E150C9F">
      <w:pPr>
        <w:pStyle w:val="16"/>
        <w:tabs>
          <w:tab w:val="right" w:leader="dot" w:pos="8306"/>
        </w:tabs>
        <w:spacing w:line="520" w:lineRule="exact"/>
        <w:ind w:firstLine="560"/>
        <w:rPr>
          <w:rFonts w:hint="eastAsia" w:eastAsia="楷体"/>
          <w:bCs/>
          <w:color w:val="auto"/>
          <w:highlight w:val="none"/>
          <w:lang w:val="en-US" w:eastAsia="zh-CN"/>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_Toc10067 </w:instrText>
      </w:r>
      <w:r>
        <w:rPr>
          <w:rFonts w:eastAsia="楷体"/>
          <w:bCs/>
          <w:color w:val="auto"/>
          <w:kern w:val="0"/>
          <w:szCs w:val="28"/>
          <w:highlight w:val="none"/>
        </w:rPr>
        <w:fldChar w:fldCharType="separate"/>
      </w:r>
      <w:r>
        <w:rPr>
          <w:rFonts w:eastAsia="楷体"/>
          <w:bCs/>
          <w:color w:val="auto"/>
          <w:highlight w:val="none"/>
        </w:rPr>
        <w:t>1.1 目的</w:t>
      </w:r>
      <w:r>
        <w:rPr>
          <w:rFonts w:eastAsia="楷体"/>
          <w:bCs/>
          <w:color w:val="auto"/>
          <w:highlight w:val="none"/>
        </w:rPr>
        <w:tab/>
      </w:r>
      <w:r>
        <w:rPr>
          <w:rFonts w:hint="eastAsia" w:eastAsia="楷体"/>
          <w:bCs/>
          <w:color w:val="auto"/>
          <w:highlight w:val="none"/>
          <w:lang w:val="en-US" w:eastAsia="zh-CN"/>
        </w:rPr>
        <w:t>7</w:t>
      </w:r>
      <w:r>
        <w:rPr>
          <w:rFonts w:eastAsia="楷体"/>
          <w:bCs/>
          <w:color w:val="auto"/>
          <w:kern w:val="0"/>
          <w:szCs w:val="28"/>
          <w:highlight w:val="none"/>
        </w:rPr>
        <w:fldChar w:fldCharType="end"/>
      </w:r>
      <w:r>
        <w:rPr>
          <w:rFonts w:hint="eastAsia" w:eastAsia="楷体"/>
          <w:bCs/>
          <w:color w:val="auto"/>
          <w:kern w:val="0"/>
          <w:szCs w:val="28"/>
          <w:highlight w:val="none"/>
          <w:lang w:val="en-US" w:eastAsia="zh-CN"/>
        </w:rPr>
        <w:t>9</w:t>
      </w:r>
    </w:p>
    <w:p w14:paraId="43F39F2D">
      <w:pPr>
        <w:pStyle w:val="16"/>
        <w:tabs>
          <w:tab w:val="right" w:leader="dot" w:pos="8306"/>
        </w:tabs>
        <w:spacing w:line="520" w:lineRule="exact"/>
        <w:ind w:firstLine="560"/>
        <w:rPr>
          <w:rFonts w:hint="eastAsia" w:eastAsia="楷体"/>
          <w:bCs/>
          <w:color w:val="auto"/>
          <w:highlight w:val="none"/>
          <w:lang w:val="en-US" w:eastAsia="zh-CN"/>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_Toc19894 </w:instrText>
      </w:r>
      <w:r>
        <w:rPr>
          <w:rFonts w:eastAsia="楷体"/>
          <w:bCs/>
          <w:color w:val="auto"/>
          <w:kern w:val="0"/>
          <w:szCs w:val="28"/>
          <w:highlight w:val="none"/>
        </w:rPr>
        <w:fldChar w:fldCharType="separate"/>
      </w:r>
      <w:r>
        <w:rPr>
          <w:rFonts w:eastAsia="楷体"/>
          <w:bCs/>
          <w:color w:val="auto"/>
          <w:highlight w:val="none"/>
        </w:rPr>
        <w:t>1.2 编制依据</w:t>
      </w:r>
      <w:r>
        <w:rPr>
          <w:rFonts w:eastAsia="楷体"/>
          <w:bCs/>
          <w:color w:val="auto"/>
          <w:highlight w:val="none"/>
        </w:rPr>
        <w:tab/>
      </w:r>
      <w:r>
        <w:rPr>
          <w:rFonts w:hint="eastAsia" w:eastAsia="楷体"/>
          <w:bCs/>
          <w:color w:val="auto"/>
          <w:highlight w:val="none"/>
          <w:lang w:val="en-US" w:eastAsia="zh-CN"/>
        </w:rPr>
        <w:t>7</w:t>
      </w:r>
      <w:r>
        <w:rPr>
          <w:rFonts w:eastAsia="楷体"/>
          <w:bCs/>
          <w:color w:val="auto"/>
          <w:kern w:val="0"/>
          <w:szCs w:val="28"/>
          <w:highlight w:val="none"/>
        </w:rPr>
        <w:fldChar w:fldCharType="end"/>
      </w:r>
      <w:r>
        <w:rPr>
          <w:rFonts w:hint="eastAsia" w:eastAsia="楷体"/>
          <w:bCs/>
          <w:color w:val="auto"/>
          <w:kern w:val="0"/>
          <w:szCs w:val="28"/>
          <w:highlight w:val="none"/>
          <w:lang w:val="en-US" w:eastAsia="zh-CN"/>
        </w:rPr>
        <w:t>9</w:t>
      </w:r>
    </w:p>
    <w:p w14:paraId="6FE70532">
      <w:pPr>
        <w:pStyle w:val="16"/>
        <w:tabs>
          <w:tab w:val="right" w:leader="dot" w:pos="8306"/>
        </w:tabs>
        <w:spacing w:line="520" w:lineRule="exact"/>
        <w:ind w:firstLine="560"/>
        <w:rPr>
          <w:rFonts w:hint="eastAsia" w:eastAsia="楷体"/>
          <w:bCs/>
          <w:color w:val="auto"/>
          <w:highlight w:val="none"/>
          <w:lang w:val="en-US" w:eastAsia="zh-CN"/>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_Toc30233 </w:instrText>
      </w:r>
      <w:r>
        <w:rPr>
          <w:rFonts w:eastAsia="楷体"/>
          <w:bCs/>
          <w:color w:val="auto"/>
          <w:kern w:val="0"/>
          <w:szCs w:val="28"/>
          <w:highlight w:val="none"/>
        </w:rPr>
        <w:fldChar w:fldCharType="separate"/>
      </w:r>
      <w:r>
        <w:rPr>
          <w:rFonts w:eastAsia="楷体"/>
          <w:bCs/>
          <w:color w:val="auto"/>
          <w:szCs w:val="30"/>
          <w:highlight w:val="none"/>
        </w:rPr>
        <w:t>1.3 工作原则</w:t>
      </w:r>
      <w:r>
        <w:rPr>
          <w:rFonts w:eastAsia="楷体"/>
          <w:bCs/>
          <w:color w:val="auto"/>
          <w:highlight w:val="none"/>
        </w:rPr>
        <w:tab/>
      </w:r>
      <w:r>
        <w:rPr>
          <w:rFonts w:hint="eastAsia" w:eastAsia="楷体"/>
          <w:bCs/>
          <w:color w:val="auto"/>
          <w:highlight w:val="none"/>
          <w:lang w:val="en-US" w:eastAsia="zh-CN"/>
        </w:rPr>
        <w:t>7</w:t>
      </w:r>
      <w:r>
        <w:rPr>
          <w:rFonts w:eastAsia="楷体"/>
          <w:bCs/>
          <w:color w:val="auto"/>
          <w:kern w:val="0"/>
          <w:szCs w:val="28"/>
          <w:highlight w:val="none"/>
        </w:rPr>
        <w:fldChar w:fldCharType="end"/>
      </w:r>
      <w:r>
        <w:rPr>
          <w:rFonts w:hint="eastAsia" w:eastAsia="楷体"/>
          <w:bCs/>
          <w:color w:val="auto"/>
          <w:kern w:val="0"/>
          <w:szCs w:val="28"/>
          <w:highlight w:val="none"/>
          <w:lang w:val="en-US" w:eastAsia="zh-CN"/>
        </w:rPr>
        <w:t>9</w:t>
      </w:r>
    </w:p>
    <w:p w14:paraId="4D0592FD">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_Toc26488 </w:instrText>
      </w:r>
      <w:r>
        <w:rPr>
          <w:rFonts w:eastAsia="楷体"/>
          <w:bCs/>
          <w:color w:val="auto"/>
          <w:kern w:val="0"/>
          <w:szCs w:val="28"/>
          <w:highlight w:val="none"/>
        </w:rPr>
        <w:fldChar w:fldCharType="separate"/>
      </w:r>
      <w:r>
        <w:rPr>
          <w:rFonts w:eastAsia="楷体"/>
          <w:bCs/>
          <w:color w:val="auto"/>
          <w:szCs w:val="30"/>
          <w:highlight w:val="none"/>
        </w:rPr>
        <w:t>1.4 适用范围</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_Toc26488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0</w:t>
      </w:r>
      <w:r>
        <w:rPr>
          <w:rFonts w:eastAsia="楷体"/>
          <w:bCs/>
          <w:color w:val="auto"/>
          <w:highlight w:val="none"/>
        </w:rPr>
        <w:fldChar w:fldCharType="end"/>
      </w:r>
      <w:r>
        <w:rPr>
          <w:rFonts w:eastAsia="楷体"/>
          <w:bCs/>
          <w:color w:val="auto"/>
          <w:kern w:val="0"/>
          <w:szCs w:val="28"/>
          <w:highlight w:val="none"/>
        </w:rPr>
        <w:fldChar w:fldCharType="end"/>
      </w:r>
    </w:p>
    <w:p w14:paraId="4A4B6813">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_Toc23606 </w:instrText>
      </w:r>
      <w:r>
        <w:rPr>
          <w:rFonts w:ascii="Times New Roman" w:eastAsia="楷体"/>
          <w:color w:val="auto"/>
          <w:kern w:val="0"/>
          <w:highlight w:val="none"/>
        </w:rPr>
        <w:fldChar w:fldCharType="separate"/>
      </w:r>
      <w:r>
        <w:rPr>
          <w:rFonts w:ascii="Times New Roman" w:eastAsia="楷体"/>
          <w:color w:val="auto"/>
          <w:szCs w:val="30"/>
          <w:highlight w:val="none"/>
        </w:rPr>
        <w:t>2 工程概况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_Toc23606 </w:instrText>
      </w:r>
      <w:r>
        <w:rPr>
          <w:rFonts w:ascii="Times New Roman" w:eastAsia="楷体"/>
          <w:color w:val="auto"/>
          <w:highlight w:val="none"/>
        </w:rPr>
        <w:fldChar w:fldCharType="separate"/>
      </w:r>
      <w:r>
        <w:rPr>
          <w:rFonts w:ascii="Times New Roman" w:eastAsia="楷体"/>
          <w:color w:val="auto"/>
          <w:highlight w:val="none"/>
        </w:rPr>
        <w:t>8</w:t>
      </w:r>
      <w:r>
        <w:rPr>
          <w:rFonts w:hint="eastAsia" w:ascii="Times New Roman" w:eastAsia="楷体"/>
          <w:color w:val="auto"/>
          <w:highlight w:val="none"/>
          <w:lang w:val="en-US" w:eastAsia="zh-CN"/>
        </w:rPr>
        <w:t>1</w:t>
      </w:r>
      <w:r>
        <w:rPr>
          <w:rFonts w:ascii="Times New Roman" w:eastAsia="楷体"/>
          <w:color w:val="auto"/>
          <w:highlight w:val="none"/>
        </w:rPr>
        <w:fldChar w:fldCharType="end"/>
      </w:r>
      <w:r>
        <w:rPr>
          <w:rFonts w:ascii="Times New Roman" w:eastAsia="楷体"/>
          <w:color w:val="auto"/>
          <w:kern w:val="0"/>
          <w:highlight w:val="none"/>
        </w:rPr>
        <w:fldChar w:fldCharType="end"/>
      </w:r>
    </w:p>
    <w:p w14:paraId="052D8A11">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_Toc18975 </w:instrText>
      </w:r>
      <w:r>
        <w:rPr>
          <w:rFonts w:eastAsia="楷体"/>
          <w:bCs/>
          <w:color w:val="auto"/>
          <w:kern w:val="0"/>
          <w:szCs w:val="28"/>
          <w:highlight w:val="none"/>
        </w:rPr>
        <w:fldChar w:fldCharType="separate"/>
      </w:r>
      <w:r>
        <w:rPr>
          <w:rFonts w:eastAsia="楷体"/>
          <w:bCs/>
          <w:color w:val="auto"/>
          <w:szCs w:val="30"/>
          <w:highlight w:val="none"/>
        </w:rPr>
        <w:t>2.1 流域概况</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_Toc18975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1</w:t>
      </w:r>
      <w:r>
        <w:rPr>
          <w:rFonts w:eastAsia="楷体"/>
          <w:bCs/>
          <w:color w:val="auto"/>
          <w:highlight w:val="none"/>
        </w:rPr>
        <w:fldChar w:fldCharType="end"/>
      </w:r>
      <w:r>
        <w:rPr>
          <w:rFonts w:eastAsia="楷体"/>
          <w:bCs/>
          <w:color w:val="auto"/>
          <w:kern w:val="0"/>
          <w:szCs w:val="28"/>
          <w:highlight w:val="none"/>
        </w:rPr>
        <w:fldChar w:fldCharType="end"/>
      </w:r>
    </w:p>
    <w:p w14:paraId="30CB94E5">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_Toc26605 </w:instrText>
      </w:r>
      <w:r>
        <w:rPr>
          <w:rFonts w:eastAsia="楷体"/>
          <w:bCs/>
          <w:color w:val="auto"/>
          <w:kern w:val="0"/>
          <w:szCs w:val="28"/>
          <w:highlight w:val="none"/>
        </w:rPr>
        <w:fldChar w:fldCharType="separate"/>
      </w:r>
      <w:r>
        <w:rPr>
          <w:rFonts w:eastAsia="楷体"/>
          <w:bCs/>
          <w:color w:val="auto"/>
          <w:szCs w:val="30"/>
          <w:highlight w:val="none"/>
        </w:rPr>
        <w:t>2.2 工程基本情况</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_Toc26605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2</w:t>
      </w:r>
      <w:r>
        <w:rPr>
          <w:rFonts w:eastAsia="楷体"/>
          <w:bCs/>
          <w:color w:val="auto"/>
          <w:highlight w:val="none"/>
        </w:rPr>
        <w:fldChar w:fldCharType="end"/>
      </w:r>
      <w:r>
        <w:rPr>
          <w:rFonts w:eastAsia="楷体"/>
          <w:bCs/>
          <w:color w:val="auto"/>
          <w:kern w:val="0"/>
          <w:szCs w:val="28"/>
          <w:highlight w:val="none"/>
        </w:rPr>
        <w:fldChar w:fldCharType="end"/>
      </w:r>
    </w:p>
    <w:p w14:paraId="6264551B">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_Toc13333 </w:instrText>
      </w:r>
      <w:r>
        <w:rPr>
          <w:rFonts w:eastAsia="楷体"/>
          <w:bCs/>
          <w:color w:val="auto"/>
          <w:kern w:val="0"/>
          <w:szCs w:val="28"/>
          <w:highlight w:val="none"/>
        </w:rPr>
        <w:fldChar w:fldCharType="separate"/>
      </w:r>
      <w:r>
        <w:rPr>
          <w:rFonts w:eastAsia="楷体"/>
          <w:bCs/>
          <w:color w:val="auto"/>
          <w:szCs w:val="30"/>
          <w:highlight w:val="none"/>
        </w:rPr>
        <w:t>2.3 水文</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_Toc13333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7</w:t>
      </w:r>
      <w:r>
        <w:rPr>
          <w:rFonts w:eastAsia="楷体"/>
          <w:bCs/>
          <w:color w:val="auto"/>
          <w:highlight w:val="none"/>
        </w:rPr>
        <w:fldChar w:fldCharType="end"/>
      </w:r>
      <w:r>
        <w:rPr>
          <w:rFonts w:eastAsia="楷体"/>
          <w:bCs/>
          <w:color w:val="auto"/>
          <w:kern w:val="0"/>
          <w:szCs w:val="28"/>
          <w:highlight w:val="none"/>
        </w:rPr>
        <w:fldChar w:fldCharType="end"/>
      </w:r>
    </w:p>
    <w:p w14:paraId="71731968">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_Toc2641 </w:instrText>
      </w:r>
      <w:r>
        <w:rPr>
          <w:rFonts w:eastAsia="楷体"/>
          <w:bCs/>
          <w:color w:val="auto"/>
          <w:kern w:val="0"/>
          <w:szCs w:val="28"/>
          <w:highlight w:val="none"/>
        </w:rPr>
        <w:fldChar w:fldCharType="separate"/>
      </w:r>
      <w:r>
        <w:rPr>
          <w:rFonts w:eastAsia="楷体"/>
          <w:bCs/>
          <w:color w:val="auto"/>
          <w:szCs w:val="30"/>
          <w:highlight w:val="none"/>
        </w:rPr>
        <w:t>2.4  工程安全监测</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_Toc2641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8</w:t>
      </w:r>
      <w:r>
        <w:rPr>
          <w:rFonts w:eastAsia="楷体"/>
          <w:bCs/>
          <w:color w:val="auto"/>
          <w:highlight w:val="none"/>
        </w:rPr>
        <w:fldChar w:fldCharType="end"/>
      </w:r>
      <w:r>
        <w:rPr>
          <w:rFonts w:eastAsia="楷体"/>
          <w:bCs/>
          <w:color w:val="auto"/>
          <w:kern w:val="0"/>
          <w:szCs w:val="28"/>
          <w:highlight w:val="none"/>
        </w:rPr>
        <w:fldChar w:fldCharType="end"/>
      </w:r>
    </w:p>
    <w:p w14:paraId="7479D24B">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_Toc5426 </w:instrText>
      </w:r>
      <w:r>
        <w:rPr>
          <w:rFonts w:eastAsia="楷体"/>
          <w:bCs/>
          <w:color w:val="auto"/>
          <w:kern w:val="0"/>
          <w:szCs w:val="28"/>
          <w:highlight w:val="none"/>
        </w:rPr>
        <w:fldChar w:fldCharType="separate"/>
      </w:r>
      <w:r>
        <w:rPr>
          <w:rFonts w:eastAsia="楷体"/>
          <w:bCs/>
          <w:color w:val="auto"/>
          <w:szCs w:val="30"/>
          <w:highlight w:val="none"/>
        </w:rPr>
        <w:t>2.5 水库汛期调度运用计划</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_Toc5426 </w:instrText>
      </w:r>
      <w:r>
        <w:rPr>
          <w:rFonts w:eastAsia="楷体"/>
          <w:bCs/>
          <w:color w:val="auto"/>
          <w:highlight w:val="none"/>
        </w:rPr>
        <w:fldChar w:fldCharType="separate"/>
      </w:r>
      <w:r>
        <w:rPr>
          <w:rFonts w:eastAsia="楷体"/>
          <w:bCs/>
          <w:color w:val="auto"/>
          <w:highlight w:val="none"/>
        </w:rPr>
        <w:t>8</w:t>
      </w:r>
      <w:r>
        <w:rPr>
          <w:rFonts w:hint="eastAsia" w:eastAsia="楷体"/>
          <w:bCs/>
          <w:color w:val="auto"/>
          <w:highlight w:val="none"/>
          <w:lang w:val="en-US" w:eastAsia="zh-CN"/>
        </w:rPr>
        <w:t>8</w:t>
      </w:r>
      <w:r>
        <w:rPr>
          <w:rFonts w:eastAsia="楷体"/>
          <w:bCs/>
          <w:color w:val="auto"/>
          <w:highlight w:val="none"/>
        </w:rPr>
        <w:fldChar w:fldCharType="end"/>
      </w:r>
      <w:r>
        <w:rPr>
          <w:rFonts w:eastAsia="楷体"/>
          <w:bCs/>
          <w:color w:val="auto"/>
          <w:kern w:val="0"/>
          <w:szCs w:val="28"/>
          <w:highlight w:val="none"/>
        </w:rPr>
        <w:fldChar w:fldCharType="end"/>
      </w:r>
    </w:p>
    <w:p w14:paraId="2C9E8527">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_Toc21184 </w:instrText>
      </w:r>
      <w:r>
        <w:rPr>
          <w:rFonts w:ascii="Times New Roman" w:eastAsia="楷体"/>
          <w:color w:val="auto"/>
          <w:kern w:val="0"/>
          <w:highlight w:val="none"/>
        </w:rPr>
        <w:fldChar w:fldCharType="separate"/>
      </w:r>
      <w:r>
        <w:rPr>
          <w:rFonts w:ascii="Times New Roman" w:eastAsia="楷体"/>
          <w:color w:val="auto"/>
          <w:szCs w:val="30"/>
          <w:highlight w:val="none"/>
        </w:rPr>
        <w:t>3突发事件危害性分析</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_Toc21184 </w:instrText>
      </w:r>
      <w:r>
        <w:rPr>
          <w:rFonts w:ascii="Times New Roman" w:eastAsia="楷体"/>
          <w:color w:val="auto"/>
          <w:highlight w:val="none"/>
        </w:rPr>
        <w:fldChar w:fldCharType="separate"/>
      </w:r>
      <w:r>
        <w:rPr>
          <w:rFonts w:ascii="Times New Roman" w:eastAsia="楷体"/>
          <w:color w:val="auto"/>
          <w:highlight w:val="none"/>
        </w:rPr>
        <w:t>9</w:t>
      </w:r>
      <w:r>
        <w:rPr>
          <w:rFonts w:hint="eastAsia" w:ascii="Times New Roman" w:eastAsia="楷体"/>
          <w:color w:val="auto"/>
          <w:highlight w:val="none"/>
          <w:lang w:val="en-US" w:eastAsia="zh-CN"/>
        </w:rPr>
        <w:t>6</w:t>
      </w:r>
      <w:r>
        <w:rPr>
          <w:rFonts w:ascii="Times New Roman" w:eastAsia="楷体"/>
          <w:color w:val="auto"/>
          <w:highlight w:val="none"/>
        </w:rPr>
        <w:fldChar w:fldCharType="end"/>
      </w:r>
      <w:r>
        <w:rPr>
          <w:rFonts w:ascii="Times New Roman" w:eastAsia="楷体"/>
          <w:color w:val="auto"/>
          <w:kern w:val="0"/>
          <w:highlight w:val="none"/>
        </w:rPr>
        <w:fldChar w:fldCharType="end"/>
      </w:r>
    </w:p>
    <w:p w14:paraId="7C9C0F61">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_Toc10930 </w:instrText>
      </w:r>
      <w:r>
        <w:rPr>
          <w:rFonts w:eastAsia="楷体"/>
          <w:bCs/>
          <w:color w:val="auto"/>
          <w:kern w:val="0"/>
          <w:szCs w:val="28"/>
          <w:highlight w:val="none"/>
        </w:rPr>
        <w:fldChar w:fldCharType="separate"/>
      </w:r>
      <w:r>
        <w:rPr>
          <w:rFonts w:eastAsia="楷体"/>
          <w:bCs/>
          <w:color w:val="auto"/>
          <w:szCs w:val="30"/>
          <w:highlight w:val="none"/>
        </w:rPr>
        <w:t>3.1 重大工程险情分析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_Toc10930 </w:instrText>
      </w:r>
      <w:r>
        <w:rPr>
          <w:rFonts w:eastAsia="楷体"/>
          <w:bCs/>
          <w:color w:val="auto"/>
          <w:highlight w:val="none"/>
        </w:rPr>
        <w:fldChar w:fldCharType="separate"/>
      </w:r>
      <w:r>
        <w:rPr>
          <w:rFonts w:eastAsia="楷体"/>
          <w:bCs/>
          <w:color w:val="auto"/>
          <w:highlight w:val="none"/>
        </w:rPr>
        <w:t>9</w:t>
      </w:r>
      <w:r>
        <w:rPr>
          <w:rFonts w:hint="eastAsia" w:eastAsia="楷体"/>
          <w:bCs/>
          <w:color w:val="auto"/>
          <w:highlight w:val="none"/>
          <w:lang w:val="en-US" w:eastAsia="zh-CN"/>
        </w:rPr>
        <w:t>6</w:t>
      </w:r>
      <w:r>
        <w:rPr>
          <w:rFonts w:eastAsia="楷体"/>
          <w:bCs/>
          <w:color w:val="auto"/>
          <w:highlight w:val="none"/>
        </w:rPr>
        <w:fldChar w:fldCharType="end"/>
      </w:r>
      <w:r>
        <w:rPr>
          <w:rFonts w:eastAsia="楷体"/>
          <w:bCs/>
          <w:color w:val="auto"/>
          <w:kern w:val="0"/>
          <w:szCs w:val="28"/>
          <w:highlight w:val="none"/>
        </w:rPr>
        <w:fldChar w:fldCharType="end"/>
      </w:r>
    </w:p>
    <w:p w14:paraId="69C52A18">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_Toc12151 </w:instrText>
      </w:r>
      <w:r>
        <w:rPr>
          <w:rFonts w:eastAsia="楷体"/>
          <w:bCs/>
          <w:color w:val="auto"/>
          <w:kern w:val="0"/>
          <w:szCs w:val="28"/>
          <w:highlight w:val="none"/>
        </w:rPr>
        <w:fldChar w:fldCharType="separate"/>
      </w:r>
      <w:r>
        <w:rPr>
          <w:rFonts w:eastAsia="楷体"/>
          <w:bCs/>
          <w:color w:val="auto"/>
          <w:szCs w:val="30"/>
          <w:highlight w:val="none"/>
        </w:rPr>
        <w:t>3.2 突发事件（溃坝）危害性分析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_Toc12151 </w:instrText>
      </w:r>
      <w:r>
        <w:rPr>
          <w:rFonts w:eastAsia="楷体"/>
          <w:bCs/>
          <w:color w:val="auto"/>
          <w:highlight w:val="none"/>
        </w:rPr>
        <w:fldChar w:fldCharType="separate"/>
      </w:r>
      <w:r>
        <w:rPr>
          <w:rFonts w:eastAsia="楷体"/>
          <w:bCs/>
          <w:color w:val="auto"/>
          <w:highlight w:val="none"/>
        </w:rPr>
        <w:t>9</w:t>
      </w:r>
      <w:r>
        <w:rPr>
          <w:rFonts w:hint="eastAsia" w:eastAsia="楷体"/>
          <w:bCs/>
          <w:color w:val="auto"/>
          <w:highlight w:val="none"/>
          <w:lang w:val="en-US" w:eastAsia="zh-CN"/>
        </w:rPr>
        <w:t>6</w:t>
      </w:r>
      <w:r>
        <w:rPr>
          <w:rFonts w:eastAsia="楷体"/>
          <w:bCs/>
          <w:color w:val="auto"/>
          <w:highlight w:val="none"/>
        </w:rPr>
        <w:fldChar w:fldCharType="end"/>
      </w:r>
      <w:r>
        <w:rPr>
          <w:rFonts w:eastAsia="楷体"/>
          <w:bCs/>
          <w:color w:val="auto"/>
          <w:kern w:val="0"/>
          <w:szCs w:val="28"/>
          <w:highlight w:val="none"/>
        </w:rPr>
        <w:fldChar w:fldCharType="end"/>
      </w:r>
    </w:p>
    <w:p w14:paraId="36FD7A6E">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_Toc13 </w:instrText>
      </w:r>
      <w:r>
        <w:rPr>
          <w:rFonts w:eastAsia="楷体"/>
          <w:bCs/>
          <w:color w:val="auto"/>
          <w:kern w:val="0"/>
          <w:szCs w:val="28"/>
          <w:highlight w:val="none"/>
        </w:rPr>
        <w:fldChar w:fldCharType="separate"/>
      </w:r>
      <w:r>
        <w:rPr>
          <w:rFonts w:eastAsia="楷体"/>
          <w:bCs/>
          <w:color w:val="auto"/>
          <w:szCs w:val="30"/>
          <w:highlight w:val="none"/>
        </w:rPr>
        <w:t>3.3 溃坝失事造成下游经济和社会损失影响分析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_Toc13 </w:instrText>
      </w:r>
      <w:r>
        <w:rPr>
          <w:rFonts w:eastAsia="楷体"/>
          <w:bCs/>
          <w:color w:val="auto"/>
          <w:highlight w:val="none"/>
        </w:rPr>
        <w:fldChar w:fldCharType="separate"/>
      </w:r>
      <w:r>
        <w:rPr>
          <w:rFonts w:eastAsia="楷体"/>
          <w:bCs/>
          <w:color w:val="auto"/>
          <w:highlight w:val="none"/>
        </w:rPr>
        <w:t>9</w:t>
      </w:r>
      <w:r>
        <w:rPr>
          <w:rFonts w:hint="eastAsia" w:eastAsia="楷体"/>
          <w:bCs/>
          <w:color w:val="auto"/>
          <w:highlight w:val="none"/>
          <w:lang w:val="en-US" w:eastAsia="zh-CN"/>
        </w:rPr>
        <w:t>6</w:t>
      </w:r>
      <w:r>
        <w:rPr>
          <w:rFonts w:eastAsia="楷体"/>
          <w:bCs/>
          <w:color w:val="auto"/>
          <w:highlight w:val="none"/>
        </w:rPr>
        <w:fldChar w:fldCharType="end"/>
      </w:r>
      <w:r>
        <w:rPr>
          <w:rFonts w:eastAsia="楷体"/>
          <w:bCs/>
          <w:color w:val="auto"/>
          <w:kern w:val="0"/>
          <w:szCs w:val="28"/>
          <w:highlight w:val="none"/>
        </w:rPr>
        <w:fldChar w:fldCharType="end"/>
      </w:r>
    </w:p>
    <w:p w14:paraId="2F999A39">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_Toc9103 </w:instrText>
      </w:r>
      <w:r>
        <w:rPr>
          <w:rFonts w:ascii="Times New Roman" w:eastAsia="楷体"/>
          <w:color w:val="auto"/>
          <w:kern w:val="0"/>
          <w:highlight w:val="none"/>
        </w:rPr>
        <w:fldChar w:fldCharType="separate"/>
      </w:r>
      <w:r>
        <w:rPr>
          <w:rFonts w:ascii="Times New Roman" w:eastAsia="楷体"/>
          <w:color w:val="auto"/>
          <w:szCs w:val="30"/>
          <w:highlight w:val="none"/>
        </w:rPr>
        <w:t>4 险情监测与报告</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_Toc9103 </w:instrText>
      </w:r>
      <w:r>
        <w:rPr>
          <w:rFonts w:ascii="Times New Roman" w:eastAsia="楷体"/>
          <w:color w:val="auto"/>
          <w:highlight w:val="none"/>
        </w:rPr>
        <w:fldChar w:fldCharType="separate"/>
      </w:r>
      <w:r>
        <w:rPr>
          <w:rFonts w:ascii="Times New Roman" w:eastAsia="楷体"/>
          <w:color w:val="auto"/>
          <w:highlight w:val="none"/>
        </w:rPr>
        <w:t>9</w:t>
      </w:r>
      <w:r>
        <w:rPr>
          <w:rFonts w:hint="eastAsia" w:ascii="Times New Roman" w:eastAsia="楷体"/>
          <w:color w:val="auto"/>
          <w:highlight w:val="none"/>
          <w:lang w:val="en-US" w:eastAsia="zh-CN"/>
        </w:rPr>
        <w:t>8</w:t>
      </w:r>
      <w:r>
        <w:rPr>
          <w:rFonts w:ascii="Times New Roman" w:eastAsia="楷体"/>
          <w:color w:val="auto"/>
          <w:highlight w:val="none"/>
        </w:rPr>
        <w:fldChar w:fldCharType="end"/>
      </w:r>
      <w:r>
        <w:rPr>
          <w:rFonts w:ascii="Times New Roman" w:eastAsia="楷体"/>
          <w:color w:val="auto"/>
          <w:kern w:val="0"/>
          <w:highlight w:val="none"/>
        </w:rPr>
        <w:fldChar w:fldCharType="end"/>
      </w:r>
    </w:p>
    <w:p w14:paraId="6311873E">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_Toc9065 </w:instrText>
      </w:r>
      <w:r>
        <w:rPr>
          <w:rFonts w:eastAsia="楷体"/>
          <w:bCs/>
          <w:color w:val="auto"/>
          <w:kern w:val="0"/>
          <w:szCs w:val="28"/>
          <w:highlight w:val="none"/>
        </w:rPr>
        <w:fldChar w:fldCharType="separate"/>
      </w:r>
      <w:r>
        <w:rPr>
          <w:rFonts w:eastAsia="楷体"/>
          <w:bCs/>
          <w:color w:val="auto"/>
          <w:szCs w:val="30"/>
          <w:highlight w:val="none"/>
        </w:rPr>
        <w:t>4.1险情监测和巡视</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_Toc9065 </w:instrText>
      </w:r>
      <w:r>
        <w:rPr>
          <w:rFonts w:eastAsia="楷体"/>
          <w:bCs/>
          <w:color w:val="auto"/>
          <w:highlight w:val="none"/>
        </w:rPr>
        <w:fldChar w:fldCharType="separate"/>
      </w:r>
      <w:r>
        <w:rPr>
          <w:rFonts w:eastAsia="楷体"/>
          <w:bCs/>
          <w:color w:val="auto"/>
          <w:highlight w:val="none"/>
        </w:rPr>
        <w:t>9</w:t>
      </w:r>
      <w:r>
        <w:rPr>
          <w:rFonts w:hint="eastAsia" w:eastAsia="楷体"/>
          <w:bCs/>
          <w:color w:val="auto"/>
          <w:highlight w:val="none"/>
          <w:lang w:val="en-US" w:eastAsia="zh-CN"/>
        </w:rPr>
        <w:t>8</w:t>
      </w:r>
      <w:r>
        <w:rPr>
          <w:rFonts w:eastAsia="楷体"/>
          <w:bCs/>
          <w:color w:val="auto"/>
          <w:highlight w:val="none"/>
        </w:rPr>
        <w:fldChar w:fldCharType="end"/>
      </w:r>
      <w:r>
        <w:rPr>
          <w:rFonts w:eastAsia="楷体"/>
          <w:bCs/>
          <w:color w:val="auto"/>
          <w:kern w:val="0"/>
          <w:szCs w:val="28"/>
          <w:highlight w:val="none"/>
        </w:rPr>
        <w:fldChar w:fldCharType="end"/>
      </w:r>
    </w:p>
    <w:p w14:paraId="1C0340B3">
      <w:pPr>
        <w:pStyle w:val="16"/>
        <w:tabs>
          <w:tab w:val="right" w:leader="dot" w:pos="8306"/>
        </w:tabs>
        <w:spacing w:line="520" w:lineRule="exact"/>
        <w:ind w:firstLine="560"/>
        <w:rPr>
          <w:rFonts w:hint="eastAsia" w:eastAsia="楷体"/>
          <w:bCs/>
          <w:color w:val="auto"/>
          <w:highlight w:val="none"/>
          <w:lang w:val="en-US" w:eastAsia="zh-CN"/>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_Toc9767 </w:instrText>
      </w:r>
      <w:r>
        <w:rPr>
          <w:rFonts w:eastAsia="楷体"/>
          <w:bCs/>
          <w:color w:val="auto"/>
          <w:kern w:val="0"/>
          <w:szCs w:val="28"/>
          <w:highlight w:val="none"/>
        </w:rPr>
        <w:fldChar w:fldCharType="separate"/>
      </w:r>
      <w:r>
        <w:rPr>
          <w:rFonts w:eastAsia="楷体"/>
          <w:bCs/>
          <w:color w:val="auto"/>
          <w:szCs w:val="30"/>
          <w:highlight w:val="none"/>
        </w:rPr>
        <w:t>4.2 险情上报与通报</w:t>
      </w:r>
      <w:r>
        <w:rPr>
          <w:rFonts w:eastAsia="楷体"/>
          <w:bCs/>
          <w:color w:val="auto"/>
          <w:highlight w:val="none"/>
        </w:rPr>
        <w:tab/>
      </w:r>
      <w:r>
        <w:rPr>
          <w:rFonts w:hint="eastAsia" w:eastAsia="楷体"/>
          <w:bCs/>
          <w:color w:val="auto"/>
          <w:highlight w:val="none"/>
          <w:lang w:val="en-US" w:eastAsia="zh-CN"/>
        </w:rPr>
        <w:t>9</w:t>
      </w:r>
      <w:r>
        <w:rPr>
          <w:rFonts w:eastAsia="楷体"/>
          <w:bCs/>
          <w:color w:val="auto"/>
          <w:kern w:val="0"/>
          <w:szCs w:val="28"/>
          <w:highlight w:val="none"/>
        </w:rPr>
        <w:fldChar w:fldCharType="end"/>
      </w:r>
      <w:r>
        <w:rPr>
          <w:rFonts w:hint="eastAsia" w:eastAsia="楷体"/>
          <w:bCs/>
          <w:color w:val="auto"/>
          <w:kern w:val="0"/>
          <w:szCs w:val="28"/>
          <w:highlight w:val="none"/>
          <w:lang w:val="en-US" w:eastAsia="zh-CN"/>
        </w:rPr>
        <w:t>9</w:t>
      </w:r>
    </w:p>
    <w:p w14:paraId="41F9C4FD">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_Toc4797 </w:instrText>
      </w:r>
      <w:r>
        <w:rPr>
          <w:rFonts w:ascii="Times New Roman" w:eastAsia="楷体"/>
          <w:color w:val="auto"/>
          <w:kern w:val="0"/>
          <w:highlight w:val="none"/>
        </w:rPr>
        <w:fldChar w:fldCharType="separate"/>
      </w:r>
      <w:r>
        <w:rPr>
          <w:rFonts w:ascii="Times New Roman" w:eastAsia="楷体"/>
          <w:color w:val="auto"/>
          <w:szCs w:val="30"/>
          <w:highlight w:val="none"/>
        </w:rPr>
        <w:t>5 险情抢护</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_Toc4797 </w:instrText>
      </w:r>
      <w:r>
        <w:rPr>
          <w:rFonts w:ascii="Times New Roman" w:eastAsia="楷体"/>
          <w:color w:val="auto"/>
          <w:highlight w:val="none"/>
        </w:rPr>
        <w:fldChar w:fldCharType="separate"/>
      </w:r>
      <w:r>
        <w:rPr>
          <w:rFonts w:ascii="Times New Roman" w:eastAsia="楷体"/>
          <w:color w:val="auto"/>
          <w:highlight w:val="none"/>
        </w:rPr>
        <w:t>10</w:t>
      </w:r>
      <w:r>
        <w:rPr>
          <w:rFonts w:hint="eastAsia" w:ascii="Times New Roman" w:eastAsia="楷体"/>
          <w:color w:val="auto"/>
          <w:highlight w:val="none"/>
          <w:lang w:val="en-US" w:eastAsia="zh-CN"/>
        </w:rPr>
        <w:t>0</w:t>
      </w:r>
      <w:r>
        <w:rPr>
          <w:rFonts w:ascii="Times New Roman" w:eastAsia="楷体"/>
          <w:color w:val="auto"/>
          <w:highlight w:val="none"/>
        </w:rPr>
        <w:fldChar w:fldCharType="end"/>
      </w:r>
      <w:r>
        <w:rPr>
          <w:rFonts w:ascii="Times New Roman" w:eastAsia="楷体"/>
          <w:color w:val="auto"/>
          <w:kern w:val="0"/>
          <w:highlight w:val="none"/>
        </w:rPr>
        <w:fldChar w:fldCharType="end"/>
      </w:r>
    </w:p>
    <w:p w14:paraId="6482E141">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_Toc15232 </w:instrText>
      </w:r>
      <w:r>
        <w:rPr>
          <w:rFonts w:eastAsia="楷体"/>
          <w:bCs/>
          <w:color w:val="auto"/>
          <w:kern w:val="0"/>
          <w:szCs w:val="28"/>
          <w:highlight w:val="none"/>
        </w:rPr>
        <w:fldChar w:fldCharType="separate"/>
      </w:r>
      <w:r>
        <w:rPr>
          <w:rFonts w:eastAsia="楷体"/>
          <w:bCs/>
          <w:color w:val="auto"/>
          <w:szCs w:val="30"/>
          <w:highlight w:val="none"/>
        </w:rPr>
        <w:t>5.1 抢险调度</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_Toc15232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0</w:t>
      </w:r>
      <w:r>
        <w:rPr>
          <w:rFonts w:eastAsia="楷体"/>
          <w:bCs/>
          <w:color w:val="auto"/>
          <w:highlight w:val="none"/>
        </w:rPr>
        <w:fldChar w:fldCharType="end"/>
      </w:r>
      <w:r>
        <w:rPr>
          <w:rFonts w:eastAsia="楷体"/>
          <w:bCs/>
          <w:color w:val="auto"/>
          <w:kern w:val="0"/>
          <w:szCs w:val="28"/>
          <w:highlight w:val="none"/>
        </w:rPr>
        <w:fldChar w:fldCharType="end"/>
      </w:r>
    </w:p>
    <w:p w14:paraId="45BB04D5">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_Toc20185 </w:instrText>
      </w:r>
      <w:r>
        <w:rPr>
          <w:rFonts w:eastAsia="楷体"/>
          <w:bCs/>
          <w:color w:val="auto"/>
          <w:kern w:val="0"/>
          <w:szCs w:val="28"/>
          <w:highlight w:val="none"/>
        </w:rPr>
        <w:fldChar w:fldCharType="separate"/>
      </w:r>
      <w:r>
        <w:rPr>
          <w:rFonts w:eastAsia="楷体"/>
          <w:bCs/>
          <w:color w:val="auto"/>
          <w:szCs w:val="30"/>
          <w:highlight w:val="none"/>
        </w:rPr>
        <w:t>5.2抢险措施</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_Toc20185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0</w:t>
      </w:r>
      <w:r>
        <w:rPr>
          <w:rFonts w:eastAsia="楷体"/>
          <w:bCs/>
          <w:color w:val="auto"/>
          <w:highlight w:val="none"/>
        </w:rPr>
        <w:fldChar w:fldCharType="end"/>
      </w:r>
      <w:r>
        <w:rPr>
          <w:rFonts w:eastAsia="楷体"/>
          <w:bCs/>
          <w:color w:val="auto"/>
          <w:kern w:val="0"/>
          <w:szCs w:val="28"/>
          <w:highlight w:val="none"/>
        </w:rPr>
        <w:fldChar w:fldCharType="end"/>
      </w:r>
    </w:p>
    <w:p w14:paraId="68A45DF3">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_Toc8277 </w:instrText>
      </w:r>
      <w:r>
        <w:rPr>
          <w:rFonts w:eastAsia="楷体"/>
          <w:bCs/>
          <w:color w:val="auto"/>
          <w:kern w:val="0"/>
          <w:szCs w:val="28"/>
          <w:highlight w:val="none"/>
        </w:rPr>
        <w:fldChar w:fldCharType="separate"/>
      </w:r>
      <w:r>
        <w:rPr>
          <w:rFonts w:eastAsia="楷体"/>
          <w:bCs/>
          <w:color w:val="auto"/>
          <w:szCs w:val="30"/>
          <w:highlight w:val="none"/>
        </w:rPr>
        <w:t>5.3 应急转移</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_Toc8277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3</w:t>
      </w:r>
      <w:r>
        <w:rPr>
          <w:rFonts w:eastAsia="楷体"/>
          <w:bCs/>
          <w:color w:val="auto"/>
          <w:highlight w:val="none"/>
        </w:rPr>
        <w:fldChar w:fldCharType="end"/>
      </w:r>
      <w:r>
        <w:rPr>
          <w:rFonts w:eastAsia="楷体"/>
          <w:bCs/>
          <w:color w:val="auto"/>
          <w:kern w:val="0"/>
          <w:szCs w:val="28"/>
          <w:highlight w:val="none"/>
        </w:rPr>
        <w:fldChar w:fldCharType="end"/>
      </w:r>
    </w:p>
    <w:p w14:paraId="6E658CEB">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_Toc11254 </w:instrText>
      </w:r>
      <w:r>
        <w:rPr>
          <w:rFonts w:ascii="Times New Roman" w:eastAsia="楷体"/>
          <w:color w:val="auto"/>
          <w:kern w:val="0"/>
          <w:highlight w:val="none"/>
        </w:rPr>
        <w:fldChar w:fldCharType="separate"/>
      </w:r>
      <w:r>
        <w:rPr>
          <w:rFonts w:ascii="Times New Roman" w:eastAsia="楷体"/>
          <w:color w:val="auto"/>
          <w:szCs w:val="30"/>
          <w:highlight w:val="none"/>
        </w:rPr>
        <w:t>6 应急保障</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_Toc11254 </w:instrText>
      </w:r>
      <w:r>
        <w:rPr>
          <w:rFonts w:ascii="Times New Roman" w:eastAsia="楷体"/>
          <w:color w:val="auto"/>
          <w:highlight w:val="none"/>
        </w:rPr>
        <w:fldChar w:fldCharType="separate"/>
      </w:r>
      <w:r>
        <w:rPr>
          <w:rFonts w:ascii="Times New Roman" w:eastAsia="楷体"/>
          <w:color w:val="auto"/>
          <w:highlight w:val="none"/>
        </w:rPr>
        <w:t>10</w:t>
      </w:r>
      <w:r>
        <w:rPr>
          <w:rFonts w:hint="eastAsia" w:ascii="Times New Roman" w:eastAsia="楷体"/>
          <w:color w:val="auto"/>
          <w:highlight w:val="none"/>
          <w:lang w:val="en-US" w:eastAsia="zh-CN"/>
        </w:rPr>
        <w:t>4</w:t>
      </w:r>
      <w:r>
        <w:rPr>
          <w:rFonts w:ascii="Times New Roman" w:eastAsia="楷体"/>
          <w:color w:val="auto"/>
          <w:highlight w:val="none"/>
        </w:rPr>
        <w:fldChar w:fldCharType="end"/>
      </w:r>
      <w:r>
        <w:rPr>
          <w:rFonts w:ascii="Times New Roman" w:eastAsia="楷体"/>
          <w:color w:val="auto"/>
          <w:kern w:val="0"/>
          <w:highlight w:val="none"/>
        </w:rPr>
        <w:fldChar w:fldCharType="end"/>
      </w:r>
    </w:p>
    <w:p w14:paraId="0D197BE4">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_Toc24772 </w:instrText>
      </w:r>
      <w:r>
        <w:rPr>
          <w:rFonts w:eastAsia="楷体"/>
          <w:bCs/>
          <w:color w:val="auto"/>
          <w:kern w:val="0"/>
          <w:szCs w:val="28"/>
          <w:highlight w:val="none"/>
        </w:rPr>
        <w:fldChar w:fldCharType="separate"/>
      </w:r>
      <w:r>
        <w:rPr>
          <w:rFonts w:eastAsia="楷体"/>
          <w:bCs/>
          <w:color w:val="auto"/>
          <w:szCs w:val="30"/>
          <w:highlight w:val="none"/>
        </w:rPr>
        <w:t>6.1 组织保障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_Toc24772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4</w:t>
      </w:r>
      <w:r>
        <w:rPr>
          <w:rFonts w:eastAsia="楷体"/>
          <w:bCs/>
          <w:color w:val="auto"/>
          <w:highlight w:val="none"/>
        </w:rPr>
        <w:fldChar w:fldCharType="end"/>
      </w:r>
      <w:r>
        <w:rPr>
          <w:rFonts w:eastAsia="楷体"/>
          <w:bCs/>
          <w:color w:val="auto"/>
          <w:kern w:val="0"/>
          <w:szCs w:val="28"/>
          <w:highlight w:val="none"/>
        </w:rPr>
        <w:fldChar w:fldCharType="end"/>
      </w:r>
    </w:p>
    <w:p w14:paraId="2753322B">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_Toc29561 </w:instrText>
      </w:r>
      <w:r>
        <w:rPr>
          <w:rFonts w:eastAsia="楷体"/>
          <w:bCs/>
          <w:color w:val="auto"/>
          <w:kern w:val="0"/>
          <w:szCs w:val="28"/>
          <w:highlight w:val="none"/>
        </w:rPr>
        <w:fldChar w:fldCharType="separate"/>
      </w:r>
      <w:r>
        <w:rPr>
          <w:rFonts w:eastAsia="楷体"/>
          <w:bCs/>
          <w:color w:val="auto"/>
          <w:szCs w:val="30"/>
          <w:highlight w:val="none"/>
        </w:rPr>
        <w:t>6.2 队伍保障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_Toc29561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4</w:t>
      </w:r>
      <w:r>
        <w:rPr>
          <w:rFonts w:eastAsia="楷体"/>
          <w:bCs/>
          <w:color w:val="auto"/>
          <w:highlight w:val="none"/>
        </w:rPr>
        <w:fldChar w:fldCharType="end"/>
      </w:r>
      <w:r>
        <w:rPr>
          <w:rFonts w:eastAsia="楷体"/>
          <w:bCs/>
          <w:color w:val="auto"/>
          <w:kern w:val="0"/>
          <w:szCs w:val="28"/>
          <w:highlight w:val="none"/>
        </w:rPr>
        <w:fldChar w:fldCharType="end"/>
      </w:r>
    </w:p>
    <w:p w14:paraId="2824A4AE">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_Toc16237 </w:instrText>
      </w:r>
      <w:r>
        <w:rPr>
          <w:rFonts w:eastAsia="楷体"/>
          <w:bCs/>
          <w:color w:val="auto"/>
          <w:kern w:val="0"/>
          <w:szCs w:val="28"/>
          <w:highlight w:val="none"/>
        </w:rPr>
        <w:fldChar w:fldCharType="separate"/>
      </w:r>
      <w:r>
        <w:rPr>
          <w:rFonts w:eastAsia="楷体"/>
          <w:bCs/>
          <w:color w:val="auto"/>
          <w:szCs w:val="30"/>
          <w:highlight w:val="none"/>
        </w:rPr>
        <w:t>6.3 物资保障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_Toc16237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5</w:t>
      </w:r>
      <w:r>
        <w:rPr>
          <w:rFonts w:eastAsia="楷体"/>
          <w:bCs/>
          <w:color w:val="auto"/>
          <w:highlight w:val="none"/>
        </w:rPr>
        <w:fldChar w:fldCharType="end"/>
      </w:r>
      <w:r>
        <w:rPr>
          <w:rFonts w:eastAsia="楷体"/>
          <w:bCs/>
          <w:color w:val="auto"/>
          <w:kern w:val="0"/>
          <w:szCs w:val="28"/>
          <w:highlight w:val="none"/>
        </w:rPr>
        <w:fldChar w:fldCharType="end"/>
      </w:r>
    </w:p>
    <w:p w14:paraId="4A88EB84">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_Toc14017 </w:instrText>
      </w:r>
      <w:r>
        <w:rPr>
          <w:rFonts w:eastAsia="楷体"/>
          <w:bCs/>
          <w:color w:val="auto"/>
          <w:kern w:val="0"/>
          <w:szCs w:val="28"/>
          <w:highlight w:val="none"/>
        </w:rPr>
        <w:fldChar w:fldCharType="separate"/>
      </w:r>
      <w:r>
        <w:rPr>
          <w:rFonts w:eastAsia="楷体"/>
          <w:bCs/>
          <w:color w:val="auto"/>
          <w:szCs w:val="30"/>
          <w:highlight w:val="none"/>
        </w:rPr>
        <w:t>6.4通讯保障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_Toc14017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6</w:t>
      </w:r>
      <w:r>
        <w:rPr>
          <w:rFonts w:eastAsia="楷体"/>
          <w:bCs/>
          <w:color w:val="auto"/>
          <w:highlight w:val="none"/>
        </w:rPr>
        <w:fldChar w:fldCharType="end"/>
      </w:r>
      <w:r>
        <w:rPr>
          <w:rFonts w:eastAsia="楷体"/>
          <w:bCs/>
          <w:color w:val="auto"/>
          <w:kern w:val="0"/>
          <w:szCs w:val="28"/>
          <w:highlight w:val="none"/>
        </w:rPr>
        <w:fldChar w:fldCharType="end"/>
      </w:r>
    </w:p>
    <w:p w14:paraId="20854602">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_Toc5419 </w:instrText>
      </w:r>
      <w:r>
        <w:rPr>
          <w:rFonts w:eastAsia="楷体"/>
          <w:bCs/>
          <w:color w:val="auto"/>
          <w:kern w:val="0"/>
          <w:szCs w:val="28"/>
          <w:highlight w:val="none"/>
        </w:rPr>
        <w:fldChar w:fldCharType="separate"/>
      </w:r>
      <w:r>
        <w:rPr>
          <w:rFonts w:eastAsia="楷体"/>
          <w:bCs/>
          <w:color w:val="auto"/>
          <w:szCs w:val="30"/>
          <w:highlight w:val="none"/>
        </w:rPr>
        <w:t>6.5其他保障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_Toc5419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6</w:t>
      </w:r>
      <w:r>
        <w:rPr>
          <w:rFonts w:eastAsia="楷体"/>
          <w:bCs/>
          <w:color w:val="auto"/>
          <w:highlight w:val="none"/>
        </w:rPr>
        <w:fldChar w:fldCharType="end"/>
      </w:r>
      <w:r>
        <w:rPr>
          <w:rFonts w:eastAsia="楷体"/>
          <w:bCs/>
          <w:color w:val="auto"/>
          <w:kern w:val="0"/>
          <w:szCs w:val="28"/>
          <w:highlight w:val="none"/>
        </w:rPr>
        <w:fldChar w:fldCharType="end"/>
      </w:r>
    </w:p>
    <w:p w14:paraId="617BC3A1">
      <w:pPr>
        <w:pStyle w:val="15"/>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_Toc28054 </w:instrText>
      </w:r>
      <w:r>
        <w:rPr>
          <w:rFonts w:ascii="Times New Roman" w:eastAsia="楷体"/>
          <w:color w:val="auto"/>
          <w:kern w:val="0"/>
          <w:highlight w:val="none"/>
        </w:rPr>
        <w:fldChar w:fldCharType="separate"/>
      </w:r>
      <w:r>
        <w:rPr>
          <w:rFonts w:ascii="Times New Roman" w:eastAsia="楷体"/>
          <w:color w:val="auto"/>
          <w:szCs w:val="30"/>
          <w:highlight w:val="none"/>
        </w:rPr>
        <w:t>7 《应急预案》启动和结束</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_Toc28054 </w:instrText>
      </w:r>
      <w:r>
        <w:rPr>
          <w:rFonts w:ascii="Times New Roman" w:eastAsia="楷体"/>
          <w:color w:val="auto"/>
          <w:highlight w:val="none"/>
        </w:rPr>
        <w:fldChar w:fldCharType="separate"/>
      </w:r>
      <w:r>
        <w:rPr>
          <w:rFonts w:ascii="Times New Roman" w:eastAsia="楷体"/>
          <w:color w:val="auto"/>
          <w:highlight w:val="none"/>
        </w:rPr>
        <w:t>10</w:t>
      </w:r>
      <w:r>
        <w:rPr>
          <w:rFonts w:hint="eastAsia" w:ascii="Times New Roman" w:eastAsia="楷体"/>
          <w:color w:val="auto"/>
          <w:highlight w:val="none"/>
          <w:lang w:val="en-US" w:eastAsia="zh-CN"/>
        </w:rPr>
        <w:t>8</w:t>
      </w:r>
      <w:r>
        <w:rPr>
          <w:rFonts w:ascii="Times New Roman" w:eastAsia="楷体"/>
          <w:color w:val="auto"/>
          <w:highlight w:val="none"/>
        </w:rPr>
        <w:fldChar w:fldCharType="end"/>
      </w:r>
      <w:r>
        <w:rPr>
          <w:rFonts w:ascii="Times New Roman" w:eastAsia="楷体"/>
          <w:color w:val="auto"/>
          <w:kern w:val="0"/>
          <w:highlight w:val="none"/>
        </w:rPr>
        <w:fldChar w:fldCharType="end"/>
      </w:r>
    </w:p>
    <w:p w14:paraId="45C965F6">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_Toc2574 </w:instrText>
      </w:r>
      <w:r>
        <w:rPr>
          <w:rFonts w:eastAsia="楷体"/>
          <w:bCs/>
          <w:color w:val="auto"/>
          <w:kern w:val="0"/>
          <w:szCs w:val="28"/>
          <w:highlight w:val="none"/>
        </w:rPr>
        <w:fldChar w:fldCharType="separate"/>
      </w:r>
      <w:r>
        <w:rPr>
          <w:rFonts w:eastAsia="楷体"/>
          <w:bCs/>
          <w:color w:val="auto"/>
          <w:highlight w:val="none"/>
        </w:rPr>
        <w:t>7.1 启动与结束条件</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_Toc2574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8</w:t>
      </w:r>
      <w:r>
        <w:rPr>
          <w:rFonts w:eastAsia="楷体"/>
          <w:bCs/>
          <w:color w:val="auto"/>
          <w:highlight w:val="none"/>
        </w:rPr>
        <w:fldChar w:fldCharType="end"/>
      </w:r>
      <w:r>
        <w:rPr>
          <w:rFonts w:eastAsia="楷体"/>
          <w:bCs/>
          <w:color w:val="auto"/>
          <w:kern w:val="0"/>
          <w:szCs w:val="28"/>
          <w:highlight w:val="none"/>
        </w:rPr>
        <w:fldChar w:fldCharType="end"/>
      </w:r>
    </w:p>
    <w:p w14:paraId="71C0E130">
      <w:pPr>
        <w:pStyle w:val="16"/>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_Toc369 </w:instrText>
      </w:r>
      <w:r>
        <w:rPr>
          <w:rFonts w:eastAsia="楷体"/>
          <w:bCs/>
          <w:color w:val="auto"/>
          <w:kern w:val="0"/>
          <w:szCs w:val="28"/>
          <w:highlight w:val="none"/>
        </w:rPr>
        <w:fldChar w:fldCharType="separate"/>
      </w:r>
      <w:r>
        <w:rPr>
          <w:rFonts w:eastAsia="楷体"/>
          <w:bCs/>
          <w:color w:val="auto"/>
          <w:highlight w:val="none"/>
        </w:rPr>
        <w:t>7.2 决策机构与程序</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_Toc369 </w:instrText>
      </w:r>
      <w:r>
        <w:rPr>
          <w:rFonts w:eastAsia="楷体"/>
          <w:bCs/>
          <w:color w:val="auto"/>
          <w:highlight w:val="none"/>
        </w:rPr>
        <w:fldChar w:fldCharType="separate"/>
      </w:r>
      <w:r>
        <w:rPr>
          <w:rFonts w:eastAsia="楷体"/>
          <w:bCs/>
          <w:color w:val="auto"/>
          <w:highlight w:val="none"/>
        </w:rPr>
        <w:t>10</w:t>
      </w:r>
      <w:r>
        <w:rPr>
          <w:rFonts w:hint="eastAsia" w:eastAsia="楷体"/>
          <w:bCs/>
          <w:color w:val="auto"/>
          <w:highlight w:val="none"/>
          <w:lang w:val="en-US" w:eastAsia="zh-CN"/>
        </w:rPr>
        <w:t>8</w:t>
      </w:r>
      <w:r>
        <w:rPr>
          <w:rFonts w:eastAsia="楷体"/>
          <w:bCs/>
          <w:color w:val="auto"/>
          <w:highlight w:val="none"/>
        </w:rPr>
        <w:fldChar w:fldCharType="end"/>
      </w:r>
      <w:r>
        <w:rPr>
          <w:rFonts w:eastAsia="楷体"/>
          <w:bCs/>
          <w:color w:val="auto"/>
          <w:kern w:val="0"/>
          <w:szCs w:val="28"/>
          <w:highlight w:val="none"/>
        </w:rPr>
        <w:fldChar w:fldCharType="end"/>
      </w:r>
    </w:p>
    <w:p w14:paraId="5C9C46B5">
      <w:pPr>
        <w:pStyle w:val="15"/>
        <w:tabs>
          <w:tab w:val="right" w:leader="dot" w:pos="8306"/>
          <w:tab w:val="clear" w:pos="8296"/>
        </w:tabs>
        <w:spacing w:line="520" w:lineRule="exact"/>
        <w:ind w:firstLine="562"/>
        <w:rPr>
          <w:rFonts w:hint="eastAsia" w:ascii="Times New Roman" w:eastAsia="楷体"/>
          <w:color w:val="auto"/>
          <w:highlight w:val="none"/>
          <w:lang w:val="en-US" w:eastAsia="zh-CN"/>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_Toc15125 </w:instrText>
      </w:r>
      <w:r>
        <w:rPr>
          <w:rFonts w:ascii="Times New Roman" w:eastAsia="楷体"/>
          <w:color w:val="auto"/>
          <w:kern w:val="0"/>
          <w:highlight w:val="none"/>
        </w:rPr>
        <w:fldChar w:fldCharType="separate"/>
      </w:r>
      <w:r>
        <w:rPr>
          <w:rFonts w:ascii="Times New Roman" w:eastAsia="楷体"/>
          <w:color w:val="auto"/>
          <w:szCs w:val="32"/>
          <w:highlight w:val="none"/>
        </w:rPr>
        <w:t>8 附件</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_Toc15125 </w:instrText>
      </w:r>
      <w:r>
        <w:rPr>
          <w:rFonts w:ascii="Times New Roman" w:eastAsia="楷体"/>
          <w:color w:val="auto"/>
          <w:highlight w:val="none"/>
        </w:rPr>
        <w:fldChar w:fldCharType="separate"/>
      </w:r>
      <w:r>
        <w:rPr>
          <w:rFonts w:ascii="Times New Roman" w:eastAsia="楷体"/>
          <w:color w:val="auto"/>
          <w:highlight w:val="none"/>
        </w:rPr>
        <w:t>1</w:t>
      </w:r>
      <w:r>
        <w:rPr>
          <w:rFonts w:hint="eastAsia" w:ascii="Times New Roman" w:eastAsia="楷体"/>
          <w:color w:val="auto"/>
          <w:highlight w:val="none"/>
          <w:lang w:val="en-US" w:eastAsia="zh-CN"/>
        </w:rPr>
        <w:t>0</w:t>
      </w:r>
      <w:r>
        <w:rPr>
          <w:rFonts w:ascii="Times New Roman" w:eastAsia="楷体"/>
          <w:color w:val="auto"/>
          <w:highlight w:val="none"/>
        </w:rPr>
        <w:fldChar w:fldCharType="end"/>
      </w:r>
      <w:r>
        <w:rPr>
          <w:rFonts w:ascii="Times New Roman" w:eastAsia="楷体"/>
          <w:color w:val="auto"/>
          <w:kern w:val="0"/>
          <w:highlight w:val="none"/>
        </w:rPr>
        <w:fldChar w:fldCharType="end"/>
      </w:r>
      <w:r>
        <w:rPr>
          <w:rFonts w:hint="eastAsia" w:ascii="Times New Roman" w:eastAsia="楷体"/>
          <w:color w:val="auto"/>
          <w:kern w:val="0"/>
          <w:highlight w:val="none"/>
          <w:lang w:val="en-US" w:eastAsia="zh-CN"/>
        </w:rPr>
        <w:t>9</w:t>
      </w:r>
    </w:p>
    <w:p w14:paraId="21017CCD">
      <w:pPr>
        <w:spacing w:line="480" w:lineRule="exact"/>
        <w:rPr>
          <w:rFonts w:eastAsia="楷体"/>
          <w:b/>
          <w:color w:val="auto"/>
          <w:kern w:val="0"/>
          <w:szCs w:val="28"/>
          <w:highlight w:val="none"/>
        </w:rPr>
      </w:pPr>
      <w:r>
        <w:rPr>
          <w:rFonts w:eastAsia="楷体"/>
          <w:b/>
          <w:color w:val="auto"/>
          <w:kern w:val="0"/>
          <w:szCs w:val="28"/>
          <w:highlight w:val="none"/>
        </w:rPr>
        <w:fldChar w:fldCharType="end"/>
      </w:r>
    </w:p>
    <w:p w14:paraId="7FB29A73">
      <w:pPr>
        <w:rPr>
          <w:rStyle w:val="52"/>
          <w:rFonts w:ascii="Times New Roman" w:hAnsi="Times New Roman" w:eastAsia="楷体"/>
          <w:b/>
          <w:bCs/>
          <w:color w:val="auto"/>
          <w:sz w:val="36"/>
          <w:szCs w:val="36"/>
          <w:highlight w:val="none"/>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14:paraId="3CBA1790">
      <w:pPr>
        <w:rPr>
          <w:rStyle w:val="53"/>
          <w:rFonts w:eastAsia="楷体"/>
          <w:color w:val="auto"/>
          <w:sz w:val="24"/>
          <w:highlight w:val="none"/>
        </w:rPr>
      </w:pPr>
    </w:p>
    <w:p w14:paraId="6CCAB3C4">
      <w:pPr>
        <w:adjustRightInd w:val="0"/>
        <w:snapToGrid w:val="0"/>
        <w:spacing w:line="520" w:lineRule="exact"/>
        <w:jc w:val="center"/>
        <w:outlineLvl w:val="0"/>
        <w:rPr>
          <w:rStyle w:val="53"/>
          <w:rFonts w:eastAsia="楷体"/>
          <w:b/>
          <w:bCs/>
          <w:color w:val="auto"/>
          <w:sz w:val="36"/>
          <w:szCs w:val="36"/>
          <w:highlight w:val="none"/>
        </w:rPr>
      </w:pPr>
      <w:bookmarkStart w:id="25" w:name="_Toc32304"/>
      <w:r>
        <w:rPr>
          <w:rStyle w:val="53"/>
          <w:rFonts w:eastAsia="楷体"/>
          <w:b/>
          <w:bCs/>
          <w:color w:val="auto"/>
          <w:sz w:val="36"/>
          <w:szCs w:val="36"/>
          <w:highlight w:val="none"/>
        </w:rPr>
        <w:t>1 总则</w:t>
      </w:r>
      <w:bookmarkEnd w:id="25"/>
    </w:p>
    <w:p w14:paraId="3058171E">
      <w:pPr>
        <w:adjustRightInd w:val="0"/>
        <w:snapToGrid w:val="0"/>
        <w:spacing w:before="156" w:beforeLines="50" w:after="156" w:afterLines="50" w:line="360" w:lineRule="auto"/>
        <w:outlineLvl w:val="1"/>
        <w:rPr>
          <w:rFonts w:eastAsia="楷体"/>
          <w:color w:val="auto"/>
          <w:sz w:val="32"/>
          <w:szCs w:val="20"/>
          <w:highlight w:val="none"/>
        </w:rPr>
      </w:pPr>
      <w:bookmarkStart w:id="26" w:name="_Toc10067"/>
      <w:r>
        <w:rPr>
          <w:rStyle w:val="53"/>
          <w:rFonts w:eastAsia="楷体"/>
          <w:b/>
          <w:bCs/>
          <w:color w:val="auto"/>
          <w:sz w:val="32"/>
          <w:highlight w:val="none"/>
        </w:rPr>
        <w:t>1.1 目的</w:t>
      </w:r>
      <w:bookmarkEnd w:id="26"/>
    </w:p>
    <w:p w14:paraId="64FC7FA5">
      <w:pPr>
        <w:spacing w:line="520" w:lineRule="exact"/>
        <w:ind w:firstLine="560" w:firstLineChars="200"/>
        <w:rPr>
          <w:rFonts w:eastAsia="楷体"/>
          <w:color w:val="auto"/>
          <w:sz w:val="28"/>
          <w:szCs w:val="28"/>
          <w:highlight w:val="none"/>
        </w:rPr>
      </w:pPr>
      <w:r>
        <w:rPr>
          <w:rFonts w:eastAsia="楷体"/>
          <w:color w:val="auto"/>
          <w:sz w:val="28"/>
          <w:szCs w:val="28"/>
          <w:highlight w:val="none"/>
        </w:rPr>
        <w:t>为提高前烧水库突发事件应对能力，切实做好前烧水库遭遇突发事件的防洪抢险调度和险情抢护工作，力保前烧水库工程安全，最大程度保障人民群众生命安全，减少损失，结合实际运行情况，编制《前烧水库防洪抢险应急预案》（以下简称《应急预案》）。</w:t>
      </w:r>
    </w:p>
    <w:p w14:paraId="11276F6F">
      <w:pPr>
        <w:adjustRightInd w:val="0"/>
        <w:snapToGrid w:val="0"/>
        <w:spacing w:before="156" w:beforeLines="50" w:after="156" w:afterLines="50" w:line="360" w:lineRule="auto"/>
        <w:outlineLvl w:val="1"/>
        <w:rPr>
          <w:rStyle w:val="53"/>
          <w:rFonts w:eastAsia="楷体"/>
          <w:b/>
          <w:bCs/>
          <w:color w:val="auto"/>
          <w:sz w:val="32"/>
          <w:highlight w:val="none"/>
        </w:rPr>
      </w:pPr>
      <w:bookmarkStart w:id="27" w:name="_Toc19894"/>
      <w:r>
        <w:rPr>
          <w:rStyle w:val="53"/>
          <w:rFonts w:eastAsia="楷体"/>
          <w:b/>
          <w:bCs/>
          <w:color w:val="auto"/>
          <w:sz w:val="32"/>
          <w:highlight w:val="none"/>
        </w:rPr>
        <w:t>1.2 编制依据</w:t>
      </w:r>
      <w:bookmarkEnd w:id="27"/>
    </w:p>
    <w:p w14:paraId="2DF55537">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根据省防指《福建省水库大坝汛期防洪调度运用计划和防洪抢险应急预案审批管理办法（试行）》（闽防〔2010〕1号）文件，编制《应急预案》。主要依据的法律法规和文件有：</w:t>
      </w:r>
    </w:p>
    <w:p w14:paraId="433FE39F">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1.《水库防汛抢险应急预案编制大纲》</w:t>
      </w:r>
    </w:p>
    <w:p w14:paraId="51FD2C68">
      <w:pPr>
        <w:spacing w:line="520" w:lineRule="exact"/>
        <w:ind w:firstLine="560" w:firstLineChars="200"/>
        <w:rPr>
          <w:rFonts w:eastAsia="楷体"/>
          <w:color w:val="auto"/>
          <w:sz w:val="28"/>
          <w:szCs w:val="28"/>
          <w:highlight w:val="none"/>
        </w:rPr>
      </w:pPr>
      <w:r>
        <w:rPr>
          <w:rFonts w:eastAsia="楷体"/>
          <w:color w:val="auto"/>
          <w:sz w:val="28"/>
          <w:szCs w:val="28"/>
          <w:highlight w:val="none"/>
        </w:rPr>
        <w:t>2.《福建省水库大坝安全管理规定（试行）》（闽政〔2009〕24号）；</w:t>
      </w:r>
    </w:p>
    <w:p w14:paraId="020E6F23">
      <w:pPr>
        <w:spacing w:line="520" w:lineRule="exact"/>
        <w:ind w:firstLine="560" w:firstLineChars="200"/>
        <w:rPr>
          <w:rFonts w:eastAsia="楷体"/>
          <w:color w:val="auto"/>
          <w:sz w:val="28"/>
          <w:szCs w:val="28"/>
          <w:highlight w:val="none"/>
        </w:rPr>
      </w:pPr>
      <w:r>
        <w:rPr>
          <w:rFonts w:eastAsia="楷体"/>
          <w:color w:val="auto"/>
          <w:sz w:val="28"/>
          <w:szCs w:val="28"/>
          <w:highlight w:val="none"/>
        </w:rPr>
        <w:t>3.《中华人民共和国防洪法》；</w:t>
      </w:r>
    </w:p>
    <w:p w14:paraId="1C4B657F">
      <w:pPr>
        <w:spacing w:line="520" w:lineRule="exact"/>
        <w:ind w:firstLine="560" w:firstLineChars="200"/>
        <w:rPr>
          <w:rFonts w:eastAsia="楷体"/>
          <w:color w:val="auto"/>
          <w:sz w:val="28"/>
          <w:szCs w:val="28"/>
          <w:highlight w:val="none"/>
        </w:rPr>
      </w:pPr>
      <w:r>
        <w:rPr>
          <w:rFonts w:eastAsia="楷体"/>
          <w:color w:val="auto"/>
          <w:sz w:val="28"/>
          <w:szCs w:val="28"/>
          <w:highlight w:val="none"/>
        </w:rPr>
        <w:t>4.《中华人民共和国防汛</w:t>
      </w:r>
      <w:r>
        <w:rPr>
          <w:rFonts w:hint="eastAsia" w:eastAsia="楷体"/>
          <w:color w:val="auto"/>
          <w:sz w:val="28"/>
          <w:szCs w:val="28"/>
          <w:highlight w:val="none"/>
          <w:lang w:val="en-US" w:eastAsia="zh-CN"/>
        </w:rPr>
        <w:t>条例</w:t>
      </w:r>
      <w:r>
        <w:rPr>
          <w:rFonts w:eastAsia="楷体"/>
          <w:color w:val="auto"/>
          <w:sz w:val="28"/>
          <w:szCs w:val="28"/>
          <w:highlight w:val="none"/>
        </w:rPr>
        <w:t>》；</w:t>
      </w:r>
    </w:p>
    <w:p w14:paraId="184BDE02">
      <w:pPr>
        <w:spacing w:line="520" w:lineRule="exact"/>
        <w:ind w:firstLine="560" w:firstLineChars="200"/>
        <w:rPr>
          <w:rFonts w:eastAsia="楷体"/>
          <w:color w:val="auto"/>
          <w:sz w:val="28"/>
          <w:szCs w:val="28"/>
          <w:highlight w:val="none"/>
        </w:rPr>
      </w:pPr>
      <w:r>
        <w:rPr>
          <w:rFonts w:eastAsia="楷体"/>
          <w:color w:val="auto"/>
          <w:sz w:val="28"/>
          <w:szCs w:val="28"/>
          <w:highlight w:val="none"/>
        </w:rPr>
        <w:t>5.《综合利用水库调度通则》；</w:t>
      </w:r>
    </w:p>
    <w:p w14:paraId="40AB2955">
      <w:pPr>
        <w:spacing w:line="520" w:lineRule="exact"/>
        <w:ind w:firstLine="560" w:firstLineChars="200"/>
        <w:rPr>
          <w:rFonts w:eastAsia="楷体"/>
          <w:color w:val="auto"/>
          <w:sz w:val="28"/>
          <w:szCs w:val="28"/>
          <w:highlight w:val="none"/>
        </w:rPr>
      </w:pPr>
      <w:r>
        <w:rPr>
          <w:rFonts w:eastAsia="楷体"/>
          <w:color w:val="auto"/>
          <w:sz w:val="28"/>
          <w:szCs w:val="28"/>
          <w:highlight w:val="none"/>
        </w:rPr>
        <w:t>6.《防洪标准》（GB50201-2014）；</w:t>
      </w:r>
    </w:p>
    <w:p w14:paraId="50433353">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7.《水利水电工程等级划分及洪水标准》（SL252-20</w:t>
      </w:r>
      <w:r>
        <w:rPr>
          <w:rFonts w:hint="eastAsia" w:eastAsia="楷体"/>
          <w:color w:val="auto"/>
          <w:sz w:val="28"/>
          <w:szCs w:val="28"/>
          <w:highlight w:val="none"/>
        </w:rPr>
        <w:t>17</w:t>
      </w:r>
      <w:r>
        <w:rPr>
          <w:rFonts w:eastAsia="楷体"/>
          <w:color w:val="auto"/>
          <w:sz w:val="28"/>
          <w:szCs w:val="28"/>
          <w:highlight w:val="none"/>
        </w:rPr>
        <w:t>）；</w:t>
      </w:r>
    </w:p>
    <w:p w14:paraId="0224B49F">
      <w:pPr>
        <w:widowControl/>
        <w:spacing w:line="520" w:lineRule="exact"/>
        <w:ind w:firstLine="560" w:firstLineChars="200"/>
        <w:jc w:val="left"/>
        <w:rPr>
          <w:rFonts w:eastAsia="楷体"/>
          <w:color w:val="auto"/>
          <w:kern w:val="0"/>
          <w:sz w:val="28"/>
          <w:szCs w:val="28"/>
          <w:highlight w:val="none"/>
        </w:rPr>
      </w:pPr>
      <w:r>
        <w:rPr>
          <w:rFonts w:eastAsia="楷体"/>
          <w:color w:val="auto"/>
          <w:sz w:val="28"/>
          <w:szCs w:val="28"/>
          <w:highlight w:val="none"/>
        </w:rPr>
        <w:t>8.《福建省防洪条例》。</w:t>
      </w:r>
    </w:p>
    <w:p w14:paraId="10F03824">
      <w:pPr>
        <w:adjustRightInd w:val="0"/>
        <w:snapToGrid w:val="0"/>
        <w:spacing w:before="156" w:beforeLines="50" w:after="156" w:afterLines="50" w:line="360" w:lineRule="auto"/>
        <w:outlineLvl w:val="1"/>
        <w:rPr>
          <w:rStyle w:val="53"/>
          <w:rFonts w:eastAsia="楷体"/>
          <w:b/>
          <w:bCs/>
          <w:color w:val="auto"/>
          <w:sz w:val="32"/>
          <w:highlight w:val="none"/>
        </w:rPr>
      </w:pPr>
      <w:bookmarkStart w:id="28" w:name="_Toc30233"/>
      <w:r>
        <w:rPr>
          <w:rStyle w:val="53"/>
          <w:rFonts w:eastAsia="楷体"/>
          <w:b/>
          <w:bCs/>
          <w:color w:val="auto"/>
          <w:sz w:val="32"/>
          <w:highlight w:val="none"/>
        </w:rPr>
        <w:t>1.3 工作原则</w:t>
      </w:r>
      <w:bookmarkEnd w:id="28"/>
    </w:p>
    <w:p w14:paraId="40C71E8B">
      <w:pPr>
        <w:widowControl/>
        <w:spacing w:line="520" w:lineRule="exact"/>
        <w:ind w:firstLine="560" w:firstLineChars="200"/>
        <w:jc w:val="left"/>
        <w:rPr>
          <w:rFonts w:eastAsia="楷体"/>
          <w:color w:val="auto"/>
          <w:sz w:val="32"/>
          <w:szCs w:val="32"/>
          <w:highlight w:val="none"/>
        </w:rPr>
      </w:pPr>
      <w:r>
        <w:rPr>
          <w:rFonts w:eastAsia="楷体"/>
          <w:color w:val="auto"/>
          <w:sz w:val="28"/>
          <w:szCs w:val="28"/>
          <w:highlight w:val="none"/>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21AAFC38">
      <w:pPr>
        <w:adjustRightInd w:val="0"/>
        <w:snapToGrid w:val="0"/>
        <w:spacing w:before="156" w:beforeLines="50" w:after="156" w:afterLines="50"/>
        <w:outlineLvl w:val="1"/>
        <w:rPr>
          <w:rFonts w:eastAsia="楷体"/>
          <w:b/>
          <w:color w:val="auto"/>
          <w:sz w:val="32"/>
          <w:szCs w:val="30"/>
          <w:highlight w:val="none"/>
        </w:rPr>
      </w:pPr>
      <w:bookmarkStart w:id="29" w:name="_Toc26488"/>
      <w:r>
        <w:rPr>
          <w:rFonts w:eastAsia="楷体"/>
          <w:b/>
          <w:color w:val="auto"/>
          <w:sz w:val="32"/>
          <w:szCs w:val="30"/>
          <w:highlight w:val="none"/>
        </w:rPr>
        <w:t>1.4 适用范围</w:t>
      </w:r>
      <w:bookmarkEnd w:id="29"/>
    </w:p>
    <w:p w14:paraId="41168386">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当水库遭遇以下突发事件而使水库工程出现险情时，启动本预案进行抗洪抢险。</w:t>
      </w:r>
    </w:p>
    <w:p w14:paraId="6EF1CF90">
      <w:pPr>
        <w:numPr>
          <w:ilvl w:val="0"/>
          <w:numId w:val="7"/>
        </w:numPr>
        <w:spacing w:line="520" w:lineRule="exact"/>
        <w:ind w:firstLine="560" w:firstLineChars="200"/>
        <w:rPr>
          <w:rFonts w:eastAsia="楷体"/>
          <w:color w:val="auto"/>
          <w:sz w:val="28"/>
          <w:szCs w:val="28"/>
          <w:highlight w:val="none"/>
        </w:rPr>
      </w:pPr>
      <w:r>
        <w:rPr>
          <w:rFonts w:eastAsia="楷体"/>
          <w:color w:val="auto"/>
          <w:sz w:val="28"/>
          <w:szCs w:val="28"/>
          <w:highlight w:val="none"/>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3A1AD76E">
      <w:pPr>
        <w:spacing w:line="360" w:lineRule="auto"/>
        <w:rPr>
          <w:rFonts w:eastAsia="楷体"/>
          <w:color w:val="auto"/>
          <w:sz w:val="32"/>
          <w:szCs w:val="32"/>
          <w:highlight w:val="none"/>
        </w:rPr>
      </w:pPr>
    </w:p>
    <w:p w14:paraId="1D320CD2">
      <w:pPr>
        <w:spacing w:line="360" w:lineRule="auto"/>
        <w:rPr>
          <w:rFonts w:eastAsia="楷体"/>
          <w:color w:val="auto"/>
          <w:sz w:val="32"/>
          <w:szCs w:val="32"/>
          <w:highlight w:val="none"/>
        </w:rPr>
      </w:pPr>
    </w:p>
    <w:p w14:paraId="42970D44">
      <w:pPr>
        <w:spacing w:line="360" w:lineRule="auto"/>
        <w:rPr>
          <w:rFonts w:eastAsia="楷体"/>
          <w:color w:val="auto"/>
          <w:sz w:val="32"/>
          <w:szCs w:val="32"/>
          <w:highlight w:val="none"/>
        </w:rPr>
      </w:pPr>
    </w:p>
    <w:p w14:paraId="656C8A52">
      <w:pPr>
        <w:spacing w:line="360" w:lineRule="auto"/>
        <w:rPr>
          <w:rFonts w:eastAsia="楷体"/>
          <w:color w:val="auto"/>
          <w:sz w:val="32"/>
          <w:szCs w:val="32"/>
          <w:highlight w:val="none"/>
        </w:rPr>
      </w:pPr>
    </w:p>
    <w:p w14:paraId="05F60FD2">
      <w:pPr>
        <w:spacing w:line="360" w:lineRule="auto"/>
        <w:rPr>
          <w:rFonts w:eastAsia="楷体"/>
          <w:color w:val="auto"/>
          <w:sz w:val="32"/>
          <w:szCs w:val="32"/>
          <w:highlight w:val="none"/>
        </w:rPr>
      </w:pPr>
    </w:p>
    <w:p w14:paraId="4E977DB7">
      <w:pPr>
        <w:spacing w:line="360" w:lineRule="auto"/>
        <w:rPr>
          <w:rFonts w:eastAsia="楷体"/>
          <w:color w:val="auto"/>
          <w:sz w:val="32"/>
          <w:szCs w:val="32"/>
          <w:highlight w:val="none"/>
        </w:rPr>
      </w:pPr>
    </w:p>
    <w:p w14:paraId="69A01B9F">
      <w:pPr>
        <w:spacing w:line="360" w:lineRule="auto"/>
        <w:rPr>
          <w:rFonts w:eastAsia="楷体"/>
          <w:color w:val="auto"/>
          <w:sz w:val="32"/>
          <w:szCs w:val="32"/>
          <w:highlight w:val="none"/>
        </w:rPr>
      </w:pPr>
    </w:p>
    <w:p w14:paraId="75857CCC">
      <w:pPr>
        <w:spacing w:line="360" w:lineRule="auto"/>
        <w:rPr>
          <w:rFonts w:eastAsia="楷体"/>
          <w:color w:val="auto"/>
          <w:sz w:val="32"/>
          <w:szCs w:val="32"/>
          <w:highlight w:val="none"/>
        </w:rPr>
      </w:pPr>
    </w:p>
    <w:p w14:paraId="44212403">
      <w:pPr>
        <w:spacing w:line="360" w:lineRule="auto"/>
        <w:rPr>
          <w:rFonts w:eastAsia="楷体"/>
          <w:color w:val="auto"/>
          <w:sz w:val="32"/>
          <w:szCs w:val="32"/>
          <w:highlight w:val="none"/>
        </w:rPr>
      </w:pPr>
    </w:p>
    <w:p w14:paraId="12C1B04A">
      <w:pPr>
        <w:adjustRightInd w:val="0"/>
        <w:snapToGrid w:val="0"/>
        <w:spacing w:line="520" w:lineRule="exact"/>
        <w:jc w:val="center"/>
        <w:outlineLvl w:val="0"/>
        <w:rPr>
          <w:rFonts w:eastAsia="楷体"/>
          <w:b/>
          <w:color w:val="auto"/>
          <w:sz w:val="36"/>
          <w:szCs w:val="36"/>
          <w:highlight w:val="none"/>
        </w:rPr>
      </w:pPr>
      <w:bookmarkStart w:id="30" w:name="_Toc23606"/>
      <w:r>
        <w:rPr>
          <w:rFonts w:eastAsia="楷体"/>
          <w:b/>
          <w:color w:val="auto"/>
          <w:sz w:val="36"/>
          <w:szCs w:val="36"/>
          <w:highlight w:val="none"/>
        </w:rPr>
        <w:t>2 工程概况</w:t>
      </w:r>
      <w:bookmarkEnd w:id="30"/>
    </w:p>
    <w:p w14:paraId="0E8FD45B">
      <w:pPr>
        <w:adjustRightInd w:val="0"/>
        <w:snapToGrid w:val="0"/>
        <w:spacing w:before="156" w:beforeLines="50" w:after="156" w:afterLines="50"/>
        <w:outlineLvl w:val="1"/>
        <w:rPr>
          <w:rFonts w:eastAsia="楷体"/>
          <w:b/>
          <w:color w:val="auto"/>
          <w:sz w:val="32"/>
          <w:szCs w:val="30"/>
          <w:highlight w:val="none"/>
        </w:rPr>
      </w:pPr>
      <w:bookmarkStart w:id="31" w:name="_Toc18975"/>
      <w:r>
        <w:rPr>
          <w:rFonts w:eastAsia="楷体"/>
          <w:b/>
          <w:color w:val="auto"/>
          <w:sz w:val="32"/>
          <w:szCs w:val="30"/>
          <w:highlight w:val="none"/>
        </w:rPr>
        <w:t>2.1 流域概况</w:t>
      </w:r>
      <w:bookmarkEnd w:id="31"/>
    </w:p>
    <w:p w14:paraId="4152EBEC">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1</w:t>
      </w:r>
      <w:r>
        <w:rPr>
          <w:rFonts w:hAnsi="楷体" w:eastAsia="楷体"/>
          <w:color w:val="auto"/>
          <w:sz w:val="28"/>
          <w:szCs w:val="28"/>
          <w:highlight w:val="none"/>
        </w:rPr>
        <w:t>）湄洲湾</w:t>
      </w:r>
    </w:p>
    <w:p w14:paraId="4F58AF89">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湄洲湾位于福建省东海岸的中部，莆田市区、莆田市仙游县和泉州市泉港区交汇处，与台湾基隆港隔海相望，是闽台两省相距最近而又最大的一对姊妹港，亦是</w:t>
      </w:r>
      <w:r>
        <w:rPr>
          <w:rFonts w:eastAsia="楷体"/>
          <w:color w:val="auto"/>
          <w:sz w:val="28"/>
          <w:szCs w:val="28"/>
          <w:highlight w:val="none"/>
        </w:rPr>
        <w:t>“</w:t>
      </w:r>
      <w:r>
        <w:rPr>
          <w:rFonts w:hAnsi="楷体" w:eastAsia="楷体"/>
          <w:color w:val="auto"/>
          <w:sz w:val="28"/>
          <w:szCs w:val="28"/>
          <w:highlight w:val="none"/>
        </w:rPr>
        <w:t>中国少有，世界不多</w:t>
      </w:r>
      <w:r>
        <w:rPr>
          <w:rFonts w:eastAsia="楷体"/>
          <w:color w:val="auto"/>
          <w:sz w:val="28"/>
          <w:szCs w:val="28"/>
          <w:highlight w:val="none"/>
        </w:rPr>
        <w:t>”</w:t>
      </w:r>
      <w:r>
        <w:rPr>
          <w:rFonts w:hAnsi="楷体" w:eastAsia="楷体"/>
          <w:color w:val="auto"/>
          <w:sz w:val="28"/>
          <w:szCs w:val="28"/>
          <w:highlight w:val="none"/>
        </w:rPr>
        <w:t>的多泊位天然深水良港，以湾口的莆田湄洲岛命名，莆田港东临台湾海峡，辖湄洲湾（北岸）、平海湾、兴化湾三大港湾，全港包括秀屿港区、东吴港区、三江口港区以及枫亭作业区、湄洲岛作业区，是福建沿海地区新兴重要港口。湄洲湾具有港阔水深、岸线长、航道宽、风浪小、不淤不冻、防护条件好、陆域大等特点。湄州湾三面环山，湄洲岛横亘湾口；往湾内</w:t>
      </w:r>
      <w:r>
        <w:rPr>
          <w:rFonts w:eastAsia="楷体"/>
          <w:color w:val="auto"/>
          <w:sz w:val="28"/>
          <w:szCs w:val="28"/>
          <w:highlight w:val="none"/>
        </w:rPr>
        <w:t>5</w:t>
      </w:r>
      <w:r>
        <w:rPr>
          <w:rFonts w:hAnsi="楷体" w:eastAsia="楷体"/>
          <w:color w:val="auto"/>
          <w:sz w:val="28"/>
          <w:szCs w:val="28"/>
          <w:highlight w:val="none"/>
        </w:rPr>
        <w:t>海里，盘屿、大竹屿、小竹屿、小霜屿等呈东北</w:t>
      </w:r>
      <w:r>
        <w:rPr>
          <w:rFonts w:eastAsia="楷体"/>
          <w:color w:val="auto"/>
          <w:sz w:val="28"/>
          <w:szCs w:val="28"/>
          <w:highlight w:val="none"/>
        </w:rPr>
        <w:t>—</w:t>
      </w:r>
      <w:r>
        <w:rPr>
          <w:rFonts w:hAnsi="楷体" w:eastAsia="楷体"/>
          <w:color w:val="auto"/>
          <w:sz w:val="28"/>
          <w:szCs w:val="28"/>
          <w:highlight w:val="none"/>
        </w:rPr>
        <w:t>西南排布；再往内</w:t>
      </w:r>
      <w:r>
        <w:rPr>
          <w:rFonts w:eastAsia="楷体"/>
          <w:color w:val="auto"/>
          <w:sz w:val="28"/>
          <w:szCs w:val="28"/>
          <w:highlight w:val="none"/>
        </w:rPr>
        <w:t>7</w:t>
      </w:r>
      <w:r>
        <w:rPr>
          <w:rFonts w:hAnsi="楷体" w:eastAsia="楷体"/>
          <w:color w:val="auto"/>
          <w:sz w:val="28"/>
          <w:szCs w:val="28"/>
          <w:highlight w:val="none"/>
        </w:rPr>
        <w:t>海里</w:t>
      </w:r>
      <w:r>
        <w:rPr>
          <w:rFonts w:eastAsia="楷体"/>
          <w:color w:val="auto"/>
          <w:sz w:val="28"/>
          <w:szCs w:val="28"/>
          <w:highlight w:val="none"/>
        </w:rPr>
        <w:t xml:space="preserve"> </w:t>
      </w:r>
      <w:r>
        <w:rPr>
          <w:rFonts w:hAnsi="楷体" w:eastAsia="楷体"/>
          <w:color w:val="auto"/>
          <w:sz w:val="28"/>
          <w:szCs w:val="28"/>
          <w:highlight w:val="none"/>
        </w:rPr>
        <w:t>，有罗屿、横屿和洋屿平列，形成三道屏障，避风避浪条件极好。湄洲湾深入内陆约</w:t>
      </w:r>
      <w:r>
        <w:rPr>
          <w:rFonts w:eastAsia="楷体"/>
          <w:color w:val="auto"/>
          <w:sz w:val="28"/>
          <w:szCs w:val="28"/>
          <w:highlight w:val="none"/>
        </w:rPr>
        <w:t>18</w:t>
      </w:r>
      <w:r>
        <w:rPr>
          <w:rFonts w:hAnsi="楷体" w:eastAsia="楷体"/>
          <w:color w:val="auto"/>
          <w:sz w:val="28"/>
          <w:szCs w:val="28"/>
          <w:highlight w:val="none"/>
        </w:rPr>
        <w:t>海里，航道既长且宽。湄洲湾沿岸港分为：东吴港区、秀屿港区、肖厝港区、斗尾港区等</w:t>
      </w:r>
      <w:r>
        <w:rPr>
          <w:rFonts w:eastAsia="楷体"/>
          <w:color w:val="auto"/>
          <w:sz w:val="28"/>
          <w:szCs w:val="28"/>
          <w:highlight w:val="none"/>
        </w:rPr>
        <w:t>4</w:t>
      </w:r>
      <w:r>
        <w:rPr>
          <w:rFonts w:hAnsi="楷体" w:eastAsia="楷体"/>
          <w:color w:val="auto"/>
          <w:sz w:val="28"/>
          <w:szCs w:val="28"/>
          <w:highlight w:val="none"/>
        </w:rPr>
        <w:t>个港区。沿岸有多处深水岸段，其中北岸的秀屿，水深</w:t>
      </w:r>
      <w:r>
        <w:rPr>
          <w:rFonts w:eastAsia="楷体"/>
          <w:color w:val="auto"/>
          <w:sz w:val="28"/>
          <w:szCs w:val="28"/>
          <w:highlight w:val="none"/>
        </w:rPr>
        <w:t>10</w:t>
      </w:r>
      <w:r>
        <w:rPr>
          <w:rFonts w:hAnsi="楷体" w:eastAsia="楷体"/>
          <w:color w:val="auto"/>
          <w:sz w:val="28"/>
          <w:szCs w:val="28"/>
          <w:highlight w:val="none"/>
        </w:rPr>
        <w:t>～</w:t>
      </w:r>
      <w:r>
        <w:rPr>
          <w:rFonts w:eastAsia="楷体"/>
          <w:color w:val="auto"/>
          <w:sz w:val="28"/>
          <w:szCs w:val="28"/>
          <w:highlight w:val="none"/>
        </w:rPr>
        <w:t>16m</w:t>
      </w:r>
      <w:r>
        <w:rPr>
          <w:rFonts w:hAnsi="楷体" w:eastAsia="楷体"/>
          <w:color w:val="auto"/>
          <w:sz w:val="28"/>
          <w:szCs w:val="28"/>
          <w:highlight w:val="none"/>
        </w:rPr>
        <w:t>，深水岸线长约</w:t>
      </w:r>
      <w:r>
        <w:rPr>
          <w:rFonts w:eastAsia="楷体"/>
          <w:color w:val="auto"/>
          <w:sz w:val="28"/>
          <w:szCs w:val="28"/>
          <w:highlight w:val="none"/>
        </w:rPr>
        <w:t>2000m</w:t>
      </w:r>
      <w:r>
        <w:rPr>
          <w:rFonts w:hAnsi="楷体" w:eastAsia="楷体"/>
          <w:color w:val="auto"/>
          <w:sz w:val="28"/>
          <w:szCs w:val="28"/>
          <w:highlight w:val="none"/>
        </w:rPr>
        <w:t>；南岸的泉港，水深</w:t>
      </w:r>
      <w:r>
        <w:rPr>
          <w:rFonts w:eastAsia="楷体"/>
          <w:color w:val="auto"/>
          <w:sz w:val="28"/>
          <w:szCs w:val="28"/>
          <w:highlight w:val="none"/>
        </w:rPr>
        <w:t>10</w:t>
      </w:r>
      <w:r>
        <w:rPr>
          <w:rFonts w:hAnsi="楷体" w:eastAsia="楷体"/>
          <w:color w:val="auto"/>
          <w:sz w:val="28"/>
          <w:szCs w:val="28"/>
          <w:highlight w:val="none"/>
        </w:rPr>
        <w:t>～</w:t>
      </w:r>
      <w:r>
        <w:rPr>
          <w:rFonts w:eastAsia="楷体"/>
          <w:color w:val="auto"/>
          <w:sz w:val="28"/>
          <w:szCs w:val="28"/>
          <w:highlight w:val="none"/>
        </w:rPr>
        <w:t>20m</w:t>
      </w:r>
      <w:r>
        <w:rPr>
          <w:rFonts w:hAnsi="楷体" w:eastAsia="楷体"/>
          <w:color w:val="auto"/>
          <w:sz w:val="28"/>
          <w:szCs w:val="28"/>
          <w:highlight w:val="none"/>
        </w:rPr>
        <w:t>，深水岸线长达</w:t>
      </w:r>
      <w:r>
        <w:rPr>
          <w:rFonts w:eastAsia="楷体"/>
          <w:color w:val="auto"/>
          <w:sz w:val="28"/>
          <w:szCs w:val="28"/>
          <w:highlight w:val="none"/>
        </w:rPr>
        <w:t>2400m</w:t>
      </w:r>
      <w:r>
        <w:rPr>
          <w:rFonts w:hAnsi="楷体" w:eastAsia="楷体"/>
          <w:color w:val="auto"/>
          <w:sz w:val="28"/>
          <w:szCs w:val="28"/>
          <w:highlight w:val="none"/>
        </w:rPr>
        <w:t>。</w:t>
      </w:r>
    </w:p>
    <w:p w14:paraId="4EBA41F5">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2</w:t>
      </w:r>
      <w:r>
        <w:rPr>
          <w:rFonts w:hAnsi="楷体" w:eastAsia="楷体"/>
          <w:color w:val="auto"/>
          <w:sz w:val="28"/>
          <w:szCs w:val="28"/>
          <w:highlight w:val="none"/>
        </w:rPr>
        <w:t>）坝头溪</w:t>
      </w:r>
    </w:p>
    <w:p w14:paraId="537202D2">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坝头溪流域处于福建省中部沿海的湄洲湾南岸泉州市泉港区境内，与惠安、仙游、莆田接壤，并与台湾隔海相望，是泉港区主要河流。坝头溪发源于泉港区涂岭镇的吊船山，总流域面积</w:t>
      </w:r>
      <w:r>
        <w:rPr>
          <w:rFonts w:eastAsia="楷体"/>
          <w:color w:val="auto"/>
          <w:sz w:val="28"/>
          <w:szCs w:val="28"/>
          <w:highlight w:val="none"/>
        </w:rPr>
        <w:t>97.8km</w:t>
      </w:r>
      <w:r>
        <w:rPr>
          <w:rFonts w:eastAsia="楷体"/>
          <w:color w:val="auto"/>
          <w:sz w:val="28"/>
          <w:szCs w:val="28"/>
          <w:highlight w:val="none"/>
          <w:vertAlign w:val="superscript"/>
        </w:rPr>
        <w:t>2</w:t>
      </w:r>
      <w:r>
        <w:rPr>
          <w:rFonts w:hAnsi="楷体" w:eastAsia="楷体"/>
          <w:color w:val="auto"/>
          <w:sz w:val="28"/>
          <w:szCs w:val="28"/>
          <w:highlight w:val="none"/>
        </w:rPr>
        <w:t>，河道长度</w:t>
      </w:r>
      <w:r>
        <w:rPr>
          <w:rFonts w:eastAsia="楷体"/>
          <w:color w:val="auto"/>
          <w:sz w:val="28"/>
          <w:szCs w:val="28"/>
          <w:highlight w:val="none"/>
        </w:rPr>
        <w:t>23.7km</w:t>
      </w:r>
      <w:r>
        <w:rPr>
          <w:rFonts w:hAnsi="楷体" w:eastAsia="楷体"/>
          <w:color w:val="auto"/>
          <w:sz w:val="28"/>
          <w:szCs w:val="28"/>
          <w:highlight w:val="none"/>
        </w:rPr>
        <w:t>，平均坡降</w:t>
      </w:r>
      <w:r>
        <w:rPr>
          <w:rFonts w:eastAsia="楷体"/>
          <w:color w:val="auto"/>
          <w:sz w:val="28"/>
          <w:szCs w:val="28"/>
          <w:highlight w:val="none"/>
        </w:rPr>
        <w:t>1.30‰</w:t>
      </w:r>
      <w:r>
        <w:rPr>
          <w:rFonts w:hAnsi="楷体" w:eastAsia="楷体"/>
          <w:color w:val="auto"/>
          <w:sz w:val="28"/>
          <w:szCs w:val="28"/>
          <w:highlight w:val="none"/>
        </w:rPr>
        <w:t>。流域上游属山地，中下游地势低洼平坦，沟渠纵横交错，地势呈西北向海面倾斜，地形以盆地、丘陵为主。中上游有泗州水库，集雨面积</w:t>
      </w:r>
      <w:r>
        <w:rPr>
          <w:rFonts w:eastAsia="楷体"/>
          <w:color w:val="auto"/>
          <w:sz w:val="28"/>
          <w:szCs w:val="28"/>
          <w:highlight w:val="none"/>
        </w:rPr>
        <w:t>21.4km</w:t>
      </w:r>
      <w:r>
        <w:rPr>
          <w:rFonts w:eastAsia="楷体"/>
          <w:color w:val="auto"/>
          <w:sz w:val="28"/>
          <w:szCs w:val="28"/>
          <w:highlight w:val="none"/>
          <w:vertAlign w:val="superscript"/>
        </w:rPr>
        <w:t>2</w:t>
      </w:r>
      <w:r>
        <w:rPr>
          <w:rFonts w:hAnsi="楷体" w:eastAsia="楷体"/>
          <w:color w:val="auto"/>
          <w:sz w:val="28"/>
          <w:szCs w:val="28"/>
          <w:highlight w:val="none"/>
        </w:rPr>
        <w:t>，总库容</w:t>
      </w:r>
      <w:r>
        <w:rPr>
          <w:rFonts w:eastAsia="楷体"/>
          <w:color w:val="auto"/>
          <w:sz w:val="28"/>
          <w:szCs w:val="28"/>
          <w:highlight w:val="none"/>
        </w:rPr>
        <w:t>1957</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1232</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3FBC9633">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3</w:t>
      </w:r>
      <w:r>
        <w:rPr>
          <w:rFonts w:hAnsi="楷体" w:eastAsia="楷体"/>
          <w:color w:val="auto"/>
          <w:sz w:val="28"/>
          <w:szCs w:val="28"/>
          <w:highlight w:val="none"/>
        </w:rPr>
        <w:t>）前烧水库</w:t>
      </w:r>
    </w:p>
    <w:p w14:paraId="6C88CCA9">
      <w:pPr>
        <w:autoSpaceDE w:val="0"/>
        <w:autoSpaceDN w:val="0"/>
        <w:adjustRightInd w:val="0"/>
        <w:spacing w:line="520" w:lineRule="exact"/>
        <w:ind w:firstLine="560" w:firstLineChars="200"/>
        <w:jc w:val="left"/>
        <w:rPr>
          <w:rFonts w:eastAsia="楷体"/>
          <w:color w:val="auto"/>
          <w:sz w:val="28"/>
          <w:szCs w:val="28"/>
          <w:highlight w:val="none"/>
        </w:rPr>
      </w:pPr>
      <w:r>
        <w:rPr>
          <w:rFonts w:hAnsi="楷体" w:eastAsia="楷体"/>
          <w:color w:val="auto"/>
          <w:sz w:val="28"/>
          <w:szCs w:val="28"/>
          <w:highlight w:val="none"/>
        </w:rPr>
        <w:t>前烧水库位于泉港区前黄镇前烧村境内，所属河流发源于前烧村东北部的虎岩山（海拔</w:t>
      </w:r>
      <w:r>
        <w:rPr>
          <w:rFonts w:eastAsia="楷体"/>
          <w:color w:val="auto"/>
          <w:sz w:val="28"/>
          <w:szCs w:val="28"/>
          <w:highlight w:val="none"/>
        </w:rPr>
        <w:t>322.0m</w:t>
      </w:r>
      <w:r>
        <w:rPr>
          <w:rFonts w:hAnsi="楷体" w:eastAsia="楷体"/>
          <w:color w:val="auto"/>
          <w:sz w:val="28"/>
          <w:szCs w:val="28"/>
          <w:highlight w:val="none"/>
        </w:rPr>
        <w:t>），自西北向东南经前烧村汇入普安溪，又经普安村、海滨村、菜堂村汇入坝头溪，并最终汇入湄洲湾。大坝位于东经</w:t>
      </w:r>
      <w:r>
        <w:rPr>
          <w:rFonts w:eastAsia="楷体"/>
          <w:color w:val="auto"/>
          <w:sz w:val="28"/>
          <w:szCs w:val="28"/>
          <w:highlight w:val="none"/>
        </w:rPr>
        <w:t>118°50′00″</w:t>
      </w:r>
      <w:r>
        <w:rPr>
          <w:rFonts w:hAnsi="楷体" w:eastAsia="楷体"/>
          <w:color w:val="auto"/>
          <w:sz w:val="28"/>
          <w:szCs w:val="28"/>
          <w:highlight w:val="none"/>
        </w:rPr>
        <w:t>，北纬</w:t>
      </w:r>
      <w:r>
        <w:rPr>
          <w:rFonts w:eastAsia="楷体"/>
          <w:color w:val="auto"/>
          <w:sz w:val="28"/>
          <w:szCs w:val="28"/>
          <w:highlight w:val="none"/>
        </w:rPr>
        <w:t>25°07′30″</w:t>
      </w:r>
      <w:r>
        <w:rPr>
          <w:rFonts w:hAnsi="楷体" w:eastAsia="楷体"/>
          <w:color w:val="auto"/>
          <w:sz w:val="28"/>
          <w:szCs w:val="28"/>
          <w:highlight w:val="none"/>
        </w:rPr>
        <w:t>，是一座以农田灌溉为主，结合防洪、养殖等综合利用的小（</w:t>
      </w:r>
      <w:r>
        <w:rPr>
          <w:rFonts w:eastAsia="楷体"/>
          <w:color w:val="auto"/>
          <w:sz w:val="28"/>
          <w:szCs w:val="28"/>
          <w:highlight w:val="none"/>
        </w:rPr>
        <w:t>2</w:t>
      </w:r>
      <w:r>
        <w:rPr>
          <w:rFonts w:hAnsi="楷体" w:eastAsia="楷体"/>
          <w:color w:val="auto"/>
          <w:sz w:val="28"/>
          <w:szCs w:val="28"/>
          <w:highlight w:val="none"/>
        </w:rPr>
        <w:t>）型水库。前烧水库坝址以上集水面积为</w:t>
      </w:r>
      <w:r>
        <w:rPr>
          <w:rFonts w:eastAsia="楷体"/>
          <w:color w:val="auto"/>
          <w:sz w:val="28"/>
          <w:szCs w:val="28"/>
          <w:highlight w:val="none"/>
        </w:rPr>
        <w:t>0.87km</w:t>
      </w:r>
      <w:r>
        <w:rPr>
          <w:rFonts w:eastAsia="楷体"/>
          <w:color w:val="auto"/>
          <w:sz w:val="28"/>
          <w:szCs w:val="28"/>
          <w:highlight w:val="none"/>
          <w:vertAlign w:val="superscript"/>
        </w:rPr>
        <w:t>2</w:t>
      </w:r>
      <w:r>
        <w:rPr>
          <w:rFonts w:hAnsi="楷体" w:eastAsia="楷体"/>
          <w:color w:val="auto"/>
          <w:sz w:val="28"/>
          <w:szCs w:val="28"/>
          <w:highlight w:val="none"/>
        </w:rPr>
        <w:t>，主河道河长</w:t>
      </w:r>
      <w:r>
        <w:rPr>
          <w:rFonts w:eastAsia="楷体"/>
          <w:color w:val="auto"/>
          <w:sz w:val="28"/>
          <w:szCs w:val="28"/>
          <w:highlight w:val="none"/>
        </w:rPr>
        <w:t>1.33km</w:t>
      </w:r>
      <w:r>
        <w:rPr>
          <w:rFonts w:hAnsi="楷体" w:eastAsia="楷体"/>
          <w:color w:val="auto"/>
          <w:sz w:val="28"/>
          <w:szCs w:val="28"/>
          <w:highlight w:val="none"/>
        </w:rPr>
        <w:t>，主河道平均坡降</w:t>
      </w:r>
      <w:r>
        <w:rPr>
          <w:rFonts w:eastAsia="楷体"/>
          <w:color w:val="auto"/>
          <w:sz w:val="28"/>
          <w:szCs w:val="28"/>
          <w:highlight w:val="none"/>
        </w:rPr>
        <w:t>160.3‰</w:t>
      </w:r>
      <w:r>
        <w:rPr>
          <w:rFonts w:hAnsi="楷体" w:eastAsia="楷体"/>
          <w:color w:val="auto"/>
          <w:sz w:val="28"/>
          <w:szCs w:val="28"/>
          <w:highlight w:val="none"/>
        </w:rPr>
        <w:t>，所在流域为混合水系。</w:t>
      </w:r>
    </w:p>
    <w:p w14:paraId="0E64AE50">
      <w:pPr>
        <w:adjustRightInd w:val="0"/>
        <w:snapToGrid w:val="0"/>
        <w:spacing w:line="520" w:lineRule="exact"/>
        <w:outlineLvl w:val="1"/>
        <w:rPr>
          <w:rFonts w:eastAsia="楷体"/>
          <w:b/>
          <w:color w:val="auto"/>
          <w:sz w:val="32"/>
          <w:szCs w:val="30"/>
          <w:highlight w:val="none"/>
        </w:rPr>
      </w:pPr>
      <w:bookmarkStart w:id="32" w:name="_Toc26605"/>
      <w:r>
        <w:rPr>
          <w:rFonts w:eastAsia="楷体"/>
          <w:b/>
          <w:color w:val="auto"/>
          <w:sz w:val="32"/>
          <w:szCs w:val="30"/>
          <w:highlight w:val="none"/>
        </w:rPr>
        <w:t>2.2 工程基本情况</w:t>
      </w:r>
      <w:bookmarkEnd w:id="32"/>
    </w:p>
    <w:p w14:paraId="5052009F">
      <w:pPr>
        <w:spacing w:line="520" w:lineRule="exact"/>
        <w:outlineLvl w:val="2"/>
        <w:rPr>
          <w:rFonts w:eastAsia="楷体"/>
          <w:b/>
          <w:bCs/>
          <w:color w:val="auto"/>
          <w:sz w:val="32"/>
          <w:szCs w:val="30"/>
          <w:highlight w:val="none"/>
        </w:rPr>
      </w:pPr>
      <w:r>
        <w:rPr>
          <w:rFonts w:eastAsia="楷体"/>
          <w:b/>
          <w:bCs/>
          <w:color w:val="auto"/>
          <w:sz w:val="32"/>
          <w:szCs w:val="30"/>
          <w:highlight w:val="none"/>
        </w:rPr>
        <w:t>2.2.1 水库枢纽工程基本情况</w:t>
      </w:r>
    </w:p>
    <w:p w14:paraId="37234A4B">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前烧水库位于泉港区前黄镇前烧村，系前烧溪流域，是一座以农田灌溉为主，结合防洪、养殖等综合利用的小（</w:t>
      </w:r>
      <w:r>
        <w:rPr>
          <w:rFonts w:eastAsia="楷体"/>
          <w:color w:val="auto"/>
          <w:sz w:val="28"/>
          <w:szCs w:val="28"/>
          <w:highlight w:val="none"/>
        </w:rPr>
        <w:t>2</w:t>
      </w:r>
      <w:r>
        <w:rPr>
          <w:rFonts w:hAnsi="楷体" w:eastAsia="楷体"/>
          <w:color w:val="auto"/>
          <w:sz w:val="28"/>
          <w:szCs w:val="28"/>
          <w:highlight w:val="none"/>
        </w:rPr>
        <w:t>）型水库。水库于</w:t>
      </w:r>
      <w:r>
        <w:rPr>
          <w:rFonts w:eastAsia="楷体"/>
          <w:color w:val="auto"/>
          <w:sz w:val="28"/>
          <w:szCs w:val="28"/>
          <w:highlight w:val="none"/>
        </w:rPr>
        <w:t>1965</w:t>
      </w:r>
      <w:r>
        <w:rPr>
          <w:rFonts w:hAnsi="楷体" w:eastAsia="楷体"/>
          <w:color w:val="auto"/>
          <w:sz w:val="28"/>
          <w:szCs w:val="28"/>
          <w:highlight w:val="none"/>
        </w:rPr>
        <w:t>年</w:t>
      </w:r>
      <w:r>
        <w:rPr>
          <w:rFonts w:eastAsia="楷体"/>
          <w:color w:val="auto"/>
          <w:sz w:val="28"/>
          <w:szCs w:val="28"/>
          <w:highlight w:val="none"/>
        </w:rPr>
        <w:t>8</w:t>
      </w:r>
      <w:r>
        <w:rPr>
          <w:rFonts w:hAnsi="楷体" w:eastAsia="楷体"/>
          <w:color w:val="auto"/>
          <w:sz w:val="28"/>
          <w:szCs w:val="28"/>
          <w:highlight w:val="none"/>
        </w:rPr>
        <w:t>月基本建成并投入运行，本次复核得：前烧水库坝型为均质土坝，大坝坝址以上控制流域面积为</w:t>
      </w:r>
      <w:r>
        <w:rPr>
          <w:rFonts w:eastAsia="楷体"/>
          <w:color w:val="auto"/>
          <w:sz w:val="28"/>
          <w:szCs w:val="28"/>
          <w:highlight w:val="none"/>
        </w:rPr>
        <w:t>0.87km</w:t>
      </w:r>
      <w:r>
        <w:rPr>
          <w:rFonts w:eastAsia="楷体"/>
          <w:color w:val="auto"/>
          <w:sz w:val="28"/>
          <w:szCs w:val="28"/>
          <w:highlight w:val="none"/>
          <w:vertAlign w:val="superscript"/>
        </w:rPr>
        <w:t>2</w:t>
      </w:r>
      <w:r>
        <w:rPr>
          <w:rFonts w:hAnsi="楷体" w:eastAsia="楷体"/>
          <w:color w:val="auto"/>
          <w:sz w:val="28"/>
          <w:szCs w:val="28"/>
          <w:highlight w:val="none"/>
        </w:rPr>
        <w:t>，主河道河长</w:t>
      </w:r>
      <w:r>
        <w:rPr>
          <w:rFonts w:eastAsia="楷体"/>
          <w:color w:val="auto"/>
          <w:sz w:val="28"/>
          <w:szCs w:val="28"/>
          <w:highlight w:val="none"/>
        </w:rPr>
        <w:t>1.33km</w:t>
      </w:r>
      <w:r>
        <w:rPr>
          <w:rFonts w:hAnsi="楷体" w:eastAsia="楷体"/>
          <w:color w:val="auto"/>
          <w:sz w:val="28"/>
          <w:szCs w:val="28"/>
          <w:highlight w:val="none"/>
        </w:rPr>
        <w:t>，河流比降</w:t>
      </w:r>
      <w:r>
        <w:rPr>
          <w:rFonts w:eastAsia="楷体"/>
          <w:color w:val="auto"/>
          <w:sz w:val="28"/>
          <w:szCs w:val="28"/>
          <w:highlight w:val="none"/>
        </w:rPr>
        <w:t>160.3‰</w:t>
      </w:r>
      <w:r>
        <w:rPr>
          <w:rFonts w:hAnsi="楷体" w:eastAsia="楷体"/>
          <w:color w:val="auto"/>
          <w:sz w:val="28"/>
          <w:szCs w:val="28"/>
          <w:highlight w:val="none"/>
        </w:rPr>
        <w:t>，加固后最大坝高</w:t>
      </w:r>
      <w:r>
        <w:rPr>
          <w:rFonts w:eastAsia="楷体"/>
          <w:color w:val="auto"/>
          <w:sz w:val="28"/>
          <w:szCs w:val="28"/>
          <w:highlight w:val="none"/>
        </w:rPr>
        <w:t>12.28m</w:t>
      </w:r>
      <w:r>
        <w:rPr>
          <w:rFonts w:hAnsi="楷体" w:eastAsia="楷体"/>
          <w:color w:val="auto"/>
          <w:sz w:val="28"/>
          <w:szCs w:val="28"/>
          <w:highlight w:val="none"/>
        </w:rPr>
        <w:t>，坝长</w:t>
      </w:r>
      <w:r>
        <w:rPr>
          <w:rFonts w:eastAsia="楷体"/>
          <w:color w:val="auto"/>
          <w:sz w:val="28"/>
          <w:szCs w:val="28"/>
          <w:highlight w:val="none"/>
        </w:rPr>
        <w:t>200m</w:t>
      </w:r>
      <w:r>
        <w:rPr>
          <w:rFonts w:hAnsi="楷体" w:eastAsia="楷体"/>
          <w:color w:val="auto"/>
          <w:sz w:val="28"/>
          <w:szCs w:val="28"/>
          <w:highlight w:val="none"/>
        </w:rPr>
        <w:t>。正常蓄水位</w:t>
      </w:r>
      <w:r>
        <w:rPr>
          <w:rFonts w:eastAsia="楷体"/>
          <w:color w:val="auto"/>
          <w:sz w:val="28"/>
          <w:szCs w:val="28"/>
          <w:highlight w:val="none"/>
        </w:rPr>
        <w:t>37.75m</w:t>
      </w:r>
      <w:r>
        <w:rPr>
          <w:rFonts w:hAnsi="楷体" w:eastAsia="楷体"/>
          <w:color w:val="auto"/>
          <w:sz w:val="28"/>
          <w:szCs w:val="28"/>
          <w:highlight w:val="none"/>
        </w:rPr>
        <w:t>（</w:t>
      </w:r>
      <w:r>
        <w:rPr>
          <w:rFonts w:eastAsia="楷体"/>
          <w:color w:val="auto"/>
          <w:sz w:val="28"/>
          <w:szCs w:val="28"/>
          <w:highlight w:val="none"/>
        </w:rPr>
        <w:t>1985</w:t>
      </w:r>
      <w:r>
        <w:rPr>
          <w:rFonts w:hAnsi="楷体" w:eastAsia="楷体"/>
          <w:color w:val="auto"/>
          <w:sz w:val="28"/>
          <w:szCs w:val="28"/>
          <w:highlight w:val="none"/>
        </w:rPr>
        <w:t>国家高程基准，下同），死水位</w:t>
      </w:r>
      <w:r>
        <w:rPr>
          <w:rFonts w:eastAsia="楷体"/>
          <w:color w:val="auto"/>
          <w:sz w:val="28"/>
          <w:szCs w:val="28"/>
          <w:highlight w:val="none"/>
        </w:rPr>
        <w:t>29.45m</w:t>
      </w:r>
      <w:r>
        <w:rPr>
          <w:rFonts w:hAnsi="楷体" w:eastAsia="楷体"/>
          <w:color w:val="auto"/>
          <w:sz w:val="28"/>
          <w:szCs w:val="28"/>
          <w:highlight w:val="none"/>
        </w:rPr>
        <w:t>，设计洪水位（</w:t>
      </w:r>
      <w:r>
        <w:rPr>
          <w:rFonts w:eastAsia="楷体"/>
          <w:color w:val="auto"/>
          <w:sz w:val="28"/>
          <w:szCs w:val="28"/>
          <w:highlight w:val="none"/>
        </w:rPr>
        <w:t>P=5%</w:t>
      </w:r>
      <w:r>
        <w:rPr>
          <w:rFonts w:hAnsi="楷体" w:eastAsia="楷体"/>
          <w:color w:val="auto"/>
          <w:sz w:val="28"/>
          <w:szCs w:val="28"/>
          <w:highlight w:val="none"/>
        </w:rPr>
        <w:t>）</w:t>
      </w:r>
      <w:r>
        <w:rPr>
          <w:rFonts w:eastAsia="楷体"/>
          <w:color w:val="auto"/>
          <w:sz w:val="28"/>
          <w:szCs w:val="28"/>
          <w:highlight w:val="none"/>
        </w:rPr>
        <w:t>38.71m</w:t>
      </w:r>
      <w:r>
        <w:rPr>
          <w:rFonts w:hAnsi="楷体" w:eastAsia="楷体"/>
          <w:color w:val="auto"/>
          <w:sz w:val="28"/>
          <w:szCs w:val="28"/>
          <w:highlight w:val="none"/>
        </w:rPr>
        <w:t>，校核洪水位（</w:t>
      </w:r>
      <w:r>
        <w:rPr>
          <w:rFonts w:eastAsia="楷体"/>
          <w:color w:val="auto"/>
          <w:sz w:val="28"/>
          <w:szCs w:val="28"/>
          <w:highlight w:val="none"/>
        </w:rPr>
        <w:t>P=0.5%</w:t>
      </w:r>
      <w:r>
        <w:rPr>
          <w:rFonts w:hAnsi="楷体" w:eastAsia="楷体"/>
          <w:color w:val="auto"/>
          <w:sz w:val="28"/>
          <w:szCs w:val="28"/>
          <w:highlight w:val="none"/>
        </w:rPr>
        <w:t>）</w:t>
      </w:r>
      <w:r>
        <w:rPr>
          <w:rFonts w:eastAsia="楷体"/>
          <w:color w:val="auto"/>
          <w:sz w:val="28"/>
          <w:szCs w:val="28"/>
          <w:highlight w:val="none"/>
        </w:rPr>
        <w:t>39.10m</w:t>
      </w:r>
      <w:r>
        <w:rPr>
          <w:rFonts w:hAnsi="楷体" w:eastAsia="楷体"/>
          <w:color w:val="auto"/>
          <w:sz w:val="28"/>
          <w:szCs w:val="28"/>
          <w:highlight w:val="none"/>
        </w:rPr>
        <w:t>，水库总库容</w:t>
      </w:r>
      <w:r>
        <w:rPr>
          <w:rFonts w:eastAsia="楷体"/>
          <w:color w:val="auto"/>
          <w:sz w:val="28"/>
          <w:szCs w:val="28"/>
          <w:highlight w:val="none"/>
        </w:rPr>
        <w:t>32.74</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20.70</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，调洪库容</w:t>
      </w:r>
      <w:r>
        <w:rPr>
          <w:rFonts w:eastAsia="楷体"/>
          <w:color w:val="auto"/>
          <w:sz w:val="28"/>
          <w:szCs w:val="28"/>
          <w:highlight w:val="none"/>
        </w:rPr>
        <w:t>8.56</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，死库容</w:t>
      </w:r>
      <w:r>
        <w:rPr>
          <w:rFonts w:eastAsia="楷体"/>
          <w:color w:val="auto"/>
          <w:sz w:val="28"/>
          <w:szCs w:val="28"/>
          <w:highlight w:val="none"/>
        </w:rPr>
        <w:t>3.48</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05260A3A">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该工程自建成投效以来，在农田灌溉、防洪、养殖等多方面中充分发挥了本工程的效益。水库有效灌溉面积</w:t>
      </w:r>
      <w:r>
        <w:rPr>
          <w:rFonts w:eastAsia="楷体"/>
          <w:color w:val="auto"/>
          <w:sz w:val="28"/>
          <w:szCs w:val="28"/>
          <w:highlight w:val="none"/>
        </w:rPr>
        <w:t>500</w:t>
      </w:r>
      <w:r>
        <w:rPr>
          <w:rFonts w:hAnsi="楷体" w:eastAsia="楷体"/>
          <w:color w:val="auto"/>
          <w:sz w:val="28"/>
          <w:szCs w:val="28"/>
          <w:highlight w:val="none"/>
        </w:rPr>
        <w:t>亩（</w:t>
      </w:r>
      <w:r>
        <w:rPr>
          <w:rFonts w:eastAsia="楷体"/>
          <w:color w:val="auto"/>
          <w:sz w:val="28"/>
          <w:szCs w:val="28"/>
          <w:highlight w:val="none"/>
        </w:rPr>
        <w:t>P=90%</w:t>
      </w:r>
      <w:r>
        <w:rPr>
          <w:rFonts w:hAnsi="楷体" w:eastAsia="楷体"/>
          <w:color w:val="auto"/>
          <w:sz w:val="28"/>
          <w:szCs w:val="28"/>
          <w:highlight w:val="none"/>
        </w:rPr>
        <w:t>）；水库下游涉及保护人口</w:t>
      </w:r>
      <w:r>
        <w:rPr>
          <w:rFonts w:eastAsia="楷体"/>
          <w:color w:val="auto"/>
          <w:sz w:val="28"/>
          <w:szCs w:val="28"/>
          <w:highlight w:val="none"/>
        </w:rPr>
        <w:t>3500</w:t>
      </w:r>
      <w:r>
        <w:rPr>
          <w:rFonts w:hAnsi="楷体" w:eastAsia="楷体"/>
          <w:color w:val="auto"/>
          <w:sz w:val="28"/>
          <w:szCs w:val="28"/>
          <w:highlight w:val="none"/>
        </w:rPr>
        <w:t>人，耕地</w:t>
      </w:r>
      <w:r>
        <w:rPr>
          <w:rFonts w:eastAsia="楷体"/>
          <w:color w:val="auto"/>
          <w:sz w:val="28"/>
          <w:szCs w:val="28"/>
          <w:highlight w:val="none"/>
        </w:rPr>
        <w:t>4500</w:t>
      </w:r>
      <w:r>
        <w:rPr>
          <w:rFonts w:hAnsi="楷体" w:eastAsia="楷体"/>
          <w:color w:val="auto"/>
          <w:sz w:val="28"/>
          <w:szCs w:val="28"/>
          <w:highlight w:val="none"/>
        </w:rPr>
        <w:t>亩，公路</w:t>
      </w:r>
      <w:r>
        <w:rPr>
          <w:rFonts w:eastAsia="楷体"/>
          <w:color w:val="auto"/>
          <w:sz w:val="28"/>
          <w:szCs w:val="28"/>
          <w:highlight w:val="none"/>
        </w:rPr>
        <w:t>1.5km</w:t>
      </w:r>
      <w:r>
        <w:rPr>
          <w:rFonts w:hAnsi="楷体" w:eastAsia="楷体"/>
          <w:color w:val="auto"/>
          <w:sz w:val="28"/>
          <w:szCs w:val="28"/>
          <w:highlight w:val="none"/>
        </w:rPr>
        <w:t>，以及铁路</w:t>
      </w:r>
      <w:r>
        <w:rPr>
          <w:rFonts w:eastAsia="楷体"/>
          <w:color w:val="auto"/>
          <w:sz w:val="28"/>
          <w:szCs w:val="28"/>
          <w:highlight w:val="none"/>
        </w:rPr>
        <w:t>2.5 km</w:t>
      </w:r>
      <w:r>
        <w:rPr>
          <w:rFonts w:hAnsi="楷体" w:eastAsia="楷体"/>
          <w:color w:val="auto"/>
          <w:sz w:val="28"/>
          <w:szCs w:val="28"/>
          <w:highlight w:val="none"/>
        </w:rPr>
        <w:t>，为当地农业生产和保证人民生命财产安全发挥了重要的作用。</w:t>
      </w:r>
    </w:p>
    <w:p w14:paraId="10B16394">
      <w:pPr>
        <w:spacing w:line="520" w:lineRule="exact"/>
        <w:ind w:firstLine="601"/>
        <w:rPr>
          <w:rFonts w:eastAsia="楷体"/>
          <w:color w:val="auto"/>
          <w:kern w:val="0"/>
          <w:sz w:val="28"/>
          <w:szCs w:val="28"/>
          <w:highlight w:val="none"/>
        </w:rPr>
      </w:pPr>
      <w:r>
        <w:rPr>
          <w:rFonts w:hAnsi="楷体" w:eastAsia="楷体"/>
          <w:color w:val="auto"/>
          <w:sz w:val="28"/>
          <w:szCs w:val="28"/>
          <w:highlight w:val="none"/>
        </w:rPr>
        <w:t>水库枢纽工程主要由大坝、溢洪道、输水高涵、低涵组成。</w:t>
      </w:r>
    </w:p>
    <w:p w14:paraId="0589CF7D">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1</w:t>
      </w:r>
      <w:r>
        <w:rPr>
          <w:rFonts w:hAnsi="楷体" w:eastAsia="楷体"/>
          <w:color w:val="auto"/>
          <w:sz w:val="28"/>
          <w:szCs w:val="28"/>
          <w:highlight w:val="none"/>
        </w:rPr>
        <w:t>）大坝</w:t>
      </w:r>
    </w:p>
    <w:p w14:paraId="3A2D6D0A">
      <w:pPr>
        <w:spacing w:line="520" w:lineRule="exact"/>
        <w:ind w:firstLine="560" w:firstLineChars="200"/>
        <w:rPr>
          <w:rFonts w:eastAsia="楷体"/>
          <w:color w:val="auto"/>
          <w:kern w:val="0"/>
          <w:sz w:val="28"/>
          <w:szCs w:val="28"/>
          <w:highlight w:val="none"/>
        </w:rPr>
      </w:pPr>
      <w:r>
        <w:rPr>
          <w:rFonts w:hAnsi="楷体" w:eastAsia="楷体"/>
          <w:color w:val="auto"/>
          <w:sz w:val="28"/>
          <w:szCs w:val="28"/>
          <w:highlight w:val="none"/>
        </w:rPr>
        <w:t>前烧水库</w:t>
      </w:r>
      <w:r>
        <w:rPr>
          <w:rFonts w:eastAsia="楷体"/>
          <w:color w:val="auto"/>
          <w:sz w:val="28"/>
          <w:szCs w:val="28"/>
          <w:highlight w:val="none"/>
        </w:rPr>
        <w:t>1965</w:t>
      </w:r>
      <w:r>
        <w:rPr>
          <w:rFonts w:hAnsi="楷体" w:eastAsia="楷体"/>
          <w:color w:val="auto"/>
          <w:sz w:val="28"/>
          <w:szCs w:val="28"/>
          <w:highlight w:val="none"/>
        </w:rPr>
        <w:t>年</w:t>
      </w:r>
      <w:r>
        <w:rPr>
          <w:rFonts w:eastAsia="楷体"/>
          <w:color w:val="auto"/>
          <w:sz w:val="28"/>
          <w:szCs w:val="28"/>
          <w:highlight w:val="none"/>
        </w:rPr>
        <w:t>8</w:t>
      </w:r>
      <w:r>
        <w:rPr>
          <w:rFonts w:hAnsi="楷体" w:eastAsia="楷体"/>
          <w:color w:val="auto"/>
          <w:sz w:val="28"/>
          <w:szCs w:val="28"/>
          <w:highlight w:val="none"/>
        </w:rPr>
        <w:t>月竣工并投入运行。大坝为均质土坝，现状最大坝高</w:t>
      </w:r>
      <w:r>
        <w:rPr>
          <w:rFonts w:eastAsia="楷体"/>
          <w:color w:val="auto"/>
          <w:sz w:val="28"/>
          <w:szCs w:val="28"/>
          <w:highlight w:val="none"/>
        </w:rPr>
        <w:t>12.0m</w:t>
      </w:r>
      <w:r>
        <w:rPr>
          <w:rFonts w:hAnsi="楷体" w:eastAsia="楷体"/>
          <w:color w:val="auto"/>
          <w:sz w:val="28"/>
          <w:szCs w:val="28"/>
          <w:highlight w:val="none"/>
        </w:rPr>
        <w:t>，坝顶高程</w:t>
      </w:r>
      <w:r>
        <w:rPr>
          <w:rFonts w:eastAsia="楷体"/>
          <w:color w:val="auto"/>
          <w:sz w:val="28"/>
          <w:szCs w:val="28"/>
          <w:highlight w:val="none"/>
        </w:rPr>
        <w:t>39.80m</w:t>
      </w:r>
      <w:r>
        <w:rPr>
          <w:rFonts w:hAnsi="楷体" w:eastAsia="楷体"/>
          <w:color w:val="auto"/>
          <w:sz w:val="28"/>
          <w:szCs w:val="28"/>
          <w:highlight w:val="none"/>
        </w:rPr>
        <w:t>，坝顶总长度</w:t>
      </w:r>
      <w:r>
        <w:rPr>
          <w:rFonts w:eastAsia="楷体"/>
          <w:color w:val="auto"/>
          <w:sz w:val="28"/>
          <w:szCs w:val="28"/>
          <w:highlight w:val="none"/>
        </w:rPr>
        <w:t>200.0m</w:t>
      </w:r>
      <w:r>
        <w:rPr>
          <w:rFonts w:hAnsi="楷体" w:eastAsia="楷体"/>
          <w:color w:val="auto"/>
          <w:sz w:val="28"/>
          <w:szCs w:val="28"/>
          <w:highlight w:val="none"/>
        </w:rPr>
        <w:t>，坝顶宽度</w:t>
      </w:r>
      <w:r>
        <w:rPr>
          <w:rFonts w:eastAsia="楷体"/>
          <w:color w:val="auto"/>
          <w:sz w:val="28"/>
          <w:szCs w:val="28"/>
          <w:highlight w:val="none"/>
        </w:rPr>
        <w:t>3.2m</w:t>
      </w:r>
      <w:r>
        <w:rPr>
          <w:rFonts w:hAnsi="楷体" w:eastAsia="楷体"/>
          <w:color w:val="auto"/>
          <w:sz w:val="28"/>
          <w:szCs w:val="28"/>
          <w:highlight w:val="none"/>
        </w:rPr>
        <w:t>，坝顶有一条已废弃的引水渠穿过，渠道两侧及底板为浆砌块石护砌，渠底宽</w:t>
      </w:r>
      <w:r>
        <w:rPr>
          <w:rFonts w:eastAsia="楷体"/>
          <w:color w:val="auto"/>
          <w:sz w:val="28"/>
          <w:szCs w:val="28"/>
          <w:highlight w:val="none"/>
        </w:rPr>
        <w:t>2.0m</w:t>
      </w:r>
      <w:r>
        <w:rPr>
          <w:rFonts w:hAnsi="楷体" w:eastAsia="楷体"/>
          <w:color w:val="auto"/>
          <w:sz w:val="28"/>
          <w:szCs w:val="28"/>
          <w:highlight w:val="none"/>
        </w:rPr>
        <w:t>，高程</w:t>
      </w:r>
      <w:r>
        <w:rPr>
          <w:rFonts w:eastAsia="楷体"/>
          <w:color w:val="auto"/>
          <w:sz w:val="28"/>
          <w:szCs w:val="28"/>
          <w:highlight w:val="none"/>
        </w:rPr>
        <w:t>37.40m</w:t>
      </w:r>
      <w:r>
        <w:rPr>
          <w:rFonts w:hAnsi="楷体" w:eastAsia="楷体"/>
          <w:color w:val="auto"/>
          <w:sz w:val="28"/>
          <w:szCs w:val="28"/>
          <w:highlight w:val="none"/>
        </w:rPr>
        <w:t>，渠道左侧、右侧坡比分别为</w:t>
      </w:r>
      <w:r>
        <w:rPr>
          <w:rFonts w:eastAsia="楷体"/>
          <w:color w:val="auto"/>
          <w:sz w:val="28"/>
          <w:szCs w:val="28"/>
          <w:highlight w:val="none"/>
        </w:rPr>
        <w:t>1</w:t>
      </w:r>
      <w:r>
        <w:rPr>
          <w:rFonts w:hAnsi="楷体" w:eastAsia="楷体"/>
          <w:color w:val="auto"/>
          <w:sz w:val="28"/>
          <w:szCs w:val="28"/>
          <w:highlight w:val="none"/>
        </w:rPr>
        <w:t>：</w:t>
      </w:r>
      <w:r>
        <w:rPr>
          <w:rFonts w:eastAsia="楷体"/>
          <w:color w:val="auto"/>
          <w:sz w:val="28"/>
          <w:szCs w:val="28"/>
          <w:highlight w:val="none"/>
        </w:rPr>
        <w:t>1.6</w:t>
      </w:r>
      <w:r>
        <w:rPr>
          <w:rFonts w:hAnsi="楷体" w:eastAsia="楷体"/>
          <w:color w:val="auto"/>
          <w:sz w:val="28"/>
          <w:szCs w:val="28"/>
          <w:highlight w:val="none"/>
        </w:rPr>
        <w:t>、</w:t>
      </w:r>
      <w:r>
        <w:rPr>
          <w:rFonts w:eastAsia="楷体"/>
          <w:color w:val="auto"/>
          <w:sz w:val="28"/>
          <w:szCs w:val="28"/>
          <w:highlight w:val="none"/>
        </w:rPr>
        <w:t>1</w:t>
      </w:r>
      <w:r>
        <w:rPr>
          <w:rFonts w:hAnsi="楷体" w:eastAsia="楷体"/>
          <w:color w:val="auto"/>
          <w:sz w:val="28"/>
          <w:szCs w:val="28"/>
          <w:highlight w:val="none"/>
        </w:rPr>
        <w:t>：</w:t>
      </w:r>
      <w:r>
        <w:rPr>
          <w:rFonts w:eastAsia="楷体"/>
          <w:color w:val="auto"/>
          <w:sz w:val="28"/>
          <w:szCs w:val="28"/>
          <w:highlight w:val="none"/>
        </w:rPr>
        <w:t>1.1</w:t>
      </w:r>
      <w:r>
        <w:rPr>
          <w:rFonts w:hAnsi="楷体" w:eastAsia="楷体"/>
          <w:color w:val="auto"/>
          <w:sz w:val="28"/>
          <w:szCs w:val="28"/>
          <w:highlight w:val="none"/>
        </w:rPr>
        <w:t>。</w:t>
      </w:r>
      <w:r>
        <w:rPr>
          <w:rFonts w:hAnsi="楷体" w:eastAsia="楷体"/>
          <w:color w:val="auto"/>
          <w:kern w:val="0"/>
          <w:sz w:val="28"/>
          <w:szCs w:val="28"/>
          <w:highlight w:val="none"/>
        </w:rPr>
        <w:t>大坝迎水坡采用干砌块石护坡。迎水坡坡比从上到下分别为</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1.8</w:t>
      </w:r>
      <w:r>
        <w:rPr>
          <w:rFonts w:hAnsi="楷体" w:eastAsia="楷体"/>
          <w:color w:val="auto"/>
          <w:kern w:val="0"/>
          <w:sz w:val="28"/>
          <w:szCs w:val="28"/>
          <w:highlight w:val="none"/>
        </w:rPr>
        <w:t>、</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2.0</w:t>
      </w:r>
      <w:r>
        <w:rPr>
          <w:rFonts w:hAnsi="楷体" w:eastAsia="楷体"/>
          <w:color w:val="auto"/>
          <w:kern w:val="0"/>
          <w:sz w:val="28"/>
          <w:szCs w:val="28"/>
          <w:highlight w:val="none"/>
        </w:rPr>
        <w:t>，迎水坡设有一道平台，平台宽度为</w:t>
      </w:r>
      <w:r>
        <w:rPr>
          <w:rFonts w:eastAsia="楷体"/>
          <w:color w:val="auto"/>
          <w:kern w:val="0"/>
          <w:sz w:val="28"/>
          <w:szCs w:val="28"/>
          <w:highlight w:val="none"/>
        </w:rPr>
        <w:t xml:space="preserve">1.0m, </w:t>
      </w:r>
      <w:r>
        <w:rPr>
          <w:rFonts w:hAnsi="楷体" w:eastAsia="楷体"/>
          <w:color w:val="auto"/>
          <w:kern w:val="0"/>
          <w:sz w:val="28"/>
          <w:szCs w:val="28"/>
          <w:highlight w:val="none"/>
        </w:rPr>
        <w:t>平台高程为</w:t>
      </w:r>
      <w:r>
        <w:rPr>
          <w:rFonts w:eastAsia="楷体"/>
          <w:color w:val="auto"/>
          <w:kern w:val="0"/>
          <w:sz w:val="28"/>
          <w:szCs w:val="28"/>
          <w:highlight w:val="none"/>
        </w:rPr>
        <w:t>34.20m</w:t>
      </w:r>
      <w:r>
        <w:rPr>
          <w:rFonts w:hAnsi="楷体" w:eastAsia="楷体"/>
          <w:color w:val="auto"/>
          <w:kern w:val="0"/>
          <w:sz w:val="28"/>
          <w:szCs w:val="28"/>
          <w:highlight w:val="none"/>
        </w:rPr>
        <w:t>。背水坡为草皮护坡，坡比从上到下分别为</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1.8</w:t>
      </w:r>
      <w:r>
        <w:rPr>
          <w:rFonts w:hAnsi="楷体" w:eastAsia="楷体"/>
          <w:color w:val="auto"/>
          <w:kern w:val="0"/>
          <w:sz w:val="28"/>
          <w:szCs w:val="28"/>
          <w:highlight w:val="none"/>
        </w:rPr>
        <w:t>、</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2.0</w:t>
      </w:r>
      <w:r>
        <w:rPr>
          <w:rFonts w:hAnsi="楷体" w:eastAsia="楷体"/>
          <w:color w:val="auto"/>
          <w:kern w:val="0"/>
          <w:sz w:val="28"/>
          <w:szCs w:val="28"/>
          <w:highlight w:val="none"/>
        </w:rPr>
        <w:t>，背水坡设有一道平台，平台宽度为</w:t>
      </w:r>
      <w:r>
        <w:rPr>
          <w:rFonts w:eastAsia="楷体"/>
          <w:color w:val="auto"/>
          <w:kern w:val="0"/>
          <w:sz w:val="28"/>
          <w:szCs w:val="28"/>
          <w:highlight w:val="none"/>
        </w:rPr>
        <w:t>2.0m</w:t>
      </w:r>
      <w:r>
        <w:rPr>
          <w:rFonts w:hAnsi="楷体" w:eastAsia="楷体"/>
          <w:color w:val="auto"/>
          <w:kern w:val="0"/>
          <w:sz w:val="28"/>
          <w:szCs w:val="28"/>
          <w:highlight w:val="none"/>
        </w:rPr>
        <w:t>，平台高程为</w:t>
      </w:r>
      <w:r>
        <w:rPr>
          <w:rFonts w:eastAsia="楷体"/>
          <w:color w:val="auto"/>
          <w:kern w:val="0"/>
          <w:sz w:val="28"/>
          <w:szCs w:val="28"/>
          <w:highlight w:val="none"/>
        </w:rPr>
        <w:t>32.40m</w:t>
      </w:r>
      <w:r>
        <w:rPr>
          <w:rFonts w:hAnsi="楷体" w:eastAsia="楷体"/>
          <w:color w:val="auto"/>
          <w:kern w:val="0"/>
          <w:sz w:val="28"/>
          <w:szCs w:val="28"/>
          <w:highlight w:val="none"/>
        </w:rPr>
        <w:t>。下游侧坡脚设有干砌条石排水棱体，高</w:t>
      </w:r>
      <w:r>
        <w:rPr>
          <w:rFonts w:eastAsia="楷体"/>
          <w:color w:val="auto"/>
          <w:kern w:val="0"/>
          <w:sz w:val="28"/>
          <w:szCs w:val="28"/>
          <w:highlight w:val="none"/>
        </w:rPr>
        <w:t>3.0m</w:t>
      </w:r>
      <w:r>
        <w:rPr>
          <w:rFonts w:hAnsi="楷体" w:eastAsia="楷体"/>
          <w:color w:val="auto"/>
          <w:kern w:val="0"/>
          <w:sz w:val="28"/>
          <w:szCs w:val="28"/>
          <w:highlight w:val="none"/>
        </w:rPr>
        <w:t>，顶宽</w:t>
      </w:r>
      <w:r>
        <w:rPr>
          <w:rFonts w:eastAsia="楷体"/>
          <w:color w:val="auto"/>
          <w:kern w:val="0"/>
          <w:sz w:val="28"/>
          <w:szCs w:val="28"/>
          <w:highlight w:val="none"/>
        </w:rPr>
        <w:t>1.0m</w:t>
      </w:r>
      <w:r>
        <w:rPr>
          <w:rFonts w:hAnsi="楷体" w:eastAsia="楷体"/>
          <w:color w:val="auto"/>
          <w:kern w:val="0"/>
          <w:sz w:val="28"/>
          <w:szCs w:val="28"/>
          <w:highlight w:val="none"/>
        </w:rPr>
        <w:t>，高程为</w:t>
      </w:r>
      <w:r>
        <w:rPr>
          <w:rFonts w:eastAsia="楷体"/>
          <w:color w:val="auto"/>
          <w:kern w:val="0"/>
          <w:sz w:val="28"/>
          <w:szCs w:val="28"/>
          <w:highlight w:val="none"/>
        </w:rPr>
        <w:t>30.80m</w:t>
      </w:r>
      <w:r>
        <w:rPr>
          <w:rFonts w:hAnsi="楷体" w:eastAsia="楷体"/>
          <w:color w:val="auto"/>
          <w:kern w:val="0"/>
          <w:sz w:val="28"/>
          <w:szCs w:val="28"/>
          <w:highlight w:val="none"/>
        </w:rPr>
        <w:t>，外侧坡比</w:t>
      </w:r>
      <w:r>
        <w:rPr>
          <w:rFonts w:eastAsia="楷体"/>
          <w:color w:val="auto"/>
          <w:kern w:val="0"/>
          <w:sz w:val="28"/>
          <w:szCs w:val="28"/>
          <w:highlight w:val="none"/>
        </w:rPr>
        <w:t>1:0.1</w:t>
      </w:r>
      <w:r>
        <w:rPr>
          <w:rFonts w:hAnsi="楷体" w:eastAsia="楷体"/>
          <w:color w:val="auto"/>
          <w:kern w:val="0"/>
          <w:sz w:val="28"/>
          <w:szCs w:val="28"/>
          <w:highlight w:val="none"/>
        </w:rPr>
        <w:t>。</w:t>
      </w:r>
    </w:p>
    <w:p w14:paraId="0195FDD8">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2</w:t>
      </w:r>
      <w:r>
        <w:rPr>
          <w:rFonts w:hAnsi="楷体" w:eastAsia="楷体"/>
          <w:color w:val="auto"/>
          <w:sz w:val="28"/>
          <w:szCs w:val="28"/>
          <w:highlight w:val="none"/>
        </w:rPr>
        <w:t>）溢洪道</w:t>
      </w:r>
    </w:p>
    <w:p w14:paraId="193A9A71">
      <w:pPr>
        <w:spacing w:line="520" w:lineRule="exact"/>
        <w:ind w:firstLine="560" w:firstLineChars="200"/>
        <w:rPr>
          <w:rFonts w:eastAsia="楷体"/>
          <w:color w:val="auto"/>
          <w:sz w:val="28"/>
          <w:szCs w:val="28"/>
          <w:highlight w:val="none"/>
        </w:rPr>
      </w:pPr>
      <w:r>
        <w:rPr>
          <w:rFonts w:hAnsi="楷体" w:eastAsia="楷体"/>
          <w:color w:val="auto"/>
          <w:kern w:val="0"/>
          <w:sz w:val="28"/>
          <w:szCs w:val="28"/>
          <w:highlight w:val="none"/>
        </w:rPr>
        <w:t>溢洪道位于大坝左坝肩，由山体开挖而成，</w:t>
      </w:r>
      <w:r>
        <w:rPr>
          <w:rFonts w:hAnsi="楷体" w:eastAsia="楷体"/>
          <w:color w:val="auto"/>
          <w:sz w:val="28"/>
          <w:szCs w:val="28"/>
          <w:highlight w:val="none"/>
        </w:rPr>
        <w:t>全长</w:t>
      </w:r>
      <w:r>
        <w:rPr>
          <w:rFonts w:eastAsia="楷体"/>
          <w:color w:val="auto"/>
          <w:sz w:val="28"/>
          <w:szCs w:val="28"/>
          <w:highlight w:val="none"/>
        </w:rPr>
        <w:t>180m</w:t>
      </w:r>
      <w:r>
        <w:rPr>
          <w:rFonts w:hAnsi="楷体" w:eastAsia="楷体"/>
          <w:color w:val="auto"/>
          <w:sz w:val="28"/>
          <w:szCs w:val="28"/>
          <w:highlight w:val="none"/>
        </w:rPr>
        <w:t>，</w:t>
      </w:r>
      <w:r>
        <w:rPr>
          <w:rFonts w:hAnsi="楷体" w:eastAsia="楷体"/>
          <w:color w:val="auto"/>
          <w:kern w:val="0"/>
          <w:sz w:val="28"/>
          <w:szCs w:val="28"/>
          <w:highlight w:val="none"/>
        </w:rPr>
        <w:t>侧墙及底部均为浆砌块石护砌，堰顶高程</w:t>
      </w:r>
      <w:r>
        <w:rPr>
          <w:rFonts w:eastAsia="楷体"/>
          <w:color w:val="auto"/>
          <w:kern w:val="0"/>
          <w:sz w:val="28"/>
          <w:szCs w:val="28"/>
          <w:highlight w:val="none"/>
        </w:rPr>
        <w:t>37.75m</w:t>
      </w:r>
      <w:r>
        <w:rPr>
          <w:rFonts w:hAnsi="楷体" w:eastAsia="楷体"/>
          <w:color w:val="auto"/>
          <w:kern w:val="0"/>
          <w:sz w:val="28"/>
          <w:szCs w:val="28"/>
          <w:highlight w:val="none"/>
        </w:rPr>
        <w:t>，堰顶净宽</w:t>
      </w:r>
      <w:r>
        <w:rPr>
          <w:rFonts w:eastAsia="楷体"/>
          <w:color w:val="auto"/>
          <w:kern w:val="0"/>
          <w:sz w:val="28"/>
          <w:szCs w:val="28"/>
          <w:highlight w:val="none"/>
        </w:rPr>
        <w:t>6.0m</w:t>
      </w:r>
      <w:r>
        <w:rPr>
          <w:rFonts w:hAnsi="楷体" w:eastAsia="楷体"/>
          <w:color w:val="auto"/>
          <w:kern w:val="0"/>
          <w:sz w:val="28"/>
          <w:szCs w:val="28"/>
          <w:highlight w:val="none"/>
        </w:rPr>
        <w:t>，为</w:t>
      </w:r>
      <w:r>
        <w:rPr>
          <w:rFonts w:hAnsi="楷体" w:eastAsia="楷体"/>
          <w:color w:val="auto"/>
          <w:sz w:val="28"/>
          <w:szCs w:val="28"/>
          <w:highlight w:val="none"/>
        </w:rPr>
        <w:t>无底坎宽顶堰</w:t>
      </w:r>
      <w:r>
        <w:rPr>
          <w:rFonts w:hAnsi="楷体" w:eastAsia="楷体"/>
          <w:color w:val="auto"/>
          <w:kern w:val="0"/>
          <w:sz w:val="28"/>
          <w:szCs w:val="28"/>
          <w:highlight w:val="none"/>
        </w:rPr>
        <w:t>形式；溢洪道由反坡段、渐变段、陡坡泄槽段组成，坡度分别为：</w:t>
      </w:r>
      <w:r>
        <w:rPr>
          <w:rFonts w:eastAsia="楷体"/>
          <w:color w:val="auto"/>
          <w:kern w:val="0"/>
          <w:sz w:val="28"/>
          <w:szCs w:val="28"/>
          <w:highlight w:val="none"/>
        </w:rPr>
        <w:t>1:23.0</w:t>
      </w:r>
      <w:r>
        <w:rPr>
          <w:rFonts w:hAnsi="楷体" w:eastAsia="楷体"/>
          <w:color w:val="auto"/>
          <w:kern w:val="0"/>
          <w:sz w:val="28"/>
          <w:szCs w:val="28"/>
          <w:highlight w:val="none"/>
        </w:rPr>
        <w:t>、</w:t>
      </w:r>
      <w:r>
        <w:rPr>
          <w:rFonts w:eastAsia="楷体"/>
          <w:color w:val="auto"/>
          <w:kern w:val="0"/>
          <w:sz w:val="28"/>
          <w:szCs w:val="28"/>
          <w:highlight w:val="none"/>
        </w:rPr>
        <w:t>1:14.1</w:t>
      </w:r>
      <w:r>
        <w:rPr>
          <w:rFonts w:hAnsi="楷体" w:eastAsia="楷体"/>
          <w:color w:val="auto"/>
          <w:kern w:val="0"/>
          <w:sz w:val="28"/>
          <w:szCs w:val="28"/>
          <w:highlight w:val="none"/>
        </w:rPr>
        <w:t>、</w:t>
      </w:r>
      <w:r>
        <w:rPr>
          <w:rFonts w:eastAsia="楷体"/>
          <w:color w:val="auto"/>
          <w:kern w:val="0"/>
          <w:sz w:val="28"/>
          <w:szCs w:val="28"/>
          <w:highlight w:val="none"/>
        </w:rPr>
        <w:t>1:18.9</w:t>
      </w:r>
      <w:r>
        <w:rPr>
          <w:rFonts w:hAnsi="楷体" w:eastAsia="楷体"/>
          <w:color w:val="auto"/>
          <w:kern w:val="0"/>
          <w:sz w:val="28"/>
          <w:szCs w:val="28"/>
          <w:highlight w:val="none"/>
        </w:rPr>
        <w:t>、</w:t>
      </w:r>
      <w:r>
        <w:rPr>
          <w:rFonts w:eastAsia="楷体"/>
          <w:color w:val="auto"/>
          <w:kern w:val="0"/>
          <w:sz w:val="28"/>
          <w:szCs w:val="28"/>
          <w:highlight w:val="none"/>
        </w:rPr>
        <w:t>1:8.62</w:t>
      </w:r>
      <w:r>
        <w:rPr>
          <w:rFonts w:hAnsi="楷体" w:eastAsia="楷体"/>
          <w:color w:val="auto"/>
          <w:kern w:val="0"/>
          <w:sz w:val="28"/>
          <w:szCs w:val="28"/>
          <w:highlight w:val="none"/>
        </w:rPr>
        <w:t>、</w:t>
      </w:r>
      <w:r>
        <w:rPr>
          <w:rFonts w:eastAsia="楷体"/>
          <w:color w:val="auto"/>
          <w:kern w:val="0"/>
          <w:sz w:val="28"/>
          <w:szCs w:val="28"/>
          <w:highlight w:val="none"/>
        </w:rPr>
        <w:t>1:32.8</w:t>
      </w:r>
      <w:r>
        <w:rPr>
          <w:rFonts w:hAnsi="楷体" w:eastAsia="楷体"/>
          <w:color w:val="auto"/>
          <w:kern w:val="0"/>
          <w:sz w:val="28"/>
          <w:szCs w:val="28"/>
          <w:highlight w:val="none"/>
        </w:rPr>
        <w:t>。反坡段长</w:t>
      </w:r>
      <w:r>
        <w:rPr>
          <w:rFonts w:eastAsia="楷体"/>
          <w:color w:val="auto"/>
          <w:kern w:val="0"/>
          <w:sz w:val="28"/>
          <w:szCs w:val="28"/>
          <w:highlight w:val="none"/>
        </w:rPr>
        <w:t>19.20m</w:t>
      </w:r>
      <w:r>
        <w:rPr>
          <w:rFonts w:hAnsi="楷体" w:eastAsia="楷体"/>
          <w:color w:val="auto"/>
          <w:kern w:val="0"/>
          <w:sz w:val="28"/>
          <w:szCs w:val="28"/>
          <w:highlight w:val="none"/>
        </w:rPr>
        <w:t>，底宽</w:t>
      </w:r>
      <w:r>
        <w:rPr>
          <w:rFonts w:eastAsia="楷体"/>
          <w:color w:val="auto"/>
          <w:kern w:val="0"/>
          <w:sz w:val="28"/>
          <w:szCs w:val="28"/>
          <w:highlight w:val="none"/>
        </w:rPr>
        <w:t>6.2</w:t>
      </w:r>
      <w:r>
        <w:rPr>
          <w:rFonts w:hAnsi="楷体" w:eastAsia="楷体"/>
          <w:color w:val="auto"/>
          <w:kern w:val="0"/>
          <w:sz w:val="28"/>
          <w:szCs w:val="28"/>
          <w:highlight w:val="none"/>
        </w:rPr>
        <w:t>～</w:t>
      </w:r>
      <w:r>
        <w:rPr>
          <w:rFonts w:eastAsia="楷体"/>
          <w:color w:val="auto"/>
          <w:kern w:val="0"/>
          <w:sz w:val="28"/>
          <w:szCs w:val="28"/>
          <w:highlight w:val="none"/>
        </w:rPr>
        <w:t>7.2m</w:t>
      </w:r>
      <w:r>
        <w:rPr>
          <w:rFonts w:hAnsi="楷体" w:eastAsia="楷体"/>
          <w:color w:val="auto"/>
          <w:kern w:val="0"/>
          <w:sz w:val="28"/>
          <w:szCs w:val="28"/>
          <w:highlight w:val="none"/>
        </w:rPr>
        <w:t>；渐变段长</w:t>
      </w:r>
      <w:r>
        <w:rPr>
          <w:rFonts w:eastAsia="楷体"/>
          <w:color w:val="auto"/>
          <w:kern w:val="0"/>
          <w:sz w:val="28"/>
          <w:szCs w:val="28"/>
          <w:highlight w:val="none"/>
        </w:rPr>
        <w:t>20.8m</w:t>
      </w:r>
      <w:r>
        <w:rPr>
          <w:rFonts w:hAnsi="楷体" w:eastAsia="楷体"/>
          <w:color w:val="auto"/>
          <w:kern w:val="0"/>
          <w:sz w:val="28"/>
          <w:szCs w:val="28"/>
          <w:highlight w:val="none"/>
        </w:rPr>
        <w:t>，底宽</w:t>
      </w:r>
      <w:r>
        <w:rPr>
          <w:rFonts w:eastAsia="楷体"/>
          <w:color w:val="auto"/>
          <w:kern w:val="0"/>
          <w:sz w:val="28"/>
          <w:szCs w:val="28"/>
          <w:highlight w:val="none"/>
        </w:rPr>
        <w:t>12.0</w:t>
      </w:r>
      <w:r>
        <w:rPr>
          <w:rFonts w:hAnsi="楷体" w:eastAsia="楷体"/>
          <w:color w:val="auto"/>
          <w:kern w:val="0"/>
          <w:sz w:val="28"/>
          <w:szCs w:val="28"/>
          <w:highlight w:val="none"/>
        </w:rPr>
        <w:t>～</w:t>
      </w:r>
      <w:r>
        <w:rPr>
          <w:rFonts w:eastAsia="楷体"/>
          <w:color w:val="auto"/>
          <w:kern w:val="0"/>
          <w:sz w:val="28"/>
          <w:szCs w:val="28"/>
          <w:highlight w:val="none"/>
        </w:rPr>
        <w:t>6.3m</w:t>
      </w:r>
      <w:r>
        <w:rPr>
          <w:rFonts w:hAnsi="楷体" w:eastAsia="楷体"/>
          <w:color w:val="auto"/>
          <w:kern w:val="0"/>
          <w:sz w:val="28"/>
          <w:szCs w:val="28"/>
          <w:highlight w:val="none"/>
        </w:rPr>
        <w:t>；陡坡泄槽段长</w:t>
      </w:r>
      <w:r>
        <w:rPr>
          <w:rFonts w:eastAsia="楷体"/>
          <w:color w:val="auto"/>
          <w:kern w:val="0"/>
          <w:sz w:val="28"/>
          <w:szCs w:val="28"/>
          <w:highlight w:val="none"/>
        </w:rPr>
        <w:t>140.0m</w:t>
      </w:r>
      <w:r>
        <w:rPr>
          <w:rFonts w:hAnsi="楷体" w:eastAsia="楷体"/>
          <w:color w:val="auto"/>
          <w:kern w:val="0"/>
          <w:sz w:val="28"/>
          <w:szCs w:val="28"/>
          <w:highlight w:val="none"/>
        </w:rPr>
        <w:t>，底宽</w:t>
      </w:r>
      <w:r>
        <w:rPr>
          <w:rFonts w:eastAsia="楷体"/>
          <w:color w:val="auto"/>
          <w:kern w:val="0"/>
          <w:sz w:val="28"/>
          <w:szCs w:val="28"/>
          <w:highlight w:val="none"/>
        </w:rPr>
        <w:t>5.8</w:t>
      </w:r>
      <w:r>
        <w:rPr>
          <w:rFonts w:hAnsi="楷体" w:eastAsia="楷体"/>
          <w:color w:val="auto"/>
          <w:kern w:val="0"/>
          <w:sz w:val="28"/>
          <w:szCs w:val="28"/>
          <w:highlight w:val="none"/>
        </w:rPr>
        <w:t>～</w:t>
      </w:r>
      <w:r>
        <w:rPr>
          <w:rFonts w:eastAsia="楷体"/>
          <w:color w:val="auto"/>
          <w:kern w:val="0"/>
          <w:sz w:val="28"/>
          <w:szCs w:val="28"/>
          <w:highlight w:val="none"/>
        </w:rPr>
        <w:t>7.2m</w:t>
      </w:r>
      <w:r>
        <w:rPr>
          <w:rFonts w:hAnsi="楷体" w:eastAsia="楷体"/>
          <w:color w:val="auto"/>
          <w:kern w:val="0"/>
          <w:sz w:val="28"/>
          <w:szCs w:val="28"/>
          <w:highlight w:val="none"/>
        </w:rPr>
        <w:t>，资料记载溢洪道原设计最大泄洪量</w:t>
      </w:r>
      <w:r>
        <w:rPr>
          <w:rFonts w:eastAsia="楷体"/>
          <w:color w:val="auto"/>
          <w:kern w:val="0"/>
          <w:sz w:val="28"/>
          <w:szCs w:val="28"/>
          <w:highlight w:val="none"/>
        </w:rPr>
        <w:t>25.3m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，本次复核最大泄洪量</w:t>
      </w:r>
      <w:r>
        <w:rPr>
          <w:rFonts w:eastAsia="楷体"/>
          <w:color w:val="auto"/>
          <w:kern w:val="0"/>
          <w:sz w:val="28"/>
          <w:szCs w:val="28"/>
          <w:highlight w:val="none"/>
        </w:rPr>
        <w:t>13.07m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w:t>
      </w:r>
    </w:p>
    <w:p w14:paraId="13926FFC">
      <w:pPr>
        <w:spacing w:line="520" w:lineRule="exact"/>
        <w:ind w:firstLine="601"/>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3</w:t>
      </w:r>
      <w:r>
        <w:rPr>
          <w:rFonts w:hAnsi="楷体" w:eastAsia="楷体"/>
          <w:color w:val="auto"/>
          <w:sz w:val="28"/>
          <w:szCs w:val="28"/>
          <w:highlight w:val="none"/>
        </w:rPr>
        <w:t>）输水涵洞</w:t>
      </w:r>
    </w:p>
    <w:p w14:paraId="60CF74F4">
      <w:pPr>
        <w:spacing w:line="520" w:lineRule="exact"/>
        <w:ind w:firstLine="560" w:firstLineChars="200"/>
        <w:rPr>
          <w:rFonts w:eastAsia="楷体"/>
          <w:color w:val="auto"/>
          <w:kern w:val="0"/>
          <w:sz w:val="28"/>
          <w:szCs w:val="28"/>
          <w:highlight w:val="none"/>
        </w:rPr>
      </w:pPr>
      <w:r>
        <w:rPr>
          <w:rFonts w:hAnsi="楷体" w:eastAsia="楷体"/>
          <w:color w:val="auto"/>
          <w:kern w:val="0"/>
          <w:sz w:val="28"/>
          <w:szCs w:val="28"/>
          <w:highlight w:val="none"/>
        </w:rPr>
        <w:t>前烧水库输水涵洞设有高涵和低涵，高涵位于大坝桩号</w:t>
      </w:r>
      <w:r>
        <w:rPr>
          <w:rFonts w:eastAsia="楷体"/>
          <w:color w:val="auto"/>
          <w:kern w:val="0"/>
          <w:sz w:val="28"/>
          <w:szCs w:val="28"/>
          <w:highlight w:val="none"/>
        </w:rPr>
        <w:t>B0+045.5</w:t>
      </w:r>
      <w:r>
        <w:rPr>
          <w:rFonts w:hAnsi="楷体" w:eastAsia="楷体"/>
          <w:color w:val="auto"/>
          <w:kern w:val="0"/>
          <w:sz w:val="28"/>
          <w:szCs w:val="28"/>
          <w:highlight w:val="none"/>
        </w:rPr>
        <w:t>处，低涵位于大坝桩号</w:t>
      </w:r>
      <w:r>
        <w:rPr>
          <w:rFonts w:eastAsia="楷体"/>
          <w:color w:val="auto"/>
          <w:kern w:val="0"/>
          <w:sz w:val="28"/>
          <w:szCs w:val="28"/>
          <w:highlight w:val="none"/>
        </w:rPr>
        <w:t>B0+133.0</w:t>
      </w:r>
      <w:r>
        <w:rPr>
          <w:rFonts w:hAnsi="楷体" w:eastAsia="楷体"/>
          <w:color w:val="auto"/>
          <w:kern w:val="0"/>
          <w:sz w:val="28"/>
          <w:szCs w:val="28"/>
          <w:highlight w:val="none"/>
        </w:rPr>
        <w:t>处，高、低涵均为浆砌条石无压涵洞。根据现场实测，高涵断面尺寸为</w:t>
      </w:r>
      <w:r>
        <w:rPr>
          <w:rFonts w:eastAsia="楷体"/>
          <w:color w:val="auto"/>
          <w:kern w:val="0"/>
          <w:sz w:val="28"/>
          <w:szCs w:val="28"/>
          <w:highlight w:val="none"/>
        </w:rPr>
        <w:t>0.60×0.60m</w:t>
      </w:r>
      <w:r>
        <w:rPr>
          <w:rFonts w:hAnsi="楷体" w:eastAsia="楷体"/>
          <w:color w:val="auto"/>
          <w:kern w:val="0"/>
          <w:sz w:val="28"/>
          <w:szCs w:val="28"/>
          <w:highlight w:val="none"/>
        </w:rPr>
        <w:t>（宽</w:t>
      </w:r>
      <w:r>
        <w:rPr>
          <w:rFonts w:eastAsia="楷体"/>
          <w:color w:val="auto"/>
          <w:kern w:val="0"/>
          <w:sz w:val="28"/>
          <w:szCs w:val="28"/>
          <w:highlight w:val="none"/>
        </w:rPr>
        <w:t>×</w:t>
      </w:r>
      <w:r>
        <w:rPr>
          <w:rFonts w:hAnsi="楷体" w:eastAsia="楷体"/>
          <w:color w:val="auto"/>
          <w:kern w:val="0"/>
          <w:sz w:val="28"/>
          <w:szCs w:val="28"/>
          <w:highlight w:val="none"/>
        </w:rPr>
        <w:t>高），出口底高程为</w:t>
      </w:r>
      <w:r>
        <w:rPr>
          <w:rFonts w:eastAsia="楷体"/>
          <w:color w:val="auto"/>
          <w:kern w:val="0"/>
          <w:sz w:val="28"/>
          <w:szCs w:val="28"/>
          <w:highlight w:val="none"/>
        </w:rPr>
        <w:t>31.85m</w:t>
      </w:r>
      <w:r>
        <w:rPr>
          <w:rFonts w:hAnsi="楷体" w:eastAsia="楷体"/>
          <w:color w:val="auto"/>
          <w:kern w:val="0"/>
          <w:sz w:val="28"/>
          <w:szCs w:val="28"/>
          <w:highlight w:val="none"/>
        </w:rPr>
        <w:t>，全长约</w:t>
      </w:r>
      <w:r>
        <w:rPr>
          <w:rFonts w:eastAsia="楷体"/>
          <w:color w:val="auto"/>
          <w:kern w:val="0"/>
          <w:sz w:val="28"/>
          <w:szCs w:val="28"/>
          <w:highlight w:val="none"/>
        </w:rPr>
        <w:t>44.0m</w:t>
      </w:r>
      <w:r>
        <w:rPr>
          <w:rFonts w:hAnsi="楷体" w:eastAsia="楷体"/>
          <w:color w:val="auto"/>
          <w:kern w:val="0"/>
          <w:sz w:val="28"/>
          <w:szCs w:val="28"/>
          <w:highlight w:val="none"/>
        </w:rPr>
        <w:t>；低涵断面尺寸为</w:t>
      </w:r>
      <w:r>
        <w:rPr>
          <w:rFonts w:eastAsia="楷体"/>
          <w:color w:val="auto"/>
          <w:kern w:val="0"/>
          <w:sz w:val="28"/>
          <w:szCs w:val="28"/>
          <w:highlight w:val="none"/>
        </w:rPr>
        <w:t>0.60×0.70m</w:t>
      </w:r>
      <w:r>
        <w:rPr>
          <w:rFonts w:hAnsi="楷体" w:eastAsia="楷体"/>
          <w:color w:val="auto"/>
          <w:kern w:val="0"/>
          <w:sz w:val="28"/>
          <w:szCs w:val="28"/>
          <w:highlight w:val="none"/>
        </w:rPr>
        <w:t>（宽</w:t>
      </w:r>
      <w:r>
        <w:rPr>
          <w:rFonts w:eastAsia="楷体"/>
          <w:color w:val="auto"/>
          <w:kern w:val="0"/>
          <w:sz w:val="28"/>
          <w:szCs w:val="28"/>
          <w:highlight w:val="none"/>
        </w:rPr>
        <w:t>×</w:t>
      </w:r>
      <w:r>
        <w:rPr>
          <w:rFonts w:hAnsi="楷体" w:eastAsia="楷体"/>
          <w:color w:val="auto"/>
          <w:kern w:val="0"/>
          <w:sz w:val="28"/>
          <w:szCs w:val="28"/>
          <w:highlight w:val="none"/>
        </w:rPr>
        <w:t>高），出口底高程为</w:t>
      </w:r>
      <w:r>
        <w:rPr>
          <w:rFonts w:eastAsia="楷体"/>
          <w:color w:val="auto"/>
          <w:kern w:val="0"/>
          <w:sz w:val="28"/>
          <w:szCs w:val="28"/>
          <w:highlight w:val="none"/>
        </w:rPr>
        <w:t>27.86m</w:t>
      </w:r>
      <w:r>
        <w:rPr>
          <w:rFonts w:hAnsi="楷体" w:eastAsia="楷体"/>
          <w:color w:val="auto"/>
          <w:kern w:val="0"/>
          <w:sz w:val="28"/>
          <w:szCs w:val="28"/>
          <w:highlight w:val="none"/>
        </w:rPr>
        <w:t>，全长约</w:t>
      </w:r>
      <w:r>
        <w:rPr>
          <w:rFonts w:eastAsia="楷体"/>
          <w:color w:val="auto"/>
          <w:kern w:val="0"/>
          <w:sz w:val="28"/>
          <w:szCs w:val="28"/>
          <w:highlight w:val="none"/>
        </w:rPr>
        <w:t>55.0m</w:t>
      </w:r>
      <w:r>
        <w:rPr>
          <w:rFonts w:hAnsi="楷体" w:eastAsia="楷体"/>
          <w:color w:val="auto"/>
          <w:kern w:val="0"/>
          <w:sz w:val="28"/>
          <w:szCs w:val="28"/>
          <w:highlight w:val="none"/>
        </w:rPr>
        <w:t>。测量时库水位较高，难以测出涵洞进口的实际底高程，本次暂按</w:t>
      </w:r>
      <w:r>
        <w:rPr>
          <w:rFonts w:eastAsia="楷体"/>
          <w:color w:val="auto"/>
          <w:kern w:val="0"/>
          <w:sz w:val="28"/>
          <w:szCs w:val="28"/>
          <w:highlight w:val="none"/>
        </w:rPr>
        <w:t>1%</w:t>
      </w:r>
      <w:r>
        <w:rPr>
          <w:rFonts w:hAnsi="楷体" w:eastAsia="楷体"/>
          <w:color w:val="auto"/>
          <w:kern w:val="0"/>
          <w:sz w:val="28"/>
          <w:szCs w:val="28"/>
          <w:highlight w:val="none"/>
        </w:rPr>
        <w:t>的坡降分别推算高、低涵进口底高程，得出高涵进口底高程为</w:t>
      </w:r>
      <w:r>
        <w:rPr>
          <w:rFonts w:eastAsia="楷体"/>
          <w:color w:val="auto"/>
          <w:kern w:val="0"/>
          <w:sz w:val="28"/>
          <w:szCs w:val="28"/>
          <w:highlight w:val="none"/>
        </w:rPr>
        <w:t>32.30m</w:t>
      </w:r>
      <w:r>
        <w:rPr>
          <w:rFonts w:hAnsi="楷体" w:eastAsia="楷体"/>
          <w:color w:val="auto"/>
          <w:kern w:val="0"/>
          <w:sz w:val="28"/>
          <w:szCs w:val="28"/>
          <w:highlight w:val="none"/>
        </w:rPr>
        <w:t>，低涵进口底高程为</w:t>
      </w:r>
      <w:r>
        <w:rPr>
          <w:rFonts w:eastAsia="楷体"/>
          <w:color w:val="auto"/>
          <w:kern w:val="0"/>
          <w:sz w:val="28"/>
          <w:szCs w:val="28"/>
          <w:highlight w:val="none"/>
        </w:rPr>
        <w:t>28.45m</w:t>
      </w:r>
      <w:r>
        <w:rPr>
          <w:rFonts w:hAnsi="楷体" w:eastAsia="楷体"/>
          <w:color w:val="auto"/>
          <w:kern w:val="0"/>
          <w:sz w:val="28"/>
          <w:szCs w:val="28"/>
          <w:highlight w:val="none"/>
        </w:rPr>
        <w:t>。</w:t>
      </w:r>
    </w:p>
    <w:p w14:paraId="5AEE0A91">
      <w:pPr>
        <w:spacing w:line="520" w:lineRule="exact"/>
        <w:ind w:firstLine="601"/>
        <w:rPr>
          <w:rFonts w:eastAsia="楷体"/>
          <w:color w:val="auto"/>
          <w:sz w:val="28"/>
          <w:szCs w:val="28"/>
          <w:highlight w:val="none"/>
        </w:rPr>
      </w:pPr>
      <w:r>
        <w:rPr>
          <w:rFonts w:hAnsi="楷体" w:eastAsia="楷体"/>
          <w:color w:val="auto"/>
          <w:kern w:val="0"/>
          <w:sz w:val="28"/>
          <w:szCs w:val="28"/>
          <w:highlight w:val="none"/>
        </w:rPr>
        <w:t>高涵和低涵放水设施均为转动门盖，采用手摇绞车启闭，高涵最大放水流量</w:t>
      </w:r>
      <w:r>
        <w:rPr>
          <w:rFonts w:eastAsia="楷体"/>
          <w:color w:val="auto"/>
          <w:kern w:val="0"/>
          <w:sz w:val="28"/>
          <w:szCs w:val="28"/>
          <w:highlight w:val="none"/>
        </w:rPr>
        <w:t>0.116m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，低涵最大放水流量</w:t>
      </w:r>
      <w:r>
        <w:rPr>
          <w:rFonts w:eastAsia="楷体"/>
          <w:color w:val="auto"/>
          <w:kern w:val="0"/>
          <w:sz w:val="28"/>
          <w:szCs w:val="28"/>
          <w:highlight w:val="none"/>
        </w:rPr>
        <w:t>0.152m</w:t>
      </w:r>
      <w:r>
        <w:rPr>
          <w:rFonts w:eastAsia="楷体"/>
          <w:color w:val="auto"/>
          <w:kern w:val="0"/>
          <w:sz w:val="28"/>
          <w:szCs w:val="28"/>
          <w:highlight w:val="none"/>
          <w:vertAlign w:val="superscript"/>
        </w:rPr>
        <w:t>3</w:t>
      </w:r>
      <w:r>
        <w:rPr>
          <w:rFonts w:eastAsia="楷体"/>
          <w:color w:val="auto"/>
          <w:kern w:val="0"/>
          <w:sz w:val="28"/>
          <w:szCs w:val="28"/>
          <w:highlight w:val="none"/>
        </w:rPr>
        <w:t>/s</w:t>
      </w:r>
      <w:r>
        <w:rPr>
          <w:rFonts w:hAnsi="楷体" w:eastAsia="楷体"/>
          <w:color w:val="auto"/>
          <w:kern w:val="0"/>
          <w:sz w:val="28"/>
          <w:szCs w:val="28"/>
          <w:highlight w:val="none"/>
        </w:rPr>
        <w:t>。</w:t>
      </w:r>
    </w:p>
    <w:p w14:paraId="178DBC57">
      <w:pPr>
        <w:spacing w:line="520" w:lineRule="exact"/>
        <w:outlineLvl w:val="2"/>
        <w:rPr>
          <w:rFonts w:eastAsia="楷体"/>
          <w:b/>
          <w:bCs/>
          <w:color w:val="auto"/>
          <w:sz w:val="32"/>
          <w:szCs w:val="30"/>
          <w:highlight w:val="none"/>
        </w:rPr>
      </w:pPr>
      <w:r>
        <w:rPr>
          <w:rFonts w:eastAsia="楷体"/>
          <w:b/>
          <w:bCs/>
          <w:color w:val="auto"/>
          <w:sz w:val="32"/>
          <w:szCs w:val="30"/>
          <w:highlight w:val="none"/>
        </w:rPr>
        <w:t>2.2.2 水库有关技术参数及泄流曲线、库容曲线</w:t>
      </w:r>
    </w:p>
    <w:p w14:paraId="36ACABA7">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前烧</w:t>
      </w:r>
      <w:r>
        <w:rPr>
          <w:rFonts w:eastAsia="楷体"/>
          <w:color w:val="auto"/>
          <w:sz w:val="28"/>
          <w:szCs w:val="28"/>
          <w:highlight w:val="none"/>
        </w:rPr>
        <w:t>水库库容曲线</w:t>
      </w:r>
    </w:p>
    <w:p w14:paraId="26229094">
      <w:pPr>
        <w:autoSpaceDE w:val="0"/>
        <w:autoSpaceDN w:val="0"/>
        <w:snapToGrid w:val="0"/>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根据《泉港区前黄镇</w:t>
      </w:r>
      <w:r>
        <w:rPr>
          <w:rFonts w:hint="eastAsia" w:eastAsia="楷体"/>
          <w:color w:val="auto"/>
          <w:sz w:val="28"/>
          <w:szCs w:val="28"/>
          <w:highlight w:val="none"/>
        </w:rPr>
        <w:t>前烧</w:t>
      </w:r>
      <w:r>
        <w:rPr>
          <w:rFonts w:eastAsia="楷体"/>
          <w:color w:val="auto"/>
          <w:sz w:val="28"/>
          <w:szCs w:val="28"/>
          <w:highlight w:val="none"/>
        </w:rPr>
        <w:t>水库除险加固工程初步设计报告（报批稿）》（泉州市水利水电勘测设计院，201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5</w:t>
      </w:r>
      <w:r>
        <w:rPr>
          <w:rFonts w:eastAsia="楷体"/>
          <w:color w:val="auto"/>
          <w:sz w:val="28"/>
          <w:szCs w:val="28"/>
          <w:highlight w:val="none"/>
        </w:rPr>
        <w:t>月），</w:t>
      </w:r>
      <w:r>
        <w:rPr>
          <w:rFonts w:hint="eastAsia" w:eastAsia="楷体"/>
          <w:color w:val="auto"/>
          <w:sz w:val="28"/>
          <w:szCs w:val="28"/>
          <w:highlight w:val="none"/>
        </w:rPr>
        <w:t>前烧</w:t>
      </w:r>
      <w:r>
        <w:rPr>
          <w:rFonts w:eastAsia="楷体"/>
          <w:color w:val="auto"/>
          <w:sz w:val="28"/>
          <w:szCs w:val="28"/>
          <w:highlight w:val="none"/>
        </w:rPr>
        <w:t>水库坝址水位库容关系曲线见表</w:t>
      </w:r>
      <w:r>
        <w:rPr>
          <w:rFonts w:hint="eastAsia" w:eastAsia="楷体"/>
          <w:color w:val="auto"/>
          <w:sz w:val="28"/>
          <w:szCs w:val="28"/>
          <w:highlight w:val="none"/>
        </w:rPr>
        <w:t>2</w:t>
      </w:r>
      <w:r>
        <w:rPr>
          <w:rFonts w:eastAsia="楷体"/>
          <w:color w:val="auto"/>
          <w:sz w:val="28"/>
          <w:szCs w:val="28"/>
          <w:highlight w:val="none"/>
        </w:rPr>
        <w:t>-1。</w:t>
      </w:r>
    </w:p>
    <w:p w14:paraId="3AFC08A1">
      <w:pPr>
        <w:autoSpaceDE w:val="0"/>
        <w:autoSpaceDN w:val="0"/>
        <w:snapToGrid w:val="0"/>
        <w:spacing w:line="520" w:lineRule="exact"/>
        <w:ind w:firstLine="560" w:firstLineChars="200"/>
        <w:rPr>
          <w:rFonts w:eastAsia="楷体"/>
          <w:color w:val="auto"/>
          <w:sz w:val="28"/>
          <w:szCs w:val="28"/>
          <w:highlight w:val="none"/>
        </w:rPr>
      </w:pPr>
    </w:p>
    <w:p w14:paraId="1462325E">
      <w:pPr>
        <w:pStyle w:val="30"/>
        <w:jc w:val="both"/>
        <w:rPr>
          <w:rFonts w:eastAsia="楷体"/>
          <w:b/>
          <w:bCs/>
          <w:color w:val="auto"/>
          <w:sz w:val="28"/>
          <w:szCs w:val="28"/>
          <w:highlight w:val="none"/>
        </w:rPr>
      </w:pPr>
      <w:r>
        <w:rPr>
          <w:rFonts w:eastAsia="楷体"/>
          <w:b/>
          <w:bCs/>
          <w:color w:val="auto"/>
          <w:sz w:val="28"/>
          <w:szCs w:val="28"/>
          <w:highlight w:val="none"/>
        </w:rPr>
        <w:t>表</w:t>
      </w:r>
      <w:r>
        <w:rPr>
          <w:rFonts w:hint="eastAsia" w:eastAsia="楷体"/>
          <w:b/>
          <w:bCs/>
          <w:color w:val="auto"/>
          <w:sz w:val="28"/>
          <w:szCs w:val="28"/>
          <w:highlight w:val="none"/>
        </w:rPr>
        <w:t>2</w:t>
      </w:r>
      <w:r>
        <w:rPr>
          <w:rFonts w:eastAsia="楷体"/>
          <w:b/>
          <w:bCs/>
          <w:color w:val="auto"/>
          <w:sz w:val="28"/>
          <w:szCs w:val="28"/>
          <w:highlight w:val="none"/>
        </w:rPr>
        <w:t>-1              坝址水位库容关系曲线表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4BBC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1D559786">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4" w:type="dxa"/>
            <w:noWrap w:val="0"/>
            <w:vAlign w:val="center"/>
          </w:tcPr>
          <w:p w14:paraId="0D627A55">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4AF63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556BF0B6">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33.72</w:t>
            </w:r>
          </w:p>
        </w:tc>
        <w:tc>
          <w:tcPr>
            <w:tcW w:w="4644" w:type="dxa"/>
            <w:noWrap w:val="0"/>
            <w:vAlign w:val="center"/>
          </w:tcPr>
          <w:p w14:paraId="5558216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6.00</w:t>
            </w:r>
          </w:p>
        </w:tc>
      </w:tr>
      <w:tr w14:paraId="0A1FD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9CF468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34.00</w:t>
            </w:r>
          </w:p>
        </w:tc>
        <w:tc>
          <w:tcPr>
            <w:tcW w:w="4644" w:type="dxa"/>
            <w:noWrap w:val="0"/>
            <w:vAlign w:val="center"/>
          </w:tcPr>
          <w:p w14:paraId="1291BF5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6.86</w:t>
            </w:r>
          </w:p>
        </w:tc>
      </w:tr>
      <w:tr w14:paraId="4D885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3493031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35.00</w:t>
            </w:r>
          </w:p>
        </w:tc>
        <w:tc>
          <w:tcPr>
            <w:tcW w:w="4644" w:type="dxa"/>
            <w:noWrap w:val="0"/>
            <w:vAlign w:val="center"/>
          </w:tcPr>
          <w:p w14:paraId="6FB18F0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10.56</w:t>
            </w:r>
          </w:p>
        </w:tc>
      </w:tr>
      <w:tr w14:paraId="3F4BB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29AFAF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36.00</w:t>
            </w:r>
          </w:p>
        </w:tc>
        <w:tc>
          <w:tcPr>
            <w:tcW w:w="4644" w:type="dxa"/>
            <w:noWrap w:val="0"/>
            <w:vAlign w:val="center"/>
          </w:tcPr>
          <w:p w14:paraId="11F02007">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14.89</w:t>
            </w:r>
          </w:p>
        </w:tc>
      </w:tr>
      <w:tr w14:paraId="070C4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0C1850D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37.00</w:t>
            </w:r>
          </w:p>
        </w:tc>
        <w:tc>
          <w:tcPr>
            <w:tcW w:w="4644" w:type="dxa"/>
            <w:noWrap w:val="0"/>
            <w:vAlign w:val="center"/>
          </w:tcPr>
          <w:p w14:paraId="3C27C34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19.92</w:t>
            </w:r>
          </w:p>
        </w:tc>
      </w:tr>
      <w:tr w14:paraId="27DA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0FBB32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37.75</w:t>
            </w:r>
          </w:p>
        </w:tc>
        <w:tc>
          <w:tcPr>
            <w:tcW w:w="4644" w:type="dxa"/>
            <w:noWrap w:val="0"/>
            <w:vAlign w:val="center"/>
          </w:tcPr>
          <w:p w14:paraId="7F87E0D5">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24.18</w:t>
            </w:r>
          </w:p>
        </w:tc>
      </w:tr>
      <w:tr w14:paraId="0FE1E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6B93A54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38.00</w:t>
            </w:r>
          </w:p>
        </w:tc>
        <w:tc>
          <w:tcPr>
            <w:tcW w:w="4644" w:type="dxa"/>
            <w:noWrap w:val="0"/>
            <w:vAlign w:val="center"/>
          </w:tcPr>
          <w:p w14:paraId="2CDE40E6">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25.68</w:t>
            </w:r>
          </w:p>
        </w:tc>
      </w:tr>
      <w:tr w14:paraId="7C38A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15378E1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39.00</w:t>
            </w:r>
          </w:p>
        </w:tc>
        <w:tc>
          <w:tcPr>
            <w:tcW w:w="4644" w:type="dxa"/>
            <w:noWrap w:val="0"/>
            <w:vAlign w:val="center"/>
          </w:tcPr>
          <w:p w14:paraId="25F65707">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32.05</w:t>
            </w:r>
          </w:p>
        </w:tc>
      </w:tr>
      <w:tr w14:paraId="016A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367B4269">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39.80</w:t>
            </w:r>
          </w:p>
        </w:tc>
        <w:tc>
          <w:tcPr>
            <w:tcW w:w="4644" w:type="dxa"/>
            <w:noWrap w:val="0"/>
            <w:vAlign w:val="center"/>
          </w:tcPr>
          <w:p w14:paraId="79D4A744">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37.65</w:t>
            </w:r>
          </w:p>
        </w:tc>
      </w:tr>
    </w:tbl>
    <w:p w14:paraId="184D717C">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（2）前烧水库泄流曲线</w:t>
      </w:r>
    </w:p>
    <w:p w14:paraId="6F5FB7E9">
      <w:pPr>
        <w:adjustRightInd w:val="0"/>
        <w:snapToGrid w:val="0"/>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前烧水库溢洪道位于大坝坝体左侧，溢洪道上方有一座人行桥，中墩</w:t>
      </w:r>
      <w:r>
        <w:rPr>
          <w:rFonts w:hint="eastAsia" w:hAnsi="楷体" w:eastAsia="楷体"/>
          <w:color w:val="auto"/>
          <w:sz w:val="28"/>
          <w:szCs w:val="28"/>
          <w:highlight w:val="none"/>
        </w:rPr>
        <w:t>宽</w:t>
      </w:r>
      <w:r>
        <w:rPr>
          <w:rFonts w:eastAsia="楷体"/>
          <w:color w:val="auto"/>
          <w:sz w:val="28"/>
          <w:szCs w:val="28"/>
          <w:highlight w:val="none"/>
        </w:rPr>
        <w:t>0.6m</w:t>
      </w:r>
      <w:r>
        <w:rPr>
          <w:rFonts w:hAnsi="楷体" w:eastAsia="楷体"/>
          <w:color w:val="auto"/>
          <w:sz w:val="28"/>
          <w:szCs w:val="28"/>
          <w:highlight w:val="none"/>
        </w:rPr>
        <w:t>，净宽为</w:t>
      </w:r>
      <w:r>
        <w:rPr>
          <w:rFonts w:eastAsia="楷体"/>
          <w:color w:val="auto"/>
          <w:sz w:val="28"/>
          <w:szCs w:val="28"/>
          <w:highlight w:val="none"/>
        </w:rPr>
        <w:t>2×2.85m</w:t>
      </w:r>
      <w:r>
        <w:rPr>
          <w:rFonts w:hAnsi="楷体" w:eastAsia="楷体"/>
          <w:color w:val="auto"/>
          <w:sz w:val="28"/>
          <w:szCs w:val="28"/>
          <w:highlight w:val="none"/>
        </w:rPr>
        <w:t>，桥底高程为</w:t>
      </w:r>
      <w:r>
        <w:rPr>
          <w:rFonts w:eastAsia="楷体"/>
          <w:color w:val="auto"/>
          <w:sz w:val="28"/>
          <w:szCs w:val="28"/>
          <w:highlight w:val="none"/>
        </w:rPr>
        <w:t>37.75m</w:t>
      </w:r>
      <w:r>
        <w:rPr>
          <w:rFonts w:hAnsi="楷体" w:eastAsia="楷体"/>
          <w:color w:val="auto"/>
          <w:sz w:val="28"/>
          <w:szCs w:val="28"/>
          <w:highlight w:val="none"/>
        </w:rPr>
        <w:t>，下游接陡坡段。根据《水力计算手册》（</w:t>
      </w:r>
      <w:r>
        <w:rPr>
          <w:rFonts w:eastAsia="楷体"/>
          <w:color w:val="auto"/>
          <w:sz w:val="28"/>
          <w:szCs w:val="28"/>
          <w:highlight w:val="none"/>
        </w:rPr>
        <w:t>2006</w:t>
      </w:r>
      <w:r>
        <w:rPr>
          <w:rFonts w:hAnsi="楷体" w:eastAsia="楷体"/>
          <w:color w:val="auto"/>
          <w:sz w:val="28"/>
          <w:szCs w:val="28"/>
          <w:highlight w:val="none"/>
        </w:rPr>
        <w:t>年第二版）第三篇关于堰型的分类，判定前烧水库溢洪道形式为无底坎宽顶堰。因此，本次调洪演算原则为：起调水位为</w:t>
      </w:r>
      <w:r>
        <w:rPr>
          <w:rFonts w:eastAsia="楷体"/>
          <w:color w:val="auto"/>
          <w:sz w:val="28"/>
          <w:szCs w:val="28"/>
          <w:highlight w:val="none"/>
        </w:rPr>
        <w:t>37.75m</w:t>
      </w:r>
      <w:r>
        <w:rPr>
          <w:rFonts w:hAnsi="楷体" w:eastAsia="楷体"/>
          <w:color w:val="auto"/>
          <w:sz w:val="28"/>
          <w:szCs w:val="28"/>
          <w:highlight w:val="none"/>
        </w:rPr>
        <w:t>，当水库水位超过溢洪道顶高程（</w:t>
      </w:r>
      <w:r>
        <w:rPr>
          <w:rFonts w:eastAsia="楷体"/>
          <w:color w:val="auto"/>
          <w:sz w:val="28"/>
          <w:szCs w:val="28"/>
          <w:highlight w:val="none"/>
        </w:rPr>
        <w:t>37.75m</w:t>
      </w:r>
      <w:r>
        <w:rPr>
          <w:rFonts w:hAnsi="楷体" w:eastAsia="楷体"/>
          <w:color w:val="auto"/>
          <w:sz w:val="28"/>
          <w:szCs w:val="28"/>
          <w:highlight w:val="none"/>
        </w:rPr>
        <w:t>）时，按自由溢流进行计算，计算式如下：</w:t>
      </w:r>
      <w:r>
        <w:rPr>
          <w:rFonts w:eastAsia="楷体"/>
          <w:color w:val="auto"/>
          <w:sz w:val="28"/>
          <w:szCs w:val="28"/>
          <w:highlight w:val="none"/>
        </w:rPr>
        <w:t xml:space="preserve"> </w:t>
      </w:r>
    </w:p>
    <w:p w14:paraId="20FED2A8">
      <w:pPr>
        <w:spacing w:line="520" w:lineRule="exact"/>
        <w:ind w:firstLine="3465" w:firstLineChars="1650"/>
        <w:rPr>
          <w:rFonts w:eastAsia="楷体"/>
          <w:color w:val="auto"/>
          <w:highlight w:val="none"/>
        </w:rPr>
      </w:pPr>
      <w:r>
        <w:rPr>
          <w:rFonts w:eastAsia="楷体"/>
          <w:color w:val="auto"/>
          <w:position w:val="-12"/>
          <w:highlight w:val="none"/>
        </w:rPr>
        <w:object>
          <v:shape id="_x0000_i1040" o:spt="75" type="#_x0000_t75" style="height:20pt;width:94pt;" o:ole="t" filled="f" o:preferrelative="t" stroked="f" coordsize="21600,21600">
            <v:path/>
            <v:fill on="f" focussize="0,0"/>
            <v:stroke on="f"/>
            <v:imagedata r:id="rId43" o:title=""/>
            <o:lock v:ext="edit" grouping="f" rotation="f" text="f" aspectratio="t"/>
            <w10:wrap type="none"/>
            <w10:anchorlock/>
          </v:shape>
          <o:OLEObject Type="Embed" ProgID="Equation.DSMT4" ShapeID="_x0000_i1040" DrawAspect="Content" ObjectID="_1468075740" r:id="rId42">
            <o:LockedField>false</o:LockedField>
          </o:OLEObject>
        </w:object>
      </w:r>
      <w:r>
        <w:rPr>
          <w:rFonts w:eastAsia="楷体"/>
          <w:color w:val="auto"/>
          <w:highlight w:val="none"/>
        </w:rPr>
        <w:t xml:space="preserve">                                 </w:t>
      </w:r>
    </w:p>
    <w:p w14:paraId="4B5EA46F">
      <w:pPr>
        <w:spacing w:line="520" w:lineRule="exact"/>
        <w:ind w:left="1680" w:hanging="1680" w:hangingChars="600"/>
        <w:rPr>
          <w:rFonts w:eastAsia="楷体"/>
          <w:color w:val="auto"/>
          <w:sz w:val="28"/>
          <w:szCs w:val="28"/>
          <w:highlight w:val="none"/>
        </w:rPr>
      </w:pPr>
      <w:r>
        <w:rPr>
          <w:rFonts w:hAnsi="楷体" w:eastAsia="楷体"/>
          <w:color w:val="auto"/>
          <w:sz w:val="28"/>
          <w:szCs w:val="28"/>
          <w:highlight w:val="none"/>
        </w:rPr>
        <w:t>式中：</w:t>
      </w:r>
      <w:r>
        <w:rPr>
          <w:rFonts w:eastAsia="楷体"/>
          <w:color w:val="auto"/>
          <w:position w:val="-6"/>
          <w:highlight w:val="none"/>
        </w:rPr>
        <w:object>
          <v:shape id="_x0000_i1041" o:spt="75" type="#_x0000_t75" style="height:11pt;width:13pt;" o:ole="t" filled="f" stroked="f" coordsize="21600,21600">
            <v:path/>
            <v:fill on="f" focussize="0,0"/>
            <v:stroke on="f"/>
            <v:imagedata r:id="rId45" o:title=""/>
            <o:lock v:ext="edit" grouping="f" rotation="f" text="f" aspectratio="t"/>
            <w10:wrap type="none"/>
            <w10:anchorlock/>
          </v:shape>
          <o:OLEObject Type="Embed" ProgID="Equation.DSMT4" ShapeID="_x0000_i1041" DrawAspect="Content" ObjectID="_1468075741" r:id="rId44">
            <o:LockedField>false</o:LockedField>
          </o:OLEObject>
        </w:object>
      </w:r>
      <w:r>
        <w:rPr>
          <w:rFonts w:eastAsia="楷体"/>
          <w:color w:val="auto"/>
          <w:sz w:val="28"/>
          <w:szCs w:val="28"/>
          <w:highlight w:val="none"/>
        </w:rPr>
        <w:t>——</w:t>
      </w:r>
      <w:r>
        <w:rPr>
          <w:rFonts w:hAnsi="楷体" w:eastAsia="楷体"/>
          <w:color w:val="auto"/>
          <w:sz w:val="28"/>
          <w:szCs w:val="28"/>
          <w:highlight w:val="none"/>
        </w:rPr>
        <w:t>流量系数，根据宽顶堰溢流系数查算图表取得，取值范围为</w:t>
      </w:r>
      <w:r>
        <w:rPr>
          <w:rFonts w:eastAsia="楷体"/>
          <w:color w:val="auto"/>
          <w:sz w:val="28"/>
          <w:szCs w:val="28"/>
          <w:highlight w:val="none"/>
        </w:rPr>
        <w:t>0.34</w:t>
      </w:r>
      <w:r>
        <w:rPr>
          <w:rFonts w:hAnsi="楷体" w:eastAsia="楷体"/>
          <w:color w:val="auto"/>
          <w:sz w:val="28"/>
          <w:szCs w:val="28"/>
          <w:highlight w:val="none"/>
        </w:rPr>
        <w:t>～</w:t>
      </w:r>
      <w:r>
        <w:rPr>
          <w:rFonts w:eastAsia="楷体"/>
          <w:color w:val="auto"/>
          <w:sz w:val="28"/>
          <w:szCs w:val="28"/>
          <w:highlight w:val="none"/>
        </w:rPr>
        <w:t>0.36</w:t>
      </w:r>
      <w:r>
        <w:rPr>
          <w:rFonts w:hAnsi="楷体" w:eastAsia="楷体"/>
          <w:color w:val="auto"/>
          <w:sz w:val="28"/>
          <w:szCs w:val="28"/>
          <w:highlight w:val="none"/>
        </w:rPr>
        <w:t>；</w:t>
      </w:r>
      <w:r>
        <w:rPr>
          <w:rFonts w:eastAsia="楷体"/>
          <w:color w:val="auto"/>
          <w:sz w:val="28"/>
          <w:szCs w:val="28"/>
          <w:highlight w:val="none"/>
        </w:rPr>
        <w:t xml:space="preserve"> </w:t>
      </w:r>
    </w:p>
    <w:p w14:paraId="2C22A25C">
      <w:pPr>
        <w:spacing w:line="520" w:lineRule="exact"/>
        <w:rPr>
          <w:rFonts w:eastAsia="楷体"/>
          <w:color w:val="auto"/>
          <w:sz w:val="28"/>
          <w:szCs w:val="28"/>
          <w:highlight w:val="none"/>
        </w:rPr>
      </w:pPr>
      <w:r>
        <w:rPr>
          <w:rFonts w:eastAsia="楷体"/>
          <w:color w:val="auto"/>
          <w:sz w:val="28"/>
          <w:szCs w:val="28"/>
          <w:highlight w:val="none"/>
        </w:rPr>
        <w:tab/>
      </w:r>
      <w:r>
        <w:rPr>
          <w:rFonts w:eastAsia="楷体"/>
          <w:color w:val="auto"/>
          <w:sz w:val="28"/>
          <w:szCs w:val="28"/>
          <w:highlight w:val="none"/>
        </w:rPr>
        <w:tab/>
      </w:r>
      <w:r>
        <w:rPr>
          <w:rFonts w:eastAsia="楷体"/>
          <w:color w:val="auto"/>
          <w:position w:val="-12"/>
          <w:highlight w:val="none"/>
        </w:rPr>
        <w:object>
          <v:shape id="_x0000_i1042" o:spt="75" type="#_x0000_t75" style="height:18pt;width:17pt;" o:ole="t" filled="f" stroked="f" coordsize="21600,21600">
            <v:path/>
            <v:fill on="f" focussize="0,0"/>
            <v:stroke on="f"/>
            <v:imagedata r:id="rId47" o:title=""/>
            <o:lock v:ext="edit" grouping="f" rotation="f" text="f" aspectratio="t"/>
            <w10:wrap type="none"/>
            <w10:anchorlock/>
          </v:shape>
          <o:OLEObject Type="Embed" ProgID="Equation.DSMT4" ShapeID="_x0000_i1042" DrawAspect="Content" ObjectID="_1468075742" r:id="rId46">
            <o:LockedField>false</o:LockedField>
          </o:OLEObject>
        </w:object>
      </w:r>
      <w:r>
        <w:rPr>
          <w:rFonts w:eastAsia="楷体"/>
          <w:color w:val="auto"/>
          <w:sz w:val="28"/>
          <w:szCs w:val="28"/>
          <w:highlight w:val="none"/>
        </w:rPr>
        <w:t>——</w:t>
      </w:r>
      <w:r>
        <w:rPr>
          <w:rFonts w:hAnsi="楷体" w:eastAsia="楷体"/>
          <w:color w:val="auto"/>
          <w:sz w:val="28"/>
          <w:szCs w:val="28"/>
          <w:highlight w:val="none"/>
        </w:rPr>
        <w:t>堰顶水头，</w:t>
      </w:r>
      <w:r>
        <w:rPr>
          <w:rFonts w:eastAsia="楷体"/>
          <w:color w:val="auto"/>
          <w:sz w:val="28"/>
          <w:szCs w:val="28"/>
          <w:highlight w:val="none"/>
        </w:rPr>
        <w:t>m</w:t>
      </w:r>
      <w:r>
        <w:rPr>
          <w:rFonts w:hAnsi="楷体" w:eastAsia="楷体"/>
          <w:color w:val="auto"/>
          <w:sz w:val="28"/>
          <w:szCs w:val="28"/>
          <w:highlight w:val="none"/>
        </w:rPr>
        <w:t>；</w:t>
      </w:r>
    </w:p>
    <w:p w14:paraId="34E88C6E">
      <w:pPr>
        <w:spacing w:line="520" w:lineRule="exact"/>
        <w:ind w:left="1680" w:hanging="1680" w:hangingChars="600"/>
        <w:rPr>
          <w:rFonts w:eastAsia="楷体"/>
          <w:color w:val="auto"/>
          <w:kern w:val="0"/>
          <w:sz w:val="28"/>
          <w:szCs w:val="28"/>
          <w:highlight w:val="none"/>
        </w:rPr>
      </w:pPr>
      <w:r>
        <w:rPr>
          <w:rFonts w:eastAsia="楷体"/>
          <w:color w:val="auto"/>
          <w:sz w:val="28"/>
          <w:szCs w:val="28"/>
          <w:highlight w:val="none"/>
        </w:rPr>
        <w:t xml:space="preserve">      </w:t>
      </w:r>
      <w:r>
        <w:rPr>
          <w:rFonts w:eastAsia="楷体"/>
          <w:color w:val="auto"/>
          <w:position w:val="-6"/>
          <w:highlight w:val="none"/>
        </w:rPr>
        <w:object>
          <v:shape id="_x0000_i1043" o:spt="75" type="#_x0000_t75" style="height:12pt;width:11pt;" o:ole="t" filled="f" stroked="f" coordsize="21600,21600">
            <v:path/>
            <v:fill on="f" focussize="0,0"/>
            <v:stroke on="f"/>
            <v:imagedata r:id="rId49" o:title=""/>
            <o:lock v:ext="edit" grouping="f" rotation="f" text="f" aspectratio="t"/>
            <w10:wrap type="none"/>
            <w10:anchorlock/>
          </v:shape>
          <o:OLEObject Type="Embed" ProgID="Equation.DSMT4" ShapeID="_x0000_i1043" DrawAspect="Content" ObjectID="_1468075743" r:id="rId48">
            <o:LockedField>false</o:LockedField>
          </o:OLEObject>
        </w:object>
      </w:r>
      <w:r>
        <w:rPr>
          <w:rFonts w:eastAsia="楷体"/>
          <w:color w:val="auto"/>
          <w:sz w:val="28"/>
          <w:szCs w:val="28"/>
          <w:highlight w:val="none"/>
        </w:rPr>
        <w:t>——</w:t>
      </w:r>
      <w:r>
        <w:rPr>
          <w:rFonts w:hAnsi="楷体" w:eastAsia="楷体"/>
          <w:color w:val="auto"/>
          <w:sz w:val="28"/>
          <w:szCs w:val="28"/>
          <w:highlight w:val="none"/>
        </w:rPr>
        <w:t>侧收缩系数，根据《溢洪道设计规范》</w:t>
      </w:r>
      <w:r>
        <w:rPr>
          <w:rFonts w:eastAsia="楷体"/>
          <w:color w:val="auto"/>
          <w:sz w:val="28"/>
          <w:szCs w:val="28"/>
          <w:highlight w:val="none"/>
        </w:rPr>
        <w:t>SL253-2000</w:t>
      </w:r>
      <w:r>
        <w:rPr>
          <w:rFonts w:hAnsi="楷体" w:eastAsia="楷体"/>
          <w:color w:val="auto"/>
          <w:sz w:val="28"/>
          <w:szCs w:val="28"/>
          <w:highlight w:val="none"/>
        </w:rPr>
        <w:t>中侧收缩系数的计算规程，取</w:t>
      </w:r>
      <w:r>
        <w:rPr>
          <w:rFonts w:eastAsia="楷体"/>
          <w:color w:val="auto"/>
          <w:sz w:val="28"/>
          <w:szCs w:val="28"/>
          <w:highlight w:val="none"/>
        </w:rPr>
        <w:t>0.95</w:t>
      </w:r>
      <w:r>
        <w:rPr>
          <w:rFonts w:hAnsi="楷体" w:eastAsia="楷体"/>
          <w:color w:val="auto"/>
          <w:sz w:val="28"/>
          <w:szCs w:val="28"/>
          <w:highlight w:val="none"/>
        </w:rPr>
        <w:t>；</w:t>
      </w:r>
    </w:p>
    <w:p w14:paraId="3A285671">
      <w:pPr>
        <w:spacing w:line="520" w:lineRule="exact"/>
        <w:ind w:firstLine="560" w:firstLineChars="200"/>
        <w:rPr>
          <w:rFonts w:eastAsia="楷体"/>
          <w:color w:val="auto"/>
          <w:sz w:val="28"/>
          <w:szCs w:val="28"/>
          <w:highlight w:val="none"/>
        </w:rPr>
      </w:pPr>
      <w:r>
        <w:rPr>
          <w:rFonts w:eastAsia="楷体"/>
          <w:color w:val="auto"/>
          <w:kern w:val="0"/>
          <w:sz w:val="28"/>
          <w:szCs w:val="28"/>
          <w:highlight w:val="none"/>
        </w:rPr>
        <w:tab/>
      </w:r>
      <w:r>
        <w:rPr>
          <w:rFonts w:eastAsia="楷体"/>
          <w:color w:val="auto"/>
          <w:position w:val="-4"/>
          <w:highlight w:val="none"/>
        </w:rPr>
        <w:object>
          <v:shape id="_x0000_i1044" o:spt="75" type="#_x0000_t75" style="height:13pt;width:12pt;" o:ole="t" filled="f" stroked="f" coordsize="21600,21600">
            <v:path/>
            <v:fill on="f" focussize="0,0"/>
            <v:stroke on="f"/>
            <v:imagedata r:id="rId51" o:title=""/>
            <o:lock v:ext="edit" grouping="f" rotation="f" text="f" aspectratio="t"/>
            <w10:wrap type="none"/>
            <w10:anchorlock/>
          </v:shape>
          <o:OLEObject Type="Embed" ProgID="Equation.DSMT4" ShapeID="_x0000_i1044" DrawAspect="Content" ObjectID="_1468075744" r:id="rId50">
            <o:LockedField>false</o:LockedField>
          </o:OLEObject>
        </w:object>
      </w:r>
      <w:r>
        <w:rPr>
          <w:rFonts w:eastAsia="楷体"/>
          <w:color w:val="auto"/>
          <w:sz w:val="28"/>
          <w:szCs w:val="28"/>
          <w:highlight w:val="none"/>
        </w:rPr>
        <w:t>——</w:t>
      </w:r>
      <w:r>
        <w:rPr>
          <w:rFonts w:hAnsi="楷体" w:eastAsia="楷体"/>
          <w:color w:val="auto"/>
          <w:sz w:val="28"/>
          <w:szCs w:val="28"/>
          <w:highlight w:val="none"/>
        </w:rPr>
        <w:t>溢洪道净宽，</w:t>
      </w:r>
      <w:r>
        <w:rPr>
          <w:rFonts w:eastAsia="楷体"/>
          <w:color w:val="auto"/>
          <w:sz w:val="28"/>
          <w:szCs w:val="28"/>
          <w:highlight w:val="none"/>
        </w:rPr>
        <w:t>5.70m</w:t>
      </w:r>
      <w:r>
        <w:rPr>
          <w:rFonts w:hAnsi="楷体" w:eastAsia="楷体"/>
          <w:color w:val="auto"/>
          <w:sz w:val="28"/>
          <w:szCs w:val="28"/>
          <w:highlight w:val="none"/>
        </w:rPr>
        <w:t>；</w:t>
      </w:r>
    </w:p>
    <w:p w14:paraId="6E311FC7">
      <w:pPr>
        <w:spacing w:line="520" w:lineRule="exact"/>
        <w:ind w:firstLine="560" w:firstLineChars="200"/>
        <w:rPr>
          <w:rFonts w:eastAsia="楷体"/>
          <w:color w:val="auto"/>
          <w:sz w:val="28"/>
          <w:szCs w:val="28"/>
          <w:highlight w:val="none"/>
        </w:rPr>
      </w:pPr>
      <w:r>
        <w:rPr>
          <w:rFonts w:hAnsi="楷体" w:eastAsia="楷体"/>
          <w:color w:val="auto"/>
          <w:kern w:val="0"/>
          <w:sz w:val="28"/>
          <w:szCs w:val="28"/>
          <w:highlight w:val="none"/>
        </w:rPr>
        <w:t>根据以上所列的宽顶堰计算公式，最终求得</w:t>
      </w:r>
      <w:r>
        <w:rPr>
          <w:rFonts w:hAnsi="楷体" w:eastAsia="楷体"/>
          <w:color w:val="auto"/>
          <w:sz w:val="28"/>
          <w:szCs w:val="28"/>
          <w:highlight w:val="none"/>
        </w:rPr>
        <w:t>前烧水库水位～泄流关系曲线如下表</w:t>
      </w:r>
      <w:r>
        <w:rPr>
          <w:rFonts w:hint="eastAsia" w:eastAsia="楷体"/>
          <w:color w:val="auto"/>
          <w:sz w:val="28"/>
          <w:szCs w:val="28"/>
          <w:highlight w:val="none"/>
        </w:rPr>
        <w:t>2</w:t>
      </w:r>
      <w:r>
        <w:rPr>
          <w:rFonts w:eastAsia="楷体"/>
          <w:color w:val="auto"/>
          <w:sz w:val="28"/>
          <w:szCs w:val="28"/>
          <w:highlight w:val="none"/>
        </w:rPr>
        <w:t>-2</w:t>
      </w:r>
      <w:r>
        <w:rPr>
          <w:rFonts w:hAnsi="楷体" w:eastAsia="楷体"/>
          <w:color w:val="auto"/>
          <w:sz w:val="28"/>
          <w:szCs w:val="28"/>
          <w:highlight w:val="none"/>
        </w:rPr>
        <w:t>所示：</w:t>
      </w:r>
    </w:p>
    <w:p w14:paraId="5D12CE74">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w:t>
      </w:r>
      <w:r>
        <w:rPr>
          <w:rFonts w:hint="eastAsia" w:eastAsia="楷体"/>
          <w:b/>
          <w:bCs/>
          <w:color w:val="auto"/>
          <w:kern w:val="0"/>
          <w:sz w:val="28"/>
          <w:szCs w:val="28"/>
          <w:highlight w:val="none"/>
        </w:rPr>
        <w:t>2-2</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前烧水库溢洪道下泄曲线表</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1932"/>
        <w:gridCol w:w="822"/>
        <w:gridCol w:w="909"/>
        <w:gridCol w:w="907"/>
        <w:gridCol w:w="907"/>
        <w:gridCol w:w="906"/>
        <w:gridCol w:w="906"/>
        <w:gridCol w:w="906"/>
        <w:gridCol w:w="906"/>
      </w:tblGrid>
      <w:tr w14:paraId="2EC800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769FBFBB">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822" w:type="dxa"/>
            <w:noWrap w:val="0"/>
            <w:vAlign w:val="center"/>
          </w:tcPr>
          <w:p w14:paraId="669CC48C">
            <w:pPr>
              <w:widowControl/>
              <w:jc w:val="center"/>
              <w:textAlignment w:val="center"/>
              <w:rPr>
                <w:rFonts w:eastAsia="楷体"/>
                <w:color w:val="auto"/>
                <w:sz w:val="24"/>
                <w:highlight w:val="none"/>
              </w:rPr>
            </w:pPr>
            <w:r>
              <w:rPr>
                <w:rFonts w:hint="eastAsia" w:eastAsia="楷体"/>
                <w:color w:val="auto"/>
                <w:kern w:val="0"/>
                <w:sz w:val="24"/>
                <w:highlight w:val="none"/>
                <w:lang w:bidi="ar"/>
              </w:rPr>
              <w:t>37.75</w:t>
            </w:r>
          </w:p>
        </w:tc>
        <w:tc>
          <w:tcPr>
            <w:tcW w:w="909" w:type="dxa"/>
            <w:noWrap w:val="0"/>
            <w:vAlign w:val="center"/>
          </w:tcPr>
          <w:p w14:paraId="44775AD6">
            <w:pPr>
              <w:widowControl/>
              <w:jc w:val="center"/>
              <w:textAlignment w:val="center"/>
              <w:rPr>
                <w:rFonts w:eastAsia="楷体"/>
                <w:color w:val="auto"/>
                <w:sz w:val="24"/>
                <w:highlight w:val="none"/>
              </w:rPr>
            </w:pPr>
            <w:r>
              <w:rPr>
                <w:rFonts w:hint="eastAsia" w:eastAsia="楷体"/>
                <w:color w:val="auto"/>
                <w:kern w:val="0"/>
                <w:sz w:val="24"/>
                <w:highlight w:val="none"/>
                <w:lang w:bidi="ar"/>
              </w:rPr>
              <w:t>37.80</w:t>
            </w:r>
          </w:p>
        </w:tc>
        <w:tc>
          <w:tcPr>
            <w:tcW w:w="907" w:type="dxa"/>
            <w:noWrap w:val="0"/>
            <w:vAlign w:val="center"/>
          </w:tcPr>
          <w:p w14:paraId="1CC07E13">
            <w:pPr>
              <w:widowControl/>
              <w:jc w:val="center"/>
              <w:textAlignment w:val="center"/>
              <w:rPr>
                <w:rFonts w:eastAsia="楷体"/>
                <w:color w:val="auto"/>
                <w:sz w:val="24"/>
                <w:highlight w:val="none"/>
              </w:rPr>
            </w:pPr>
            <w:r>
              <w:rPr>
                <w:rFonts w:hint="eastAsia" w:eastAsia="楷体"/>
                <w:color w:val="auto"/>
                <w:kern w:val="0"/>
                <w:sz w:val="24"/>
                <w:highlight w:val="none"/>
                <w:lang w:bidi="ar"/>
              </w:rPr>
              <w:t>37.90</w:t>
            </w:r>
          </w:p>
        </w:tc>
        <w:tc>
          <w:tcPr>
            <w:tcW w:w="907" w:type="dxa"/>
            <w:noWrap w:val="0"/>
            <w:vAlign w:val="center"/>
          </w:tcPr>
          <w:p w14:paraId="13C25EE6">
            <w:pPr>
              <w:widowControl/>
              <w:jc w:val="center"/>
              <w:textAlignment w:val="center"/>
              <w:rPr>
                <w:rFonts w:eastAsia="楷体"/>
                <w:color w:val="auto"/>
                <w:sz w:val="24"/>
                <w:highlight w:val="none"/>
              </w:rPr>
            </w:pPr>
            <w:r>
              <w:rPr>
                <w:rFonts w:hint="eastAsia" w:eastAsia="楷体"/>
                <w:color w:val="auto"/>
                <w:kern w:val="0"/>
                <w:sz w:val="24"/>
                <w:highlight w:val="none"/>
                <w:lang w:bidi="ar"/>
              </w:rPr>
              <w:t>38.00</w:t>
            </w:r>
          </w:p>
        </w:tc>
        <w:tc>
          <w:tcPr>
            <w:tcW w:w="906" w:type="dxa"/>
            <w:noWrap w:val="0"/>
            <w:vAlign w:val="center"/>
          </w:tcPr>
          <w:p w14:paraId="67DC130F">
            <w:pPr>
              <w:widowControl/>
              <w:jc w:val="center"/>
              <w:textAlignment w:val="center"/>
              <w:rPr>
                <w:rFonts w:eastAsia="楷体"/>
                <w:color w:val="auto"/>
                <w:sz w:val="24"/>
                <w:highlight w:val="none"/>
              </w:rPr>
            </w:pPr>
            <w:r>
              <w:rPr>
                <w:rFonts w:hint="eastAsia" w:eastAsia="楷体"/>
                <w:color w:val="auto"/>
                <w:kern w:val="0"/>
                <w:sz w:val="24"/>
                <w:highlight w:val="none"/>
                <w:lang w:bidi="ar"/>
              </w:rPr>
              <w:t>38.10</w:t>
            </w:r>
          </w:p>
        </w:tc>
        <w:tc>
          <w:tcPr>
            <w:tcW w:w="906" w:type="dxa"/>
            <w:noWrap w:val="0"/>
            <w:vAlign w:val="center"/>
          </w:tcPr>
          <w:p w14:paraId="1C5CFEDE">
            <w:pPr>
              <w:widowControl/>
              <w:jc w:val="center"/>
              <w:textAlignment w:val="center"/>
              <w:rPr>
                <w:rFonts w:eastAsia="楷体"/>
                <w:color w:val="auto"/>
                <w:sz w:val="24"/>
                <w:highlight w:val="none"/>
              </w:rPr>
            </w:pPr>
            <w:r>
              <w:rPr>
                <w:rFonts w:hint="eastAsia" w:eastAsia="楷体"/>
                <w:color w:val="auto"/>
                <w:kern w:val="0"/>
                <w:sz w:val="24"/>
                <w:highlight w:val="none"/>
                <w:lang w:bidi="ar"/>
              </w:rPr>
              <w:t>38.20</w:t>
            </w:r>
          </w:p>
        </w:tc>
        <w:tc>
          <w:tcPr>
            <w:tcW w:w="906" w:type="dxa"/>
            <w:noWrap w:val="0"/>
            <w:vAlign w:val="center"/>
          </w:tcPr>
          <w:p w14:paraId="50975880">
            <w:pPr>
              <w:widowControl/>
              <w:jc w:val="center"/>
              <w:textAlignment w:val="center"/>
              <w:rPr>
                <w:rFonts w:eastAsia="楷体"/>
                <w:color w:val="auto"/>
                <w:sz w:val="24"/>
                <w:highlight w:val="none"/>
              </w:rPr>
            </w:pPr>
            <w:r>
              <w:rPr>
                <w:rFonts w:hint="eastAsia" w:eastAsia="楷体"/>
                <w:color w:val="auto"/>
                <w:kern w:val="0"/>
                <w:sz w:val="24"/>
                <w:highlight w:val="none"/>
                <w:lang w:bidi="ar"/>
              </w:rPr>
              <w:t>38.30</w:t>
            </w:r>
          </w:p>
        </w:tc>
        <w:tc>
          <w:tcPr>
            <w:tcW w:w="906" w:type="dxa"/>
            <w:noWrap w:val="0"/>
            <w:vAlign w:val="top"/>
          </w:tcPr>
          <w:p w14:paraId="51322800">
            <w:pPr>
              <w:widowControl/>
              <w:jc w:val="center"/>
              <w:textAlignment w:val="center"/>
              <w:rPr>
                <w:rFonts w:eastAsia="楷体"/>
                <w:color w:val="auto"/>
                <w:kern w:val="0"/>
                <w:sz w:val="24"/>
                <w:highlight w:val="none"/>
                <w:lang w:bidi="ar"/>
              </w:rPr>
            </w:pPr>
            <w:r>
              <w:rPr>
                <w:rFonts w:hint="eastAsia" w:eastAsia="楷体"/>
                <w:color w:val="auto"/>
                <w:kern w:val="0"/>
                <w:sz w:val="24"/>
                <w:highlight w:val="none"/>
                <w:lang w:bidi="ar"/>
              </w:rPr>
              <w:t>38.40</w:t>
            </w:r>
          </w:p>
        </w:tc>
      </w:tr>
      <w:tr w14:paraId="4A810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2729DEC3">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822" w:type="dxa"/>
            <w:noWrap w:val="0"/>
            <w:vAlign w:val="center"/>
          </w:tcPr>
          <w:p w14:paraId="7E185486">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909" w:type="dxa"/>
            <w:noWrap w:val="0"/>
            <w:vAlign w:val="center"/>
          </w:tcPr>
          <w:p w14:paraId="1C931E8C">
            <w:pPr>
              <w:widowControl/>
              <w:jc w:val="center"/>
              <w:textAlignment w:val="center"/>
              <w:rPr>
                <w:rFonts w:eastAsia="楷体"/>
                <w:color w:val="auto"/>
                <w:sz w:val="24"/>
                <w:highlight w:val="none"/>
              </w:rPr>
            </w:pPr>
            <w:r>
              <w:rPr>
                <w:rFonts w:hint="eastAsia" w:eastAsia="楷体"/>
                <w:color w:val="auto"/>
                <w:kern w:val="0"/>
                <w:sz w:val="24"/>
                <w:highlight w:val="none"/>
                <w:lang w:bidi="ar"/>
              </w:rPr>
              <w:t>0.09</w:t>
            </w:r>
          </w:p>
        </w:tc>
        <w:tc>
          <w:tcPr>
            <w:tcW w:w="907" w:type="dxa"/>
            <w:noWrap w:val="0"/>
            <w:vAlign w:val="center"/>
          </w:tcPr>
          <w:p w14:paraId="40F45942">
            <w:pPr>
              <w:widowControl/>
              <w:jc w:val="center"/>
              <w:textAlignment w:val="center"/>
              <w:rPr>
                <w:rFonts w:eastAsia="楷体"/>
                <w:color w:val="auto"/>
                <w:sz w:val="24"/>
                <w:highlight w:val="none"/>
              </w:rPr>
            </w:pPr>
            <w:r>
              <w:rPr>
                <w:rFonts w:hint="eastAsia" w:eastAsia="楷体"/>
                <w:color w:val="auto"/>
                <w:kern w:val="0"/>
                <w:sz w:val="24"/>
                <w:highlight w:val="none"/>
                <w:lang w:bidi="ar"/>
              </w:rPr>
              <w:t>0.49</w:t>
            </w:r>
          </w:p>
        </w:tc>
        <w:tc>
          <w:tcPr>
            <w:tcW w:w="907" w:type="dxa"/>
            <w:noWrap w:val="0"/>
            <w:vAlign w:val="center"/>
          </w:tcPr>
          <w:p w14:paraId="22F948DE">
            <w:pPr>
              <w:widowControl/>
              <w:jc w:val="center"/>
              <w:textAlignment w:val="center"/>
              <w:rPr>
                <w:rFonts w:eastAsia="楷体"/>
                <w:color w:val="auto"/>
                <w:sz w:val="24"/>
                <w:highlight w:val="none"/>
              </w:rPr>
            </w:pPr>
            <w:r>
              <w:rPr>
                <w:rFonts w:hint="eastAsia" w:eastAsia="楷体"/>
                <w:color w:val="auto"/>
                <w:kern w:val="0"/>
                <w:sz w:val="24"/>
                <w:highlight w:val="none"/>
                <w:lang w:bidi="ar"/>
              </w:rPr>
              <w:t>1.05</w:t>
            </w:r>
          </w:p>
        </w:tc>
        <w:tc>
          <w:tcPr>
            <w:tcW w:w="906" w:type="dxa"/>
            <w:noWrap w:val="0"/>
            <w:vAlign w:val="center"/>
          </w:tcPr>
          <w:p w14:paraId="0AB5ABE3">
            <w:pPr>
              <w:widowControl/>
              <w:jc w:val="center"/>
              <w:textAlignment w:val="center"/>
              <w:rPr>
                <w:rFonts w:eastAsia="楷体"/>
                <w:color w:val="auto"/>
                <w:sz w:val="24"/>
                <w:highlight w:val="none"/>
              </w:rPr>
            </w:pPr>
            <w:r>
              <w:rPr>
                <w:rFonts w:hint="eastAsia" w:eastAsia="楷体"/>
                <w:color w:val="auto"/>
                <w:kern w:val="0"/>
                <w:sz w:val="24"/>
                <w:highlight w:val="none"/>
                <w:lang w:bidi="ar"/>
              </w:rPr>
              <w:t>1.74</w:t>
            </w:r>
          </w:p>
        </w:tc>
        <w:tc>
          <w:tcPr>
            <w:tcW w:w="906" w:type="dxa"/>
            <w:noWrap w:val="0"/>
            <w:vAlign w:val="center"/>
          </w:tcPr>
          <w:p w14:paraId="650444AF">
            <w:pPr>
              <w:widowControl/>
              <w:jc w:val="center"/>
              <w:textAlignment w:val="center"/>
              <w:rPr>
                <w:rFonts w:eastAsia="楷体"/>
                <w:color w:val="auto"/>
                <w:sz w:val="24"/>
                <w:highlight w:val="none"/>
              </w:rPr>
            </w:pPr>
            <w:r>
              <w:rPr>
                <w:rFonts w:hint="eastAsia" w:eastAsia="楷体"/>
                <w:color w:val="auto"/>
                <w:kern w:val="0"/>
                <w:sz w:val="24"/>
                <w:highlight w:val="none"/>
                <w:lang w:bidi="ar"/>
              </w:rPr>
              <w:t>2.53</w:t>
            </w:r>
          </w:p>
        </w:tc>
        <w:tc>
          <w:tcPr>
            <w:tcW w:w="906" w:type="dxa"/>
            <w:noWrap w:val="0"/>
            <w:vAlign w:val="center"/>
          </w:tcPr>
          <w:p w14:paraId="5A46EDF0">
            <w:pPr>
              <w:widowControl/>
              <w:jc w:val="center"/>
              <w:textAlignment w:val="center"/>
              <w:rPr>
                <w:rFonts w:eastAsia="楷体"/>
                <w:color w:val="auto"/>
                <w:sz w:val="24"/>
                <w:highlight w:val="none"/>
              </w:rPr>
            </w:pPr>
            <w:r>
              <w:rPr>
                <w:rFonts w:hint="eastAsia" w:eastAsia="楷体"/>
                <w:color w:val="auto"/>
                <w:kern w:val="0"/>
                <w:sz w:val="24"/>
                <w:highlight w:val="none"/>
                <w:lang w:bidi="ar"/>
              </w:rPr>
              <w:t>3.42</w:t>
            </w:r>
          </w:p>
        </w:tc>
        <w:tc>
          <w:tcPr>
            <w:tcW w:w="906" w:type="dxa"/>
            <w:noWrap w:val="0"/>
            <w:vAlign w:val="top"/>
          </w:tcPr>
          <w:p w14:paraId="787FE4A3">
            <w:pPr>
              <w:widowControl/>
              <w:jc w:val="center"/>
              <w:textAlignment w:val="center"/>
              <w:rPr>
                <w:rFonts w:eastAsia="楷体"/>
                <w:color w:val="auto"/>
                <w:kern w:val="0"/>
                <w:sz w:val="24"/>
                <w:highlight w:val="none"/>
                <w:lang w:bidi="ar"/>
              </w:rPr>
            </w:pPr>
            <w:r>
              <w:rPr>
                <w:rFonts w:hint="eastAsia" w:eastAsia="楷体"/>
                <w:color w:val="auto"/>
                <w:kern w:val="0"/>
                <w:sz w:val="24"/>
                <w:highlight w:val="none"/>
                <w:lang w:bidi="ar"/>
              </w:rPr>
              <w:t>4.40</w:t>
            </w:r>
          </w:p>
        </w:tc>
      </w:tr>
      <w:tr w14:paraId="6230B9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3BE21CD2">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822" w:type="dxa"/>
            <w:noWrap w:val="0"/>
            <w:vAlign w:val="center"/>
          </w:tcPr>
          <w:p w14:paraId="30B5652D">
            <w:pPr>
              <w:widowControl/>
              <w:jc w:val="center"/>
              <w:textAlignment w:val="center"/>
              <w:rPr>
                <w:rFonts w:eastAsia="楷体"/>
                <w:color w:val="auto"/>
                <w:sz w:val="24"/>
                <w:highlight w:val="none"/>
              </w:rPr>
            </w:pPr>
            <w:r>
              <w:rPr>
                <w:rFonts w:hint="eastAsia" w:eastAsia="楷体"/>
                <w:color w:val="auto"/>
                <w:kern w:val="0"/>
                <w:sz w:val="24"/>
                <w:highlight w:val="none"/>
                <w:lang w:bidi="ar"/>
              </w:rPr>
              <w:t>38.50</w:t>
            </w:r>
          </w:p>
        </w:tc>
        <w:tc>
          <w:tcPr>
            <w:tcW w:w="909" w:type="dxa"/>
            <w:noWrap w:val="0"/>
            <w:vAlign w:val="center"/>
          </w:tcPr>
          <w:p w14:paraId="3C7C8F61">
            <w:pPr>
              <w:widowControl/>
              <w:jc w:val="center"/>
              <w:textAlignment w:val="center"/>
              <w:rPr>
                <w:rFonts w:eastAsia="楷体"/>
                <w:color w:val="auto"/>
                <w:sz w:val="24"/>
                <w:highlight w:val="none"/>
              </w:rPr>
            </w:pPr>
            <w:r>
              <w:rPr>
                <w:rFonts w:hint="eastAsia" w:eastAsia="楷体"/>
                <w:color w:val="auto"/>
                <w:kern w:val="0"/>
                <w:sz w:val="24"/>
                <w:highlight w:val="none"/>
                <w:lang w:bidi="ar"/>
              </w:rPr>
              <w:t>38.60</w:t>
            </w:r>
          </w:p>
        </w:tc>
        <w:tc>
          <w:tcPr>
            <w:tcW w:w="907" w:type="dxa"/>
            <w:noWrap w:val="0"/>
            <w:vAlign w:val="center"/>
          </w:tcPr>
          <w:p w14:paraId="547FFE82">
            <w:pPr>
              <w:widowControl/>
              <w:jc w:val="center"/>
              <w:textAlignment w:val="center"/>
              <w:rPr>
                <w:rFonts w:eastAsia="楷体"/>
                <w:color w:val="auto"/>
                <w:sz w:val="24"/>
                <w:highlight w:val="none"/>
              </w:rPr>
            </w:pPr>
            <w:r>
              <w:rPr>
                <w:rFonts w:hint="eastAsia" w:eastAsia="楷体"/>
                <w:color w:val="auto"/>
                <w:kern w:val="0"/>
                <w:sz w:val="24"/>
                <w:highlight w:val="none"/>
                <w:lang w:bidi="ar"/>
              </w:rPr>
              <w:t>38.70</w:t>
            </w:r>
          </w:p>
        </w:tc>
        <w:tc>
          <w:tcPr>
            <w:tcW w:w="907" w:type="dxa"/>
            <w:noWrap w:val="0"/>
            <w:vAlign w:val="center"/>
          </w:tcPr>
          <w:p w14:paraId="3E3509E7">
            <w:pPr>
              <w:widowControl/>
              <w:jc w:val="center"/>
              <w:textAlignment w:val="center"/>
              <w:rPr>
                <w:rFonts w:eastAsia="楷体"/>
                <w:color w:val="auto"/>
                <w:sz w:val="24"/>
                <w:highlight w:val="none"/>
              </w:rPr>
            </w:pPr>
            <w:r>
              <w:rPr>
                <w:rFonts w:hint="eastAsia" w:eastAsia="楷体"/>
                <w:color w:val="auto"/>
                <w:kern w:val="0"/>
                <w:sz w:val="24"/>
                <w:highlight w:val="none"/>
                <w:lang w:bidi="ar"/>
              </w:rPr>
              <w:t>38.80</w:t>
            </w:r>
          </w:p>
        </w:tc>
        <w:tc>
          <w:tcPr>
            <w:tcW w:w="906" w:type="dxa"/>
            <w:noWrap w:val="0"/>
            <w:vAlign w:val="center"/>
          </w:tcPr>
          <w:p w14:paraId="0C28FAA2">
            <w:pPr>
              <w:widowControl/>
              <w:jc w:val="center"/>
              <w:textAlignment w:val="center"/>
              <w:rPr>
                <w:rFonts w:eastAsia="楷体"/>
                <w:color w:val="auto"/>
                <w:sz w:val="24"/>
                <w:highlight w:val="none"/>
              </w:rPr>
            </w:pPr>
            <w:r>
              <w:rPr>
                <w:rFonts w:hint="eastAsia" w:eastAsia="楷体"/>
                <w:color w:val="auto"/>
                <w:kern w:val="0"/>
                <w:sz w:val="24"/>
                <w:highlight w:val="none"/>
                <w:lang w:bidi="ar"/>
              </w:rPr>
              <w:t>38.90</w:t>
            </w:r>
          </w:p>
        </w:tc>
        <w:tc>
          <w:tcPr>
            <w:tcW w:w="906" w:type="dxa"/>
            <w:noWrap w:val="0"/>
            <w:vAlign w:val="center"/>
          </w:tcPr>
          <w:p w14:paraId="1D7D62D4">
            <w:pPr>
              <w:widowControl/>
              <w:jc w:val="center"/>
              <w:textAlignment w:val="center"/>
              <w:rPr>
                <w:rFonts w:eastAsia="楷体"/>
                <w:color w:val="auto"/>
                <w:sz w:val="24"/>
                <w:highlight w:val="none"/>
              </w:rPr>
            </w:pPr>
            <w:r>
              <w:rPr>
                <w:rFonts w:hint="eastAsia" w:eastAsia="楷体"/>
                <w:color w:val="auto"/>
                <w:kern w:val="0"/>
                <w:sz w:val="24"/>
                <w:highlight w:val="none"/>
                <w:lang w:bidi="ar"/>
              </w:rPr>
              <w:t>39.00</w:t>
            </w:r>
          </w:p>
        </w:tc>
        <w:tc>
          <w:tcPr>
            <w:tcW w:w="906" w:type="dxa"/>
            <w:noWrap w:val="0"/>
            <w:vAlign w:val="center"/>
          </w:tcPr>
          <w:p w14:paraId="27720D69">
            <w:pPr>
              <w:widowControl/>
              <w:jc w:val="center"/>
              <w:textAlignment w:val="center"/>
              <w:rPr>
                <w:rFonts w:eastAsia="楷体"/>
                <w:color w:val="auto"/>
                <w:sz w:val="24"/>
                <w:highlight w:val="none"/>
              </w:rPr>
            </w:pPr>
            <w:r>
              <w:rPr>
                <w:rFonts w:hint="eastAsia" w:eastAsia="楷体"/>
                <w:color w:val="auto"/>
                <w:kern w:val="0"/>
                <w:sz w:val="24"/>
                <w:highlight w:val="none"/>
                <w:lang w:bidi="ar"/>
              </w:rPr>
              <w:t>39.20</w:t>
            </w:r>
          </w:p>
        </w:tc>
        <w:tc>
          <w:tcPr>
            <w:tcW w:w="906" w:type="dxa"/>
            <w:noWrap w:val="0"/>
            <w:vAlign w:val="top"/>
          </w:tcPr>
          <w:p w14:paraId="6019282E">
            <w:pPr>
              <w:widowControl/>
              <w:jc w:val="center"/>
              <w:textAlignment w:val="center"/>
              <w:rPr>
                <w:rFonts w:eastAsia="楷体"/>
                <w:color w:val="auto"/>
                <w:kern w:val="0"/>
                <w:sz w:val="24"/>
                <w:highlight w:val="none"/>
                <w:lang w:bidi="ar"/>
              </w:rPr>
            </w:pPr>
          </w:p>
        </w:tc>
      </w:tr>
      <w:tr w14:paraId="7FFA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297F8376">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822" w:type="dxa"/>
            <w:noWrap w:val="0"/>
            <w:vAlign w:val="center"/>
          </w:tcPr>
          <w:p w14:paraId="643BA308">
            <w:pPr>
              <w:widowControl/>
              <w:jc w:val="center"/>
              <w:textAlignment w:val="center"/>
              <w:rPr>
                <w:rFonts w:eastAsia="楷体"/>
                <w:color w:val="auto"/>
                <w:sz w:val="24"/>
                <w:highlight w:val="none"/>
              </w:rPr>
            </w:pPr>
            <w:r>
              <w:rPr>
                <w:rFonts w:hint="eastAsia" w:eastAsia="楷体"/>
                <w:color w:val="auto"/>
                <w:kern w:val="0"/>
                <w:sz w:val="24"/>
                <w:highlight w:val="none"/>
                <w:lang w:bidi="ar"/>
              </w:rPr>
              <w:t>5.45</w:t>
            </w:r>
          </w:p>
        </w:tc>
        <w:tc>
          <w:tcPr>
            <w:tcW w:w="909" w:type="dxa"/>
            <w:noWrap w:val="0"/>
            <w:vAlign w:val="center"/>
          </w:tcPr>
          <w:p w14:paraId="61026615">
            <w:pPr>
              <w:widowControl/>
              <w:jc w:val="center"/>
              <w:textAlignment w:val="center"/>
              <w:rPr>
                <w:rFonts w:eastAsia="楷体"/>
                <w:color w:val="auto"/>
                <w:sz w:val="24"/>
                <w:highlight w:val="none"/>
              </w:rPr>
            </w:pPr>
            <w:r>
              <w:rPr>
                <w:rFonts w:hint="eastAsia" w:eastAsia="楷体"/>
                <w:color w:val="auto"/>
                <w:kern w:val="0"/>
                <w:sz w:val="24"/>
                <w:highlight w:val="none"/>
                <w:lang w:bidi="ar"/>
              </w:rPr>
              <w:t>6.58</w:t>
            </w:r>
          </w:p>
        </w:tc>
        <w:tc>
          <w:tcPr>
            <w:tcW w:w="907" w:type="dxa"/>
            <w:noWrap w:val="0"/>
            <w:vAlign w:val="center"/>
          </w:tcPr>
          <w:p w14:paraId="73AAFCBF">
            <w:pPr>
              <w:widowControl/>
              <w:jc w:val="center"/>
              <w:textAlignment w:val="center"/>
              <w:rPr>
                <w:rFonts w:eastAsia="楷体"/>
                <w:color w:val="auto"/>
                <w:sz w:val="24"/>
                <w:highlight w:val="none"/>
              </w:rPr>
            </w:pPr>
            <w:r>
              <w:rPr>
                <w:rFonts w:hint="eastAsia" w:eastAsia="楷体"/>
                <w:color w:val="auto"/>
                <w:kern w:val="0"/>
                <w:sz w:val="24"/>
                <w:highlight w:val="none"/>
                <w:lang w:bidi="ar"/>
              </w:rPr>
              <w:t>7.77</w:t>
            </w:r>
          </w:p>
        </w:tc>
        <w:tc>
          <w:tcPr>
            <w:tcW w:w="907" w:type="dxa"/>
            <w:noWrap w:val="0"/>
            <w:vAlign w:val="center"/>
          </w:tcPr>
          <w:p w14:paraId="15C46217">
            <w:pPr>
              <w:widowControl/>
              <w:jc w:val="center"/>
              <w:textAlignment w:val="center"/>
              <w:rPr>
                <w:rFonts w:eastAsia="楷体"/>
                <w:color w:val="auto"/>
                <w:sz w:val="24"/>
                <w:highlight w:val="none"/>
              </w:rPr>
            </w:pPr>
            <w:r>
              <w:rPr>
                <w:rFonts w:hint="eastAsia" w:eastAsia="楷体"/>
                <w:color w:val="auto"/>
                <w:kern w:val="0"/>
                <w:sz w:val="24"/>
                <w:highlight w:val="none"/>
                <w:lang w:bidi="ar"/>
              </w:rPr>
              <w:t>9.03</w:t>
            </w:r>
          </w:p>
        </w:tc>
        <w:tc>
          <w:tcPr>
            <w:tcW w:w="906" w:type="dxa"/>
            <w:noWrap w:val="0"/>
            <w:vAlign w:val="center"/>
          </w:tcPr>
          <w:p w14:paraId="75710599">
            <w:pPr>
              <w:widowControl/>
              <w:jc w:val="center"/>
              <w:textAlignment w:val="center"/>
              <w:rPr>
                <w:rFonts w:eastAsia="楷体"/>
                <w:color w:val="auto"/>
                <w:sz w:val="24"/>
                <w:highlight w:val="none"/>
              </w:rPr>
            </w:pPr>
            <w:r>
              <w:rPr>
                <w:rFonts w:hint="eastAsia" w:eastAsia="楷体"/>
                <w:color w:val="auto"/>
                <w:kern w:val="0"/>
                <w:sz w:val="24"/>
                <w:highlight w:val="none"/>
                <w:lang w:bidi="ar"/>
              </w:rPr>
              <w:t>10.35</w:t>
            </w:r>
          </w:p>
        </w:tc>
        <w:tc>
          <w:tcPr>
            <w:tcW w:w="906" w:type="dxa"/>
            <w:noWrap w:val="0"/>
            <w:vAlign w:val="center"/>
          </w:tcPr>
          <w:p w14:paraId="71F83BCF">
            <w:pPr>
              <w:widowControl/>
              <w:jc w:val="center"/>
              <w:textAlignment w:val="center"/>
              <w:rPr>
                <w:rFonts w:eastAsia="楷体"/>
                <w:color w:val="auto"/>
                <w:sz w:val="24"/>
                <w:highlight w:val="none"/>
              </w:rPr>
            </w:pPr>
            <w:r>
              <w:rPr>
                <w:rFonts w:hint="eastAsia" w:eastAsia="楷体"/>
                <w:color w:val="auto"/>
                <w:kern w:val="0"/>
                <w:sz w:val="24"/>
                <w:highlight w:val="none"/>
                <w:lang w:bidi="ar"/>
              </w:rPr>
              <w:t>11.73</w:t>
            </w:r>
          </w:p>
        </w:tc>
        <w:tc>
          <w:tcPr>
            <w:tcW w:w="906" w:type="dxa"/>
            <w:noWrap w:val="0"/>
            <w:vAlign w:val="center"/>
          </w:tcPr>
          <w:p w14:paraId="7D064917">
            <w:pPr>
              <w:widowControl/>
              <w:jc w:val="center"/>
              <w:textAlignment w:val="center"/>
              <w:rPr>
                <w:rFonts w:eastAsia="楷体"/>
                <w:color w:val="auto"/>
                <w:sz w:val="24"/>
                <w:highlight w:val="none"/>
              </w:rPr>
            </w:pPr>
            <w:r>
              <w:rPr>
                <w:rFonts w:hint="eastAsia" w:eastAsia="楷体"/>
                <w:color w:val="auto"/>
                <w:kern w:val="0"/>
                <w:sz w:val="24"/>
                <w:highlight w:val="none"/>
                <w:lang w:bidi="ar"/>
              </w:rPr>
              <w:t>14.65</w:t>
            </w:r>
          </w:p>
        </w:tc>
        <w:tc>
          <w:tcPr>
            <w:tcW w:w="906" w:type="dxa"/>
            <w:noWrap w:val="0"/>
            <w:vAlign w:val="top"/>
          </w:tcPr>
          <w:p w14:paraId="2C6E14D5">
            <w:pPr>
              <w:widowControl/>
              <w:jc w:val="center"/>
              <w:textAlignment w:val="center"/>
              <w:rPr>
                <w:rFonts w:eastAsia="楷体"/>
                <w:color w:val="auto"/>
                <w:kern w:val="0"/>
                <w:sz w:val="24"/>
                <w:highlight w:val="none"/>
                <w:lang w:bidi="ar"/>
              </w:rPr>
            </w:pPr>
          </w:p>
        </w:tc>
      </w:tr>
    </w:tbl>
    <w:p w14:paraId="2BB285B7">
      <w:pPr>
        <w:spacing w:line="520" w:lineRule="exact"/>
        <w:outlineLvl w:val="2"/>
        <w:rPr>
          <w:rFonts w:eastAsia="楷体"/>
          <w:b/>
          <w:bCs/>
          <w:color w:val="auto"/>
          <w:sz w:val="32"/>
          <w:szCs w:val="30"/>
          <w:highlight w:val="none"/>
        </w:rPr>
      </w:pPr>
      <w:r>
        <w:rPr>
          <w:rFonts w:eastAsia="楷体"/>
          <w:b/>
          <w:bCs/>
          <w:color w:val="auto"/>
          <w:sz w:val="32"/>
          <w:szCs w:val="30"/>
          <w:highlight w:val="none"/>
        </w:rPr>
        <w:t>2.2.3 水库枢纽工程历次重大改建、扩建、加固基本情况</w:t>
      </w:r>
    </w:p>
    <w:p w14:paraId="3F176107">
      <w:pPr>
        <w:spacing w:line="520" w:lineRule="exact"/>
        <w:ind w:firstLine="560" w:firstLineChars="200"/>
        <w:rPr>
          <w:rFonts w:hint="eastAsia" w:eastAsia="楷体"/>
          <w:color w:val="auto"/>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rPr>
        <w:t>3</w:t>
      </w:r>
      <w:r>
        <w:rPr>
          <w:rFonts w:eastAsia="楷体"/>
          <w:color w:val="auto"/>
          <w:kern w:val="0"/>
          <w:sz w:val="28"/>
          <w:szCs w:val="28"/>
          <w:highlight w:val="none"/>
        </w:rPr>
        <w:t>年3月，</w:t>
      </w:r>
      <w:r>
        <w:rPr>
          <w:rFonts w:hint="eastAsia" w:eastAsia="楷体"/>
          <w:color w:val="auto"/>
          <w:sz w:val="28"/>
          <w:szCs w:val="28"/>
          <w:highlight w:val="none"/>
        </w:rPr>
        <w:t>泉港区农水局组织对前烧水库进行安全鉴定，鉴定结论为三类坝；2013年5月，泉港区农</w:t>
      </w:r>
      <w:r>
        <w:rPr>
          <w:rFonts w:hint="eastAsia" w:eastAsia="楷体"/>
          <w:color w:val="auto"/>
          <w:sz w:val="28"/>
          <w:szCs w:val="28"/>
          <w:highlight w:val="none"/>
          <w:lang w:eastAsia="zh-CN"/>
        </w:rPr>
        <w:t>水局</w:t>
      </w:r>
      <w:r>
        <w:rPr>
          <w:rFonts w:hint="eastAsia" w:eastAsia="楷体"/>
          <w:color w:val="auto"/>
          <w:sz w:val="28"/>
          <w:szCs w:val="28"/>
          <w:highlight w:val="none"/>
        </w:rPr>
        <w:t>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2013年12月～2014年10月进行水库除险加固施工，主要工程措施：</w:t>
      </w:r>
    </w:p>
    <w:p w14:paraId="4AC85B1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（1）大坝加固工程</w:t>
      </w:r>
    </w:p>
    <w:p w14:paraId="3441B0DE">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Ansi="楷体" w:eastAsia="楷体"/>
          <w:color w:val="auto"/>
          <w:sz w:val="28"/>
          <w:szCs w:val="28"/>
          <w:highlight w:val="none"/>
        </w:rPr>
        <w:t>）大坝防渗加固工程</w:t>
      </w:r>
    </w:p>
    <w:p w14:paraId="0B5E5369">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在大坝坝顶进行单管高压旋喷构筑垂直防渗墙，对全坝段防渗处理，旋喷桩单排，桩径</w:t>
      </w:r>
      <w:r>
        <w:rPr>
          <w:rFonts w:eastAsia="楷体"/>
          <w:color w:val="auto"/>
          <w:sz w:val="28"/>
          <w:szCs w:val="28"/>
          <w:highlight w:val="none"/>
        </w:rPr>
        <w:t>φ0.6m</w:t>
      </w:r>
      <w:r>
        <w:rPr>
          <w:rFonts w:hAnsi="楷体" w:eastAsia="楷体"/>
          <w:color w:val="auto"/>
          <w:sz w:val="28"/>
          <w:szCs w:val="28"/>
          <w:highlight w:val="none"/>
        </w:rPr>
        <w:t>，孔距</w:t>
      </w:r>
      <w:r>
        <w:rPr>
          <w:rFonts w:eastAsia="楷体"/>
          <w:color w:val="auto"/>
          <w:sz w:val="28"/>
          <w:szCs w:val="28"/>
          <w:highlight w:val="none"/>
        </w:rPr>
        <w:t>0.45~0.5m</w:t>
      </w:r>
      <w:r>
        <w:rPr>
          <w:rFonts w:hAnsi="楷体" w:eastAsia="楷体"/>
          <w:color w:val="auto"/>
          <w:sz w:val="28"/>
          <w:szCs w:val="28"/>
          <w:highlight w:val="none"/>
        </w:rPr>
        <w:t>，进入粉质粘土层</w:t>
      </w:r>
      <w:r>
        <w:rPr>
          <w:rFonts w:eastAsia="楷体"/>
          <w:color w:val="auto"/>
          <w:sz w:val="28"/>
          <w:szCs w:val="28"/>
          <w:highlight w:val="none"/>
        </w:rPr>
        <w:t>0.5m</w:t>
      </w:r>
      <w:r>
        <w:rPr>
          <w:rFonts w:hAnsi="楷体" w:eastAsia="楷体"/>
          <w:color w:val="auto"/>
          <w:sz w:val="28"/>
          <w:szCs w:val="28"/>
          <w:highlight w:val="none"/>
        </w:rPr>
        <w:t>。</w:t>
      </w:r>
    </w:p>
    <w:p w14:paraId="73A255EB">
      <w:pPr>
        <w:spacing w:line="520" w:lineRule="exact"/>
        <w:ind w:firstLine="560" w:firstLineChars="200"/>
        <w:rPr>
          <w:rFonts w:eastAsia="楷体"/>
          <w:color w:val="auto"/>
          <w:sz w:val="28"/>
          <w:szCs w:val="28"/>
          <w:highlight w:val="none"/>
        </w:rPr>
      </w:pPr>
      <w:r>
        <w:rPr>
          <w:rFonts w:eastAsia="楷体"/>
          <w:color w:val="auto"/>
          <w:sz w:val="28"/>
          <w:szCs w:val="28"/>
          <w:highlight w:val="none"/>
        </w:rPr>
        <w:t>2</w:t>
      </w:r>
      <w:r>
        <w:rPr>
          <w:rFonts w:hAnsi="楷体" w:eastAsia="楷体"/>
          <w:color w:val="auto"/>
          <w:sz w:val="28"/>
          <w:szCs w:val="28"/>
          <w:highlight w:val="none"/>
        </w:rPr>
        <w:t>）迎水坡加固设计</w:t>
      </w:r>
    </w:p>
    <w:p w14:paraId="172F0CEA">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迎水坡采用干砌条石对高程</w:t>
      </w:r>
      <w:r>
        <w:rPr>
          <w:rFonts w:eastAsia="楷体"/>
          <w:color w:val="auto"/>
          <w:sz w:val="28"/>
          <w:szCs w:val="28"/>
          <w:highlight w:val="none"/>
        </w:rPr>
        <w:t>34.20m</w:t>
      </w:r>
      <w:r>
        <w:rPr>
          <w:rFonts w:hAnsi="楷体" w:eastAsia="楷体"/>
          <w:color w:val="auto"/>
          <w:sz w:val="28"/>
          <w:szCs w:val="28"/>
          <w:highlight w:val="none"/>
        </w:rPr>
        <w:t>以上坝坡进行翻砌，拆除原干砌块石，清理坝坡，根据设计坡度进行整坡，对下陷变形处进行回填粘土并夯实，在</w:t>
      </w:r>
      <w:r>
        <w:rPr>
          <w:rFonts w:eastAsia="楷体"/>
          <w:color w:val="auto"/>
          <w:sz w:val="28"/>
          <w:szCs w:val="28"/>
          <w:highlight w:val="none"/>
        </w:rPr>
        <w:t>34.20m</w:t>
      </w:r>
      <w:r>
        <w:rPr>
          <w:rFonts w:hAnsi="楷体" w:eastAsia="楷体"/>
          <w:color w:val="auto"/>
          <w:sz w:val="28"/>
          <w:szCs w:val="28"/>
          <w:highlight w:val="none"/>
        </w:rPr>
        <w:t>处利用迎水坡拆除块石新建</w:t>
      </w:r>
      <w:r>
        <w:rPr>
          <w:rFonts w:eastAsia="楷体"/>
          <w:color w:val="auto"/>
          <w:sz w:val="28"/>
          <w:szCs w:val="28"/>
          <w:highlight w:val="none"/>
        </w:rPr>
        <w:t>M10</w:t>
      </w:r>
      <w:r>
        <w:rPr>
          <w:rFonts w:hAnsi="楷体" w:eastAsia="楷体"/>
          <w:color w:val="auto"/>
          <w:sz w:val="28"/>
          <w:szCs w:val="28"/>
          <w:highlight w:val="none"/>
        </w:rPr>
        <w:t>浆砌块石护脚及两坝肩处的</w:t>
      </w:r>
      <w:r>
        <w:rPr>
          <w:rFonts w:eastAsia="楷体"/>
          <w:color w:val="auto"/>
          <w:sz w:val="28"/>
          <w:szCs w:val="28"/>
          <w:highlight w:val="none"/>
        </w:rPr>
        <w:t>M10</w:t>
      </w:r>
      <w:r>
        <w:rPr>
          <w:rFonts w:hAnsi="楷体" w:eastAsia="楷体"/>
          <w:color w:val="auto"/>
          <w:sz w:val="28"/>
          <w:szCs w:val="28"/>
          <w:highlight w:val="none"/>
        </w:rPr>
        <w:t>浆砌块石封边。护脚至坝顶的坝面铺设一层</w:t>
      </w:r>
      <w:r>
        <w:rPr>
          <w:rFonts w:eastAsia="楷体"/>
          <w:color w:val="auto"/>
          <w:sz w:val="28"/>
          <w:szCs w:val="28"/>
          <w:highlight w:val="none"/>
        </w:rPr>
        <w:t>300g/m</w:t>
      </w:r>
      <w:r>
        <w:rPr>
          <w:rFonts w:eastAsia="楷体"/>
          <w:color w:val="auto"/>
          <w:sz w:val="28"/>
          <w:szCs w:val="28"/>
          <w:highlight w:val="none"/>
          <w:vertAlign w:val="superscript"/>
        </w:rPr>
        <w:t>2</w:t>
      </w:r>
      <w:r>
        <w:rPr>
          <w:rFonts w:hAnsi="楷体" w:eastAsia="楷体"/>
          <w:color w:val="auto"/>
          <w:sz w:val="28"/>
          <w:szCs w:val="28"/>
          <w:highlight w:val="none"/>
        </w:rPr>
        <w:t>土工布，从下往上依次铺设</w:t>
      </w:r>
      <w:r>
        <w:rPr>
          <w:rFonts w:eastAsia="楷体"/>
          <w:color w:val="auto"/>
          <w:sz w:val="28"/>
          <w:szCs w:val="28"/>
          <w:highlight w:val="none"/>
        </w:rPr>
        <w:t>100mm</w:t>
      </w:r>
      <w:r>
        <w:rPr>
          <w:rFonts w:hAnsi="楷体" w:eastAsia="楷体"/>
          <w:color w:val="auto"/>
          <w:sz w:val="28"/>
          <w:szCs w:val="28"/>
          <w:highlight w:val="none"/>
        </w:rPr>
        <w:t>厚的砂垫层、</w:t>
      </w:r>
      <w:r>
        <w:rPr>
          <w:rFonts w:eastAsia="楷体"/>
          <w:color w:val="auto"/>
          <w:sz w:val="28"/>
          <w:szCs w:val="28"/>
          <w:highlight w:val="none"/>
        </w:rPr>
        <w:t>100mm</w:t>
      </w:r>
      <w:r>
        <w:rPr>
          <w:rFonts w:hAnsi="楷体" w:eastAsia="楷体"/>
          <w:color w:val="auto"/>
          <w:sz w:val="28"/>
          <w:szCs w:val="28"/>
          <w:highlight w:val="none"/>
        </w:rPr>
        <w:t>厚的碎石垫层和</w:t>
      </w:r>
      <w:r>
        <w:rPr>
          <w:rFonts w:eastAsia="楷体"/>
          <w:color w:val="auto"/>
          <w:sz w:val="28"/>
          <w:szCs w:val="28"/>
          <w:highlight w:val="none"/>
        </w:rPr>
        <w:t>220mm</w:t>
      </w:r>
      <w:r>
        <w:rPr>
          <w:rFonts w:hAnsi="楷体" w:eastAsia="楷体"/>
          <w:color w:val="auto"/>
          <w:sz w:val="28"/>
          <w:szCs w:val="28"/>
          <w:highlight w:val="none"/>
        </w:rPr>
        <w:t>厚的干砌条石护坡。在高程</w:t>
      </w:r>
      <w:r>
        <w:rPr>
          <w:rFonts w:eastAsia="楷体"/>
          <w:color w:val="auto"/>
          <w:sz w:val="28"/>
          <w:szCs w:val="28"/>
          <w:highlight w:val="none"/>
        </w:rPr>
        <w:t>36.00m</w:t>
      </w:r>
      <w:r>
        <w:rPr>
          <w:rFonts w:hAnsi="楷体" w:eastAsia="楷体"/>
          <w:color w:val="auto"/>
          <w:sz w:val="28"/>
          <w:szCs w:val="28"/>
          <w:highlight w:val="none"/>
        </w:rPr>
        <w:t>处设一道防滑槽，将土工布插入</w:t>
      </w:r>
      <w:r>
        <w:rPr>
          <w:rFonts w:eastAsia="楷体"/>
          <w:color w:val="auto"/>
          <w:sz w:val="28"/>
          <w:szCs w:val="28"/>
          <w:highlight w:val="none"/>
        </w:rPr>
        <w:t>M10</w:t>
      </w:r>
      <w:r>
        <w:rPr>
          <w:rFonts w:hAnsi="楷体" w:eastAsia="楷体"/>
          <w:color w:val="auto"/>
          <w:sz w:val="28"/>
          <w:szCs w:val="28"/>
          <w:highlight w:val="none"/>
        </w:rPr>
        <w:t>浆砌块石护脚及坡顶</w:t>
      </w:r>
      <w:r>
        <w:rPr>
          <w:rFonts w:eastAsia="楷体"/>
          <w:color w:val="auto"/>
          <w:sz w:val="28"/>
          <w:szCs w:val="28"/>
          <w:highlight w:val="none"/>
        </w:rPr>
        <w:t>C25</w:t>
      </w:r>
      <w:r>
        <w:rPr>
          <w:rFonts w:hAnsi="楷体" w:eastAsia="楷体"/>
          <w:color w:val="auto"/>
          <w:sz w:val="28"/>
          <w:szCs w:val="28"/>
          <w:highlight w:val="none"/>
        </w:rPr>
        <w:t>素砼路肩中，提高抗滑稳定性。迎水坡桩号</w:t>
      </w:r>
      <w:r>
        <w:rPr>
          <w:rFonts w:eastAsia="楷体"/>
          <w:color w:val="auto"/>
          <w:sz w:val="28"/>
          <w:szCs w:val="28"/>
          <w:highlight w:val="none"/>
        </w:rPr>
        <w:t>B0+050.0</w:t>
      </w:r>
      <w:r>
        <w:rPr>
          <w:rFonts w:hAnsi="楷体" w:eastAsia="楷体"/>
          <w:color w:val="auto"/>
          <w:sz w:val="28"/>
          <w:szCs w:val="28"/>
          <w:highlight w:val="none"/>
        </w:rPr>
        <w:t>、</w:t>
      </w:r>
      <w:r>
        <w:rPr>
          <w:rFonts w:eastAsia="楷体"/>
          <w:color w:val="auto"/>
          <w:sz w:val="28"/>
          <w:szCs w:val="28"/>
          <w:highlight w:val="none"/>
        </w:rPr>
        <w:t>B0+125.0</w:t>
      </w:r>
      <w:r>
        <w:rPr>
          <w:rFonts w:hAnsi="楷体" w:eastAsia="楷体"/>
          <w:color w:val="auto"/>
          <w:sz w:val="28"/>
          <w:szCs w:val="28"/>
          <w:highlight w:val="none"/>
        </w:rPr>
        <w:t>分别设</w:t>
      </w:r>
      <w:r>
        <w:rPr>
          <w:rFonts w:eastAsia="楷体"/>
          <w:color w:val="auto"/>
          <w:sz w:val="28"/>
          <w:szCs w:val="28"/>
          <w:highlight w:val="none"/>
        </w:rPr>
        <w:t>1.0m</w:t>
      </w:r>
      <w:r>
        <w:rPr>
          <w:rFonts w:hAnsi="楷体" w:eastAsia="楷体"/>
          <w:color w:val="auto"/>
          <w:sz w:val="28"/>
          <w:szCs w:val="28"/>
          <w:highlight w:val="none"/>
        </w:rPr>
        <w:t>宽的下坡台阶。</w:t>
      </w:r>
    </w:p>
    <w:p w14:paraId="5AFB1A49">
      <w:pPr>
        <w:spacing w:line="520" w:lineRule="exact"/>
        <w:ind w:firstLine="560" w:firstLineChars="200"/>
        <w:rPr>
          <w:rFonts w:eastAsia="楷体"/>
          <w:color w:val="auto"/>
          <w:sz w:val="28"/>
          <w:szCs w:val="28"/>
          <w:highlight w:val="none"/>
        </w:rPr>
      </w:pPr>
      <w:r>
        <w:rPr>
          <w:rFonts w:eastAsia="楷体"/>
          <w:color w:val="auto"/>
          <w:sz w:val="28"/>
          <w:szCs w:val="28"/>
          <w:highlight w:val="none"/>
        </w:rPr>
        <w:t>3</w:t>
      </w:r>
      <w:r>
        <w:rPr>
          <w:rFonts w:hAnsi="楷体" w:eastAsia="楷体"/>
          <w:color w:val="auto"/>
          <w:sz w:val="28"/>
          <w:szCs w:val="28"/>
          <w:highlight w:val="none"/>
        </w:rPr>
        <w:t>）背水坡加固设计</w:t>
      </w:r>
    </w:p>
    <w:p w14:paraId="6274B8BE">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全面清除背水坡面上树木、草皮、树根及其他杂物，按</w:t>
      </w:r>
      <w:r>
        <w:rPr>
          <w:rFonts w:hint="eastAsia" w:hAnsi="楷体" w:eastAsia="楷体"/>
          <w:color w:val="auto"/>
          <w:sz w:val="28"/>
          <w:szCs w:val="28"/>
          <w:highlight w:val="none"/>
        </w:rPr>
        <w:t>原</w:t>
      </w:r>
      <w:r>
        <w:rPr>
          <w:rFonts w:hAnsi="楷体" w:eastAsia="楷体"/>
          <w:color w:val="auto"/>
          <w:sz w:val="28"/>
          <w:szCs w:val="28"/>
          <w:highlight w:val="none"/>
        </w:rPr>
        <w:t>有坡度整坡，对下陷变形处进行回填粘土并夯实。坝坡重新铺设草皮护坡，两坝肩处设</w:t>
      </w:r>
      <w:r>
        <w:rPr>
          <w:rFonts w:eastAsia="楷体"/>
          <w:color w:val="auto"/>
          <w:sz w:val="28"/>
          <w:szCs w:val="28"/>
          <w:highlight w:val="none"/>
        </w:rPr>
        <w:t>1.0m</w:t>
      </w:r>
      <w:r>
        <w:rPr>
          <w:rFonts w:hAnsi="楷体" w:eastAsia="楷体"/>
          <w:color w:val="auto"/>
          <w:sz w:val="28"/>
          <w:szCs w:val="28"/>
          <w:highlight w:val="none"/>
        </w:rPr>
        <w:t>宽</w:t>
      </w:r>
      <w:r>
        <w:rPr>
          <w:rFonts w:eastAsia="楷体"/>
          <w:color w:val="auto"/>
          <w:sz w:val="28"/>
          <w:szCs w:val="28"/>
          <w:highlight w:val="none"/>
        </w:rPr>
        <w:t>C20</w:t>
      </w:r>
      <w:r>
        <w:rPr>
          <w:rFonts w:hAnsi="楷体" w:eastAsia="楷体"/>
          <w:color w:val="auto"/>
          <w:sz w:val="28"/>
          <w:szCs w:val="28"/>
          <w:highlight w:val="none"/>
        </w:rPr>
        <w:t>素砼下坡台阶。拆除原干砌条石排水棱体，利用迎水坡及溢洪道拆除块石新建干砌块石排水棱体，排水棱体内外侧坡比分别为</w:t>
      </w:r>
      <w:r>
        <w:rPr>
          <w:rFonts w:eastAsia="楷体"/>
          <w:color w:val="auto"/>
          <w:sz w:val="28"/>
          <w:szCs w:val="28"/>
          <w:highlight w:val="none"/>
        </w:rPr>
        <w:t>1:1.5</w:t>
      </w:r>
      <w:r>
        <w:rPr>
          <w:rFonts w:hAnsi="楷体" w:eastAsia="楷体"/>
          <w:color w:val="auto"/>
          <w:sz w:val="28"/>
          <w:szCs w:val="28"/>
          <w:highlight w:val="none"/>
        </w:rPr>
        <w:t>、</w:t>
      </w:r>
      <w:r>
        <w:rPr>
          <w:rFonts w:eastAsia="楷体"/>
          <w:color w:val="auto"/>
          <w:sz w:val="28"/>
          <w:szCs w:val="28"/>
          <w:highlight w:val="none"/>
        </w:rPr>
        <w:t>1:1</w:t>
      </w:r>
      <w:r>
        <w:rPr>
          <w:rFonts w:hAnsi="楷体" w:eastAsia="楷体"/>
          <w:color w:val="auto"/>
          <w:sz w:val="28"/>
          <w:szCs w:val="28"/>
          <w:highlight w:val="none"/>
        </w:rPr>
        <w:t>。</w:t>
      </w:r>
    </w:p>
    <w:p w14:paraId="702FF237">
      <w:pPr>
        <w:spacing w:line="520" w:lineRule="exact"/>
        <w:ind w:firstLine="560" w:firstLineChars="200"/>
        <w:rPr>
          <w:rFonts w:eastAsia="楷体"/>
          <w:color w:val="auto"/>
          <w:sz w:val="28"/>
          <w:szCs w:val="28"/>
          <w:highlight w:val="none"/>
        </w:rPr>
      </w:pPr>
      <w:r>
        <w:rPr>
          <w:rFonts w:eastAsia="楷体"/>
          <w:color w:val="auto"/>
          <w:sz w:val="28"/>
          <w:szCs w:val="28"/>
          <w:highlight w:val="none"/>
        </w:rPr>
        <w:t>4</w:t>
      </w:r>
      <w:r>
        <w:rPr>
          <w:rFonts w:hAnsi="楷体" w:eastAsia="楷体"/>
          <w:color w:val="auto"/>
          <w:sz w:val="28"/>
          <w:szCs w:val="28"/>
          <w:highlight w:val="none"/>
        </w:rPr>
        <w:t>）坝顶加固设计</w:t>
      </w:r>
    </w:p>
    <w:p w14:paraId="5AB9FB16">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统一坝顶高程为</w:t>
      </w:r>
      <w:r>
        <w:rPr>
          <w:rFonts w:eastAsia="楷体"/>
          <w:color w:val="auto"/>
          <w:sz w:val="28"/>
          <w:szCs w:val="28"/>
          <w:highlight w:val="none"/>
        </w:rPr>
        <w:t>40.08mm</w:t>
      </w:r>
      <w:r>
        <w:rPr>
          <w:rFonts w:hAnsi="楷体" w:eastAsia="楷体"/>
          <w:color w:val="auto"/>
          <w:sz w:val="28"/>
          <w:szCs w:val="28"/>
          <w:highlight w:val="none"/>
        </w:rPr>
        <w:t>，坝顶宽度</w:t>
      </w:r>
      <w:r>
        <w:rPr>
          <w:rFonts w:eastAsia="楷体"/>
          <w:color w:val="auto"/>
          <w:sz w:val="28"/>
          <w:szCs w:val="28"/>
          <w:highlight w:val="none"/>
        </w:rPr>
        <w:t>3.75m</w:t>
      </w:r>
      <w:r>
        <w:rPr>
          <w:rFonts w:hAnsi="楷体" w:eastAsia="楷体"/>
          <w:color w:val="auto"/>
          <w:sz w:val="28"/>
          <w:szCs w:val="28"/>
          <w:highlight w:val="none"/>
        </w:rPr>
        <w:t>，加固前先对坝顶进行清理、平整、夯实，对凹陷变形处进行粘土回填并夯实，回填压实后土体的压实度应不小于</w:t>
      </w:r>
      <w:r>
        <w:rPr>
          <w:rFonts w:eastAsia="楷体"/>
          <w:color w:val="auto"/>
          <w:sz w:val="28"/>
          <w:szCs w:val="28"/>
          <w:highlight w:val="none"/>
        </w:rPr>
        <w:t>0.96</w:t>
      </w:r>
      <w:r>
        <w:rPr>
          <w:rFonts w:hAnsi="楷体" w:eastAsia="楷体"/>
          <w:color w:val="auto"/>
          <w:sz w:val="28"/>
          <w:szCs w:val="28"/>
          <w:highlight w:val="none"/>
        </w:rPr>
        <w:t>。</w:t>
      </w:r>
      <w:r>
        <w:rPr>
          <w:rFonts w:eastAsia="楷体"/>
          <w:color w:val="auto"/>
          <w:sz w:val="28"/>
          <w:highlight w:val="none"/>
        </w:rPr>
        <w:t xml:space="preserve"> </w:t>
      </w:r>
      <w:r>
        <w:rPr>
          <w:rFonts w:hAnsi="楷体" w:eastAsia="楷体"/>
          <w:color w:val="auto"/>
          <w:sz w:val="28"/>
          <w:highlight w:val="none"/>
        </w:rPr>
        <w:t>而后铺设</w:t>
      </w:r>
      <w:r>
        <w:rPr>
          <w:rFonts w:eastAsia="楷体"/>
          <w:color w:val="auto"/>
          <w:sz w:val="28"/>
          <w:szCs w:val="28"/>
          <w:highlight w:val="none"/>
        </w:rPr>
        <w:t>5%</w:t>
      </w:r>
      <w:r>
        <w:rPr>
          <w:rFonts w:hAnsi="楷体" w:eastAsia="楷体"/>
          <w:color w:val="auto"/>
          <w:sz w:val="28"/>
          <w:szCs w:val="28"/>
          <w:highlight w:val="none"/>
        </w:rPr>
        <w:t>水泥稳定碎石层厚</w:t>
      </w:r>
      <w:r>
        <w:rPr>
          <w:rFonts w:eastAsia="楷体"/>
          <w:color w:val="auto"/>
          <w:sz w:val="28"/>
          <w:szCs w:val="28"/>
          <w:highlight w:val="none"/>
        </w:rPr>
        <w:t>100mm</w:t>
      </w:r>
      <w:r>
        <w:rPr>
          <w:rFonts w:hAnsi="楷体" w:eastAsia="楷体"/>
          <w:color w:val="auto"/>
          <w:sz w:val="28"/>
          <w:szCs w:val="28"/>
          <w:highlight w:val="none"/>
        </w:rPr>
        <w:t>，</w:t>
      </w:r>
      <w:r>
        <w:rPr>
          <w:rFonts w:eastAsia="楷体"/>
          <w:color w:val="auto"/>
          <w:sz w:val="28"/>
          <w:szCs w:val="28"/>
          <w:highlight w:val="none"/>
        </w:rPr>
        <w:t>C25</w:t>
      </w:r>
      <w:r>
        <w:rPr>
          <w:rFonts w:hAnsi="楷体" w:eastAsia="楷体"/>
          <w:color w:val="auto"/>
          <w:sz w:val="28"/>
          <w:szCs w:val="28"/>
          <w:highlight w:val="none"/>
        </w:rPr>
        <w:t>砼路面厚</w:t>
      </w:r>
      <w:r>
        <w:rPr>
          <w:rFonts w:eastAsia="楷体"/>
          <w:color w:val="auto"/>
          <w:sz w:val="28"/>
          <w:szCs w:val="28"/>
          <w:highlight w:val="none"/>
        </w:rPr>
        <w:t>180mm</w:t>
      </w:r>
      <w:r>
        <w:rPr>
          <w:rFonts w:hAnsi="楷体" w:eastAsia="楷体"/>
          <w:color w:val="auto"/>
          <w:sz w:val="28"/>
          <w:szCs w:val="28"/>
          <w:highlight w:val="none"/>
        </w:rPr>
        <w:t>。上、下游设</w:t>
      </w:r>
      <w:r>
        <w:rPr>
          <w:rFonts w:eastAsia="楷体"/>
          <w:color w:val="auto"/>
          <w:sz w:val="28"/>
          <w:szCs w:val="28"/>
          <w:highlight w:val="none"/>
        </w:rPr>
        <w:t>50×50cm(</w:t>
      </w:r>
      <w:r>
        <w:rPr>
          <w:rFonts w:hAnsi="楷体" w:eastAsia="楷体"/>
          <w:color w:val="auto"/>
          <w:sz w:val="28"/>
          <w:szCs w:val="28"/>
          <w:highlight w:val="none"/>
        </w:rPr>
        <w:t>宽</w:t>
      </w:r>
      <w:r>
        <w:rPr>
          <w:rFonts w:eastAsia="楷体"/>
          <w:color w:val="auto"/>
          <w:sz w:val="28"/>
          <w:szCs w:val="28"/>
          <w:highlight w:val="none"/>
        </w:rPr>
        <w:t>×</w:t>
      </w:r>
      <w:r>
        <w:rPr>
          <w:rFonts w:hAnsi="楷体" w:eastAsia="楷体"/>
          <w:color w:val="auto"/>
          <w:sz w:val="28"/>
          <w:szCs w:val="28"/>
          <w:highlight w:val="none"/>
        </w:rPr>
        <w:t>高</w:t>
      </w:r>
      <w:r>
        <w:rPr>
          <w:rFonts w:eastAsia="楷体"/>
          <w:color w:val="auto"/>
          <w:sz w:val="28"/>
          <w:szCs w:val="28"/>
          <w:highlight w:val="none"/>
        </w:rPr>
        <w:t>)C25</w:t>
      </w:r>
      <w:r>
        <w:rPr>
          <w:rFonts w:hAnsi="楷体" w:eastAsia="楷体"/>
          <w:color w:val="auto"/>
          <w:sz w:val="28"/>
          <w:szCs w:val="28"/>
          <w:highlight w:val="none"/>
        </w:rPr>
        <w:t>素砼路肩，路面向上游设</w:t>
      </w:r>
      <w:r>
        <w:rPr>
          <w:rFonts w:eastAsia="楷体"/>
          <w:color w:val="auto"/>
          <w:sz w:val="28"/>
          <w:szCs w:val="28"/>
          <w:highlight w:val="none"/>
        </w:rPr>
        <w:t>2%</w:t>
      </w:r>
      <w:r>
        <w:rPr>
          <w:rFonts w:hAnsi="楷体" w:eastAsia="楷体"/>
          <w:color w:val="auto"/>
          <w:sz w:val="28"/>
          <w:szCs w:val="28"/>
          <w:highlight w:val="none"/>
        </w:rPr>
        <w:t>的横坡。</w:t>
      </w:r>
      <w:r>
        <w:rPr>
          <w:rFonts w:hAnsi="楷体" w:eastAsia="楷体"/>
          <w:color w:val="auto"/>
          <w:sz w:val="28"/>
          <w:highlight w:val="none"/>
        </w:rPr>
        <w:t>大坝上游侧设</w:t>
      </w:r>
      <w:r>
        <w:rPr>
          <w:rFonts w:eastAsia="楷体"/>
          <w:color w:val="auto"/>
          <w:sz w:val="28"/>
          <w:highlight w:val="none"/>
        </w:rPr>
        <w:t>1.2m</w:t>
      </w:r>
      <w:r>
        <w:rPr>
          <w:rFonts w:hAnsi="楷体" w:eastAsia="楷体"/>
          <w:color w:val="auto"/>
          <w:sz w:val="28"/>
          <w:highlight w:val="none"/>
        </w:rPr>
        <w:t>高的条石栏杆</w:t>
      </w:r>
      <w:r>
        <w:rPr>
          <w:rFonts w:hAnsi="楷体" w:eastAsia="楷体"/>
          <w:color w:val="auto"/>
          <w:sz w:val="28"/>
          <w:szCs w:val="28"/>
          <w:highlight w:val="none"/>
        </w:rPr>
        <w:t>。</w:t>
      </w:r>
    </w:p>
    <w:p w14:paraId="297424BB">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2</w:t>
      </w:r>
      <w:r>
        <w:rPr>
          <w:rFonts w:hAnsi="楷体" w:eastAsia="楷体"/>
          <w:color w:val="auto"/>
          <w:sz w:val="28"/>
          <w:szCs w:val="28"/>
          <w:highlight w:val="none"/>
        </w:rPr>
        <w:t>）溢洪道加固工程</w:t>
      </w:r>
    </w:p>
    <w:p w14:paraId="62F6BD67">
      <w:pPr>
        <w:spacing w:line="520" w:lineRule="exact"/>
        <w:ind w:firstLine="560" w:firstLineChars="200"/>
        <w:rPr>
          <w:rFonts w:eastAsia="楷体"/>
          <w:color w:val="auto"/>
          <w:kern w:val="0"/>
          <w:sz w:val="28"/>
          <w:szCs w:val="28"/>
          <w:highlight w:val="none"/>
        </w:rPr>
      </w:pPr>
      <w:r>
        <w:rPr>
          <w:rFonts w:hAnsi="楷体" w:eastAsia="楷体"/>
          <w:color w:val="auto"/>
          <w:sz w:val="28"/>
          <w:highlight w:val="none"/>
        </w:rPr>
        <w:t>溢洪道加固内容：清除溢洪道的杂草及灌木；对两侧浆砌石边墙采用</w:t>
      </w:r>
      <w:r>
        <w:rPr>
          <w:rFonts w:eastAsia="楷体"/>
          <w:color w:val="auto"/>
          <w:sz w:val="28"/>
          <w:highlight w:val="none"/>
        </w:rPr>
        <w:t>M10</w:t>
      </w:r>
      <w:r>
        <w:rPr>
          <w:rFonts w:hAnsi="楷体" w:eastAsia="楷体"/>
          <w:color w:val="auto"/>
          <w:sz w:val="28"/>
          <w:highlight w:val="none"/>
        </w:rPr>
        <w:t>水泥砂浆勾缝；对</w:t>
      </w:r>
      <w:r>
        <w:rPr>
          <w:rFonts w:hAnsi="楷体" w:eastAsia="楷体"/>
          <w:color w:val="auto"/>
          <w:kern w:val="0"/>
          <w:sz w:val="28"/>
          <w:szCs w:val="28"/>
          <w:highlight w:val="none"/>
        </w:rPr>
        <w:t>溢洪道下游右侧水毁处进行修复；拆除桩号</w:t>
      </w:r>
      <w:r>
        <w:rPr>
          <w:rFonts w:eastAsia="楷体"/>
          <w:color w:val="auto"/>
          <w:kern w:val="0"/>
          <w:sz w:val="28"/>
          <w:szCs w:val="28"/>
          <w:highlight w:val="none"/>
        </w:rPr>
        <w:t>H0+130.0</w:t>
      </w:r>
      <w:r>
        <w:rPr>
          <w:rFonts w:hAnsi="楷体" w:eastAsia="楷体"/>
          <w:color w:val="auto"/>
          <w:kern w:val="0"/>
          <w:sz w:val="28"/>
          <w:szCs w:val="28"/>
          <w:highlight w:val="none"/>
        </w:rPr>
        <w:t>～</w:t>
      </w:r>
      <w:r>
        <w:rPr>
          <w:rFonts w:eastAsia="楷体"/>
          <w:color w:val="auto"/>
          <w:kern w:val="0"/>
          <w:sz w:val="28"/>
          <w:szCs w:val="28"/>
          <w:highlight w:val="none"/>
        </w:rPr>
        <w:t>H0+180.0</w:t>
      </w:r>
      <w:r>
        <w:rPr>
          <w:rFonts w:hAnsi="楷体" w:eastAsia="楷体"/>
          <w:color w:val="auto"/>
          <w:kern w:val="0"/>
          <w:sz w:val="28"/>
          <w:szCs w:val="28"/>
          <w:highlight w:val="none"/>
        </w:rPr>
        <w:t>处侧墙与底板，利用迎水坡拆除块石新建</w:t>
      </w:r>
      <w:r>
        <w:rPr>
          <w:rFonts w:eastAsia="楷体"/>
          <w:color w:val="auto"/>
          <w:kern w:val="0"/>
          <w:sz w:val="28"/>
          <w:szCs w:val="28"/>
          <w:highlight w:val="none"/>
        </w:rPr>
        <w:t>C25</w:t>
      </w:r>
      <w:r>
        <w:rPr>
          <w:rFonts w:hAnsi="楷体" w:eastAsia="楷体"/>
          <w:color w:val="auto"/>
          <w:kern w:val="0"/>
          <w:sz w:val="28"/>
          <w:szCs w:val="28"/>
          <w:highlight w:val="none"/>
        </w:rPr>
        <w:t>砼砌块石底板与侧墙；新建</w:t>
      </w:r>
      <w:r>
        <w:rPr>
          <w:rFonts w:eastAsia="楷体"/>
          <w:color w:val="auto"/>
          <w:kern w:val="0"/>
          <w:sz w:val="28"/>
          <w:szCs w:val="28"/>
          <w:highlight w:val="none"/>
        </w:rPr>
        <w:t>C25</w:t>
      </w:r>
      <w:r>
        <w:rPr>
          <w:rFonts w:hAnsi="楷体" w:eastAsia="楷体"/>
          <w:color w:val="auto"/>
          <w:kern w:val="0"/>
          <w:sz w:val="28"/>
          <w:szCs w:val="28"/>
          <w:highlight w:val="none"/>
        </w:rPr>
        <w:t>砼砌块石消力池，形式是垂</w:t>
      </w:r>
      <w:r>
        <w:rPr>
          <w:rFonts w:hAnsi="楷体" w:eastAsia="楷体"/>
          <w:color w:val="auto"/>
          <w:sz w:val="28"/>
          <w:szCs w:val="28"/>
          <w:highlight w:val="none"/>
        </w:rPr>
        <w:t>直式跌水墙单级跌水消力池</w:t>
      </w:r>
      <w:r>
        <w:rPr>
          <w:rFonts w:hAnsi="楷体" w:eastAsia="楷体"/>
          <w:color w:val="auto"/>
          <w:kern w:val="0"/>
          <w:sz w:val="28"/>
          <w:szCs w:val="28"/>
          <w:highlight w:val="none"/>
        </w:rPr>
        <w:t>，长</w:t>
      </w:r>
      <w:r>
        <w:rPr>
          <w:rFonts w:eastAsia="楷体"/>
          <w:color w:val="auto"/>
          <w:kern w:val="0"/>
          <w:sz w:val="28"/>
          <w:szCs w:val="28"/>
          <w:highlight w:val="none"/>
        </w:rPr>
        <w:t>4.0m</w:t>
      </w:r>
      <w:r>
        <w:rPr>
          <w:rFonts w:hAnsi="楷体" w:eastAsia="楷体"/>
          <w:color w:val="auto"/>
          <w:kern w:val="0"/>
          <w:sz w:val="28"/>
          <w:szCs w:val="28"/>
          <w:highlight w:val="none"/>
        </w:rPr>
        <w:t>，宽</w:t>
      </w:r>
      <w:r>
        <w:rPr>
          <w:rFonts w:eastAsia="楷体"/>
          <w:color w:val="auto"/>
          <w:kern w:val="0"/>
          <w:sz w:val="28"/>
          <w:szCs w:val="28"/>
          <w:highlight w:val="none"/>
        </w:rPr>
        <w:t>8.0m</w:t>
      </w:r>
      <w:r>
        <w:rPr>
          <w:rFonts w:hAnsi="楷体" w:eastAsia="楷体"/>
          <w:color w:val="auto"/>
          <w:kern w:val="0"/>
          <w:sz w:val="28"/>
          <w:szCs w:val="28"/>
          <w:highlight w:val="none"/>
        </w:rPr>
        <w:t>，深</w:t>
      </w:r>
      <w:r>
        <w:rPr>
          <w:rFonts w:eastAsia="楷体"/>
          <w:color w:val="auto"/>
          <w:kern w:val="0"/>
          <w:sz w:val="28"/>
          <w:szCs w:val="28"/>
          <w:highlight w:val="none"/>
        </w:rPr>
        <w:t>1.0m</w:t>
      </w:r>
      <w:r>
        <w:rPr>
          <w:rFonts w:hAnsi="楷体" w:eastAsia="楷体"/>
          <w:color w:val="auto"/>
          <w:kern w:val="0"/>
          <w:sz w:val="28"/>
          <w:szCs w:val="28"/>
          <w:highlight w:val="none"/>
        </w:rPr>
        <w:t>；利用溢洪道拆除条石新建</w:t>
      </w:r>
      <w:r>
        <w:rPr>
          <w:rFonts w:eastAsia="楷体"/>
          <w:color w:val="auto"/>
          <w:kern w:val="0"/>
          <w:sz w:val="28"/>
          <w:szCs w:val="28"/>
          <w:highlight w:val="none"/>
        </w:rPr>
        <w:t>M10</w:t>
      </w:r>
      <w:r>
        <w:rPr>
          <w:rFonts w:hAnsi="楷体" w:eastAsia="楷体"/>
          <w:color w:val="auto"/>
          <w:kern w:val="0"/>
          <w:sz w:val="28"/>
          <w:szCs w:val="28"/>
          <w:highlight w:val="none"/>
        </w:rPr>
        <w:t>浆砌条石海漫，长</w:t>
      </w:r>
      <w:r>
        <w:rPr>
          <w:rFonts w:eastAsia="楷体"/>
          <w:color w:val="auto"/>
          <w:kern w:val="0"/>
          <w:sz w:val="28"/>
          <w:szCs w:val="28"/>
          <w:highlight w:val="none"/>
        </w:rPr>
        <w:t>5.0m</w:t>
      </w:r>
      <w:r>
        <w:rPr>
          <w:rFonts w:hAnsi="楷体" w:eastAsia="楷体"/>
          <w:color w:val="auto"/>
          <w:kern w:val="0"/>
          <w:sz w:val="28"/>
          <w:szCs w:val="28"/>
          <w:highlight w:val="none"/>
        </w:rPr>
        <w:t>；</w:t>
      </w:r>
      <w:r>
        <w:rPr>
          <w:rFonts w:hAnsi="楷体" w:eastAsia="楷体"/>
          <w:color w:val="auto"/>
          <w:sz w:val="28"/>
          <w:szCs w:val="28"/>
          <w:highlight w:val="none"/>
        </w:rPr>
        <w:t>拆除现浆砌条石交通桥，在原位置设一道两跨总长</w:t>
      </w:r>
      <w:r>
        <w:rPr>
          <w:rFonts w:eastAsia="楷体"/>
          <w:color w:val="auto"/>
          <w:sz w:val="28"/>
          <w:szCs w:val="28"/>
          <w:highlight w:val="none"/>
        </w:rPr>
        <w:t>8.1m</w:t>
      </w:r>
      <w:r>
        <w:rPr>
          <w:rFonts w:hAnsi="楷体" w:eastAsia="楷体"/>
          <w:color w:val="auto"/>
          <w:sz w:val="28"/>
          <w:szCs w:val="28"/>
          <w:highlight w:val="none"/>
        </w:rPr>
        <w:t>，宽</w:t>
      </w:r>
      <w:r>
        <w:rPr>
          <w:rFonts w:eastAsia="楷体"/>
          <w:color w:val="auto"/>
          <w:sz w:val="28"/>
          <w:szCs w:val="28"/>
          <w:highlight w:val="none"/>
        </w:rPr>
        <w:t>3.6m</w:t>
      </w:r>
      <w:r>
        <w:rPr>
          <w:rFonts w:hAnsi="楷体" w:eastAsia="楷体"/>
          <w:color w:val="auto"/>
          <w:sz w:val="28"/>
          <w:szCs w:val="28"/>
          <w:highlight w:val="none"/>
        </w:rPr>
        <w:t>的交通桥，</w:t>
      </w:r>
      <w:r>
        <w:rPr>
          <w:rFonts w:hAnsi="楷体" w:eastAsia="楷体"/>
          <w:color w:val="auto"/>
          <w:kern w:val="0"/>
          <w:sz w:val="28"/>
          <w:szCs w:val="28"/>
          <w:highlight w:val="none"/>
        </w:rPr>
        <w:t>桥板采用</w:t>
      </w:r>
      <w:r>
        <w:rPr>
          <w:rFonts w:eastAsia="楷体"/>
          <w:color w:val="auto"/>
          <w:kern w:val="0"/>
          <w:sz w:val="28"/>
          <w:szCs w:val="28"/>
          <w:highlight w:val="none"/>
        </w:rPr>
        <w:t>C30</w:t>
      </w:r>
      <w:r>
        <w:rPr>
          <w:rFonts w:hAnsi="楷体" w:eastAsia="楷体"/>
          <w:color w:val="auto"/>
          <w:kern w:val="0"/>
          <w:sz w:val="28"/>
          <w:szCs w:val="28"/>
          <w:highlight w:val="none"/>
        </w:rPr>
        <w:t>钢筋砼结构，支撑长度</w:t>
      </w:r>
      <w:r>
        <w:rPr>
          <w:rFonts w:eastAsia="楷体"/>
          <w:color w:val="auto"/>
          <w:kern w:val="0"/>
          <w:sz w:val="28"/>
          <w:szCs w:val="28"/>
          <w:highlight w:val="none"/>
        </w:rPr>
        <w:t>300mm</w:t>
      </w:r>
      <w:r>
        <w:rPr>
          <w:rFonts w:hAnsi="楷体" w:eastAsia="楷体"/>
          <w:color w:val="auto"/>
          <w:kern w:val="0"/>
          <w:sz w:val="28"/>
          <w:szCs w:val="28"/>
          <w:highlight w:val="none"/>
        </w:rPr>
        <w:t>，边墩迎水侧与溢洪道侧墙衔接，背水坡坡比</w:t>
      </w:r>
      <w:r>
        <w:rPr>
          <w:rFonts w:eastAsia="楷体"/>
          <w:color w:val="auto"/>
          <w:kern w:val="0"/>
          <w:sz w:val="28"/>
          <w:szCs w:val="28"/>
          <w:highlight w:val="none"/>
        </w:rPr>
        <w:t>1</w:t>
      </w:r>
      <w:r>
        <w:rPr>
          <w:rFonts w:hAnsi="楷体" w:eastAsia="楷体"/>
          <w:color w:val="auto"/>
          <w:kern w:val="0"/>
          <w:sz w:val="28"/>
          <w:szCs w:val="28"/>
          <w:highlight w:val="none"/>
        </w:rPr>
        <w:t>：</w:t>
      </w:r>
      <w:r>
        <w:rPr>
          <w:rFonts w:eastAsia="楷体"/>
          <w:color w:val="auto"/>
          <w:kern w:val="0"/>
          <w:sz w:val="28"/>
          <w:szCs w:val="28"/>
          <w:highlight w:val="none"/>
        </w:rPr>
        <w:t>0.1</w:t>
      </w:r>
      <w:r>
        <w:rPr>
          <w:rFonts w:hAnsi="楷体" w:eastAsia="楷体"/>
          <w:color w:val="auto"/>
          <w:kern w:val="0"/>
          <w:sz w:val="28"/>
          <w:szCs w:val="28"/>
          <w:highlight w:val="none"/>
        </w:rPr>
        <w:t>，墙身为</w:t>
      </w:r>
      <w:r>
        <w:rPr>
          <w:rFonts w:eastAsia="楷体"/>
          <w:color w:val="auto"/>
          <w:kern w:val="0"/>
          <w:sz w:val="28"/>
          <w:szCs w:val="28"/>
          <w:highlight w:val="none"/>
        </w:rPr>
        <w:t>C25</w:t>
      </w:r>
      <w:r>
        <w:rPr>
          <w:rFonts w:hAnsi="楷体" w:eastAsia="楷体"/>
          <w:color w:val="auto"/>
          <w:kern w:val="0"/>
          <w:sz w:val="28"/>
          <w:szCs w:val="28"/>
          <w:highlight w:val="none"/>
        </w:rPr>
        <w:t>埋石砼结构，中墩为</w:t>
      </w:r>
      <w:r>
        <w:rPr>
          <w:rFonts w:eastAsia="楷体"/>
          <w:color w:val="auto"/>
          <w:kern w:val="0"/>
          <w:sz w:val="28"/>
          <w:szCs w:val="28"/>
          <w:highlight w:val="none"/>
        </w:rPr>
        <w:t>C25</w:t>
      </w:r>
      <w:r>
        <w:rPr>
          <w:rFonts w:hAnsi="楷体" w:eastAsia="楷体"/>
          <w:color w:val="auto"/>
          <w:kern w:val="0"/>
          <w:sz w:val="28"/>
          <w:szCs w:val="28"/>
          <w:highlight w:val="none"/>
        </w:rPr>
        <w:t>埋石砼结构。</w:t>
      </w:r>
    </w:p>
    <w:p w14:paraId="662098A7">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3</w:t>
      </w:r>
      <w:r>
        <w:rPr>
          <w:rFonts w:hAnsi="楷体" w:eastAsia="楷体"/>
          <w:color w:val="auto"/>
          <w:sz w:val="28"/>
          <w:szCs w:val="28"/>
          <w:highlight w:val="none"/>
        </w:rPr>
        <w:t>）输水涵洞加固工程</w:t>
      </w:r>
    </w:p>
    <w:p w14:paraId="76CF80ED">
      <w:pPr>
        <w:spacing w:line="520" w:lineRule="exact"/>
        <w:ind w:firstLine="560" w:firstLineChars="200"/>
        <w:rPr>
          <w:rFonts w:eastAsia="楷体"/>
          <w:color w:val="auto"/>
          <w:kern w:val="0"/>
          <w:sz w:val="28"/>
          <w:szCs w:val="28"/>
          <w:highlight w:val="none"/>
        </w:rPr>
      </w:pPr>
      <w:r>
        <w:rPr>
          <w:rFonts w:hAnsi="楷体" w:eastAsia="楷体"/>
          <w:color w:val="auto"/>
          <w:sz w:val="28"/>
          <w:szCs w:val="28"/>
          <w:highlight w:val="none"/>
        </w:rPr>
        <w:t>本次将高、低涵原进口消力井拆除，分别重建进口</w:t>
      </w:r>
      <w:r>
        <w:rPr>
          <w:rFonts w:eastAsia="楷体"/>
          <w:color w:val="auto"/>
          <w:sz w:val="28"/>
          <w:szCs w:val="28"/>
          <w:highlight w:val="none"/>
        </w:rPr>
        <w:t>C25</w:t>
      </w:r>
      <w:r>
        <w:rPr>
          <w:rFonts w:hAnsi="楷体" w:eastAsia="楷体"/>
          <w:color w:val="auto"/>
          <w:sz w:val="28"/>
          <w:szCs w:val="28"/>
          <w:highlight w:val="none"/>
        </w:rPr>
        <w:t>钢筋砼消力井，配套转动门盖、拦污栅、拉杆、支墩、</w:t>
      </w:r>
      <w:r>
        <w:rPr>
          <w:rFonts w:eastAsia="楷体"/>
          <w:color w:val="auto"/>
          <w:sz w:val="28"/>
          <w:szCs w:val="28"/>
          <w:highlight w:val="none"/>
        </w:rPr>
        <w:t>3t</w:t>
      </w:r>
      <w:r>
        <w:rPr>
          <w:rFonts w:hAnsi="楷体" w:eastAsia="楷体"/>
          <w:color w:val="auto"/>
          <w:sz w:val="28"/>
          <w:szCs w:val="28"/>
          <w:highlight w:val="none"/>
        </w:rPr>
        <w:t>卷扬式启闭机、坝顶新建</w:t>
      </w:r>
      <w:r>
        <w:rPr>
          <w:rFonts w:eastAsia="楷体"/>
          <w:color w:val="auto"/>
          <w:sz w:val="28"/>
          <w:szCs w:val="28"/>
          <w:highlight w:val="none"/>
        </w:rPr>
        <w:t>5m</w:t>
      </w:r>
      <w:r>
        <w:rPr>
          <w:rFonts w:eastAsia="楷体"/>
          <w:color w:val="auto"/>
          <w:sz w:val="28"/>
          <w:szCs w:val="28"/>
          <w:highlight w:val="none"/>
          <w:vertAlign w:val="superscript"/>
        </w:rPr>
        <w:t>2</w:t>
      </w:r>
      <w:r>
        <w:rPr>
          <w:rFonts w:hAnsi="楷体" w:eastAsia="楷体"/>
          <w:color w:val="auto"/>
          <w:sz w:val="28"/>
          <w:szCs w:val="28"/>
          <w:highlight w:val="none"/>
        </w:rPr>
        <w:t>启闭房、涵洞身套</w:t>
      </w:r>
      <w:r>
        <w:rPr>
          <w:rFonts w:eastAsia="楷体"/>
          <w:color w:val="auto"/>
          <w:sz w:val="28"/>
          <w:szCs w:val="28"/>
          <w:highlight w:val="none"/>
        </w:rPr>
        <w:t>De400PE</w:t>
      </w:r>
      <w:r>
        <w:rPr>
          <w:rFonts w:hAnsi="楷体" w:eastAsia="楷体"/>
          <w:color w:val="auto"/>
          <w:sz w:val="28"/>
          <w:szCs w:val="28"/>
          <w:highlight w:val="none"/>
        </w:rPr>
        <w:t>管。</w:t>
      </w:r>
    </w:p>
    <w:p w14:paraId="3D2FDF96">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4</w:t>
      </w:r>
      <w:r>
        <w:rPr>
          <w:rFonts w:hAnsi="楷体" w:eastAsia="楷体"/>
          <w:color w:val="auto"/>
          <w:sz w:val="28"/>
          <w:szCs w:val="28"/>
          <w:highlight w:val="none"/>
        </w:rPr>
        <w:t>）白蚁防治</w:t>
      </w:r>
    </w:p>
    <w:p w14:paraId="33D8E5D9">
      <w:pPr>
        <w:spacing w:line="520" w:lineRule="exact"/>
        <w:ind w:firstLine="560" w:firstLineChars="200"/>
        <w:rPr>
          <w:rFonts w:hint="eastAsia" w:hAnsi="楷体" w:eastAsia="楷体"/>
          <w:color w:val="auto"/>
          <w:sz w:val="28"/>
          <w:szCs w:val="28"/>
          <w:highlight w:val="none"/>
        </w:rPr>
      </w:pPr>
      <w:r>
        <w:rPr>
          <w:rFonts w:hAnsi="楷体" w:eastAsia="楷体"/>
          <w:color w:val="auto"/>
          <w:sz w:val="28"/>
          <w:szCs w:val="28"/>
          <w:highlight w:val="none"/>
        </w:rPr>
        <w:t>前烧水库大坝存在白蚁危害，</w:t>
      </w:r>
      <w:r>
        <w:rPr>
          <w:rFonts w:hint="eastAsia" w:hAnsi="楷体" w:eastAsia="楷体"/>
          <w:color w:val="auto"/>
          <w:sz w:val="28"/>
          <w:szCs w:val="28"/>
          <w:highlight w:val="none"/>
        </w:rPr>
        <w:t>该次加固进行</w:t>
      </w:r>
      <w:r>
        <w:rPr>
          <w:rFonts w:hAnsi="楷体" w:eastAsia="楷体"/>
          <w:color w:val="auto"/>
          <w:sz w:val="28"/>
          <w:szCs w:val="28"/>
          <w:highlight w:val="none"/>
        </w:rPr>
        <w:t>白蚁防治：挖巢找</w:t>
      </w:r>
    </w:p>
    <w:p w14:paraId="75CF11F5">
      <w:pPr>
        <w:spacing w:line="520" w:lineRule="exact"/>
        <w:rPr>
          <w:rFonts w:eastAsia="楷体"/>
          <w:color w:val="auto"/>
          <w:sz w:val="28"/>
          <w:szCs w:val="28"/>
          <w:highlight w:val="none"/>
        </w:rPr>
      </w:pPr>
      <w:r>
        <w:rPr>
          <w:rFonts w:hAnsi="楷体" w:eastAsia="楷体"/>
          <w:color w:val="auto"/>
          <w:sz w:val="28"/>
          <w:szCs w:val="28"/>
          <w:highlight w:val="none"/>
        </w:rPr>
        <w:t>穴</w:t>
      </w:r>
      <w:r>
        <w:rPr>
          <w:rFonts w:hint="eastAsia" w:eastAsia="楷体"/>
          <w:color w:val="auto"/>
          <w:sz w:val="28"/>
          <w:szCs w:val="28"/>
          <w:highlight w:val="none"/>
        </w:rPr>
        <w:t>——</w:t>
      </w:r>
      <w:r>
        <w:rPr>
          <w:rFonts w:hAnsi="楷体" w:eastAsia="楷体"/>
          <w:color w:val="auto"/>
          <w:sz w:val="28"/>
          <w:szCs w:val="28"/>
          <w:highlight w:val="none"/>
        </w:rPr>
        <w:t>造孔</w:t>
      </w:r>
      <w:r>
        <w:rPr>
          <w:rFonts w:hint="eastAsia" w:eastAsia="楷体"/>
          <w:color w:val="auto"/>
          <w:sz w:val="28"/>
          <w:szCs w:val="28"/>
          <w:highlight w:val="none"/>
        </w:rPr>
        <w:t>——</w:t>
      </w:r>
      <w:r>
        <w:rPr>
          <w:rFonts w:hAnsi="楷体" w:eastAsia="楷体"/>
          <w:color w:val="auto"/>
          <w:sz w:val="28"/>
          <w:szCs w:val="28"/>
          <w:highlight w:val="none"/>
        </w:rPr>
        <w:t>配制药物浆水</w:t>
      </w:r>
      <w:r>
        <w:rPr>
          <w:rFonts w:hint="eastAsia" w:eastAsia="楷体"/>
          <w:color w:val="auto"/>
          <w:sz w:val="28"/>
          <w:szCs w:val="28"/>
          <w:highlight w:val="none"/>
        </w:rPr>
        <w:t>——</w:t>
      </w:r>
      <w:r>
        <w:rPr>
          <w:rFonts w:hAnsi="楷体" w:eastAsia="楷体"/>
          <w:color w:val="auto"/>
          <w:sz w:val="28"/>
          <w:szCs w:val="28"/>
          <w:highlight w:val="none"/>
        </w:rPr>
        <w:t>灌浆</w:t>
      </w:r>
      <w:r>
        <w:rPr>
          <w:rFonts w:hint="eastAsia" w:eastAsia="楷体"/>
          <w:color w:val="auto"/>
          <w:sz w:val="28"/>
          <w:szCs w:val="28"/>
          <w:highlight w:val="none"/>
        </w:rPr>
        <w:t>——</w:t>
      </w:r>
      <w:r>
        <w:rPr>
          <w:rFonts w:hAnsi="楷体" w:eastAsia="楷体"/>
          <w:color w:val="auto"/>
          <w:sz w:val="28"/>
          <w:szCs w:val="28"/>
          <w:highlight w:val="none"/>
        </w:rPr>
        <w:t>设置隔离防护沟。</w:t>
      </w:r>
    </w:p>
    <w:p w14:paraId="34388484">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5</w:t>
      </w:r>
      <w:r>
        <w:rPr>
          <w:rFonts w:hAnsi="楷体" w:eastAsia="楷体"/>
          <w:color w:val="auto"/>
          <w:sz w:val="28"/>
          <w:szCs w:val="28"/>
          <w:highlight w:val="none"/>
        </w:rPr>
        <w:t>）防汛道路</w:t>
      </w:r>
    </w:p>
    <w:p w14:paraId="53CB9213">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本次加固对防汛道路进行平整夯实</w:t>
      </w:r>
      <w:r>
        <w:rPr>
          <w:rFonts w:hAnsi="楷体" w:eastAsia="楷体"/>
          <w:color w:val="auto"/>
          <w:kern w:val="0"/>
          <w:sz w:val="28"/>
          <w:szCs w:val="28"/>
          <w:highlight w:val="none"/>
        </w:rPr>
        <w:t>。</w:t>
      </w:r>
    </w:p>
    <w:p w14:paraId="574C79C0">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6</w:t>
      </w:r>
      <w:r>
        <w:rPr>
          <w:rFonts w:hAnsi="楷体" w:eastAsia="楷体"/>
          <w:color w:val="auto"/>
          <w:sz w:val="28"/>
          <w:szCs w:val="28"/>
          <w:highlight w:val="none"/>
        </w:rPr>
        <w:t>）水库管理房</w:t>
      </w:r>
    </w:p>
    <w:p w14:paraId="7FCE4CB3">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拆除值守房，对大坝左坝端的地面进行平整，在此处新建一座单层砖混结构的水库管理房，面积约</w:t>
      </w:r>
      <w:r>
        <w:rPr>
          <w:rFonts w:eastAsia="楷体"/>
          <w:color w:val="auto"/>
          <w:sz w:val="28"/>
          <w:szCs w:val="28"/>
          <w:highlight w:val="none"/>
        </w:rPr>
        <w:t>58m</w:t>
      </w:r>
      <w:r>
        <w:rPr>
          <w:rFonts w:eastAsia="楷体"/>
          <w:color w:val="auto"/>
          <w:sz w:val="28"/>
          <w:szCs w:val="28"/>
          <w:highlight w:val="none"/>
          <w:vertAlign w:val="superscript"/>
        </w:rPr>
        <w:t>2</w:t>
      </w:r>
      <w:r>
        <w:rPr>
          <w:rFonts w:hAnsi="楷体" w:eastAsia="楷体"/>
          <w:color w:val="auto"/>
          <w:sz w:val="28"/>
          <w:szCs w:val="28"/>
          <w:highlight w:val="none"/>
        </w:rPr>
        <w:t>，达到满足水库运行调度和物资储备，保证水库正常运行。</w:t>
      </w:r>
    </w:p>
    <w:p w14:paraId="41239D6B">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7</w:t>
      </w:r>
      <w:r>
        <w:rPr>
          <w:rFonts w:hAnsi="楷体" w:eastAsia="楷体"/>
          <w:color w:val="auto"/>
          <w:sz w:val="28"/>
          <w:szCs w:val="28"/>
          <w:highlight w:val="none"/>
        </w:rPr>
        <w:t>）大坝安全监测设计</w:t>
      </w:r>
    </w:p>
    <w:p w14:paraId="43788B59">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增设水尺进行库区水位观测。从高程</w:t>
      </w:r>
      <w:r>
        <w:rPr>
          <w:rFonts w:eastAsia="楷体"/>
          <w:color w:val="auto"/>
          <w:sz w:val="28"/>
          <w:szCs w:val="28"/>
          <w:highlight w:val="none"/>
        </w:rPr>
        <w:t>28.00m</w:t>
      </w:r>
      <w:r>
        <w:rPr>
          <w:rFonts w:hAnsi="楷体" w:eastAsia="楷体"/>
          <w:color w:val="auto"/>
          <w:sz w:val="28"/>
          <w:szCs w:val="28"/>
          <w:highlight w:val="none"/>
        </w:rPr>
        <w:t>至</w:t>
      </w:r>
      <w:r>
        <w:rPr>
          <w:rFonts w:eastAsia="楷体"/>
          <w:color w:val="auto"/>
          <w:sz w:val="28"/>
          <w:szCs w:val="28"/>
          <w:highlight w:val="none"/>
        </w:rPr>
        <w:t>40.00m</w:t>
      </w:r>
      <w:r>
        <w:rPr>
          <w:rFonts w:hAnsi="楷体" w:eastAsia="楷体"/>
          <w:color w:val="auto"/>
          <w:sz w:val="28"/>
          <w:szCs w:val="28"/>
          <w:highlight w:val="none"/>
        </w:rPr>
        <w:t>增设</w:t>
      </w:r>
      <w:r>
        <w:rPr>
          <w:rFonts w:eastAsia="楷体"/>
          <w:color w:val="auto"/>
          <w:sz w:val="28"/>
          <w:szCs w:val="28"/>
          <w:highlight w:val="none"/>
        </w:rPr>
        <w:t>6</w:t>
      </w:r>
      <w:r>
        <w:rPr>
          <w:rFonts w:hAnsi="楷体" w:eastAsia="楷体"/>
          <w:color w:val="auto"/>
          <w:sz w:val="28"/>
          <w:szCs w:val="28"/>
          <w:highlight w:val="none"/>
        </w:rPr>
        <w:t>根搪瓷水位尺进行库区水位观测。水位、雨量自动监测系统将来配套实施。</w:t>
      </w:r>
    </w:p>
    <w:p w14:paraId="78BA675D">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w:t>
      </w:r>
      <w:r>
        <w:rPr>
          <w:rFonts w:eastAsia="楷体"/>
          <w:color w:val="auto"/>
          <w:sz w:val="28"/>
          <w:szCs w:val="28"/>
          <w:highlight w:val="none"/>
        </w:rPr>
        <w:t>8</w:t>
      </w:r>
      <w:r>
        <w:rPr>
          <w:rFonts w:hAnsi="楷体" w:eastAsia="楷体"/>
          <w:color w:val="auto"/>
          <w:sz w:val="28"/>
          <w:szCs w:val="28"/>
          <w:highlight w:val="none"/>
        </w:rPr>
        <w:t>）机电及金属结构</w:t>
      </w:r>
    </w:p>
    <w:p w14:paraId="143A22A1">
      <w:pPr>
        <w:spacing w:line="520" w:lineRule="exact"/>
        <w:ind w:firstLine="560" w:firstLineChars="200"/>
        <w:rPr>
          <w:rFonts w:eastAsia="楷体"/>
          <w:color w:val="auto"/>
          <w:sz w:val="28"/>
          <w:szCs w:val="28"/>
          <w:highlight w:val="none"/>
        </w:rPr>
      </w:pPr>
      <w:r>
        <w:rPr>
          <w:rFonts w:hAnsi="楷体" w:eastAsia="楷体"/>
          <w:color w:val="auto"/>
          <w:sz w:val="28"/>
          <w:szCs w:val="28"/>
          <w:highlight w:val="none"/>
        </w:rPr>
        <w:t>对原有的高、低涵手摇绞车启闭机更换为</w:t>
      </w:r>
      <w:r>
        <w:rPr>
          <w:rFonts w:eastAsia="楷体"/>
          <w:color w:val="auto"/>
          <w:sz w:val="28"/>
          <w:szCs w:val="28"/>
          <w:highlight w:val="none"/>
        </w:rPr>
        <w:t>3t</w:t>
      </w:r>
      <w:r>
        <w:rPr>
          <w:rFonts w:hAnsi="楷体" w:eastAsia="楷体"/>
          <w:color w:val="auto"/>
          <w:sz w:val="28"/>
          <w:szCs w:val="28"/>
          <w:highlight w:val="none"/>
        </w:rPr>
        <w:t>手动卷扬式启闭机，对转动门盖及拉杆进行更新，新建拦污栅，对所有的金属结构进行防锈处理。</w:t>
      </w:r>
    </w:p>
    <w:p w14:paraId="5469A9B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前烧水库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4</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71F81DEF">
      <w:pPr>
        <w:spacing w:line="520" w:lineRule="exact"/>
        <w:ind w:firstLine="560" w:firstLineChars="200"/>
        <w:rPr>
          <w:rFonts w:eastAsia="楷体"/>
          <w:color w:val="auto"/>
          <w:sz w:val="28"/>
          <w:szCs w:val="28"/>
          <w:highlight w:val="none"/>
        </w:rPr>
      </w:pPr>
      <w:r>
        <w:rPr>
          <w:rFonts w:hint="eastAsia" w:eastAsia="楷体"/>
          <w:color w:val="auto"/>
          <w:kern w:val="0"/>
          <w:sz w:val="28"/>
          <w:szCs w:val="28"/>
          <w:highlight w:val="none"/>
          <w:lang w:val="en-US" w:eastAsia="zh-CN"/>
        </w:rPr>
        <w:t>2021年1月，前黄镇人民政府</w:t>
      </w:r>
      <w:r>
        <w:rPr>
          <w:rFonts w:hint="eastAsia" w:eastAsia="楷体"/>
          <w:color w:val="auto"/>
          <w:sz w:val="28"/>
          <w:szCs w:val="28"/>
          <w:highlight w:val="none"/>
        </w:rPr>
        <w:t>委托设计单位进行水库</w:t>
      </w:r>
      <w:r>
        <w:rPr>
          <w:rFonts w:hint="eastAsia" w:eastAsia="楷体"/>
          <w:color w:val="auto"/>
          <w:sz w:val="28"/>
          <w:szCs w:val="28"/>
          <w:highlight w:val="none"/>
          <w:lang w:eastAsia="zh-CN"/>
        </w:rPr>
        <w:t>常态化</w:t>
      </w:r>
      <w:r>
        <w:rPr>
          <w:rFonts w:hint="eastAsia" w:eastAsia="楷体"/>
          <w:color w:val="auto"/>
          <w:sz w:val="28"/>
          <w:szCs w:val="28"/>
          <w:highlight w:val="none"/>
        </w:rPr>
        <w:t>加固工程设计</w:t>
      </w:r>
      <w:r>
        <w:rPr>
          <w:rFonts w:eastAsia="楷体"/>
          <w:color w:val="auto"/>
          <w:sz w:val="28"/>
          <w:szCs w:val="28"/>
          <w:highlight w:val="none"/>
        </w:rPr>
        <w:t>；</w:t>
      </w:r>
      <w:r>
        <w:rPr>
          <w:rFonts w:hint="eastAsia" w:eastAsia="楷体"/>
          <w:color w:val="auto"/>
          <w:sz w:val="28"/>
          <w:szCs w:val="28"/>
          <w:highlight w:val="none"/>
          <w:lang w:val="en-US" w:eastAsia="zh-CN"/>
        </w:rPr>
        <w:t>2021年6</w:t>
      </w:r>
      <w:r>
        <w:rPr>
          <w:rFonts w:hint="eastAsia" w:eastAsia="楷体"/>
          <w:color w:val="auto"/>
          <w:sz w:val="28"/>
          <w:szCs w:val="28"/>
          <w:highlight w:val="none"/>
        </w:rPr>
        <w:t>～</w:t>
      </w:r>
      <w:r>
        <w:rPr>
          <w:rFonts w:hint="eastAsia" w:eastAsia="楷体"/>
          <w:color w:val="auto"/>
          <w:sz w:val="28"/>
          <w:szCs w:val="28"/>
          <w:highlight w:val="none"/>
          <w:lang w:val="en-US" w:eastAsia="zh-CN"/>
        </w:rPr>
        <w:t>10月进行水库常态化加固施工，</w:t>
      </w:r>
      <w:r>
        <w:rPr>
          <w:rFonts w:hint="eastAsia" w:eastAsia="楷体"/>
          <w:color w:val="auto"/>
          <w:sz w:val="28"/>
          <w:szCs w:val="28"/>
          <w:highlight w:val="none"/>
        </w:rPr>
        <w:t>主要工程措施：</w:t>
      </w:r>
    </w:p>
    <w:p w14:paraId="2240CF51">
      <w:pPr>
        <w:widowControl/>
        <w:spacing w:line="520" w:lineRule="exact"/>
        <w:ind w:firstLine="560" w:firstLineChars="200"/>
        <w:contextualSpacing/>
        <w:rPr>
          <w:rFonts w:eastAsia="楷体"/>
          <w:color w:val="auto"/>
          <w:sz w:val="28"/>
          <w:szCs w:val="28"/>
          <w:highlight w:val="none"/>
        </w:rPr>
      </w:pPr>
      <w:r>
        <w:rPr>
          <w:rFonts w:hint="eastAsia" w:eastAsia="楷体"/>
          <w:color w:val="auto"/>
          <w:kern w:val="0"/>
          <w:sz w:val="28"/>
          <w:szCs w:val="28"/>
          <w:highlight w:val="none"/>
          <w:lang w:eastAsia="zh-CN"/>
        </w:rPr>
        <w:t>修复防浪墙、新建溢洪道C25埋石砼消力池、低涵涵管修复、坝坡防渗加固、高低涵进出水口加固、背水坡草皮护坡、修复灌排渠、坝顶路面铺设彩色透水砖、设置陶瓷水尺、库区清淤、新建管理房。</w:t>
      </w:r>
    </w:p>
    <w:p w14:paraId="50D70272">
      <w:pPr>
        <w:adjustRightInd w:val="0"/>
        <w:snapToGrid w:val="0"/>
        <w:spacing w:line="520" w:lineRule="exact"/>
        <w:outlineLvl w:val="1"/>
        <w:rPr>
          <w:rFonts w:eastAsia="楷体"/>
          <w:b/>
          <w:color w:val="auto"/>
          <w:sz w:val="32"/>
          <w:szCs w:val="30"/>
          <w:highlight w:val="none"/>
        </w:rPr>
      </w:pPr>
      <w:bookmarkStart w:id="33" w:name="_Toc13333"/>
      <w:r>
        <w:rPr>
          <w:rFonts w:eastAsia="楷体"/>
          <w:b/>
          <w:color w:val="auto"/>
          <w:sz w:val="32"/>
          <w:szCs w:val="30"/>
          <w:highlight w:val="none"/>
        </w:rPr>
        <w:t>2.3 水文</w:t>
      </w:r>
      <w:bookmarkEnd w:id="33"/>
    </w:p>
    <w:p w14:paraId="6EC54795">
      <w:pPr>
        <w:spacing w:line="520" w:lineRule="exact"/>
        <w:outlineLvl w:val="2"/>
        <w:rPr>
          <w:rFonts w:eastAsia="楷体"/>
          <w:b/>
          <w:bCs/>
          <w:color w:val="auto"/>
          <w:sz w:val="32"/>
          <w:szCs w:val="30"/>
          <w:highlight w:val="none"/>
        </w:rPr>
      </w:pPr>
      <w:r>
        <w:rPr>
          <w:rFonts w:eastAsia="楷体"/>
          <w:b/>
          <w:bCs/>
          <w:color w:val="auto"/>
          <w:sz w:val="32"/>
          <w:szCs w:val="30"/>
          <w:highlight w:val="none"/>
        </w:rPr>
        <w:t>2.3.1水库流域暴雨、洪水特征</w:t>
      </w:r>
    </w:p>
    <w:p w14:paraId="19E87B70">
      <w:pPr>
        <w:spacing w:line="520" w:lineRule="exact"/>
        <w:ind w:firstLine="561"/>
        <w:rPr>
          <w:rFonts w:hint="eastAsia" w:eastAsia="楷体"/>
          <w:color w:val="auto"/>
          <w:sz w:val="28"/>
          <w:szCs w:val="28"/>
          <w:highlight w:val="none"/>
        </w:rPr>
      </w:pPr>
      <w:r>
        <w:rPr>
          <w:rFonts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w:t>
      </w:r>
      <w:r>
        <w:rPr>
          <w:rFonts w:ascii="楷体" w:hAnsi="楷体" w:eastAsia="楷体"/>
          <w:color w:val="auto"/>
          <w:sz w:val="28"/>
          <w:szCs w:val="28"/>
          <w:highlight w:val="none"/>
        </w:rPr>
        <w:t>℃</w:t>
      </w:r>
      <w:r>
        <w:rPr>
          <w:rFonts w:eastAsia="楷体"/>
          <w:color w:val="auto"/>
          <w:sz w:val="28"/>
          <w:szCs w:val="28"/>
          <w:highlight w:val="none"/>
        </w:rPr>
        <w:t>，最热七月平均气温27.2</w:t>
      </w:r>
      <w:r>
        <w:rPr>
          <w:rFonts w:ascii="楷体" w:hAnsi="楷体" w:eastAsia="楷体"/>
          <w:color w:val="auto"/>
          <w:sz w:val="28"/>
          <w:szCs w:val="28"/>
          <w:highlight w:val="none"/>
        </w:rPr>
        <w:t>℃</w:t>
      </w:r>
      <w:r>
        <w:rPr>
          <w:rFonts w:eastAsia="楷体"/>
          <w:color w:val="auto"/>
          <w:sz w:val="28"/>
          <w:szCs w:val="28"/>
          <w:highlight w:val="none"/>
        </w:rPr>
        <w:t>，最冷一月份平均气温11.4</w:t>
      </w:r>
      <w:r>
        <w:rPr>
          <w:rFonts w:ascii="楷体" w:hAnsi="楷体" w:eastAsia="楷体"/>
          <w:color w:val="auto"/>
          <w:sz w:val="28"/>
          <w:szCs w:val="28"/>
          <w:highlight w:val="none"/>
        </w:rPr>
        <w:t>℃</w:t>
      </w:r>
      <w:r>
        <w:rPr>
          <w:rFonts w:eastAsia="楷体"/>
          <w:color w:val="auto"/>
          <w:sz w:val="28"/>
          <w:szCs w:val="28"/>
          <w:highlight w:val="none"/>
        </w:rPr>
        <w:t>，极端最高气温39</w:t>
      </w:r>
      <w:r>
        <w:rPr>
          <w:rFonts w:ascii="楷体" w:hAnsi="楷体" w:eastAsia="楷体"/>
          <w:color w:val="auto"/>
          <w:sz w:val="28"/>
          <w:szCs w:val="28"/>
          <w:highlight w:val="none"/>
        </w:rPr>
        <w:t>℃</w:t>
      </w:r>
      <w:r>
        <w:rPr>
          <w:rFonts w:eastAsia="楷体"/>
          <w:color w:val="auto"/>
          <w:sz w:val="28"/>
          <w:szCs w:val="28"/>
          <w:highlight w:val="none"/>
        </w:rPr>
        <w:t>（1996年8月），极端最低气温0.3</w:t>
      </w:r>
      <w:r>
        <w:rPr>
          <w:rFonts w:ascii="楷体" w:hAnsi="楷体" w:eastAsia="楷体"/>
          <w:color w:val="auto"/>
          <w:sz w:val="28"/>
          <w:szCs w:val="28"/>
          <w:highlight w:val="none"/>
        </w:rPr>
        <w:t>℃</w:t>
      </w:r>
      <w:r>
        <w:rPr>
          <w:rFonts w:eastAsia="楷体"/>
          <w:color w:val="auto"/>
          <w:sz w:val="28"/>
          <w:szCs w:val="28"/>
          <w:highlight w:val="none"/>
        </w:rPr>
        <w:t>（1957年2月），全年基本无霜。多年平均风速5.45m/s，多年平均最大风速22m/s，实测最大风速40m/s。年平均相对湿度77％，平均水气压19.9hPa；日照时数2150hr，日照率48％；雾多发生于春季和秋季月份的下半夜到清晨，年平均雾日数约为6～7天。</w:t>
      </w:r>
    </w:p>
    <w:p w14:paraId="1AAC4E3E">
      <w:pPr>
        <w:spacing w:line="520" w:lineRule="exact"/>
        <w:ind w:firstLine="560" w:firstLineChars="200"/>
        <w:rPr>
          <w:rFonts w:eastAsia="楷体"/>
          <w:color w:val="auto"/>
          <w:sz w:val="28"/>
          <w:szCs w:val="28"/>
          <w:highlight w:val="none"/>
        </w:rPr>
      </w:pPr>
      <w:r>
        <w:rPr>
          <w:rFonts w:eastAsia="楷体"/>
          <w:color w:val="auto"/>
          <w:sz w:val="28"/>
          <w:szCs w:val="28"/>
          <w:highlight w:val="none"/>
        </w:rPr>
        <w:t>本地区属亚热带海洋性季风气候区，季风明显，气候温热，气温日差小，蒸发量大，降雨量集中在夏秋之间。</w:t>
      </w:r>
    </w:p>
    <w:p w14:paraId="57B81499">
      <w:pPr>
        <w:spacing w:line="520" w:lineRule="exact"/>
        <w:ind w:firstLine="560" w:firstLineChars="200"/>
        <w:rPr>
          <w:rFonts w:eastAsia="楷体"/>
          <w:color w:val="auto"/>
          <w:sz w:val="28"/>
          <w:szCs w:val="28"/>
          <w:highlight w:val="none"/>
        </w:rPr>
      </w:pPr>
      <w:r>
        <w:rPr>
          <w:rFonts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58A0F9AD">
      <w:pPr>
        <w:spacing w:line="520" w:lineRule="exact"/>
        <w:ind w:firstLine="561"/>
        <w:rPr>
          <w:rFonts w:eastAsia="楷体"/>
          <w:color w:val="auto"/>
          <w:sz w:val="28"/>
          <w:szCs w:val="28"/>
          <w:highlight w:val="none"/>
        </w:rPr>
      </w:pPr>
      <w:r>
        <w:rPr>
          <w:rFonts w:eastAsia="楷体"/>
          <w:color w:val="auto"/>
          <w:sz w:val="28"/>
          <w:szCs w:val="28"/>
          <w:highlight w:val="none"/>
        </w:rPr>
        <w:t>前烧水库流域地表径流来自天然降水补给，径流较为丰富，年径流空间分布呈上游大下游小的趋势。径流年际间变化幅度大，年内分配受季节性降水的制约有明显的丰枯变化，但径流相对于降水有滞后的现象，3月份降水主要补充土壤含水量，4月份以后径流量明显增加，进入了汛期，10月份以后逐渐进入了枯水期</w:t>
      </w:r>
      <w:r>
        <w:rPr>
          <w:rFonts w:eastAsia="楷体"/>
          <w:color w:val="auto"/>
          <w:sz w:val="30"/>
          <w:szCs w:val="30"/>
          <w:highlight w:val="none"/>
        </w:rPr>
        <w:t>。</w:t>
      </w:r>
    </w:p>
    <w:p w14:paraId="149C52B4">
      <w:pPr>
        <w:spacing w:line="520" w:lineRule="exact"/>
        <w:outlineLvl w:val="1"/>
        <w:rPr>
          <w:rFonts w:eastAsia="楷体"/>
          <w:b/>
          <w:color w:val="auto"/>
          <w:sz w:val="32"/>
          <w:szCs w:val="30"/>
          <w:highlight w:val="none"/>
        </w:rPr>
      </w:pPr>
      <w:bookmarkStart w:id="34" w:name="_Toc2641"/>
      <w:r>
        <w:rPr>
          <w:rFonts w:eastAsia="楷体"/>
          <w:b/>
          <w:color w:val="auto"/>
          <w:sz w:val="32"/>
          <w:szCs w:val="30"/>
          <w:highlight w:val="none"/>
        </w:rPr>
        <w:t>2.4  工程安全监测</w:t>
      </w:r>
      <w:bookmarkEnd w:id="34"/>
    </w:p>
    <w:p w14:paraId="10979590">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w:t>
      </w:r>
      <w:r>
        <w:rPr>
          <w:rFonts w:hint="eastAsia" w:eastAsia="楷体"/>
          <w:color w:val="auto"/>
          <w:sz w:val="28"/>
          <w:szCs w:val="28"/>
          <w:highlight w:val="none"/>
          <w:lang w:eastAsia="zh-CN"/>
        </w:rPr>
        <w:t>已设置自动监测雨量水位站</w:t>
      </w:r>
      <w:r>
        <w:rPr>
          <w:rFonts w:eastAsia="楷体"/>
          <w:color w:val="auto"/>
          <w:sz w:val="28"/>
          <w:szCs w:val="28"/>
          <w:highlight w:val="none"/>
        </w:rPr>
        <w:t>。</w:t>
      </w:r>
    </w:p>
    <w:p w14:paraId="0A90BBDA">
      <w:pPr>
        <w:spacing w:line="520" w:lineRule="exact"/>
        <w:outlineLvl w:val="1"/>
        <w:rPr>
          <w:rFonts w:eastAsia="楷体"/>
          <w:b/>
          <w:color w:val="auto"/>
          <w:sz w:val="32"/>
          <w:szCs w:val="30"/>
          <w:highlight w:val="none"/>
        </w:rPr>
      </w:pPr>
      <w:bookmarkStart w:id="35" w:name="_Toc5426"/>
      <w:r>
        <w:rPr>
          <w:rFonts w:eastAsia="楷体"/>
          <w:b/>
          <w:color w:val="auto"/>
          <w:sz w:val="32"/>
          <w:szCs w:val="30"/>
          <w:highlight w:val="none"/>
        </w:rPr>
        <w:t>2.5 水库汛期调度运用计划</w:t>
      </w:r>
      <w:bookmarkEnd w:id="35"/>
    </w:p>
    <w:p w14:paraId="0298571E">
      <w:pPr>
        <w:outlineLvl w:val="2"/>
        <w:rPr>
          <w:rFonts w:eastAsia="楷体"/>
          <w:b/>
          <w:bCs/>
          <w:color w:val="auto"/>
          <w:sz w:val="32"/>
          <w:szCs w:val="30"/>
          <w:highlight w:val="none"/>
        </w:rPr>
      </w:pPr>
      <w:bookmarkStart w:id="36" w:name="_Toc477761804"/>
      <w:bookmarkStart w:id="37" w:name="_Toc11125"/>
      <w:r>
        <w:rPr>
          <w:rFonts w:eastAsia="楷体"/>
          <w:b/>
          <w:bCs/>
          <w:color w:val="auto"/>
          <w:sz w:val="32"/>
          <w:szCs w:val="30"/>
          <w:highlight w:val="none"/>
        </w:rPr>
        <w:t>2.5.1汛期划分</w:t>
      </w:r>
      <w:bookmarkEnd w:id="36"/>
    </w:p>
    <w:p w14:paraId="0056C0B1">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泉州市</w:t>
      </w:r>
      <w:r>
        <w:rPr>
          <w:rFonts w:eastAsia="楷体"/>
          <w:color w:val="auto"/>
          <w:sz w:val="28"/>
          <w:szCs w:val="28"/>
          <w:highlight w:val="none"/>
        </w:rPr>
        <w:t>防洪防台风应急预案规定，4月1日至10月15日为汛期，其中前汛期为4月1日～6月30日，主汛期为7月1日～9月20日，后汛期为9月21日～10月15日。</w:t>
      </w:r>
    </w:p>
    <w:p w14:paraId="04F90CCD">
      <w:pPr>
        <w:outlineLvl w:val="2"/>
        <w:rPr>
          <w:rFonts w:eastAsia="楷体"/>
          <w:b/>
          <w:bCs/>
          <w:color w:val="auto"/>
          <w:sz w:val="32"/>
          <w:szCs w:val="30"/>
          <w:highlight w:val="none"/>
        </w:rPr>
      </w:pPr>
      <w:bookmarkStart w:id="38" w:name="_Toc477761805"/>
      <w:r>
        <w:rPr>
          <w:rFonts w:eastAsia="楷体"/>
          <w:b/>
          <w:bCs/>
          <w:color w:val="auto"/>
          <w:sz w:val="32"/>
          <w:szCs w:val="30"/>
          <w:highlight w:val="none"/>
        </w:rPr>
        <w:t>2.5.2 洪水调度原则</w:t>
      </w:r>
      <w:bookmarkEnd w:id="38"/>
    </w:p>
    <w:p w14:paraId="388B397C">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670ACCFB">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68E8B795">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785B4D43">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0962A853">
      <w:pPr>
        <w:spacing w:line="520" w:lineRule="exact"/>
        <w:ind w:firstLine="560" w:firstLineChars="200"/>
        <w:rPr>
          <w:rFonts w:eastAsia="楷体"/>
          <w:color w:val="auto"/>
          <w:sz w:val="28"/>
          <w:szCs w:val="28"/>
          <w:highlight w:val="none"/>
        </w:rPr>
      </w:pPr>
      <w:r>
        <w:rPr>
          <w:rFonts w:eastAsia="楷体"/>
          <w:color w:val="auto"/>
          <w:sz w:val="28"/>
          <w:szCs w:val="28"/>
          <w:highlight w:val="none"/>
        </w:rPr>
        <w:t>2、加大工程巡查力度，对排洪启闭系统、通讯、交通、供电设备进行全面检查，始终保持良好状况，排除一切不安全因素，确保使用及时。</w:t>
      </w:r>
    </w:p>
    <w:p w14:paraId="1A36DFC3">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40C3B07D">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3557BBBE">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640FF2FC">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46306AA3">
      <w:pPr>
        <w:outlineLvl w:val="2"/>
        <w:rPr>
          <w:rFonts w:eastAsia="楷体"/>
          <w:b/>
          <w:bCs/>
          <w:color w:val="auto"/>
          <w:sz w:val="32"/>
          <w:szCs w:val="30"/>
          <w:highlight w:val="none"/>
        </w:rPr>
      </w:pPr>
      <w:bookmarkStart w:id="39" w:name="_Toc477761806"/>
      <w:r>
        <w:rPr>
          <w:rFonts w:eastAsia="楷体"/>
          <w:b/>
          <w:bCs/>
          <w:color w:val="auto"/>
          <w:sz w:val="32"/>
          <w:szCs w:val="30"/>
          <w:highlight w:val="none"/>
        </w:rPr>
        <w:t>2.5.3 汛限水位确定</w:t>
      </w:r>
      <w:bookmarkEnd w:id="39"/>
    </w:p>
    <w:p w14:paraId="203096EF">
      <w:pPr>
        <w:spacing w:line="520" w:lineRule="exact"/>
        <w:ind w:firstLine="560" w:firstLineChars="200"/>
        <w:rPr>
          <w:rFonts w:eastAsia="楷体"/>
          <w:color w:val="auto"/>
          <w:sz w:val="28"/>
          <w:szCs w:val="28"/>
          <w:highlight w:val="none"/>
        </w:rPr>
      </w:pPr>
      <w:bookmarkStart w:id="40" w:name="_Toc477761807"/>
      <w:r>
        <w:rPr>
          <w:rFonts w:eastAsia="楷体"/>
          <w:color w:val="auto"/>
          <w:sz w:val="28"/>
          <w:szCs w:val="28"/>
          <w:highlight w:val="none"/>
        </w:rPr>
        <w:t>汛限水位的确定从以下几个方面来确定：</w:t>
      </w:r>
    </w:p>
    <w:p w14:paraId="000EB8C5">
      <w:pPr>
        <w:numPr>
          <w:ilvl w:val="0"/>
          <w:numId w:val="2"/>
        </w:num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泉港区前黄镇前烧水库除险加固工程</w:t>
      </w:r>
      <w:r>
        <w:rPr>
          <w:rFonts w:eastAsia="楷体"/>
          <w:color w:val="auto"/>
          <w:sz w:val="28"/>
          <w:szCs w:val="28"/>
          <w:highlight w:val="none"/>
        </w:rPr>
        <w:t>初步设计报告（报批稿）》（</w:t>
      </w:r>
      <w:r>
        <w:rPr>
          <w:rFonts w:hint="eastAsia" w:eastAsia="楷体"/>
          <w:color w:val="auto"/>
          <w:sz w:val="28"/>
          <w:szCs w:val="28"/>
          <w:highlight w:val="none"/>
        </w:rPr>
        <w:t>泉州市水利水电勘测设计院，</w:t>
      </w:r>
      <w:r>
        <w:rPr>
          <w:rFonts w:eastAsia="楷体"/>
          <w:color w:val="auto"/>
          <w:sz w:val="28"/>
          <w:szCs w:val="28"/>
          <w:highlight w:val="none"/>
        </w:rPr>
        <w:t>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5</w:t>
      </w:r>
      <w:r>
        <w:rPr>
          <w:rFonts w:eastAsia="楷体"/>
          <w:color w:val="auto"/>
          <w:sz w:val="28"/>
          <w:szCs w:val="28"/>
          <w:highlight w:val="none"/>
        </w:rPr>
        <w:t>月）的</w:t>
      </w:r>
      <w:r>
        <w:rPr>
          <w:rFonts w:hint="eastAsia" w:eastAsia="楷体"/>
          <w:color w:val="auto"/>
          <w:sz w:val="28"/>
          <w:szCs w:val="28"/>
          <w:highlight w:val="none"/>
        </w:rPr>
        <w:t>设计内容</w:t>
      </w:r>
      <w:r>
        <w:rPr>
          <w:rFonts w:eastAsia="楷体"/>
          <w:color w:val="auto"/>
          <w:sz w:val="28"/>
          <w:szCs w:val="28"/>
          <w:highlight w:val="none"/>
        </w:rPr>
        <w:t>可知，前烧水库</w:t>
      </w:r>
      <w:r>
        <w:rPr>
          <w:rFonts w:hint="eastAsia" w:eastAsia="楷体"/>
          <w:color w:val="auto"/>
          <w:sz w:val="28"/>
          <w:szCs w:val="28"/>
          <w:highlight w:val="none"/>
          <w:lang w:val="en-US" w:eastAsia="zh-CN"/>
        </w:rPr>
        <w:t>的正常蓄</w:t>
      </w:r>
      <w:r>
        <w:rPr>
          <w:rFonts w:eastAsia="楷体"/>
          <w:color w:val="auto"/>
          <w:sz w:val="28"/>
          <w:szCs w:val="28"/>
          <w:highlight w:val="none"/>
        </w:rPr>
        <w:t>水位</w:t>
      </w:r>
      <w:r>
        <w:rPr>
          <w:rFonts w:hint="eastAsia" w:eastAsia="楷体"/>
          <w:color w:val="auto"/>
          <w:sz w:val="28"/>
          <w:szCs w:val="28"/>
          <w:highlight w:val="none"/>
          <w:lang w:val="en-US" w:eastAsia="zh-CN"/>
        </w:rPr>
        <w:t>为</w:t>
      </w:r>
      <w:r>
        <w:rPr>
          <w:rFonts w:hint="eastAsia" w:eastAsia="楷体"/>
          <w:color w:val="auto"/>
          <w:sz w:val="28"/>
          <w:szCs w:val="28"/>
          <w:highlight w:val="none"/>
          <w:lang w:eastAsia="zh-CN"/>
        </w:rPr>
        <w:t>37.75</w:t>
      </w:r>
      <w:r>
        <w:rPr>
          <w:rFonts w:eastAsia="楷体"/>
          <w:color w:val="auto"/>
          <w:sz w:val="28"/>
          <w:szCs w:val="28"/>
          <w:highlight w:val="none"/>
        </w:rPr>
        <w:t>m</w:t>
      </w:r>
      <w:r>
        <w:rPr>
          <w:rFonts w:hint="eastAsia" w:eastAsia="楷体"/>
          <w:color w:val="auto"/>
          <w:sz w:val="28"/>
          <w:szCs w:val="28"/>
          <w:highlight w:val="none"/>
          <w:lang w:eastAsia="zh-CN"/>
        </w:rPr>
        <w:t>，</w:t>
      </w:r>
      <w:r>
        <w:rPr>
          <w:rFonts w:eastAsia="楷体"/>
          <w:color w:val="auto"/>
          <w:sz w:val="28"/>
          <w:szCs w:val="28"/>
          <w:highlight w:val="none"/>
        </w:rPr>
        <w:t>对应库容为</w:t>
      </w:r>
      <w:r>
        <w:rPr>
          <w:rFonts w:hint="eastAsia" w:eastAsia="楷体"/>
          <w:color w:val="auto"/>
          <w:sz w:val="28"/>
          <w:szCs w:val="28"/>
          <w:highlight w:val="none"/>
          <w:lang w:eastAsia="zh-CN"/>
        </w:rPr>
        <w:t>24.18</w:t>
      </w:r>
      <w:r>
        <w:rPr>
          <w:rFonts w:eastAsia="楷体"/>
          <w:color w:val="auto"/>
          <w:sz w:val="28"/>
          <w:szCs w:val="28"/>
          <w:highlight w:val="none"/>
        </w:rPr>
        <w:t>万m</w:t>
      </w:r>
      <w:r>
        <w:rPr>
          <w:rFonts w:eastAsia="楷体"/>
          <w:color w:val="auto"/>
          <w:sz w:val="28"/>
          <w:szCs w:val="28"/>
          <w:highlight w:val="none"/>
          <w:vertAlign w:val="superscript"/>
        </w:rPr>
        <w:t>3</w:t>
      </w:r>
      <w:r>
        <w:rPr>
          <w:rFonts w:hint="eastAsia" w:eastAsia="楷体"/>
          <w:color w:val="auto"/>
          <w:sz w:val="28"/>
          <w:szCs w:val="28"/>
          <w:highlight w:val="none"/>
          <w:lang w:eastAsia="zh-CN"/>
        </w:rPr>
        <w:t>。</w:t>
      </w:r>
    </w:p>
    <w:p w14:paraId="0ADFD824">
      <w:pPr>
        <w:ind w:firstLine="560" w:firstLineChars="200"/>
        <w:rPr>
          <w:color w:val="auto"/>
        </w:rPr>
      </w:pPr>
      <w:r>
        <w:rPr>
          <w:rFonts w:hint="eastAsia" w:eastAsia="楷体"/>
          <w:color w:val="auto"/>
          <w:sz w:val="28"/>
          <w:szCs w:val="28"/>
          <w:highlight w:val="none"/>
          <w:lang w:val="en-US" w:eastAsia="zh-CN"/>
        </w:rPr>
        <w:t>2、根据现场踏勘情况及水库管理人员了解可知，</w:t>
      </w:r>
      <w:r>
        <w:rPr>
          <w:rFonts w:eastAsia="楷体"/>
          <w:color w:val="auto"/>
          <w:sz w:val="28"/>
          <w:szCs w:val="28"/>
          <w:highlight w:val="none"/>
        </w:rPr>
        <w:t>201</w:t>
      </w:r>
      <w:r>
        <w:rPr>
          <w:rFonts w:hint="eastAsia" w:eastAsia="楷体"/>
          <w:color w:val="auto"/>
          <w:sz w:val="28"/>
          <w:szCs w:val="28"/>
          <w:highlight w:val="none"/>
        </w:rPr>
        <w:t>8</w:t>
      </w:r>
      <w:r>
        <w:rPr>
          <w:rFonts w:eastAsia="楷体"/>
          <w:color w:val="auto"/>
          <w:sz w:val="28"/>
          <w:szCs w:val="28"/>
          <w:highlight w:val="none"/>
        </w:rPr>
        <w:t>年前烧水库</w:t>
      </w:r>
      <w:r>
        <w:rPr>
          <w:rFonts w:hint="eastAsia" w:eastAsia="楷体"/>
          <w:color w:val="auto"/>
          <w:sz w:val="28"/>
          <w:szCs w:val="28"/>
          <w:highlight w:val="none"/>
          <w:lang w:val="en-US" w:eastAsia="zh-CN"/>
        </w:rPr>
        <w:t>低涵发生堵塞情况，泉港区农水局立即牵头，由前黄镇人民政府组织，对</w:t>
      </w:r>
      <w:r>
        <w:rPr>
          <w:rFonts w:eastAsia="楷体"/>
          <w:color w:val="auto"/>
          <w:sz w:val="28"/>
          <w:szCs w:val="28"/>
          <w:highlight w:val="none"/>
        </w:rPr>
        <w:t>前烧水库</w:t>
      </w:r>
      <w:r>
        <w:rPr>
          <w:rFonts w:hint="eastAsia" w:eastAsia="楷体"/>
          <w:color w:val="auto"/>
          <w:sz w:val="28"/>
          <w:szCs w:val="28"/>
          <w:highlight w:val="none"/>
          <w:lang w:val="en-US" w:eastAsia="zh-CN"/>
        </w:rPr>
        <w:t>进行应急除险加固，已</w:t>
      </w:r>
      <w:r>
        <w:rPr>
          <w:rFonts w:hint="eastAsia" w:eastAsia="楷体"/>
          <w:color w:val="auto"/>
          <w:sz w:val="28"/>
          <w:szCs w:val="28"/>
          <w:highlight w:val="none"/>
        </w:rPr>
        <w:t>20</w:t>
      </w:r>
      <w:r>
        <w:rPr>
          <w:rFonts w:hint="eastAsia" w:eastAsia="楷体"/>
          <w:color w:val="auto"/>
          <w:sz w:val="28"/>
          <w:szCs w:val="28"/>
          <w:highlight w:val="none"/>
          <w:lang w:val="en-US" w:eastAsia="zh-CN"/>
        </w:rPr>
        <w:t>21</w:t>
      </w:r>
      <w:r>
        <w:rPr>
          <w:rFonts w:hint="eastAsia" w:eastAsia="楷体"/>
          <w:color w:val="auto"/>
          <w:sz w:val="28"/>
          <w:szCs w:val="28"/>
          <w:highlight w:val="none"/>
        </w:rPr>
        <w:t>年</w:t>
      </w:r>
      <w:r>
        <w:rPr>
          <w:rFonts w:hint="eastAsia" w:eastAsia="楷体"/>
          <w:color w:val="auto"/>
          <w:sz w:val="28"/>
          <w:szCs w:val="28"/>
          <w:highlight w:val="none"/>
          <w:lang w:eastAsia="zh-CN"/>
        </w:rPr>
        <w:t>对</w:t>
      </w:r>
      <w:r>
        <w:rPr>
          <w:rFonts w:hint="eastAsia" w:eastAsia="楷体"/>
          <w:color w:val="auto"/>
          <w:sz w:val="28"/>
          <w:szCs w:val="28"/>
          <w:highlight w:val="none"/>
        </w:rPr>
        <w:t>前烧水库的</w:t>
      </w:r>
      <w:r>
        <w:rPr>
          <w:rFonts w:hint="eastAsia" w:eastAsia="楷体"/>
          <w:color w:val="auto"/>
          <w:sz w:val="28"/>
          <w:szCs w:val="28"/>
          <w:highlight w:val="none"/>
          <w:lang w:eastAsia="zh-CN"/>
        </w:rPr>
        <w:t>常态化加固完工验收</w:t>
      </w:r>
      <w:r>
        <w:rPr>
          <w:rFonts w:hint="eastAsia" w:eastAsia="楷体"/>
          <w:color w:val="auto"/>
          <w:sz w:val="28"/>
          <w:szCs w:val="28"/>
          <w:highlight w:val="none"/>
        </w:rPr>
        <w:t>，</w:t>
      </w:r>
      <w:r>
        <w:rPr>
          <w:rFonts w:hint="eastAsia" w:eastAsia="楷体"/>
          <w:color w:val="auto"/>
          <w:sz w:val="28"/>
          <w:szCs w:val="28"/>
          <w:highlight w:val="none"/>
          <w:lang w:val="en-US" w:eastAsia="zh-CN"/>
        </w:rPr>
        <w:t>2022</w:t>
      </w:r>
      <w:r>
        <w:rPr>
          <w:rFonts w:hint="eastAsia" w:eastAsia="楷体"/>
          <w:color w:val="auto"/>
          <w:sz w:val="28"/>
          <w:szCs w:val="28"/>
          <w:highlight w:val="none"/>
          <w:lang w:eastAsia="zh-CN"/>
        </w:rPr>
        <w:t>年</w:t>
      </w:r>
      <w:r>
        <w:rPr>
          <w:rFonts w:hint="eastAsia" w:eastAsia="楷体"/>
          <w:color w:val="auto"/>
          <w:sz w:val="28"/>
          <w:szCs w:val="28"/>
          <w:highlight w:val="none"/>
          <w:lang w:val="en-US" w:eastAsia="zh-CN"/>
        </w:rPr>
        <w:t>4月份</w:t>
      </w:r>
      <w:r>
        <w:rPr>
          <w:rFonts w:hint="eastAsia" w:eastAsia="楷体"/>
          <w:color w:val="auto"/>
          <w:sz w:val="28"/>
          <w:szCs w:val="28"/>
        </w:rPr>
        <w:t>按三个不同水位分期蓄水，汛限水位</w:t>
      </w:r>
      <w:r>
        <w:rPr>
          <w:rFonts w:hint="eastAsia" w:eastAsia="楷体"/>
          <w:color w:val="auto"/>
          <w:sz w:val="28"/>
          <w:szCs w:val="28"/>
          <w:lang w:eastAsia="zh-CN"/>
        </w:rPr>
        <w:t>定</w:t>
      </w:r>
      <w:r>
        <w:rPr>
          <w:rFonts w:hint="eastAsia" w:eastAsia="楷体"/>
          <w:color w:val="auto"/>
          <w:sz w:val="28"/>
          <w:szCs w:val="28"/>
        </w:rPr>
        <w:t>为</w:t>
      </w:r>
      <w:r>
        <w:rPr>
          <w:rFonts w:hint="eastAsia" w:eastAsia="楷体"/>
          <w:color w:val="auto"/>
          <w:sz w:val="28"/>
          <w:szCs w:val="28"/>
          <w:lang w:val="en-US" w:eastAsia="zh-CN"/>
        </w:rPr>
        <w:t>37.75</w:t>
      </w:r>
      <w:r>
        <w:rPr>
          <w:rFonts w:hint="eastAsia" w:eastAsia="楷体"/>
          <w:color w:val="auto"/>
          <w:sz w:val="28"/>
          <w:szCs w:val="28"/>
        </w:rPr>
        <w:t>m。</w:t>
      </w:r>
    </w:p>
    <w:p w14:paraId="28ABE2D2">
      <w:pPr>
        <w:numPr>
          <w:ilvl w:val="0"/>
          <w:numId w:val="0"/>
        </w:num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3、根据2025年前烧水库的运行情况可知，2025年前烧水库的汛限水位为37.75m，</w:t>
      </w:r>
      <w:r>
        <w:rPr>
          <w:rFonts w:eastAsia="楷体"/>
          <w:color w:val="auto"/>
          <w:sz w:val="28"/>
          <w:szCs w:val="28"/>
          <w:highlight w:val="none"/>
        </w:rPr>
        <w:t>总体运行状况良好，即便在台风期，前烧水库仍很好的完成了防汛任务；</w:t>
      </w:r>
    </w:p>
    <w:p w14:paraId="63456D20">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lang w:val="en-US" w:eastAsia="zh-CN"/>
        </w:rPr>
        <w:t xml:space="preserve"> </w:t>
      </w:r>
      <w:r>
        <w:rPr>
          <w:rFonts w:hint="eastAsia" w:eastAsia="楷体"/>
          <w:color w:val="auto"/>
          <w:sz w:val="28"/>
          <w:szCs w:val="28"/>
          <w:highlight w:val="none"/>
          <w:lang w:val="en-US" w:eastAsia="zh-CN"/>
        </w:rPr>
        <w:t>4</w:t>
      </w:r>
      <w:r>
        <w:rPr>
          <w:rFonts w:eastAsia="楷体"/>
          <w:color w:val="auto"/>
          <w:sz w:val="28"/>
          <w:szCs w:val="28"/>
          <w:highlight w:val="none"/>
        </w:rPr>
        <w:t>、</w:t>
      </w:r>
      <w:r>
        <w:rPr>
          <w:rFonts w:hint="eastAsia" w:eastAsia="楷体"/>
          <w:color w:val="auto"/>
          <w:sz w:val="28"/>
          <w:szCs w:val="28"/>
          <w:highlight w:val="none"/>
          <w:lang w:val="en-US" w:eastAsia="zh-CN"/>
        </w:rPr>
        <w:t>考虑到前烧水库有下游600亩农田的灌溉任务，因此，进行兴利调节计算以确定最合理的汛限水位：</w:t>
      </w:r>
    </w:p>
    <w:p w14:paraId="13261AEC">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（1）根据《福建省行业用水定额》（DB35/T 772-2013），泉港区属于福建省灌溉分区中的Ⅱ类，前烧水库所承担的600亩农田基本为单季稻，在P=90%保证率下，单季稻的用水定额为484m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/亩，下游农田在P=90%保证率下的用水量为29.04万m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w:t>
      </w:r>
    </w:p>
    <w:p w14:paraId="62CDA33F">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（2）前烧水库的集雨面积为0.87km</w:t>
      </w:r>
      <w:r>
        <w:rPr>
          <w:rFonts w:hint="eastAsia" w:eastAsia="楷体"/>
          <w:color w:val="auto"/>
          <w:sz w:val="28"/>
          <w:szCs w:val="28"/>
          <w:highlight w:val="none"/>
          <w:vertAlign w:val="superscript"/>
          <w:lang w:val="en-US" w:eastAsia="zh-CN"/>
        </w:rPr>
        <w:t>2</w:t>
      </w:r>
      <w:r>
        <w:rPr>
          <w:rFonts w:hint="eastAsia" w:eastAsia="楷体"/>
          <w:color w:val="auto"/>
          <w:sz w:val="28"/>
          <w:szCs w:val="28"/>
          <w:highlight w:val="none"/>
          <w:lang w:val="en-US" w:eastAsia="zh-CN"/>
        </w:rPr>
        <w:t>，多年平均降雨量为1350mm，多年平均径流量为810mm，多年平均来水量为70.47万m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，在P=90%保证率下的用水量为38.05万m</w:t>
      </w:r>
      <w:r>
        <w:rPr>
          <w:rFonts w:hint="eastAsia" w:eastAsia="楷体"/>
          <w:color w:val="auto"/>
          <w:sz w:val="28"/>
          <w:szCs w:val="28"/>
          <w:highlight w:val="none"/>
          <w:vertAlign w:val="superscript"/>
          <w:lang w:val="en-US" w:eastAsia="zh-CN"/>
        </w:rPr>
        <w:t>3</w:t>
      </w:r>
      <w:r>
        <w:rPr>
          <w:rFonts w:hint="eastAsia" w:eastAsia="楷体"/>
          <w:color w:val="auto"/>
          <w:sz w:val="28"/>
          <w:szCs w:val="28"/>
          <w:highlight w:val="none"/>
          <w:lang w:val="en-US" w:eastAsia="zh-CN"/>
        </w:rPr>
        <w:t>，引用菱溪水库来水资料确定前烧水库P=90%下的逐月来水过程线。</w:t>
      </w:r>
    </w:p>
    <w:p w14:paraId="535F1B31">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1</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P=90%保证率逐月来水过程线</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52"/>
        <w:gridCol w:w="632"/>
        <w:gridCol w:w="632"/>
        <w:gridCol w:w="632"/>
        <w:gridCol w:w="632"/>
        <w:gridCol w:w="632"/>
        <w:gridCol w:w="632"/>
        <w:gridCol w:w="632"/>
        <w:gridCol w:w="632"/>
        <w:gridCol w:w="632"/>
        <w:gridCol w:w="632"/>
        <w:gridCol w:w="632"/>
        <w:gridCol w:w="632"/>
        <w:gridCol w:w="632"/>
      </w:tblGrid>
      <w:tr w14:paraId="5CDC9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52" w:type="dxa"/>
            <w:tcBorders>
              <w:tl2br w:val="nil"/>
              <w:tr2bl w:val="nil"/>
            </w:tcBorders>
            <w:noWrap w:val="0"/>
            <w:tcMar>
              <w:top w:w="15" w:type="dxa"/>
              <w:left w:w="15" w:type="dxa"/>
              <w:right w:w="15" w:type="dxa"/>
            </w:tcMar>
            <w:vAlign w:val="center"/>
          </w:tcPr>
          <w:p w14:paraId="2CFF17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月份</w:t>
            </w:r>
          </w:p>
        </w:tc>
        <w:tc>
          <w:tcPr>
            <w:tcW w:w="632" w:type="dxa"/>
            <w:tcBorders>
              <w:tl2br w:val="nil"/>
              <w:tr2bl w:val="nil"/>
            </w:tcBorders>
            <w:noWrap w:val="0"/>
            <w:tcMar>
              <w:top w:w="15" w:type="dxa"/>
              <w:left w:w="15" w:type="dxa"/>
              <w:right w:w="15" w:type="dxa"/>
            </w:tcMar>
            <w:vAlign w:val="center"/>
          </w:tcPr>
          <w:p w14:paraId="5269120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w:t>
            </w:r>
          </w:p>
        </w:tc>
        <w:tc>
          <w:tcPr>
            <w:tcW w:w="632" w:type="dxa"/>
            <w:tcBorders>
              <w:tl2br w:val="nil"/>
              <w:tr2bl w:val="nil"/>
            </w:tcBorders>
            <w:noWrap w:val="0"/>
            <w:tcMar>
              <w:top w:w="15" w:type="dxa"/>
              <w:left w:w="15" w:type="dxa"/>
              <w:right w:w="15" w:type="dxa"/>
            </w:tcMar>
            <w:vAlign w:val="center"/>
          </w:tcPr>
          <w:p w14:paraId="374427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632" w:type="dxa"/>
            <w:tcBorders>
              <w:tl2br w:val="nil"/>
              <w:tr2bl w:val="nil"/>
            </w:tcBorders>
            <w:noWrap w:val="0"/>
            <w:tcMar>
              <w:top w:w="15" w:type="dxa"/>
              <w:left w:w="15" w:type="dxa"/>
              <w:right w:w="15" w:type="dxa"/>
            </w:tcMar>
            <w:vAlign w:val="center"/>
          </w:tcPr>
          <w:p w14:paraId="0506AD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w:t>
            </w:r>
          </w:p>
        </w:tc>
        <w:tc>
          <w:tcPr>
            <w:tcW w:w="632" w:type="dxa"/>
            <w:tcBorders>
              <w:tl2br w:val="nil"/>
              <w:tr2bl w:val="nil"/>
            </w:tcBorders>
            <w:noWrap w:val="0"/>
            <w:tcMar>
              <w:top w:w="15" w:type="dxa"/>
              <w:left w:w="15" w:type="dxa"/>
              <w:right w:w="15" w:type="dxa"/>
            </w:tcMar>
            <w:vAlign w:val="center"/>
          </w:tcPr>
          <w:p w14:paraId="13E5E9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w:t>
            </w:r>
          </w:p>
        </w:tc>
        <w:tc>
          <w:tcPr>
            <w:tcW w:w="632" w:type="dxa"/>
            <w:tcBorders>
              <w:tl2br w:val="nil"/>
              <w:tr2bl w:val="nil"/>
            </w:tcBorders>
            <w:noWrap w:val="0"/>
            <w:tcMar>
              <w:top w:w="15" w:type="dxa"/>
              <w:left w:w="15" w:type="dxa"/>
              <w:right w:w="15" w:type="dxa"/>
            </w:tcMar>
            <w:vAlign w:val="center"/>
          </w:tcPr>
          <w:p w14:paraId="4F7640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w:t>
            </w:r>
          </w:p>
        </w:tc>
        <w:tc>
          <w:tcPr>
            <w:tcW w:w="632" w:type="dxa"/>
            <w:tcBorders>
              <w:tl2br w:val="nil"/>
              <w:tr2bl w:val="nil"/>
            </w:tcBorders>
            <w:noWrap w:val="0"/>
            <w:tcMar>
              <w:top w:w="15" w:type="dxa"/>
              <w:left w:w="15" w:type="dxa"/>
              <w:right w:w="15" w:type="dxa"/>
            </w:tcMar>
            <w:vAlign w:val="center"/>
          </w:tcPr>
          <w:p w14:paraId="647DF8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w:t>
            </w:r>
          </w:p>
        </w:tc>
        <w:tc>
          <w:tcPr>
            <w:tcW w:w="632" w:type="dxa"/>
            <w:tcBorders>
              <w:tl2br w:val="nil"/>
              <w:tr2bl w:val="nil"/>
            </w:tcBorders>
            <w:noWrap w:val="0"/>
            <w:tcMar>
              <w:top w:w="15" w:type="dxa"/>
              <w:left w:w="15" w:type="dxa"/>
              <w:right w:w="15" w:type="dxa"/>
            </w:tcMar>
            <w:vAlign w:val="center"/>
          </w:tcPr>
          <w:p w14:paraId="0072BE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w:t>
            </w:r>
          </w:p>
        </w:tc>
        <w:tc>
          <w:tcPr>
            <w:tcW w:w="632" w:type="dxa"/>
            <w:tcBorders>
              <w:tl2br w:val="nil"/>
              <w:tr2bl w:val="nil"/>
            </w:tcBorders>
            <w:noWrap w:val="0"/>
            <w:tcMar>
              <w:top w:w="15" w:type="dxa"/>
              <w:left w:w="15" w:type="dxa"/>
              <w:right w:w="15" w:type="dxa"/>
            </w:tcMar>
            <w:vAlign w:val="center"/>
          </w:tcPr>
          <w:p w14:paraId="408A8A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w:t>
            </w:r>
          </w:p>
        </w:tc>
        <w:tc>
          <w:tcPr>
            <w:tcW w:w="632" w:type="dxa"/>
            <w:tcBorders>
              <w:tl2br w:val="nil"/>
              <w:tr2bl w:val="nil"/>
            </w:tcBorders>
            <w:noWrap w:val="0"/>
            <w:tcMar>
              <w:top w:w="15" w:type="dxa"/>
              <w:left w:w="15" w:type="dxa"/>
              <w:right w:w="15" w:type="dxa"/>
            </w:tcMar>
            <w:vAlign w:val="center"/>
          </w:tcPr>
          <w:p w14:paraId="7133C0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w:t>
            </w:r>
          </w:p>
        </w:tc>
        <w:tc>
          <w:tcPr>
            <w:tcW w:w="632" w:type="dxa"/>
            <w:tcBorders>
              <w:tl2br w:val="nil"/>
              <w:tr2bl w:val="nil"/>
            </w:tcBorders>
            <w:noWrap w:val="0"/>
            <w:tcMar>
              <w:top w:w="15" w:type="dxa"/>
              <w:left w:w="15" w:type="dxa"/>
              <w:right w:w="15" w:type="dxa"/>
            </w:tcMar>
            <w:vAlign w:val="center"/>
          </w:tcPr>
          <w:p w14:paraId="2ED2651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w:t>
            </w:r>
          </w:p>
        </w:tc>
        <w:tc>
          <w:tcPr>
            <w:tcW w:w="632" w:type="dxa"/>
            <w:tcBorders>
              <w:tl2br w:val="nil"/>
              <w:tr2bl w:val="nil"/>
            </w:tcBorders>
            <w:noWrap w:val="0"/>
            <w:tcMar>
              <w:top w:w="15" w:type="dxa"/>
              <w:left w:w="15" w:type="dxa"/>
              <w:right w:w="15" w:type="dxa"/>
            </w:tcMar>
            <w:vAlign w:val="center"/>
          </w:tcPr>
          <w:p w14:paraId="51FEC6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w:t>
            </w:r>
          </w:p>
        </w:tc>
        <w:tc>
          <w:tcPr>
            <w:tcW w:w="632" w:type="dxa"/>
            <w:tcBorders>
              <w:tl2br w:val="nil"/>
              <w:tr2bl w:val="nil"/>
            </w:tcBorders>
            <w:noWrap w:val="0"/>
            <w:tcMar>
              <w:top w:w="15" w:type="dxa"/>
              <w:left w:w="15" w:type="dxa"/>
              <w:right w:w="15" w:type="dxa"/>
            </w:tcMar>
            <w:vAlign w:val="center"/>
          </w:tcPr>
          <w:p w14:paraId="3D80CA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w:t>
            </w:r>
          </w:p>
        </w:tc>
        <w:tc>
          <w:tcPr>
            <w:tcW w:w="632" w:type="dxa"/>
            <w:tcBorders>
              <w:tl2br w:val="nil"/>
              <w:tr2bl w:val="nil"/>
            </w:tcBorders>
            <w:noWrap w:val="0"/>
            <w:tcMar>
              <w:top w:w="15" w:type="dxa"/>
              <w:left w:w="15" w:type="dxa"/>
              <w:right w:w="15" w:type="dxa"/>
            </w:tcMar>
            <w:vAlign w:val="center"/>
          </w:tcPr>
          <w:p w14:paraId="0F6F36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总计</w:t>
            </w:r>
          </w:p>
        </w:tc>
      </w:tr>
      <w:tr w14:paraId="3263B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052" w:type="dxa"/>
            <w:tcBorders>
              <w:tl2br w:val="nil"/>
              <w:tr2bl w:val="nil"/>
            </w:tcBorders>
            <w:noWrap w:val="0"/>
            <w:tcMar>
              <w:top w:w="15" w:type="dxa"/>
              <w:left w:w="15" w:type="dxa"/>
              <w:right w:w="15" w:type="dxa"/>
            </w:tcMar>
            <w:vAlign w:val="center"/>
          </w:tcPr>
          <w:p w14:paraId="2ABBA9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来水量（万m</w:t>
            </w:r>
            <w:r>
              <w:rPr>
                <w:rFonts w:hint="default" w:ascii="Times New Roman" w:hAnsi="Times New Roman" w:eastAsia="宋体" w:cs="Times New Roman"/>
                <w:i w:val="0"/>
                <w:color w:val="auto"/>
                <w:kern w:val="0"/>
                <w:sz w:val="24"/>
                <w:szCs w:val="24"/>
                <w:u w:val="none"/>
                <w:vertAlign w:val="superscript"/>
                <w:lang w:val="en-US" w:eastAsia="zh-CN" w:bidi="ar"/>
              </w:rPr>
              <w:t>3</w:t>
            </w:r>
            <w:r>
              <w:rPr>
                <w:rFonts w:hint="default" w:ascii="Times New Roman" w:hAnsi="Times New Roman" w:eastAsia="宋体" w:cs="Times New Roman"/>
                <w:i w:val="0"/>
                <w:color w:val="auto"/>
                <w:kern w:val="0"/>
                <w:sz w:val="24"/>
                <w:szCs w:val="24"/>
                <w:u w:val="none"/>
                <w:lang w:val="en-US" w:eastAsia="zh-CN" w:bidi="ar"/>
              </w:rPr>
              <w:t>）</w:t>
            </w:r>
          </w:p>
        </w:tc>
        <w:tc>
          <w:tcPr>
            <w:tcW w:w="632" w:type="dxa"/>
            <w:tcBorders>
              <w:tl2br w:val="nil"/>
              <w:tr2bl w:val="nil"/>
            </w:tcBorders>
            <w:noWrap w:val="0"/>
            <w:tcMar>
              <w:top w:w="15" w:type="dxa"/>
              <w:left w:w="15" w:type="dxa"/>
              <w:right w:w="15" w:type="dxa"/>
            </w:tcMar>
            <w:vAlign w:val="center"/>
          </w:tcPr>
          <w:p w14:paraId="50AD3B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1.66</w:t>
            </w:r>
          </w:p>
        </w:tc>
        <w:tc>
          <w:tcPr>
            <w:tcW w:w="632" w:type="dxa"/>
            <w:tcBorders>
              <w:tl2br w:val="nil"/>
              <w:tr2bl w:val="nil"/>
            </w:tcBorders>
            <w:noWrap w:val="0"/>
            <w:tcMar>
              <w:top w:w="15" w:type="dxa"/>
              <w:left w:w="15" w:type="dxa"/>
              <w:right w:w="15" w:type="dxa"/>
            </w:tcMar>
            <w:vAlign w:val="center"/>
          </w:tcPr>
          <w:p w14:paraId="41A226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2.42</w:t>
            </w:r>
          </w:p>
        </w:tc>
        <w:tc>
          <w:tcPr>
            <w:tcW w:w="632" w:type="dxa"/>
            <w:tcBorders>
              <w:tl2br w:val="nil"/>
              <w:tr2bl w:val="nil"/>
            </w:tcBorders>
            <w:noWrap w:val="0"/>
            <w:tcMar>
              <w:top w:w="15" w:type="dxa"/>
              <w:left w:w="15" w:type="dxa"/>
              <w:right w:w="15" w:type="dxa"/>
            </w:tcMar>
            <w:vAlign w:val="center"/>
          </w:tcPr>
          <w:p w14:paraId="12B949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3.92</w:t>
            </w:r>
          </w:p>
        </w:tc>
        <w:tc>
          <w:tcPr>
            <w:tcW w:w="632" w:type="dxa"/>
            <w:tcBorders>
              <w:tl2br w:val="nil"/>
              <w:tr2bl w:val="nil"/>
            </w:tcBorders>
            <w:noWrap w:val="0"/>
            <w:tcMar>
              <w:top w:w="15" w:type="dxa"/>
              <w:left w:w="15" w:type="dxa"/>
              <w:right w:w="15" w:type="dxa"/>
            </w:tcMar>
            <w:vAlign w:val="center"/>
          </w:tcPr>
          <w:p w14:paraId="45272A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9.88</w:t>
            </w:r>
          </w:p>
        </w:tc>
        <w:tc>
          <w:tcPr>
            <w:tcW w:w="632" w:type="dxa"/>
            <w:tcBorders>
              <w:tl2br w:val="nil"/>
              <w:tr2bl w:val="nil"/>
            </w:tcBorders>
            <w:noWrap w:val="0"/>
            <w:tcMar>
              <w:top w:w="15" w:type="dxa"/>
              <w:left w:w="15" w:type="dxa"/>
              <w:right w:w="15" w:type="dxa"/>
            </w:tcMar>
            <w:vAlign w:val="center"/>
          </w:tcPr>
          <w:p w14:paraId="324EE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6.75</w:t>
            </w:r>
          </w:p>
        </w:tc>
        <w:tc>
          <w:tcPr>
            <w:tcW w:w="632" w:type="dxa"/>
            <w:tcBorders>
              <w:tl2br w:val="nil"/>
              <w:tr2bl w:val="nil"/>
            </w:tcBorders>
            <w:noWrap w:val="0"/>
            <w:tcMar>
              <w:top w:w="15" w:type="dxa"/>
              <w:left w:w="15" w:type="dxa"/>
              <w:right w:w="15" w:type="dxa"/>
            </w:tcMar>
            <w:vAlign w:val="center"/>
          </w:tcPr>
          <w:p w14:paraId="2CDD30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3.78</w:t>
            </w:r>
          </w:p>
        </w:tc>
        <w:tc>
          <w:tcPr>
            <w:tcW w:w="632" w:type="dxa"/>
            <w:tcBorders>
              <w:tl2br w:val="nil"/>
              <w:tr2bl w:val="nil"/>
            </w:tcBorders>
            <w:noWrap w:val="0"/>
            <w:tcMar>
              <w:top w:w="15" w:type="dxa"/>
              <w:left w:w="15" w:type="dxa"/>
              <w:right w:w="15" w:type="dxa"/>
            </w:tcMar>
            <w:vAlign w:val="center"/>
          </w:tcPr>
          <w:p w14:paraId="5C5E75E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2.5</w:t>
            </w:r>
          </w:p>
        </w:tc>
        <w:tc>
          <w:tcPr>
            <w:tcW w:w="632" w:type="dxa"/>
            <w:tcBorders>
              <w:tl2br w:val="nil"/>
              <w:tr2bl w:val="nil"/>
            </w:tcBorders>
            <w:noWrap w:val="0"/>
            <w:tcMar>
              <w:top w:w="15" w:type="dxa"/>
              <w:left w:w="15" w:type="dxa"/>
              <w:right w:w="15" w:type="dxa"/>
            </w:tcMar>
            <w:vAlign w:val="center"/>
          </w:tcPr>
          <w:p w14:paraId="1B37FF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2.95</w:t>
            </w:r>
          </w:p>
        </w:tc>
        <w:tc>
          <w:tcPr>
            <w:tcW w:w="632" w:type="dxa"/>
            <w:tcBorders>
              <w:tl2br w:val="nil"/>
              <w:tr2bl w:val="nil"/>
            </w:tcBorders>
            <w:noWrap w:val="0"/>
            <w:tcMar>
              <w:top w:w="15" w:type="dxa"/>
              <w:left w:w="15" w:type="dxa"/>
              <w:right w:w="15" w:type="dxa"/>
            </w:tcMar>
            <w:vAlign w:val="center"/>
          </w:tcPr>
          <w:p w14:paraId="0F5CF9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1.41</w:t>
            </w:r>
          </w:p>
        </w:tc>
        <w:tc>
          <w:tcPr>
            <w:tcW w:w="632" w:type="dxa"/>
            <w:tcBorders>
              <w:tl2br w:val="nil"/>
              <w:tr2bl w:val="nil"/>
            </w:tcBorders>
            <w:noWrap w:val="0"/>
            <w:tcMar>
              <w:top w:w="15" w:type="dxa"/>
              <w:left w:w="15" w:type="dxa"/>
              <w:right w:w="15" w:type="dxa"/>
            </w:tcMar>
            <w:vAlign w:val="center"/>
          </w:tcPr>
          <w:p w14:paraId="77C04E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1.21</w:t>
            </w:r>
          </w:p>
        </w:tc>
        <w:tc>
          <w:tcPr>
            <w:tcW w:w="632" w:type="dxa"/>
            <w:tcBorders>
              <w:tl2br w:val="nil"/>
              <w:tr2bl w:val="nil"/>
            </w:tcBorders>
            <w:noWrap w:val="0"/>
            <w:tcMar>
              <w:top w:w="15" w:type="dxa"/>
              <w:left w:w="15" w:type="dxa"/>
              <w:right w:w="15" w:type="dxa"/>
            </w:tcMar>
            <w:vAlign w:val="center"/>
          </w:tcPr>
          <w:p w14:paraId="4C57C0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0.82</w:t>
            </w:r>
          </w:p>
        </w:tc>
        <w:tc>
          <w:tcPr>
            <w:tcW w:w="632" w:type="dxa"/>
            <w:tcBorders>
              <w:tl2br w:val="nil"/>
              <w:tr2bl w:val="nil"/>
            </w:tcBorders>
            <w:noWrap w:val="0"/>
            <w:tcMar>
              <w:top w:w="15" w:type="dxa"/>
              <w:left w:w="15" w:type="dxa"/>
              <w:right w:w="15" w:type="dxa"/>
            </w:tcMar>
            <w:vAlign w:val="center"/>
          </w:tcPr>
          <w:p w14:paraId="1442AA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0.76</w:t>
            </w:r>
          </w:p>
        </w:tc>
        <w:tc>
          <w:tcPr>
            <w:tcW w:w="632" w:type="dxa"/>
            <w:tcBorders>
              <w:tl2br w:val="nil"/>
              <w:tr2bl w:val="nil"/>
            </w:tcBorders>
            <w:noWrap w:val="0"/>
            <w:tcMar>
              <w:top w:w="15" w:type="dxa"/>
              <w:left w:w="15" w:type="dxa"/>
              <w:right w:w="15" w:type="dxa"/>
            </w:tcMar>
            <w:vAlign w:val="center"/>
          </w:tcPr>
          <w:p w14:paraId="64B3C8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38.06</w:t>
            </w:r>
          </w:p>
        </w:tc>
      </w:tr>
    </w:tbl>
    <w:p w14:paraId="74740F5D">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（3）库容曲线</w:t>
      </w:r>
    </w:p>
    <w:p w14:paraId="01C564F1">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根据《泉港区前黄镇前烧水库除险加固工程初步设计报告（报批稿）》（泉州市水利水电勘测设计院，2013年5月），前烧水库坝址水位库容关系曲线见表</w:t>
      </w:r>
      <w:r>
        <w:rPr>
          <w:rFonts w:hint="eastAsia" w:eastAsia="楷体" w:cs="Times New Roman"/>
          <w:color w:val="auto"/>
          <w:sz w:val="28"/>
          <w:szCs w:val="28"/>
          <w:highlight w:val="none"/>
          <w:lang w:val="en-US" w:eastAsia="zh-CN"/>
        </w:rPr>
        <w:t>4</w:t>
      </w:r>
      <w:r>
        <w:rPr>
          <w:rFonts w:hint="default" w:ascii="Times New Roman" w:hAnsi="Times New Roman" w:eastAsia="楷体" w:cs="Times New Roman"/>
          <w:color w:val="auto"/>
          <w:sz w:val="28"/>
          <w:szCs w:val="28"/>
          <w:highlight w:val="none"/>
        </w:rPr>
        <w:t>-</w:t>
      </w:r>
      <w:r>
        <w:rPr>
          <w:rFonts w:hint="eastAsia"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p>
    <w:p w14:paraId="2F14CCA3">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2</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水位~库容关系表</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70"/>
        <w:gridCol w:w="4931"/>
      </w:tblGrid>
      <w:tr w14:paraId="4E3E8C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094E27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i w:val="0"/>
                <w:color w:val="auto"/>
                <w:sz w:val="24"/>
                <w:szCs w:val="24"/>
                <w:u w:val="none"/>
              </w:rPr>
            </w:pPr>
            <w:r>
              <w:rPr>
                <w:rFonts w:hint="default" w:ascii="Times New Roman" w:hAnsi="Times New Roman" w:eastAsia="宋体" w:cs="Times New Roman"/>
                <w:b/>
                <w:bCs/>
                <w:i w:val="0"/>
                <w:color w:val="auto"/>
                <w:kern w:val="0"/>
                <w:sz w:val="24"/>
                <w:szCs w:val="24"/>
                <w:u w:val="none"/>
                <w:lang w:val="en-US" w:eastAsia="zh-CN" w:bidi="ar"/>
              </w:rPr>
              <w:t>高程(m)</w:t>
            </w:r>
          </w:p>
        </w:tc>
        <w:tc>
          <w:tcPr>
            <w:tcW w:w="4931" w:type="dxa"/>
            <w:tcBorders>
              <w:tl2br w:val="nil"/>
              <w:tr2bl w:val="nil"/>
            </w:tcBorders>
            <w:noWrap w:val="0"/>
            <w:tcMar>
              <w:top w:w="15" w:type="dxa"/>
              <w:left w:w="15" w:type="dxa"/>
              <w:right w:w="15" w:type="dxa"/>
            </w:tcMar>
            <w:vAlign w:val="center"/>
          </w:tcPr>
          <w:p w14:paraId="29081A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i w:val="0"/>
                <w:color w:val="auto"/>
                <w:sz w:val="24"/>
                <w:szCs w:val="24"/>
                <w:u w:val="none"/>
              </w:rPr>
            </w:pPr>
            <w:r>
              <w:rPr>
                <w:rFonts w:hint="default" w:ascii="Times New Roman" w:hAnsi="Times New Roman" w:eastAsia="宋体" w:cs="Times New Roman"/>
                <w:b/>
                <w:bCs/>
                <w:i w:val="0"/>
                <w:color w:val="auto"/>
                <w:kern w:val="0"/>
                <w:sz w:val="24"/>
                <w:szCs w:val="24"/>
                <w:u w:val="none"/>
                <w:lang w:val="en-US" w:eastAsia="zh-CN" w:bidi="ar"/>
              </w:rPr>
              <w:t>库容(万m</w:t>
            </w:r>
            <w:r>
              <w:rPr>
                <w:rFonts w:hint="default" w:ascii="Times New Roman" w:hAnsi="Times New Roman" w:eastAsia="宋体" w:cs="Times New Roman"/>
                <w:b/>
                <w:bCs/>
                <w:i w:val="0"/>
                <w:color w:val="auto"/>
                <w:kern w:val="0"/>
                <w:sz w:val="24"/>
                <w:szCs w:val="24"/>
                <w:u w:val="none"/>
                <w:vertAlign w:val="superscript"/>
                <w:lang w:val="en-US" w:eastAsia="zh-CN" w:bidi="ar"/>
              </w:rPr>
              <w:t>3</w:t>
            </w:r>
            <w:r>
              <w:rPr>
                <w:rFonts w:hint="default" w:ascii="Times New Roman" w:hAnsi="Times New Roman" w:eastAsia="宋体" w:cs="Times New Roman"/>
                <w:b/>
                <w:bCs/>
                <w:i w:val="0"/>
                <w:color w:val="auto"/>
                <w:kern w:val="0"/>
                <w:sz w:val="24"/>
                <w:szCs w:val="24"/>
                <w:u w:val="none"/>
                <w:lang w:val="en-US" w:eastAsia="zh-CN" w:bidi="ar"/>
              </w:rPr>
              <w:t>)</w:t>
            </w:r>
          </w:p>
        </w:tc>
      </w:tr>
      <w:tr w14:paraId="1B4F9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38C4D3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29.45</w:t>
            </w:r>
          </w:p>
        </w:tc>
        <w:tc>
          <w:tcPr>
            <w:tcW w:w="4931" w:type="dxa"/>
            <w:tcBorders>
              <w:tl2br w:val="nil"/>
              <w:tr2bl w:val="nil"/>
            </w:tcBorders>
            <w:noWrap w:val="0"/>
            <w:tcMar>
              <w:top w:w="15" w:type="dxa"/>
              <w:left w:w="15" w:type="dxa"/>
              <w:right w:w="15" w:type="dxa"/>
            </w:tcMar>
            <w:vAlign w:val="center"/>
          </w:tcPr>
          <w:p w14:paraId="3EFA79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3.48</w:t>
            </w:r>
          </w:p>
        </w:tc>
      </w:tr>
      <w:tr w14:paraId="3A9E2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226DB0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33.72</w:t>
            </w:r>
          </w:p>
        </w:tc>
        <w:tc>
          <w:tcPr>
            <w:tcW w:w="4931" w:type="dxa"/>
            <w:tcBorders>
              <w:tl2br w:val="nil"/>
              <w:tr2bl w:val="nil"/>
            </w:tcBorders>
            <w:noWrap w:val="0"/>
            <w:tcMar>
              <w:top w:w="15" w:type="dxa"/>
              <w:left w:w="15" w:type="dxa"/>
              <w:right w:w="15" w:type="dxa"/>
            </w:tcMar>
            <w:vAlign w:val="center"/>
          </w:tcPr>
          <w:p w14:paraId="66406A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6</w:t>
            </w:r>
          </w:p>
        </w:tc>
      </w:tr>
      <w:tr w14:paraId="77FAE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3FD801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34</w:t>
            </w:r>
          </w:p>
        </w:tc>
        <w:tc>
          <w:tcPr>
            <w:tcW w:w="4931" w:type="dxa"/>
            <w:tcBorders>
              <w:tl2br w:val="nil"/>
              <w:tr2bl w:val="nil"/>
            </w:tcBorders>
            <w:noWrap w:val="0"/>
            <w:tcMar>
              <w:top w:w="15" w:type="dxa"/>
              <w:left w:w="15" w:type="dxa"/>
              <w:right w:w="15" w:type="dxa"/>
            </w:tcMar>
            <w:vAlign w:val="center"/>
          </w:tcPr>
          <w:p w14:paraId="07401B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6.86</w:t>
            </w:r>
          </w:p>
        </w:tc>
      </w:tr>
      <w:tr w14:paraId="1D9D06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0CEA6B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35</w:t>
            </w:r>
          </w:p>
        </w:tc>
        <w:tc>
          <w:tcPr>
            <w:tcW w:w="4931" w:type="dxa"/>
            <w:tcBorders>
              <w:tl2br w:val="nil"/>
              <w:tr2bl w:val="nil"/>
            </w:tcBorders>
            <w:noWrap w:val="0"/>
            <w:tcMar>
              <w:top w:w="15" w:type="dxa"/>
              <w:left w:w="15" w:type="dxa"/>
              <w:right w:w="15" w:type="dxa"/>
            </w:tcMar>
            <w:vAlign w:val="center"/>
          </w:tcPr>
          <w:p w14:paraId="62EF53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10.56</w:t>
            </w:r>
          </w:p>
        </w:tc>
      </w:tr>
      <w:tr w14:paraId="347FF2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4057FE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36</w:t>
            </w:r>
          </w:p>
        </w:tc>
        <w:tc>
          <w:tcPr>
            <w:tcW w:w="4931" w:type="dxa"/>
            <w:tcBorders>
              <w:tl2br w:val="nil"/>
              <w:tr2bl w:val="nil"/>
            </w:tcBorders>
            <w:noWrap w:val="0"/>
            <w:tcMar>
              <w:top w:w="15" w:type="dxa"/>
              <w:left w:w="15" w:type="dxa"/>
              <w:right w:w="15" w:type="dxa"/>
            </w:tcMar>
            <w:vAlign w:val="center"/>
          </w:tcPr>
          <w:p w14:paraId="6B23A6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14.89</w:t>
            </w:r>
          </w:p>
        </w:tc>
      </w:tr>
      <w:tr w14:paraId="4D0925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2F28B6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37</w:t>
            </w:r>
          </w:p>
        </w:tc>
        <w:tc>
          <w:tcPr>
            <w:tcW w:w="4931" w:type="dxa"/>
            <w:tcBorders>
              <w:tl2br w:val="nil"/>
              <w:tr2bl w:val="nil"/>
            </w:tcBorders>
            <w:noWrap w:val="0"/>
            <w:tcMar>
              <w:top w:w="15" w:type="dxa"/>
              <w:left w:w="15" w:type="dxa"/>
              <w:right w:w="15" w:type="dxa"/>
            </w:tcMar>
            <w:vAlign w:val="center"/>
          </w:tcPr>
          <w:p w14:paraId="7140FD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19.92</w:t>
            </w:r>
          </w:p>
        </w:tc>
      </w:tr>
      <w:tr w14:paraId="1353AE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7BBC0B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37.75</w:t>
            </w:r>
          </w:p>
        </w:tc>
        <w:tc>
          <w:tcPr>
            <w:tcW w:w="4931" w:type="dxa"/>
            <w:tcBorders>
              <w:tl2br w:val="nil"/>
              <w:tr2bl w:val="nil"/>
            </w:tcBorders>
            <w:noWrap w:val="0"/>
            <w:tcMar>
              <w:top w:w="15" w:type="dxa"/>
              <w:left w:w="15" w:type="dxa"/>
              <w:right w:w="15" w:type="dxa"/>
            </w:tcMar>
            <w:vAlign w:val="center"/>
          </w:tcPr>
          <w:p w14:paraId="35B98C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24.18</w:t>
            </w:r>
          </w:p>
        </w:tc>
      </w:tr>
      <w:tr w14:paraId="0B0AA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2B8ED3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38</w:t>
            </w:r>
          </w:p>
        </w:tc>
        <w:tc>
          <w:tcPr>
            <w:tcW w:w="4931" w:type="dxa"/>
            <w:tcBorders>
              <w:tl2br w:val="nil"/>
              <w:tr2bl w:val="nil"/>
            </w:tcBorders>
            <w:noWrap w:val="0"/>
            <w:tcMar>
              <w:top w:w="15" w:type="dxa"/>
              <w:left w:w="15" w:type="dxa"/>
              <w:right w:w="15" w:type="dxa"/>
            </w:tcMar>
            <w:vAlign w:val="center"/>
          </w:tcPr>
          <w:p w14:paraId="54B9E4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25.68</w:t>
            </w:r>
          </w:p>
        </w:tc>
      </w:tr>
      <w:tr w14:paraId="70E3D1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692FAE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39</w:t>
            </w:r>
          </w:p>
        </w:tc>
        <w:tc>
          <w:tcPr>
            <w:tcW w:w="4931" w:type="dxa"/>
            <w:tcBorders>
              <w:tl2br w:val="nil"/>
              <w:tr2bl w:val="nil"/>
            </w:tcBorders>
            <w:noWrap w:val="0"/>
            <w:tcMar>
              <w:top w:w="15" w:type="dxa"/>
              <w:left w:w="15" w:type="dxa"/>
              <w:right w:w="15" w:type="dxa"/>
            </w:tcMar>
            <w:vAlign w:val="center"/>
          </w:tcPr>
          <w:p w14:paraId="3F3F7F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32.05</w:t>
            </w:r>
          </w:p>
        </w:tc>
      </w:tr>
      <w:tr w14:paraId="13C7D1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170" w:type="dxa"/>
            <w:tcBorders>
              <w:tl2br w:val="nil"/>
              <w:tr2bl w:val="nil"/>
            </w:tcBorders>
            <w:noWrap w:val="0"/>
            <w:tcMar>
              <w:top w:w="15" w:type="dxa"/>
              <w:left w:w="15" w:type="dxa"/>
              <w:right w:w="15" w:type="dxa"/>
            </w:tcMar>
            <w:vAlign w:val="center"/>
          </w:tcPr>
          <w:p w14:paraId="3E9252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39.8</w:t>
            </w:r>
          </w:p>
        </w:tc>
        <w:tc>
          <w:tcPr>
            <w:tcW w:w="4931" w:type="dxa"/>
            <w:tcBorders>
              <w:tl2br w:val="nil"/>
              <w:tr2bl w:val="nil"/>
            </w:tcBorders>
            <w:noWrap w:val="0"/>
            <w:tcMar>
              <w:top w:w="15" w:type="dxa"/>
              <w:left w:w="15" w:type="dxa"/>
              <w:right w:w="15" w:type="dxa"/>
            </w:tcMar>
            <w:vAlign w:val="center"/>
          </w:tcPr>
          <w:p w14:paraId="3BB8E7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u w:val="none"/>
              </w:rPr>
            </w:pPr>
            <w:r>
              <w:rPr>
                <w:rFonts w:hint="default" w:ascii="Times New Roman" w:hAnsi="Times New Roman" w:eastAsia="楷体" w:cs="Times New Roman"/>
                <w:i w:val="0"/>
                <w:color w:val="auto"/>
                <w:kern w:val="0"/>
                <w:sz w:val="24"/>
                <w:szCs w:val="24"/>
                <w:u w:val="none"/>
                <w:lang w:val="en-US" w:eastAsia="zh-CN" w:bidi="ar"/>
              </w:rPr>
              <w:t>37.65</w:t>
            </w:r>
          </w:p>
        </w:tc>
      </w:tr>
    </w:tbl>
    <w:p w14:paraId="5462C895">
      <w:pPr>
        <w:spacing w:line="520" w:lineRule="exact"/>
        <w:ind w:firstLine="560" w:firstLineChars="200"/>
        <w:rPr>
          <w:rFonts w:hint="eastAsia" w:eastAsia="楷体"/>
          <w:color w:val="auto"/>
          <w:sz w:val="28"/>
          <w:szCs w:val="28"/>
          <w:highlight w:val="none"/>
          <w:lang w:val="en-US" w:eastAsia="zh-CN"/>
        </w:rPr>
      </w:pPr>
    </w:p>
    <w:p w14:paraId="1E230366">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（4）兴利调节</w:t>
      </w:r>
    </w:p>
    <w:p w14:paraId="505B4A38">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根据以上所收集资料进行兴利调节计算，确定汛限水位为37.75m，具体计算表格如下：</w:t>
      </w:r>
    </w:p>
    <w:p w14:paraId="71C43B2C">
      <w:pPr>
        <w:spacing w:line="520" w:lineRule="exact"/>
        <w:rPr>
          <w:rFonts w:hint="default" w:eastAsia="楷体"/>
          <w:b/>
          <w:bCs/>
          <w:color w:val="auto"/>
          <w:kern w:val="0"/>
          <w:sz w:val="28"/>
          <w:szCs w:val="28"/>
          <w:highlight w:val="none"/>
          <w:lang w:val="en-US" w:eastAsia="zh-CN"/>
        </w:rPr>
      </w:pPr>
      <w:r>
        <w:rPr>
          <w:rFonts w:eastAsia="楷体"/>
          <w:b/>
          <w:bCs/>
          <w:color w:val="auto"/>
          <w:kern w:val="0"/>
          <w:sz w:val="28"/>
          <w:szCs w:val="28"/>
          <w:highlight w:val="none"/>
        </w:rPr>
        <w:t>表</w:t>
      </w:r>
      <w:r>
        <w:rPr>
          <w:rFonts w:hint="eastAsia" w:eastAsia="楷体"/>
          <w:b/>
          <w:bCs/>
          <w:color w:val="auto"/>
          <w:kern w:val="0"/>
          <w:sz w:val="28"/>
          <w:szCs w:val="28"/>
          <w:highlight w:val="none"/>
          <w:lang w:val="en-US" w:eastAsia="zh-CN"/>
        </w:rPr>
        <w:t>4</w:t>
      </w:r>
      <w:r>
        <w:rPr>
          <w:rFonts w:hint="eastAsia" w:eastAsia="楷体"/>
          <w:b/>
          <w:bCs/>
          <w:color w:val="auto"/>
          <w:kern w:val="0"/>
          <w:sz w:val="28"/>
          <w:szCs w:val="28"/>
          <w:highlight w:val="none"/>
        </w:rPr>
        <w:t>-</w:t>
      </w:r>
      <w:r>
        <w:rPr>
          <w:rFonts w:hint="eastAsia" w:eastAsia="楷体"/>
          <w:b/>
          <w:bCs/>
          <w:color w:val="auto"/>
          <w:kern w:val="0"/>
          <w:sz w:val="28"/>
          <w:szCs w:val="28"/>
          <w:highlight w:val="none"/>
          <w:lang w:val="en-US" w:eastAsia="zh-CN"/>
        </w:rPr>
        <w:t>3</w:t>
      </w:r>
      <w:r>
        <w:rPr>
          <w:rFonts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eastAsia="楷体"/>
          <w:b/>
          <w:bCs/>
          <w:color w:val="auto"/>
          <w:kern w:val="0"/>
          <w:sz w:val="28"/>
          <w:szCs w:val="28"/>
          <w:highlight w:val="none"/>
        </w:rPr>
        <w:t xml:space="preserve"> </w:t>
      </w:r>
      <w:r>
        <w:rPr>
          <w:rFonts w:hint="eastAsia" w:eastAsia="楷体"/>
          <w:b/>
          <w:bCs/>
          <w:color w:val="auto"/>
          <w:kern w:val="0"/>
          <w:sz w:val="28"/>
          <w:szCs w:val="28"/>
          <w:highlight w:val="none"/>
        </w:rPr>
        <w:t xml:space="preserve">  </w:t>
      </w:r>
      <w:r>
        <w:rPr>
          <w:rFonts w:hint="eastAsia" w:eastAsia="楷体"/>
          <w:b/>
          <w:bCs/>
          <w:color w:val="auto"/>
          <w:kern w:val="0"/>
          <w:sz w:val="28"/>
          <w:szCs w:val="28"/>
          <w:highlight w:val="none"/>
          <w:lang w:val="en-US" w:eastAsia="zh-CN"/>
        </w:rPr>
        <w:t xml:space="preserve">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前烧水库</w:t>
      </w:r>
      <w:r>
        <w:rPr>
          <w:rFonts w:hint="eastAsia" w:eastAsia="楷体"/>
          <w:b/>
          <w:bCs/>
          <w:color w:val="auto"/>
          <w:kern w:val="0"/>
          <w:sz w:val="28"/>
          <w:szCs w:val="28"/>
          <w:highlight w:val="none"/>
          <w:lang w:val="en-US" w:eastAsia="zh-CN"/>
        </w:rPr>
        <w:t>兴利调节计算表格</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5"/>
        <w:gridCol w:w="821"/>
        <w:gridCol w:w="822"/>
        <w:gridCol w:w="821"/>
        <w:gridCol w:w="1107"/>
        <w:gridCol w:w="980"/>
        <w:gridCol w:w="1439"/>
        <w:gridCol w:w="1150"/>
        <w:gridCol w:w="966"/>
      </w:tblGrid>
      <w:tr w14:paraId="3497C1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995" w:type="dxa"/>
            <w:tcBorders>
              <w:tl2br w:val="nil"/>
              <w:tr2bl w:val="nil"/>
            </w:tcBorders>
            <w:noWrap w:val="0"/>
            <w:tcMar>
              <w:top w:w="15" w:type="dxa"/>
              <w:left w:w="15" w:type="dxa"/>
              <w:right w:w="15" w:type="dxa"/>
            </w:tcMar>
            <w:vAlign w:val="center"/>
          </w:tcPr>
          <w:p w14:paraId="35964F24">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年份</w:t>
            </w:r>
          </w:p>
        </w:tc>
        <w:tc>
          <w:tcPr>
            <w:tcW w:w="821" w:type="dxa"/>
            <w:tcBorders>
              <w:tl2br w:val="nil"/>
              <w:tr2bl w:val="nil"/>
            </w:tcBorders>
            <w:noWrap w:val="0"/>
            <w:tcMar>
              <w:top w:w="15" w:type="dxa"/>
              <w:left w:w="15" w:type="dxa"/>
              <w:right w:w="15" w:type="dxa"/>
            </w:tcMar>
            <w:vAlign w:val="center"/>
          </w:tcPr>
          <w:p w14:paraId="69AB440E">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月份</w:t>
            </w:r>
          </w:p>
        </w:tc>
        <w:tc>
          <w:tcPr>
            <w:tcW w:w="822" w:type="dxa"/>
            <w:tcBorders>
              <w:tl2br w:val="nil"/>
              <w:tr2bl w:val="nil"/>
            </w:tcBorders>
            <w:noWrap w:val="0"/>
            <w:tcMar>
              <w:top w:w="15" w:type="dxa"/>
              <w:left w:w="15" w:type="dxa"/>
              <w:right w:w="15" w:type="dxa"/>
            </w:tcMar>
            <w:vAlign w:val="center"/>
          </w:tcPr>
          <w:p w14:paraId="0882548C">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时间节点</w:t>
            </w:r>
          </w:p>
        </w:tc>
        <w:tc>
          <w:tcPr>
            <w:tcW w:w="821" w:type="dxa"/>
            <w:tcBorders>
              <w:tl2br w:val="nil"/>
              <w:tr2bl w:val="nil"/>
            </w:tcBorders>
            <w:noWrap w:val="0"/>
            <w:tcMar>
              <w:top w:w="15" w:type="dxa"/>
              <w:left w:w="15" w:type="dxa"/>
              <w:right w:w="15" w:type="dxa"/>
            </w:tcMar>
            <w:vAlign w:val="center"/>
          </w:tcPr>
          <w:p w14:paraId="57C1A311">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水位（m）</w:t>
            </w:r>
          </w:p>
        </w:tc>
        <w:tc>
          <w:tcPr>
            <w:tcW w:w="1107" w:type="dxa"/>
            <w:tcBorders>
              <w:tl2br w:val="nil"/>
              <w:tr2bl w:val="nil"/>
            </w:tcBorders>
            <w:noWrap w:val="0"/>
            <w:tcMar>
              <w:top w:w="15" w:type="dxa"/>
              <w:left w:w="15" w:type="dxa"/>
              <w:right w:w="15" w:type="dxa"/>
            </w:tcMar>
            <w:vAlign w:val="center"/>
          </w:tcPr>
          <w:p w14:paraId="564DB5FC">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库容（万m</w:t>
            </w:r>
            <w:r>
              <w:rPr>
                <w:rFonts w:hint="default" w:ascii="Times New Roman" w:hAnsi="Times New Roman" w:eastAsia="宋体" w:cs="Times New Roman"/>
                <w:i w:val="0"/>
                <w:color w:val="auto"/>
                <w:kern w:val="0"/>
                <w:sz w:val="21"/>
                <w:szCs w:val="21"/>
                <w:u w:val="none"/>
                <w:vertAlign w:val="super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w:t>
            </w:r>
          </w:p>
        </w:tc>
        <w:tc>
          <w:tcPr>
            <w:tcW w:w="980" w:type="dxa"/>
            <w:tcBorders>
              <w:tl2br w:val="nil"/>
              <w:tr2bl w:val="nil"/>
            </w:tcBorders>
            <w:noWrap w:val="0"/>
            <w:tcMar>
              <w:top w:w="15" w:type="dxa"/>
              <w:left w:w="15" w:type="dxa"/>
              <w:right w:w="15" w:type="dxa"/>
            </w:tcMar>
            <w:vAlign w:val="center"/>
          </w:tcPr>
          <w:p w14:paraId="53C91E43">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来水量（万m</w:t>
            </w:r>
            <w:r>
              <w:rPr>
                <w:rFonts w:hint="default" w:ascii="Times New Roman" w:hAnsi="Times New Roman" w:eastAsia="宋体" w:cs="Times New Roman"/>
                <w:i w:val="0"/>
                <w:color w:val="auto"/>
                <w:kern w:val="0"/>
                <w:sz w:val="21"/>
                <w:szCs w:val="21"/>
                <w:u w:val="none"/>
                <w:vertAlign w:val="super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w:t>
            </w:r>
          </w:p>
        </w:tc>
        <w:tc>
          <w:tcPr>
            <w:tcW w:w="1439" w:type="dxa"/>
            <w:tcBorders>
              <w:tl2br w:val="nil"/>
              <w:tr2bl w:val="nil"/>
            </w:tcBorders>
            <w:noWrap w:val="0"/>
            <w:tcMar>
              <w:top w:w="15" w:type="dxa"/>
              <w:left w:w="15" w:type="dxa"/>
              <w:right w:w="15" w:type="dxa"/>
            </w:tcMar>
            <w:vAlign w:val="center"/>
          </w:tcPr>
          <w:p w14:paraId="44A57340">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生态基流(10%)及蒸发渗漏(3%)（万m</w:t>
            </w:r>
            <w:r>
              <w:rPr>
                <w:rFonts w:hint="default" w:ascii="Times New Roman" w:hAnsi="Times New Roman" w:eastAsia="宋体" w:cs="Times New Roman"/>
                <w:i w:val="0"/>
                <w:color w:val="auto"/>
                <w:kern w:val="0"/>
                <w:sz w:val="21"/>
                <w:szCs w:val="21"/>
                <w:u w:val="none"/>
                <w:vertAlign w:val="super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w:t>
            </w:r>
          </w:p>
        </w:tc>
        <w:tc>
          <w:tcPr>
            <w:tcW w:w="1150" w:type="dxa"/>
            <w:tcBorders>
              <w:tl2br w:val="nil"/>
              <w:tr2bl w:val="nil"/>
            </w:tcBorders>
            <w:noWrap w:val="0"/>
            <w:tcMar>
              <w:top w:w="15" w:type="dxa"/>
              <w:left w:w="15" w:type="dxa"/>
              <w:right w:w="15" w:type="dxa"/>
            </w:tcMar>
            <w:vAlign w:val="center"/>
          </w:tcPr>
          <w:p w14:paraId="5844BBBA">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用水(下游灌溉用水)（万m</w:t>
            </w:r>
            <w:r>
              <w:rPr>
                <w:rFonts w:hint="default" w:ascii="Times New Roman" w:hAnsi="Times New Roman" w:eastAsia="宋体" w:cs="Times New Roman"/>
                <w:i w:val="0"/>
                <w:color w:val="auto"/>
                <w:kern w:val="0"/>
                <w:sz w:val="21"/>
                <w:szCs w:val="21"/>
                <w:u w:val="none"/>
                <w:vertAlign w:val="super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w:t>
            </w:r>
          </w:p>
        </w:tc>
        <w:tc>
          <w:tcPr>
            <w:tcW w:w="966" w:type="dxa"/>
            <w:tcBorders>
              <w:tl2br w:val="nil"/>
              <w:tr2bl w:val="nil"/>
            </w:tcBorders>
            <w:noWrap w:val="0"/>
            <w:tcMar>
              <w:top w:w="15" w:type="dxa"/>
              <w:left w:w="15" w:type="dxa"/>
              <w:right w:w="15" w:type="dxa"/>
            </w:tcMar>
            <w:vAlign w:val="center"/>
          </w:tcPr>
          <w:p w14:paraId="07B88A29">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弃水（万m</w:t>
            </w:r>
            <w:r>
              <w:rPr>
                <w:rFonts w:hint="default" w:ascii="Times New Roman" w:hAnsi="Times New Roman" w:eastAsia="宋体" w:cs="Times New Roman"/>
                <w:i w:val="0"/>
                <w:color w:val="auto"/>
                <w:kern w:val="0"/>
                <w:sz w:val="21"/>
                <w:szCs w:val="21"/>
                <w:u w:val="none"/>
                <w:vertAlign w:val="superscript"/>
                <w:lang w:val="en-US" w:eastAsia="zh-CN" w:bidi="ar"/>
              </w:rPr>
              <w:t>3</w:t>
            </w:r>
            <w:r>
              <w:rPr>
                <w:rFonts w:hint="default" w:ascii="Times New Roman" w:hAnsi="Times New Roman" w:eastAsia="宋体" w:cs="Times New Roman"/>
                <w:i w:val="0"/>
                <w:color w:val="auto"/>
                <w:kern w:val="0"/>
                <w:sz w:val="21"/>
                <w:szCs w:val="21"/>
                <w:u w:val="none"/>
                <w:lang w:val="en-US" w:eastAsia="zh-CN" w:bidi="ar"/>
              </w:rPr>
              <w:t>）</w:t>
            </w:r>
          </w:p>
        </w:tc>
      </w:tr>
      <w:tr w14:paraId="4034BE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vMerge w:val="restart"/>
            <w:tcBorders>
              <w:tl2br w:val="nil"/>
              <w:tr2bl w:val="nil"/>
            </w:tcBorders>
            <w:noWrap w:val="0"/>
            <w:tcMar>
              <w:top w:w="15" w:type="dxa"/>
              <w:left w:w="15" w:type="dxa"/>
              <w:right w:w="15" w:type="dxa"/>
            </w:tcMar>
            <w:vAlign w:val="center"/>
          </w:tcPr>
          <w:p w14:paraId="1168A934">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20</w:t>
            </w:r>
            <w:r>
              <w:rPr>
                <w:rFonts w:hint="eastAsia" w:ascii="Times New Roman" w:hAnsi="Times New Roman" w:eastAsia="宋体" w:cs="Times New Roman"/>
                <w:i w:val="0"/>
                <w:color w:val="auto"/>
                <w:kern w:val="0"/>
                <w:sz w:val="21"/>
                <w:szCs w:val="21"/>
                <w:u w:val="none"/>
                <w:lang w:val="en-US" w:eastAsia="zh-CN" w:bidi="ar"/>
              </w:rPr>
              <w:t>25</w:t>
            </w:r>
            <w:r>
              <w:rPr>
                <w:rFonts w:hint="default" w:ascii="Times New Roman" w:hAnsi="Times New Roman" w:eastAsia="宋体" w:cs="Times New Roman"/>
                <w:i w:val="0"/>
                <w:color w:val="auto"/>
                <w:kern w:val="0"/>
                <w:sz w:val="21"/>
                <w:szCs w:val="21"/>
                <w:u w:val="none"/>
                <w:lang w:val="en-US" w:eastAsia="zh-CN" w:bidi="ar"/>
              </w:rPr>
              <w:t>年汛期</w:t>
            </w:r>
          </w:p>
        </w:tc>
        <w:tc>
          <w:tcPr>
            <w:tcW w:w="821" w:type="dxa"/>
            <w:vMerge w:val="restart"/>
            <w:tcBorders>
              <w:tl2br w:val="nil"/>
              <w:tr2bl w:val="nil"/>
            </w:tcBorders>
            <w:noWrap w:val="0"/>
            <w:tcMar>
              <w:top w:w="15" w:type="dxa"/>
              <w:left w:w="15" w:type="dxa"/>
              <w:right w:w="15" w:type="dxa"/>
            </w:tcMar>
            <w:vAlign w:val="center"/>
          </w:tcPr>
          <w:p w14:paraId="73E98AB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4</w:t>
            </w:r>
          </w:p>
        </w:tc>
        <w:tc>
          <w:tcPr>
            <w:tcW w:w="822" w:type="dxa"/>
            <w:tcBorders>
              <w:tl2br w:val="nil"/>
              <w:tr2bl w:val="nil"/>
            </w:tcBorders>
            <w:noWrap w:val="0"/>
            <w:tcMar>
              <w:top w:w="15" w:type="dxa"/>
              <w:left w:w="15" w:type="dxa"/>
              <w:right w:w="15" w:type="dxa"/>
            </w:tcMar>
            <w:vAlign w:val="center"/>
          </w:tcPr>
          <w:p w14:paraId="32EF75E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15</w:t>
            </w:r>
            <w:r>
              <w:rPr>
                <w:rFonts w:hint="eastAsia" w:cs="Times New Roman"/>
                <w:i w:val="0"/>
                <w:color w:val="auto"/>
                <w:kern w:val="0"/>
                <w:sz w:val="21"/>
                <w:szCs w:val="21"/>
                <w:highlight w:val="none"/>
                <w:u w:val="none"/>
                <w:lang w:val="en-US" w:eastAsia="zh-CN"/>
              </w:rPr>
              <w:t>日</w:t>
            </w:r>
          </w:p>
        </w:tc>
        <w:tc>
          <w:tcPr>
            <w:tcW w:w="821" w:type="dxa"/>
            <w:tcBorders>
              <w:tl2br w:val="nil"/>
              <w:tr2bl w:val="nil"/>
            </w:tcBorders>
            <w:noWrap w:val="0"/>
            <w:tcMar>
              <w:top w:w="15" w:type="dxa"/>
              <w:left w:w="15" w:type="dxa"/>
              <w:right w:w="15" w:type="dxa"/>
            </w:tcMar>
            <w:vAlign w:val="center"/>
          </w:tcPr>
          <w:p w14:paraId="72CB3719">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35.3</w:t>
            </w:r>
          </w:p>
        </w:tc>
        <w:tc>
          <w:tcPr>
            <w:tcW w:w="1107" w:type="dxa"/>
            <w:tcBorders>
              <w:tl2br w:val="nil"/>
              <w:tr2bl w:val="nil"/>
            </w:tcBorders>
            <w:noWrap w:val="0"/>
            <w:tcMar>
              <w:top w:w="15" w:type="dxa"/>
              <w:left w:w="15" w:type="dxa"/>
              <w:right w:w="15" w:type="dxa"/>
            </w:tcMar>
            <w:vAlign w:val="center"/>
          </w:tcPr>
          <w:p w14:paraId="39A35765">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11.8</w:t>
            </w:r>
          </w:p>
        </w:tc>
        <w:tc>
          <w:tcPr>
            <w:tcW w:w="980" w:type="dxa"/>
            <w:tcBorders>
              <w:tl2br w:val="nil"/>
              <w:tr2bl w:val="nil"/>
            </w:tcBorders>
            <w:noWrap w:val="0"/>
            <w:tcMar>
              <w:top w:w="15" w:type="dxa"/>
              <w:left w:w="15" w:type="dxa"/>
              <w:right w:w="15" w:type="dxa"/>
            </w:tcMar>
            <w:vAlign w:val="center"/>
          </w:tcPr>
          <w:p w14:paraId="0F2EADD9">
            <w:pPr>
              <w:jc w:val="center"/>
              <w:rPr>
                <w:rFonts w:hint="default" w:ascii="Times New Roman" w:hAnsi="Times New Roman" w:eastAsia="宋体" w:cs="Times New Roman"/>
                <w:i w:val="0"/>
                <w:color w:val="auto"/>
                <w:sz w:val="21"/>
                <w:szCs w:val="21"/>
                <w:u w:val="none"/>
              </w:rPr>
            </w:pPr>
          </w:p>
        </w:tc>
        <w:tc>
          <w:tcPr>
            <w:tcW w:w="1439" w:type="dxa"/>
            <w:tcBorders>
              <w:tl2br w:val="nil"/>
              <w:tr2bl w:val="nil"/>
            </w:tcBorders>
            <w:noWrap w:val="0"/>
            <w:tcMar>
              <w:top w:w="15" w:type="dxa"/>
              <w:left w:w="15" w:type="dxa"/>
              <w:right w:w="15" w:type="dxa"/>
            </w:tcMar>
            <w:vAlign w:val="center"/>
          </w:tcPr>
          <w:p w14:paraId="7E3ADFED">
            <w:pPr>
              <w:jc w:val="center"/>
              <w:rPr>
                <w:rFonts w:hint="default" w:ascii="Times New Roman" w:hAnsi="Times New Roman" w:eastAsia="宋体" w:cs="Times New Roman"/>
                <w:i w:val="0"/>
                <w:color w:val="auto"/>
                <w:sz w:val="21"/>
                <w:szCs w:val="21"/>
                <w:u w:val="none"/>
              </w:rPr>
            </w:pPr>
          </w:p>
        </w:tc>
        <w:tc>
          <w:tcPr>
            <w:tcW w:w="1150" w:type="dxa"/>
            <w:tcBorders>
              <w:tl2br w:val="nil"/>
              <w:tr2bl w:val="nil"/>
            </w:tcBorders>
            <w:noWrap w:val="0"/>
            <w:tcMar>
              <w:top w:w="15" w:type="dxa"/>
              <w:left w:w="15" w:type="dxa"/>
              <w:right w:w="15" w:type="dxa"/>
            </w:tcMar>
            <w:vAlign w:val="center"/>
          </w:tcPr>
          <w:p w14:paraId="6337796C">
            <w:pPr>
              <w:jc w:val="center"/>
              <w:rPr>
                <w:rFonts w:hint="default" w:ascii="Times New Roman" w:hAnsi="Times New Roman" w:eastAsia="宋体" w:cs="Times New Roman"/>
                <w:i w:val="0"/>
                <w:color w:val="auto"/>
                <w:sz w:val="21"/>
                <w:szCs w:val="21"/>
                <w:u w:val="none"/>
              </w:rPr>
            </w:pPr>
          </w:p>
        </w:tc>
        <w:tc>
          <w:tcPr>
            <w:tcW w:w="966" w:type="dxa"/>
            <w:tcBorders>
              <w:tl2br w:val="nil"/>
              <w:tr2bl w:val="nil"/>
            </w:tcBorders>
            <w:noWrap w:val="0"/>
            <w:tcMar>
              <w:top w:w="15" w:type="dxa"/>
              <w:left w:w="15" w:type="dxa"/>
              <w:right w:w="15" w:type="dxa"/>
            </w:tcMar>
            <w:vAlign w:val="center"/>
          </w:tcPr>
          <w:p w14:paraId="34CEB28E">
            <w:pPr>
              <w:jc w:val="center"/>
              <w:rPr>
                <w:rFonts w:hint="default" w:ascii="Times New Roman" w:hAnsi="Times New Roman" w:eastAsia="宋体" w:cs="Times New Roman"/>
                <w:i w:val="0"/>
                <w:color w:val="auto"/>
                <w:sz w:val="21"/>
                <w:szCs w:val="21"/>
                <w:u w:val="none"/>
              </w:rPr>
            </w:pPr>
          </w:p>
        </w:tc>
      </w:tr>
      <w:tr w14:paraId="243AB2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71B034C2">
            <w:pPr>
              <w:jc w:val="center"/>
              <w:rPr>
                <w:rFonts w:hint="default" w:ascii="Times New Roman" w:hAnsi="Times New Roman" w:eastAsia="宋体" w:cs="Times New Roman"/>
                <w:i w:val="0"/>
                <w:color w:val="auto"/>
                <w:sz w:val="21"/>
                <w:szCs w:val="21"/>
                <w:u w:val="none"/>
              </w:rPr>
            </w:pPr>
          </w:p>
        </w:tc>
        <w:tc>
          <w:tcPr>
            <w:tcW w:w="821" w:type="dxa"/>
            <w:vMerge w:val="continue"/>
            <w:tcBorders>
              <w:tl2br w:val="nil"/>
              <w:tr2bl w:val="nil"/>
            </w:tcBorders>
            <w:noWrap w:val="0"/>
            <w:tcMar>
              <w:top w:w="15" w:type="dxa"/>
              <w:left w:w="15" w:type="dxa"/>
              <w:right w:w="15" w:type="dxa"/>
            </w:tcMar>
            <w:vAlign w:val="center"/>
          </w:tcPr>
          <w:p w14:paraId="5A20F71E">
            <w:pPr>
              <w:jc w:val="center"/>
              <w:rPr>
                <w:rFonts w:hint="default" w:ascii="Times New Roman" w:hAnsi="Times New Roman" w:eastAsia="宋体" w:cs="Times New Roman"/>
                <w:i w:val="0"/>
                <w:color w:val="auto"/>
                <w:sz w:val="21"/>
                <w:szCs w:val="21"/>
                <w:u w:val="none"/>
              </w:rPr>
            </w:pPr>
          </w:p>
        </w:tc>
        <w:tc>
          <w:tcPr>
            <w:tcW w:w="822" w:type="dxa"/>
            <w:tcBorders>
              <w:tl2br w:val="nil"/>
              <w:tr2bl w:val="nil"/>
            </w:tcBorders>
            <w:noWrap w:val="0"/>
            <w:tcMar>
              <w:top w:w="15" w:type="dxa"/>
              <w:left w:w="15" w:type="dxa"/>
              <w:right w:w="15" w:type="dxa"/>
            </w:tcMar>
            <w:vAlign w:val="center"/>
          </w:tcPr>
          <w:p w14:paraId="46C64D1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5881C2A9">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35.4</w:t>
            </w:r>
          </w:p>
        </w:tc>
        <w:tc>
          <w:tcPr>
            <w:tcW w:w="1107" w:type="dxa"/>
            <w:tcBorders>
              <w:tl2br w:val="nil"/>
              <w:tr2bl w:val="nil"/>
            </w:tcBorders>
            <w:noWrap w:val="0"/>
            <w:tcMar>
              <w:top w:w="15" w:type="dxa"/>
              <w:left w:w="15" w:type="dxa"/>
              <w:right w:w="15" w:type="dxa"/>
            </w:tcMar>
            <w:vAlign w:val="center"/>
          </w:tcPr>
          <w:p w14:paraId="07041790">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12.1</w:t>
            </w:r>
          </w:p>
        </w:tc>
        <w:tc>
          <w:tcPr>
            <w:tcW w:w="980" w:type="dxa"/>
            <w:tcBorders>
              <w:tl2br w:val="nil"/>
              <w:tr2bl w:val="nil"/>
            </w:tcBorders>
            <w:noWrap w:val="0"/>
            <w:tcMar>
              <w:top w:w="15" w:type="dxa"/>
              <w:left w:w="15" w:type="dxa"/>
              <w:right w:w="15" w:type="dxa"/>
            </w:tcMar>
            <w:vAlign w:val="center"/>
          </w:tcPr>
          <w:p w14:paraId="0C279367">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1.66</w:t>
            </w:r>
          </w:p>
        </w:tc>
        <w:tc>
          <w:tcPr>
            <w:tcW w:w="1439" w:type="dxa"/>
            <w:tcBorders>
              <w:tl2br w:val="nil"/>
              <w:tr2bl w:val="nil"/>
            </w:tcBorders>
            <w:noWrap w:val="0"/>
            <w:tcMar>
              <w:top w:w="15" w:type="dxa"/>
              <w:left w:w="15" w:type="dxa"/>
              <w:right w:w="15" w:type="dxa"/>
            </w:tcMar>
            <w:vAlign w:val="center"/>
          </w:tcPr>
          <w:p w14:paraId="492CDD5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0.22 </w:t>
            </w:r>
          </w:p>
        </w:tc>
        <w:tc>
          <w:tcPr>
            <w:tcW w:w="1150" w:type="dxa"/>
            <w:tcBorders>
              <w:tl2br w:val="nil"/>
              <w:tr2bl w:val="nil"/>
            </w:tcBorders>
            <w:noWrap w:val="0"/>
            <w:tcMar>
              <w:top w:w="15" w:type="dxa"/>
              <w:left w:w="15" w:type="dxa"/>
              <w:right w:w="15" w:type="dxa"/>
            </w:tcMar>
            <w:vAlign w:val="center"/>
          </w:tcPr>
          <w:p w14:paraId="3AC480B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32235CC3">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1.44</w:t>
            </w:r>
          </w:p>
        </w:tc>
      </w:tr>
      <w:tr w14:paraId="25E49A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1A946F00">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7C4CDF6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5</w:t>
            </w:r>
          </w:p>
        </w:tc>
        <w:tc>
          <w:tcPr>
            <w:tcW w:w="822" w:type="dxa"/>
            <w:tcBorders>
              <w:tl2br w:val="nil"/>
              <w:tr2bl w:val="nil"/>
            </w:tcBorders>
            <w:noWrap w:val="0"/>
            <w:tcMar>
              <w:top w:w="15" w:type="dxa"/>
              <w:left w:w="15" w:type="dxa"/>
              <w:right w:w="15" w:type="dxa"/>
            </w:tcMar>
            <w:vAlign w:val="center"/>
          </w:tcPr>
          <w:p w14:paraId="0D43BC6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2D4210FD">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35.1</w:t>
            </w:r>
          </w:p>
        </w:tc>
        <w:tc>
          <w:tcPr>
            <w:tcW w:w="1107" w:type="dxa"/>
            <w:tcBorders>
              <w:tl2br w:val="nil"/>
              <w:tr2bl w:val="nil"/>
            </w:tcBorders>
            <w:noWrap w:val="0"/>
            <w:tcMar>
              <w:top w:w="15" w:type="dxa"/>
              <w:left w:w="15" w:type="dxa"/>
              <w:right w:w="15" w:type="dxa"/>
            </w:tcMar>
            <w:vAlign w:val="center"/>
          </w:tcPr>
          <w:p w14:paraId="261571F7">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11.3</w:t>
            </w:r>
          </w:p>
        </w:tc>
        <w:tc>
          <w:tcPr>
            <w:tcW w:w="980" w:type="dxa"/>
            <w:tcBorders>
              <w:tl2br w:val="nil"/>
              <w:tr2bl w:val="nil"/>
            </w:tcBorders>
            <w:noWrap w:val="0"/>
            <w:tcMar>
              <w:top w:w="15" w:type="dxa"/>
              <w:left w:w="15" w:type="dxa"/>
              <w:right w:w="15" w:type="dxa"/>
            </w:tcMar>
            <w:vAlign w:val="center"/>
          </w:tcPr>
          <w:p w14:paraId="17F93FAB">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2.42</w:t>
            </w:r>
          </w:p>
        </w:tc>
        <w:tc>
          <w:tcPr>
            <w:tcW w:w="1439" w:type="dxa"/>
            <w:tcBorders>
              <w:tl2br w:val="nil"/>
              <w:tr2bl w:val="nil"/>
            </w:tcBorders>
            <w:noWrap w:val="0"/>
            <w:tcMar>
              <w:top w:w="15" w:type="dxa"/>
              <w:left w:w="15" w:type="dxa"/>
              <w:right w:w="15" w:type="dxa"/>
            </w:tcMar>
            <w:vAlign w:val="center"/>
          </w:tcPr>
          <w:p w14:paraId="15DB31AD">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0.31 </w:t>
            </w:r>
          </w:p>
        </w:tc>
        <w:tc>
          <w:tcPr>
            <w:tcW w:w="1150" w:type="dxa"/>
            <w:tcBorders>
              <w:tl2br w:val="nil"/>
              <w:tr2bl w:val="nil"/>
            </w:tcBorders>
            <w:noWrap w:val="0"/>
            <w:tcMar>
              <w:top w:w="15" w:type="dxa"/>
              <w:left w:w="15" w:type="dxa"/>
              <w:right w:w="15" w:type="dxa"/>
            </w:tcMar>
            <w:vAlign w:val="center"/>
          </w:tcPr>
          <w:p w14:paraId="7241B8D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5.01</w:t>
            </w:r>
          </w:p>
        </w:tc>
        <w:tc>
          <w:tcPr>
            <w:tcW w:w="966" w:type="dxa"/>
            <w:tcBorders>
              <w:tl2br w:val="nil"/>
              <w:tr2bl w:val="nil"/>
            </w:tcBorders>
            <w:noWrap w:val="0"/>
            <w:tcMar>
              <w:top w:w="15" w:type="dxa"/>
              <w:left w:w="15" w:type="dxa"/>
              <w:right w:w="15" w:type="dxa"/>
            </w:tcMar>
            <w:vAlign w:val="center"/>
          </w:tcPr>
          <w:p w14:paraId="01426EE1">
            <w:pPr>
              <w:jc w:val="center"/>
              <w:rPr>
                <w:rFonts w:hint="default" w:ascii="Times New Roman" w:hAnsi="Times New Roman" w:eastAsia="宋体" w:cs="Times New Roman"/>
                <w:i w:val="0"/>
                <w:color w:val="auto"/>
                <w:sz w:val="21"/>
                <w:szCs w:val="21"/>
                <w:u w:val="none"/>
              </w:rPr>
            </w:pPr>
          </w:p>
        </w:tc>
      </w:tr>
      <w:tr w14:paraId="2B7E2A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2A3322A3">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7D50DDD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6</w:t>
            </w:r>
          </w:p>
        </w:tc>
        <w:tc>
          <w:tcPr>
            <w:tcW w:w="822" w:type="dxa"/>
            <w:tcBorders>
              <w:tl2br w:val="nil"/>
              <w:tr2bl w:val="nil"/>
            </w:tcBorders>
            <w:noWrap w:val="0"/>
            <w:tcMar>
              <w:top w:w="15" w:type="dxa"/>
              <w:left w:w="15" w:type="dxa"/>
              <w:right w:w="15" w:type="dxa"/>
            </w:tcMar>
            <w:vAlign w:val="center"/>
          </w:tcPr>
          <w:p w14:paraId="0976F0DC">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0708564A">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w:t>
            </w:r>
          </w:p>
        </w:tc>
        <w:tc>
          <w:tcPr>
            <w:tcW w:w="1107" w:type="dxa"/>
            <w:tcBorders>
              <w:tl2br w:val="nil"/>
              <w:tr2bl w:val="nil"/>
            </w:tcBorders>
            <w:noWrap w:val="0"/>
            <w:tcMar>
              <w:top w:w="15" w:type="dxa"/>
              <w:left w:w="15" w:type="dxa"/>
              <w:right w:w="15" w:type="dxa"/>
            </w:tcMar>
            <w:vAlign w:val="center"/>
          </w:tcPr>
          <w:p w14:paraId="06C55665">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11</w:t>
            </w:r>
          </w:p>
        </w:tc>
        <w:tc>
          <w:tcPr>
            <w:tcW w:w="980" w:type="dxa"/>
            <w:tcBorders>
              <w:tl2br w:val="nil"/>
              <w:tr2bl w:val="nil"/>
            </w:tcBorders>
            <w:noWrap w:val="0"/>
            <w:tcMar>
              <w:top w:w="15" w:type="dxa"/>
              <w:left w:w="15" w:type="dxa"/>
              <w:right w:w="15" w:type="dxa"/>
            </w:tcMar>
            <w:vAlign w:val="center"/>
          </w:tcPr>
          <w:p w14:paraId="26045872">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3.92</w:t>
            </w:r>
          </w:p>
        </w:tc>
        <w:tc>
          <w:tcPr>
            <w:tcW w:w="1439" w:type="dxa"/>
            <w:tcBorders>
              <w:tl2br w:val="nil"/>
              <w:tr2bl w:val="nil"/>
            </w:tcBorders>
            <w:noWrap w:val="0"/>
            <w:tcMar>
              <w:top w:w="15" w:type="dxa"/>
              <w:left w:w="15" w:type="dxa"/>
              <w:right w:w="15" w:type="dxa"/>
            </w:tcMar>
            <w:vAlign w:val="center"/>
          </w:tcPr>
          <w:p w14:paraId="5FD268CF">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0.51 </w:t>
            </w:r>
          </w:p>
        </w:tc>
        <w:tc>
          <w:tcPr>
            <w:tcW w:w="1150" w:type="dxa"/>
            <w:tcBorders>
              <w:tl2br w:val="nil"/>
              <w:tr2bl w:val="nil"/>
            </w:tcBorders>
            <w:noWrap w:val="0"/>
            <w:tcMar>
              <w:top w:w="15" w:type="dxa"/>
              <w:left w:w="15" w:type="dxa"/>
              <w:right w:w="15" w:type="dxa"/>
            </w:tcMar>
            <w:vAlign w:val="center"/>
          </w:tcPr>
          <w:p w14:paraId="1C68096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6.3</w:t>
            </w:r>
          </w:p>
        </w:tc>
        <w:tc>
          <w:tcPr>
            <w:tcW w:w="966" w:type="dxa"/>
            <w:tcBorders>
              <w:tl2br w:val="nil"/>
              <w:tr2bl w:val="nil"/>
            </w:tcBorders>
            <w:noWrap w:val="0"/>
            <w:tcMar>
              <w:top w:w="15" w:type="dxa"/>
              <w:left w:w="15" w:type="dxa"/>
              <w:right w:w="15" w:type="dxa"/>
            </w:tcMar>
            <w:vAlign w:val="center"/>
          </w:tcPr>
          <w:p w14:paraId="07A39742">
            <w:pPr>
              <w:jc w:val="center"/>
              <w:rPr>
                <w:rFonts w:hint="default" w:ascii="Times New Roman" w:hAnsi="Times New Roman" w:eastAsia="宋体" w:cs="Times New Roman"/>
                <w:i w:val="0"/>
                <w:color w:val="auto"/>
                <w:sz w:val="21"/>
                <w:szCs w:val="21"/>
                <w:u w:val="none"/>
              </w:rPr>
            </w:pPr>
          </w:p>
        </w:tc>
      </w:tr>
      <w:tr w14:paraId="1D6953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1C0DEC2A">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256FFBA2">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7</w:t>
            </w:r>
          </w:p>
        </w:tc>
        <w:tc>
          <w:tcPr>
            <w:tcW w:w="822" w:type="dxa"/>
            <w:tcBorders>
              <w:tl2br w:val="nil"/>
              <w:tr2bl w:val="nil"/>
            </w:tcBorders>
            <w:noWrap w:val="0"/>
            <w:tcMar>
              <w:top w:w="15" w:type="dxa"/>
              <w:left w:w="15" w:type="dxa"/>
              <w:right w:w="15" w:type="dxa"/>
            </w:tcMar>
            <w:vAlign w:val="center"/>
          </w:tcPr>
          <w:p w14:paraId="0C0C84EF">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0B26CA78">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36.4</w:t>
            </w:r>
          </w:p>
        </w:tc>
        <w:tc>
          <w:tcPr>
            <w:tcW w:w="1107" w:type="dxa"/>
            <w:tcBorders>
              <w:tl2br w:val="nil"/>
              <w:tr2bl w:val="nil"/>
            </w:tcBorders>
            <w:noWrap w:val="0"/>
            <w:tcMar>
              <w:top w:w="15" w:type="dxa"/>
              <w:left w:w="15" w:type="dxa"/>
              <w:right w:w="15" w:type="dxa"/>
            </w:tcMar>
            <w:vAlign w:val="center"/>
          </w:tcPr>
          <w:p w14:paraId="6A86B41C">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16.4</w:t>
            </w:r>
          </w:p>
        </w:tc>
        <w:tc>
          <w:tcPr>
            <w:tcW w:w="980" w:type="dxa"/>
            <w:tcBorders>
              <w:tl2br w:val="nil"/>
              <w:tr2bl w:val="nil"/>
            </w:tcBorders>
            <w:noWrap w:val="0"/>
            <w:tcMar>
              <w:top w:w="15" w:type="dxa"/>
              <w:left w:w="15" w:type="dxa"/>
              <w:right w:w="15" w:type="dxa"/>
            </w:tcMar>
            <w:vAlign w:val="center"/>
          </w:tcPr>
          <w:p w14:paraId="26F9B87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9.88</w:t>
            </w:r>
          </w:p>
        </w:tc>
        <w:tc>
          <w:tcPr>
            <w:tcW w:w="1439" w:type="dxa"/>
            <w:tcBorders>
              <w:tl2br w:val="nil"/>
              <w:tr2bl w:val="nil"/>
            </w:tcBorders>
            <w:noWrap w:val="0"/>
            <w:tcMar>
              <w:top w:w="15" w:type="dxa"/>
              <w:left w:w="15" w:type="dxa"/>
              <w:right w:w="15" w:type="dxa"/>
            </w:tcMar>
            <w:vAlign w:val="center"/>
          </w:tcPr>
          <w:p w14:paraId="3972DE9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1.28 </w:t>
            </w:r>
          </w:p>
        </w:tc>
        <w:tc>
          <w:tcPr>
            <w:tcW w:w="1150" w:type="dxa"/>
            <w:tcBorders>
              <w:tl2br w:val="nil"/>
              <w:tr2bl w:val="nil"/>
            </w:tcBorders>
            <w:noWrap w:val="0"/>
            <w:tcMar>
              <w:top w:w="15" w:type="dxa"/>
              <w:left w:w="15" w:type="dxa"/>
              <w:right w:w="15" w:type="dxa"/>
            </w:tcMar>
            <w:vAlign w:val="center"/>
          </w:tcPr>
          <w:p w14:paraId="06661B0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8.09</w:t>
            </w:r>
          </w:p>
        </w:tc>
        <w:tc>
          <w:tcPr>
            <w:tcW w:w="966" w:type="dxa"/>
            <w:tcBorders>
              <w:tl2br w:val="nil"/>
              <w:tr2bl w:val="nil"/>
            </w:tcBorders>
            <w:noWrap w:val="0"/>
            <w:tcMar>
              <w:top w:w="15" w:type="dxa"/>
              <w:left w:w="15" w:type="dxa"/>
              <w:right w:w="15" w:type="dxa"/>
            </w:tcMar>
            <w:vAlign w:val="center"/>
          </w:tcPr>
          <w:p w14:paraId="419758AB">
            <w:pPr>
              <w:jc w:val="center"/>
              <w:rPr>
                <w:rFonts w:hint="default" w:ascii="Times New Roman" w:hAnsi="Times New Roman" w:eastAsia="宋体" w:cs="Times New Roman"/>
                <w:i w:val="0"/>
                <w:color w:val="auto"/>
                <w:sz w:val="21"/>
                <w:szCs w:val="21"/>
                <w:u w:val="none"/>
              </w:rPr>
            </w:pPr>
          </w:p>
        </w:tc>
      </w:tr>
      <w:tr w14:paraId="505DD6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3481A1DF">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3F90FDF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8</w:t>
            </w:r>
          </w:p>
        </w:tc>
        <w:tc>
          <w:tcPr>
            <w:tcW w:w="822" w:type="dxa"/>
            <w:tcBorders>
              <w:tl2br w:val="nil"/>
              <w:tr2bl w:val="nil"/>
            </w:tcBorders>
            <w:noWrap w:val="0"/>
            <w:tcMar>
              <w:top w:w="15" w:type="dxa"/>
              <w:left w:w="15" w:type="dxa"/>
              <w:right w:w="15" w:type="dxa"/>
            </w:tcMar>
            <w:vAlign w:val="center"/>
          </w:tcPr>
          <w:p w14:paraId="274594C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79A8432B">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35.7</w:t>
            </w:r>
          </w:p>
        </w:tc>
        <w:tc>
          <w:tcPr>
            <w:tcW w:w="1107" w:type="dxa"/>
            <w:tcBorders>
              <w:tl2br w:val="nil"/>
              <w:tr2bl w:val="nil"/>
            </w:tcBorders>
            <w:noWrap w:val="0"/>
            <w:tcMar>
              <w:top w:w="15" w:type="dxa"/>
              <w:left w:w="15" w:type="dxa"/>
              <w:right w:w="15" w:type="dxa"/>
            </w:tcMar>
            <w:vAlign w:val="center"/>
          </w:tcPr>
          <w:p w14:paraId="02E55F42">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13.8</w:t>
            </w:r>
          </w:p>
        </w:tc>
        <w:tc>
          <w:tcPr>
            <w:tcW w:w="980" w:type="dxa"/>
            <w:tcBorders>
              <w:tl2br w:val="nil"/>
              <w:tr2bl w:val="nil"/>
            </w:tcBorders>
            <w:noWrap w:val="0"/>
            <w:tcMar>
              <w:top w:w="15" w:type="dxa"/>
              <w:left w:w="15" w:type="dxa"/>
              <w:right w:w="15" w:type="dxa"/>
            </w:tcMar>
            <w:vAlign w:val="center"/>
          </w:tcPr>
          <w:p w14:paraId="21B1436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6.75</w:t>
            </w:r>
          </w:p>
        </w:tc>
        <w:tc>
          <w:tcPr>
            <w:tcW w:w="1439" w:type="dxa"/>
            <w:tcBorders>
              <w:tl2br w:val="nil"/>
              <w:tr2bl w:val="nil"/>
            </w:tcBorders>
            <w:noWrap w:val="0"/>
            <w:tcMar>
              <w:top w:w="15" w:type="dxa"/>
              <w:left w:w="15" w:type="dxa"/>
              <w:right w:w="15" w:type="dxa"/>
            </w:tcMar>
            <w:vAlign w:val="center"/>
          </w:tcPr>
          <w:p w14:paraId="0A79B13D">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0.88 </w:t>
            </w:r>
          </w:p>
        </w:tc>
        <w:tc>
          <w:tcPr>
            <w:tcW w:w="1150" w:type="dxa"/>
            <w:tcBorders>
              <w:tl2br w:val="nil"/>
              <w:tr2bl w:val="nil"/>
            </w:tcBorders>
            <w:noWrap w:val="0"/>
            <w:tcMar>
              <w:top w:w="15" w:type="dxa"/>
              <w:left w:w="15" w:type="dxa"/>
              <w:right w:w="15" w:type="dxa"/>
            </w:tcMar>
            <w:vAlign w:val="center"/>
          </w:tcPr>
          <w:p w14:paraId="4F29E8E2">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7.79</w:t>
            </w:r>
          </w:p>
        </w:tc>
        <w:tc>
          <w:tcPr>
            <w:tcW w:w="966" w:type="dxa"/>
            <w:tcBorders>
              <w:tl2br w:val="nil"/>
              <w:tr2bl w:val="nil"/>
            </w:tcBorders>
            <w:noWrap w:val="0"/>
            <w:tcMar>
              <w:top w:w="15" w:type="dxa"/>
              <w:left w:w="15" w:type="dxa"/>
              <w:right w:w="15" w:type="dxa"/>
            </w:tcMar>
            <w:vAlign w:val="center"/>
          </w:tcPr>
          <w:p w14:paraId="05CB0E68">
            <w:pPr>
              <w:jc w:val="center"/>
              <w:rPr>
                <w:rFonts w:hint="default" w:ascii="Times New Roman" w:hAnsi="Times New Roman" w:eastAsia="宋体" w:cs="Times New Roman"/>
                <w:i w:val="0"/>
                <w:color w:val="auto"/>
                <w:sz w:val="21"/>
                <w:szCs w:val="21"/>
                <w:u w:val="none"/>
              </w:rPr>
            </w:pPr>
          </w:p>
        </w:tc>
      </w:tr>
      <w:tr w14:paraId="36CB3B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5D657E00">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5A397990">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9</w:t>
            </w:r>
          </w:p>
        </w:tc>
        <w:tc>
          <w:tcPr>
            <w:tcW w:w="822" w:type="dxa"/>
            <w:tcBorders>
              <w:tl2br w:val="nil"/>
              <w:tr2bl w:val="nil"/>
            </w:tcBorders>
            <w:noWrap w:val="0"/>
            <w:tcMar>
              <w:top w:w="15" w:type="dxa"/>
              <w:left w:w="15" w:type="dxa"/>
              <w:right w:w="15" w:type="dxa"/>
            </w:tcMar>
            <w:vAlign w:val="center"/>
          </w:tcPr>
          <w:p w14:paraId="5AF2480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2EC3F507">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35.4</w:t>
            </w:r>
          </w:p>
        </w:tc>
        <w:tc>
          <w:tcPr>
            <w:tcW w:w="1107" w:type="dxa"/>
            <w:tcBorders>
              <w:tl2br w:val="nil"/>
              <w:tr2bl w:val="nil"/>
            </w:tcBorders>
            <w:noWrap w:val="0"/>
            <w:tcMar>
              <w:top w:w="15" w:type="dxa"/>
              <w:left w:w="15" w:type="dxa"/>
              <w:right w:w="15" w:type="dxa"/>
            </w:tcMar>
            <w:vAlign w:val="center"/>
          </w:tcPr>
          <w:p w14:paraId="6E0CFB05">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12.1</w:t>
            </w:r>
          </w:p>
        </w:tc>
        <w:tc>
          <w:tcPr>
            <w:tcW w:w="980" w:type="dxa"/>
            <w:tcBorders>
              <w:tl2br w:val="nil"/>
              <w:tr2bl w:val="nil"/>
            </w:tcBorders>
            <w:noWrap w:val="0"/>
            <w:tcMar>
              <w:top w:w="15" w:type="dxa"/>
              <w:left w:w="15" w:type="dxa"/>
              <w:right w:w="15" w:type="dxa"/>
            </w:tcMar>
            <w:vAlign w:val="center"/>
          </w:tcPr>
          <w:p w14:paraId="62B47FF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3.78</w:t>
            </w:r>
          </w:p>
        </w:tc>
        <w:tc>
          <w:tcPr>
            <w:tcW w:w="1439" w:type="dxa"/>
            <w:tcBorders>
              <w:tl2br w:val="nil"/>
              <w:tr2bl w:val="nil"/>
            </w:tcBorders>
            <w:noWrap w:val="0"/>
            <w:tcMar>
              <w:top w:w="15" w:type="dxa"/>
              <w:left w:w="15" w:type="dxa"/>
              <w:right w:w="15" w:type="dxa"/>
            </w:tcMar>
            <w:vAlign w:val="center"/>
          </w:tcPr>
          <w:p w14:paraId="610CECDB">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0.49 </w:t>
            </w:r>
          </w:p>
        </w:tc>
        <w:tc>
          <w:tcPr>
            <w:tcW w:w="1150" w:type="dxa"/>
            <w:tcBorders>
              <w:tl2br w:val="nil"/>
              <w:tr2bl w:val="nil"/>
            </w:tcBorders>
            <w:noWrap w:val="0"/>
            <w:tcMar>
              <w:top w:w="15" w:type="dxa"/>
              <w:left w:w="15" w:type="dxa"/>
              <w:right w:w="15" w:type="dxa"/>
            </w:tcMar>
            <w:vAlign w:val="center"/>
          </w:tcPr>
          <w:p w14:paraId="45613B50">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1.85</w:t>
            </w:r>
          </w:p>
        </w:tc>
        <w:tc>
          <w:tcPr>
            <w:tcW w:w="966" w:type="dxa"/>
            <w:tcBorders>
              <w:tl2br w:val="nil"/>
              <w:tr2bl w:val="nil"/>
            </w:tcBorders>
            <w:noWrap w:val="0"/>
            <w:tcMar>
              <w:top w:w="15" w:type="dxa"/>
              <w:left w:w="15" w:type="dxa"/>
              <w:right w:w="15" w:type="dxa"/>
            </w:tcMar>
            <w:vAlign w:val="center"/>
          </w:tcPr>
          <w:p w14:paraId="79101F59">
            <w:pPr>
              <w:jc w:val="center"/>
              <w:rPr>
                <w:rFonts w:hint="default" w:ascii="Times New Roman" w:hAnsi="Times New Roman" w:eastAsia="宋体" w:cs="Times New Roman"/>
                <w:i w:val="0"/>
                <w:color w:val="auto"/>
                <w:sz w:val="21"/>
                <w:szCs w:val="21"/>
                <w:u w:val="none"/>
              </w:rPr>
            </w:pPr>
          </w:p>
        </w:tc>
      </w:tr>
      <w:tr w14:paraId="34DE82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04C12E85">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4EC8BB3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10</w:t>
            </w:r>
          </w:p>
        </w:tc>
        <w:tc>
          <w:tcPr>
            <w:tcW w:w="822" w:type="dxa"/>
            <w:tcBorders>
              <w:tl2br w:val="nil"/>
              <w:tr2bl w:val="nil"/>
            </w:tcBorders>
            <w:noWrap w:val="0"/>
            <w:tcMar>
              <w:top w:w="15" w:type="dxa"/>
              <w:left w:w="15" w:type="dxa"/>
              <w:right w:w="15" w:type="dxa"/>
            </w:tcMar>
            <w:vAlign w:val="center"/>
          </w:tcPr>
          <w:p w14:paraId="7D202FE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7BE45366">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34.9</w:t>
            </w:r>
          </w:p>
        </w:tc>
        <w:tc>
          <w:tcPr>
            <w:tcW w:w="1107" w:type="dxa"/>
            <w:tcBorders>
              <w:tl2br w:val="nil"/>
              <w:tr2bl w:val="nil"/>
            </w:tcBorders>
            <w:noWrap w:val="0"/>
            <w:tcMar>
              <w:top w:w="15" w:type="dxa"/>
              <w:left w:w="15" w:type="dxa"/>
              <w:right w:w="15" w:type="dxa"/>
            </w:tcMar>
            <w:vAlign w:val="center"/>
          </w:tcPr>
          <w:p w14:paraId="0B06784B">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highlight w:val="none"/>
                <w:u w:val="none"/>
                <w:lang w:val="en-US" w:eastAsia="zh-CN"/>
              </w:rPr>
              <w:t>10.5</w:t>
            </w:r>
          </w:p>
        </w:tc>
        <w:tc>
          <w:tcPr>
            <w:tcW w:w="980" w:type="dxa"/>
            <w:tcBorders>
              <w:tl2br w:val="nil"/>
              <w:tr2bl w:val="nil"/>
            </w:tcBorders>
            <w:noWrap w:val="0"/>
            <w:tcMar>
              <w:top w:w="15" w:type="dxa"/>
              <w:left w:w="15" w:type="dxa"/>
              <w:right w:w="15" w:type="dxa"/>
            </w:tcMar>
            <w:vAlign w:val="center"/>
          </w:tcPr>
          <w:p w14:paraId="37D045D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2.5</w:t>
            </w:r>
          </w:p>
        </w:tc>
        <w:tc>
          <w:tcPr>
            <w:tcW w:w="1439" w:type="dxa"/>
            <w:tcBorders>
              <w:tl2br w:val="nil"/>
              <w:tr2bl w:val="nil"/>
            </w:tcBorders>
            <w:noWrap w:val="0"/>
            <w:tcMar>
              <w:top w:w="15" w:type="dxa"/>
              <w:left w:w="15" w:type="dxa"/>
              <w:right w:w="15" w:type="dxa"/>
            </w:tcMar>
            <w:vAlign w:val="center"/>
          </w:tcPr>
          <w:p w14:paraId="0212F7D9">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0.33 </w:t>
            </w:r>
          </w:p>
        </w:tc>
        <w:tc>
          <w:tcPr>
            <w:tcW w:w="1150" w:type="dxa"/>
            <w:tcBorders>
              <w:tl2br w:val="nil"/>
              <w:tr2bl w:val="nil"/>
            </w:tcBorders>
            <w:noWrap w:val="0"/>
            <w:tcMar>
              <w:top w:w="15" w:type="dxa"/>
              <w:left w:w="15" w:type="dxa"/>
              <w:right w:w="15" w:type="dxa"/>
            </w:tcMar>
            <w:vAlign w:val="center"/>
          </w:tcPr>
          <w:p w14:paraId="6B0633C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0E59B3B5">
            <w:pPr>
              <w:jc w:val="center"/>
              <w:rPr>
                <w:rFonts w:hint="default" w:ascii="Times New Roman" w:hAnsi="Times New Roman" w:eastAsia="宋体" w:cs="Times New Roman"/>
                <w:i w:val="0"/>
                <w:color w:val="auto"/>
                <w:sz w:val="21"/>
                <w:szCs w:val="21"/>
                <w:u w:val="none"/>
              </w:rPr>
            </w:pPr>
          </w:p>
        </w:tc>
      </w:tr>
      <w:tr w14:paraId="2680DC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restart"/>
            <w:tcBorders>
              <w:tl2br w:val="nil"/>
              <w:tr2bl w:val="nil"/>
            </w:tcBorders>
            <w:noWrap w:val="0"/>
            <w:tcMar>
              <w:top w:w="15" w:type="dxa"/>
              <w:left w:w="15" w:type="dxa"/>
              <w:right w:w="15" w:type="dxa"/>
            </w:tcMar>
            <w:vAlign w:val="center"/>
          </w:tcPr>
          <w:p w14:paraId="601EC254">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20</w:t>
            </w:r>
            <w:r>
              <w:rPr>
                <w:rFonts w:hint="eastAsia" w:ascii="Times New Roman" w:hAnsi="Times New Roman" w:eastAsia="宋体" w:cs="Times New Roman"/>
                <w:i w:val="0"/>
                <w:color w:val="auto"/>
                <w:kern w:val="0"/>
                <w:sz w:val="21"/>
                <w:szCs w:val="21"/>
                <w:u w:val="none"/>
                <w:lang w:val="en-US" w:eastAsia="zh-CN" w:bidi="ar"/>
              </w:rPr>
              <w:t>25</w:t>
            </w:r>
            <w:r>
              <w:rPr>
                <w:rFonts w:hint="default" w:ascii="Times New Roman" w:hAnsi="Times New Roman" w:eastAsia="宋体" w:cs="Times New Roman"/>
                <w:i w:val="0"/>
                <w:color w:val="auto"/>
                <w:kern w:val="0"/>
                <w:sz w:val="21"/>
                <w:szCs w:val="21"/>
                <w:u w:val="none"/>
                <w:lang w:val="en-US" w:eastAsia="zh-CN" w:bidi="ar"/>
              </w:rPr>
              <w:t>年非汛期</w:t>
            </w:r>
          </w:p>
        </w:tc>
        <w:tc>
          <w:tcPr>
            <w:tcW w:w="821" w:type="dxa"/>
            <w:tcBorders>
              <w:tl2br w:val="nil"/>
              <w:tr2bl w:val="nil"/>
            </w:tcBorders>
            <w:noWrap w:val="0"/>
            <w:tcMar>
              <w:top w:w="15" w:type="dxa"/>
              <w:left w:w="15" w:type="dxa"/>
              <w:right w:w="15" w:type="dxa"/>
            </w:tcMar>
            <w:vAlign w:val="center"/>
          </w:tcPr>
          <w:p w14:paraId="39A4F83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11</w:t>
            </w:r>
          </w:p>
        </w:tc>
        <w:tc>
          <w:tcPr>
            <w:tcW w:w="822" w:type="dxa"/>
            <w:tcBorders>
              <w:tl2br w:val="nil"/>
              <w:tr2bl w:val="nil"/>
            </w:tcBorders>
            <w:noWrap w:val="0"/>
            <w:tcMar>
              <w:top w:w="15" w:type="dxa"/>
              <w:left w:w="15" w:type="dxa"/>
              <w:right w:w="15" w:type="dxa"/>
            </w:tcMar>
            <w:vAlign w:val="center"/>
          </w:tcPr>
          <w:p w14:paraId="2F52E76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43E43610">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33.3</w:t>
            </w:r>
          </w:p>
        </w:tc>
        <w:tc>
          <w:tcPr>
            <w:tcW w:w="1107" w:type="dxa"/>
            <w:tcBorders>
              <w:tl2br w:val="nil"/>
              <w:tr2bl w:val="nil"/>
            </w:tcBorders>
            <w:noWrap w:val="0"/>
            <w:tcMar>
              <w:top w:w="15" w:type="dxa"/>
              <w:left w:w="15" w:type="dxa"/>
              <w:right w:w="15" w:type="dxa"/>
            </w:tcMar>
            <w:vAlign w:val="center"/>
          </w:tcPr>
          <w:p w14:paraId="1502B977">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2"/>
                <w:sz w:val="21"/>
                <w:szCs w:val="21"/>
                <w:highlight w:val="none"/>
                <w:u w:val="none"/>
                <w:lang w:val="en-US" w:eastAsia="zh-CN" w:bidi="ar-SA"/>
              </w:rPr>
              <w:t>4.5</w:t>
            </w:r>
          </w:p>
        </w:tc>
        <w:tc>
          <w:tcPr>
            <w:tcW w:w="980" w:type="dxa"/>
            <w:tcBorders>
              <w:tl2br w:val="nil"/>
              <w:tr2bl w:val="nil"/>
            </w:tcBorders>
            <w:noWrap w:val="0"/>
            <w:tcMar>
              <w:top w:w="15" w:type="dxa"/>
              <w:left w:w="15" w:type="dxa"/>
              <w:right w:w="15" w:type="dxa"/>
            </w:tcMar>
            <w:vAlign w:val="center"/>
          </w:tcPr>
          <w:p w14:paraId="7B35D16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2.95</w:t>
            </w:r>
          </w:p>
        </w:tc>
        <w:tc>
          <w:tcPr>
            <w:tcW w:w="1439" w:type="dxa"/>
            <w:tcBorders>
              <w:tl2br w:val="nil"/>
              <w:tr2bl w:val="nil"/>
            </w:tcBorders>
            <w:noWrap w:val="0"/>
            <w:tcMar>
              <w:top w:w="15" w:type="dxa"/>
              <w:left w:w="15" w:type="dxa"/>
              <w:right w:w="15" w:type="dxa"/>
            </w:tcMar>
            <w:vAlign w:val="center"/>
          </w:tcPr>
          <w:p w14:paraId="74A8A83D">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0.38 </w:t>
            </w:r>
          </w:p>
        </w:tc>
        <w:tc>
          <w:tcPr>
            <w:tcW w:w="1150" w:type="dxa"/>
            <w:tcBorders>
              <w:tl2br w:val="nil"/>
              <w:tr2bl w:val="nil"/>
            </w:tcBorders>
            <w:noWrap w:val="0"/>
            <w:tcMar>
              <w:top w:w="15" w:type="dxa"/>
              <w:left w:w="15" w:type="dxa"/>
              <w:right w:w="15" w:type="dxa"/>
            </w:tcMar>
            <w:vAlign w:val="center"/>
          </w:tcPr>
          <w:p w14:paraId="19CC270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46D736D7">
            <w:pPr>
              <w:jc w:val="center"/>
              <w:rPr>
                <w:rFonts w:hint="default" w:ascii="Times New Roman" w:hAnsi="Times New Roman" w:eastAsia="宋体" w:cs="Times New Roman"/>
                <w:i w:val="0"/>
                <w:color w:val="auto"/>
                <w:sz w:val="21"/>
                <w:szCs w:val="21"/>
                <w:u w:val="none"/>
              </w:rPr>
            </w:pPr>
          </w:p>
        </w:tc>
      </w:tr>
      <w:tr w14:paraId="55033F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5C5450C0">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615A2FEF">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12</w:t>
            </w:r>
          </w:p>
        </w:tc>
        <w:tc>
          <w:tcPr>
            <w:tcW w:w="822" w:type="dxa"/>
            <w:tcBorders>
              <w:tl2br w:val="nil"/>
              <w:tr2bl w:val="nil"/>
            </w:tcBorders>
            <w:noWrap w:val="0"/>
            <w:tcMar>
              <w:top w:w="15" w:type="dxa"/>
              <w:left w:w="15" w:type="dxa"/>
              <w:right w:w="15" w:type="dxa"/>
            </w:tcMar>
            <w:vAlign w:val="center"/>
          </w:tcPr>
          <w:p w14:paraId="446FB6E7">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68C0D856">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31.4</w:t>
            </w:r>
          </w:p>
        </w:tc>
        <w:tc>
          <w:tcPr>
            <w:tcW w:w="1107" w:type="dxa"/>
            <w:tcBorders>
              <w:tl2br w:val="nil"/>
              <w:tr2bl w:val="nil"/>
            </w:tcBorders>
            <w:noWrap w:val="0"/>
            <w:tcMar>
              <w:top w:w="15" w:type="dxa"/>
              <w:left w:w="15" w:type="dxa"/>
              <w:right w:w="15" w:type="dxa"/>
            </w:tcMar>
            <w:vAlign w:val="center"/>
          </w:tcPr>
          <w:p w14:paraId="6BCB98F0">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p>
        </w:tc>
        <w:tc>
          <w:tcPr>
            <w:tcW w:w="980" w:type="dxa"/>
            <w:tcBorders>
              <w:tl2br w:val="nil"/>
              <w:tr2bl w:val="nil"/>
            </w:tcBorders>
            <w:noWrap w:val="0"/>
            <w:tcMar>
              <w:top w:w="15" w:type="dxa"/>
              <w:left w:w="15" w:type="dxa"/>
              <w:right w:w="15" w:type="dxa"/>
            </w:tcMar>
            <w:vAlign w:val="center"/>
          </w:tcPr>
          <w:p w14:paraId="40EBC4E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1.41</w:t>
            </w:r>
          </w:p>
        </w:tc>
        <w:tc>
          <w:tcPr>
            <w:tcW w:w="1439" w:type="dxa"/>
            <w:tcBorders>
              <w:tl2br w:val="nil"/>
              <w:tr2bl w:val="nil"/>
            </w:tcBorders>
            <w:noWrap w:val="0"/>
            <w:tcMar>
              <w:top w:w="15" w:type="dxa"/>
              <w:left w:w="15" w:type="dxa"/>
              <w:right w:w="15" w:type="dxa"/>
            </w:tcMar>
            <w:vAlign w:val="center"/>
          </w:tcPr>
          <w:p w14:paraId="3A488D70">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0.18 </w:t>
            </w:r>
          </w:p>
        </w:tc>
        <w:tc>
          <w:tcPr>
            <w:tcW w:w="1150" w:type="dxa"/>
            <w:tcBorders>
              <w:tl2br w:val="nil"/>
              <w:tr2bl w:val="nil"/>
            </w:tcBorders>
            <w:noWrap w:val="0"/>
            <w:tcMar>
              <w:top w:w="15" w:type="dxa"/>
              <w:left w:w="15" w:type="dxa"/>
              <w:right w:w="15" w:type="dxa"/>
            </w:tcMar>
            <w:vAlign w:val="center"/>
          </w:tcPr>
          <w:p w14:paraId="7282BCE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0F6A07C0">
            <w:pPr>
              <w:jc w:val="center"/>
              <w:rPr>
                <w:rFonts w:hint="default" w:ascii="Times New Roman" w:hAnsi="Times New Roman" w:eastAsia="宋体" w:cs="Times New Roman"/>
                <w:i w:val="0"/>
                <w:color w:val="auto"/>
                <w:sz w:val="21"/>
                <w:szCs w:val="21"/>
                <w:u w:val="none"/>
              </w:rPr>
            </w:pPr>
          </w:p>
        </w:tc>
      </w:tr>
      <w:tr w14:paraId="770E78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restart"/>
            <w:tcBorders>
              <w:tl2br w:val="nil"/>
              <w:tr2bl w:val="nil"/>
            </w:tcBorders>
            <w:noWrap w:val="0"/>
            <w:tcMar>
              <w:top w:w="15" w:type="dxa"/>
              <w:left w:w="15" w:type="dxa"/>
              <w:right w:w="15" w:type="dxa"/>
            </w:tcMar>
            <w:vAlign w:val="center"/>
          </w:tcPr>
          <w:p w14:paraId="3DC0A5BD">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202</w:t>
            </w:r>
            <w:r>
              <w:rPr>
                <w:rFonts w:hint="eastAsia" w:ascii="Times New Roman" w:hAnsi="Times New Roman" w:eastAsia="宋体"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年</w:t>
            </w:r>
            <w:r>
              <w:rPr>
                <w:rFonts w:hint="eastAsia" w:ascii="Times New Roman" w:hAnsi="Times New Roman" w:eastAsia="宋体" w:cs="Times New Roman"/>
                <w:i w:val="0"/>
                <w:color w:val="auto"/>
                <w:kern w:val="0"/>
                <w:sz w:val="21"/>
                <w:szCs w:val="21"/>
                <w:u w:val="none"/>
                <w:lang w:val="en-US" w:eastAsia="zh-CN" w:bidi="ar"/>
              </w:rPr>
              <w:t>非</w:t>
            </w:r>
            <w:r>
              <w:rPr>
                <w:rFonts w:hint="default" w:ascii="Times New Roman" w:hAnsi="Times New Roman" w:eastAsia="宋体" w:cs="Times New Roman"/>
                <w:i w:val="0"/>
                <w:color w:val="auto"/>
                <w:kern w:val="0"/>
                <w:sz w:val="21"/>
                <w:szCs w:val="21"/>
                <w:u w:val="none"/>
                <w:lang w:val="en-US" w:eastAsia="zh-CN" w:bidi="ar"/>
              </w:rPr>
              <w:t>汛期</w:t>
            </w:r>
          </w:p>
        </w:tc>
        <w:tc>
          <w:tcPr>
            <w:tcW w:w="821" w:type="dxa"/>
            <w:tcBorders>
              <w:tl2br w:val="nil"/>
              <w:tr2bl w:val="nil"/>
            </w:tcBorders>
            <w:noWrap w:val="0"/>
            <w:tcMar>
              <w:top w:w="15" w:type="dxa"/>
              <w:left w:w="15" w:type="dxa"/>
              <w:right w:w="15" w:type="dxa"/>
            </w:tcMar>
            <w:vAlign w:val="center"/>
          </w:tcPr>
          <w:p w14:paraId="0FC230F4">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w:t>
            </w:r>
          </w:p>
        </w:tc>
        <w:tc>
          <w:tcPr>
            <w:tcW w:w="822" w:type="dxa"/>
            <w:tcBorders>
              <w:tl2br w:val="nil"/>
              <w:tr2bl w:val="nil"/>
            </w:tcBorders>
            <w:noWrap w:val="0"/>
            <w:tcMar>
              <w:top w:w="15" w:type="dxa"/>
              <w:left w:w="15" w:type="dxa"/>
              <w:right w:w="15" w:type="dxa"/>
            </w:tcMar>
            <w:vAlign w:val="center"/>
          </w:tcPr>
          <w:p w14:paraId="4EDB67DF">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2B235F3B">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36.6</w:t>
            </w:r>
          </w:p>
        </w:tc>
        <w:tc>
          <w:tcPr>
            <w:tcW w:w="1107" w:type="dxa"/>
            <w:tcBorders>
              <w:tl2br w:val="nil"/>
              <w:tr2bl w:val="nil"/>
            </w:tcBorders>
            <w:noWrap w:val="0"/>
            <w:tcMar>
              <w:top w:w="15" w:type="dxa"/>
              <w:left w:w="15" w:type="dxa"/>
              <w:right w:w="15" w:type="dxa"/>
            </w:tcMar>
            <w:vAlign w:val="center"/>
          </w:tcPr>
          <w:p w14:paraId="5730544B">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2"/>
                <w:sz w:val="21"/>
                <w:szCs w:val="21"/>
                <w:highlight w:val="none"/>
                <w:u w:val="none"/>
                <w:lang w:val="en-US" w:eastAsia="zh-CN" w:bidi="ar-SA"/>
              </w:rPr>
              <w:t>17.5</w:t>
            </w:r>
          </w:p>
        </w:tc>
        <w:tc>
          <w:tcPr>
            <w:tcW w:w="980" w:type="dxa"/>
            <w:tcBorders>
              <w:tl2br w:val="nil"/>
              <w:tr2bl w:val="nil"/>
            </w:tcBorders>
            <w:noWrap w:val="0"/>
            <w:tcMar>
              <w:top w:w="15" w:type="dxa"/>
              <w:left w:w="15" w:type="dxa"/>
              <w:right w:w="15" w:type="dxa"/>
            </w:tcMar>
            <w:vAlign w:val="center"/>
          </w:tcPr>
          <w:p w14:paraId="70CB243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1.21</w:t>
            </w:r>
          </w:p>
        </w:tc>
        <w:tc>
          <w:tcPr>
            <w:tcW w:w="1439" w:type="dxa"/>
            <w:tcBorders>
              <w:tl2br w:val="nil"/>
              <w:tr2bl w:val="nil"/>
            </w:tcBorders>
            <w:noWrap w:val="0"/>
            <w:tcMar>
              <w:top w:w="15" w:type="dxa"/>
              <w:left w:w="15" w:type="dxa"/>
              <w:right w:w="15" w:type="dxa"/>
            </w:tcMar>
            <w:vAlign w:val="center"/>
          </w:tcPr>
          <w:p w14:paraId="7F255DE4">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0.16 </w:t>
            </w:r>
          </w:p>
        </w:tc>
        <w:tc>
          <w:tcPr>
            <w:tcW w:w="1150" w:type="dxa"/>
            <w:tcBorders>
              <w:tl2br w:val="nil"/>
              <w:tr2bl w:val="nil"/>
            </w:tcBorders>
            <w:noWrap w:val="0"/>
            <w:tcMar>
              <w:top w:w="15" w:type="dxa"/>
              <w:left w:w="15" w:type="dxa"/>
              <w:right w:w="15" w:type="dxa"/>
            </w:tcMar>
            <w:vAlign w:val="center"/>
          </w:tcPr>
          <w:p w14:paraId="32A0E401">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27D5CF0F">
            <w:pPr>
              <w:jc w:val="center"/>
              <w:rPr>
                <w:rFonts w:hint="default" w:ascii="Times New Roman" w:hAnsi="Times New Roman" w:eastAsia="宋体" w:cs="Times New Roman"/>
                <w:i w:val="0"/>
                <w:color w:val="auto"/>
                <w:sz w:val="21"/>
                <w:szCs w:val="21"/>
                <w:u w:val="none"/>
              </w:rPr>
            </w:pPr>
          </w:p>
        </w:tc>
      </w:tr>
      <w:tr w14:paraId="5B9FF3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6F092352">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3EBBCB9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2</w:t>
            </w:r>
          </w:p>
        </w:tc>
        <w:tc>
          <w:tcPr>
            <w:tcW w:w="822" w:type="dxa"/>
            <w:tcBorders>
              <w:tl2br w:val="nil"/>
              <w:tr2bl w:val="nil"/>
            </w:tcBorders>
            <w:noWrap w:val="0"/>
            <w:tcMar>
              <w:top w:w="15" w:type="dxa"/>
              <w:left w:w="15" w:type="dxa"/>
              <w:right w:w="15" w:type="dxa"/>
            </w:tcMar>
            <w:vAlign w:val="center"/>
          </w:tcPr>
          <w:p w14:paraId="010DF959">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7F90DC8C">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36.4</w:t>
            </w:r>
          </w:p>
        </w:tc>
        <w:tc>
          <w:tcPr>
            <w:tcW w:w="1107" w:type="dxa"/>
            <w:tcBorders>
              <w:tl2br w:val="nil"/>
              <w:tr2bl w:val="nil"/>
            </w:tcBorders>
            <w:noWrap w:val="0"/>
            <w:tcMar>
              <w:top w:w="15" w:type="dxa"/>
              <w:left w:w="15" w:type="dxa"/>
              <w:right w:w="15" w:type="dxa"/>
            </w:tcMar>
            <w:vAlign w:val="center"/>
          </w:tcPr>
          <w:p w14:paraId="67CD5BE6">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2"/>
                <w:sz w:val="21"/>
                <w:szCs w:val="21"/>
                <w:highlight w:val="none"/>
                <w:u w:val="none"/>
                <w:lang w:val="en-US" w:eastAsia="zh-CN" w:bidi="ar-SA"/>
              </w:rPr>
              <w:t>16.4</w:t>
            </w:r>
          </w:p>
        </w:tc>
        <w:tc>
          <w:tcPr>
            <w:tcW w:w="980" w:type="dxa"/>
            <w:tcBorders>
              <w:tl2br w:val="nil"/>
              <w:tr2bl w:val="nil"/>
            </w:tcBorders>
            <w:noWrap w:val="0"/>
            <w:tcMar>
              <w:top w:w="15" w:type="dxa"/>
              <w:left w:w="15" w:type="dxa"/>
              <w:right w:w="15" w:type="dxa"/>
            </w:tcMar>
            <w:vAlign w:val="center"/>
          </w:tcPr>
          <w:p w14:paraId="34504898">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0.82</w:t>
            </w:r>
          </w:p>
        </w:tc>
        <w:tc>
          <w:tcPr>
            <w:tcW w:w="1439" w:type="dxa"/>
            <w:tcBorders>
              <w:tl2br w:val="nil"/>
              <w:tr2bl w:val="nil"/>
            </w:tcBorders>
            <w:noWrap w:val="0"/>
            <w:tcMar>
              <w:top w:w="15" w:type="dxa"/>
              <w:left w:w="15" w:type="dxa"/>
              <w:right w:w="15" w:type="dxa"/>
            </w:tcMar>
            <w:vAlign w:val="center"/>
          </w:tcPr>
          <w:p w14:paraId="418124BA">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0.11 </w:t>
            </w:r>
          </w:p>
        </w:tc>
        <w:tc>
          <w:tcPr>
            <w:tcW w:w="1150" w:type="dxa"/>
            <w:tcBorders>
              <w:tl2br w:val="nil"/>
              <w:tr2bl w:val="nil"/>
            </w:tcBorders>
            <w:noWrap w:val="0"/>
            <w:tcMar>
              <w:top w:w="15" w:type="dxa"/>
              <w:left w:w="15" w:type="dxa"/>
              <w:right w:w="15" w:type="dxa"/>
            </w:tcMar>
            <w:vAlign w:val="center"/>
          </w:tcPr>
          <w:p w14:paraId="58EF8D1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1F52EF5A">
            <w:pPr>
              <w:jc w:val="center"/>
              <w:rPr>
                <w:rFonts w:hint="default" w:ascii="Times New Roman" w:hAnsi="Times New Roman" w:eastAsia="宋体" w:cs="Times New Roman"/>
                <w:i w:val="0"/>
                <w:color w:val="auto"/>
                <w:sz w:val="21"/>
                <w:szCs w:val="21"/>
                <w:u w:val="none"/>
              </w:rPr>
            </w:pPr>
          </w:p>
        </w:tc>
      </w:tr>
      <w:tr w14:paraId="6EA8CE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1F303EF9">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0505BA6C">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3</w:t>
            </w:r>
          </w:p>
        </w:tc>
        <w:tc>
          <w:tcPr>
            <w:tcW w:w="822" w:type="dxa"/>
            <w:tcBorders>
              <w:tl2br w:val="nil"/>
              <w:tr2bl w:val="nil"/>
            </w:tcBorders>
            <w:noWrap w:val="0"/>
            <w:tcMar>
              <w:top w:w="15" w:type="dxa"/>
              <w:left w:w="15" w:type="dxa"/>
              <w:right w:w="15" w:type="dxa"/>
            </w:tcMar>
            <w:vAlign w:val="center"/>
          </w:tcPr>
          <w:p w14:paraId="1590929F">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09C52BA0">
            <w:pPr>
              <w:jc w:val="center"/>
              <w:rPr>
                <w:rFonts w:hint="default" w:ascii="Times New Roman" w:hAnsi="Times New Roman" w:eastAsia="宋体" w:cs="Times New Roman"/>
                <w:i w:val="0"/>
                <w:color w:val="auto"/>
                <w:sz w:val="21"/>
                <w:szCs w:val="21"/>
                <w:u w:val="none"/>
              </w:rPr>
            </w:pPr>
            <w:r>
              <w:rPr>
                <w:rFonts w:hint="eastAsia" w:cs="Times New Roman"/>
                <w:i w:val="0"/>
                <w:color w:val="auto"/>
                <w:kern w:val="2"/>
                <w:sz w:val="21"/>
                <w:szCs w:val="21"/>
                <w:highlight w:val="none"/>
                <w:u w:val="none"/>
                <w:lang w:val="en-US" w:eastAsia="zh-CN" w:bidi="ar-SA"/>
              </w:rPr>
              <w:t>36.2</w:t>
            </w:r>
          </w:p>
        </w:tc>
        <w:tc>
          <w:tcPr>
            <w:tcW w:w="1107" w:type="dxa"/>
            <w:tcBorders>
              <w:tl2br w:val="nil"/>
              <w:tr2bl w:val="nil"/>
            </w:tcBorders>
            <w:noWrap w:val="0"/>
            <w:tcMar>
              <w:top w:w="15" w:type="dxa"/>
              <w:left w:w="15" w:type="dxa"/>
              <w:right w:w="15" w:type="dxa"/>
            </w:tcMar>
            <w:vAlign w:val="center"/>
          </w:tcPr>
          <w:p w14:paraId="553DC324">
            <w:pPr>
              <w:widowControl/>
              <w:jc w:val="center"/>
              <w:textAlignment w:val="center"/>
              <w:rPr>
                <w:rFonts w:hint="default" w:ascii="Times New Roman" w:hAnsi="Times New Roman" w:eastAsia="宋体" w:cs="Times New Roman"/>
                <w:i w:val="0"/>
                <w:color w:val="auto"/>
                <w:sz w:val="21"/>
                <w:szCs w:val="21"/>
                <w:u w:val="none"/>
              </w:rPr>
            </w:pPr>
            <w:r>
              <w:rPr>
                <w:rFonts w:hint="eastAsia" w:cs="Times New Roman"/>
                <w:i w:val="0"/>
                <w:color w:val="auto"/>
                <w:kern w:val="2"/>
                <w:sz w:val="21"/>
                <w:szCs w:val="21"/>
                <w:highlight w:val="none"/>
                <w:u w:val="none"/>
                <w:lang w:val="en-US" w:eastAsia="zh-CN" w:bidi="ar-SA"/>
              </w:rPr>
              <w:t>16</w:t>
            </w:r>
          </w:p>
        </w:tc>
        <w:tc>
          <w:tcPr>
            <w:tcW w:w="980" w:type="dxa"/>
            <w:tcBorders>
              <w:tl2br w:val="nil"/>
              <w:tr2bl w:val="nil"/>
            </w:tcBorders>
            <w:noWrap w:val="0"/>
            <w:tcMar>
              <w:top w:w="15" w:type="dxa"/>
              <w:left w:w="15" w:type="dxa"/>
              <w:right w:w="15" w:type="dxa"/>
            </w:tcMar>
            <w:vAlign w:val="center"/>
          </w:tcPr>
          <w:p w14:paraId="6B095FDF">
            <w:pPr>
              <w:widowControl/>
              <w:jc w:val="center"/>
              <w:textAlignment w:val="center"/>
              <w:rPr>
                <w:rFonts w:hint="default" w:ascii="Times New Roman" w:hAnsi="Times New Roman" w:eastAsia="宋体" w:cs="Times New Roman"/>
                <w:i w:val="0"/>
                <w:color w:val="auto"/>
                <w:sz w:val="21"/>
                <w:szCs w:val="21"/>
                <w:u w:val="none"/>
              </w:rPr>
            </w:pPr>
            <w:r>
              <w:rPr>
                <w:rFonts w:hint="eastAsia" w:cs="Times New Roman"/>
                <w:i w:val="0"/>
                <w:color w:val="auto"/>
                <w:kern w:val="2"/>
                <w:sz w:val="21"/>
                <w:szCs w:val="21"/>
                <w:highlight w:val="none"/>
                <w:u w:val="none"/>
                <w:lang w:val="en-US" w:eastAsia="zh-CN" w:bidi="ar-SA"/>
              </w:rPr>
              <w:t>0.76</w:t>
            </w:r>
          </w:p>
        </w:tc>
        <w:tc>
          <w:tcPr>
            <w:tcW w:w="1439" w:type="dxa"/>
            <w:tcBorders>
              <w:tl2br w:val="nil"/>
              <w:tr2bl w:val="nil"/>
            </w:tcBorders>
            <w:noWrap w:val="0"/>
            <w:tcMar>
              <w:top w:w="15" w:type="dxa"/>
              <w:left w:w="15" w:type="dxa"/>
              <w:right w:w="15" w:type="dxa"/>
            </w:tcMar>
            <w:vAlign w:val="center"/>
          </w:tcPr>
          <w:p w14:paraId="7BF0A800">
            <w:pPr>
              <w:widowControl/>
              <w:jc w:val="center"/>
              <w:textAlignment w:val="center"/>
              <w:rPr>
                <w:rFonts w:hint="default" w:ascii="Times New Roman" w:hAnsi="Times New Roman" w:eastAsia="宋体" w:cs="Times New Roman"/>
                <w:i w:val="0"/>
                <w:color w:val="auto"/>
                <w:sz w:val="21"/>
                <w:szCs w:val="21"/>
                <w:u w:val="none"/>
              </w:rPr>
            </w:pPr>
          </w:p>
        </w:tc>
        <w:tc>
          <w:tcPr>
            <w:tcW w:w="1150" w:type="dxa"/>
            <w:tcBorders>
              <w:tl2br w:val="nil"/>
              <w:tr2bl w:val="nil"/>
            </w:tcBorders>
            <w:noWrap w:val="0"/>
            <w:tcMar>
              <w:top w:w="15" w:type="dxa"/>
              <w:left w:w="15" w:type="dxa"/>
              <w:right w:w="15" w:type="dxa"/>
            </w:tcMar>
            <w:vAlign w:val="center"/>
          </w:tcPr>
          <w:p w14:paraId="6BA5F04B">
            <w:pPr>
              <w:widowControl/>
              <w:jc w:val="center"/>
              <w:textAlignment w:val="center"/>
              <w:rPr>
                <w:rFonts w:hint="default" w:ascii="Times New Roman" w:hAnsi="Times New Roman" w:eastAsia="宋体" w:cs="Times New Roman"/>
                <w:i w:val="0"/>
                <w:color w:val="auto"/>
                <w:sz w:val="21"/>
                <w:szCs w:val="21"/>
                <w:u w:val="none"/>
              </w:rPr>
            </w:pPr>
          </w:p>
        </w:tc>
        <w:tc>
          <w:tcPr>
            <w:tcW w:w="966" w:type="dxa"/>
            <w:tcBorders>
              <w:tl2br w:val="nil"/>
              <w:tr2bl w:val="nil"/>
            </w:tcBorders>
            <w:noWrap w:val="0"/>
            <w:tcMar>
              <w:top w:w="15" w:type="dxa"/>
              <w:left w:w="15" w:type="dxa"/>
              <w:right w:w="15" w:type="dxa"/>
            </w:tcMar>
            <w:vAlign w:val="center"/>
          </w:tcPr>
          <w:p w14:paraId="661FD4A5">
            <w:pPr>
              <w:jc w:val="center"/>
              <w:rPr>
                <w:rFonts w:hint="default" w:ascii="Times New Roman" w:hAnsi="Times New Roman" w:eastAsia="宋体" w:cs="Times New Roman"/>
                <w:i w:val="0"/>
                <w:color w:val="auto"/>
                <w:sz w:val="21"/>
                <w:szCs w:val="21"/>
                <w:u w:val="none"/>
              </w:rPr>
            </w:pPr>
          </w:p>
        </w:tc>
      </w:tr>
      <w:tr w14:paraId="066AFB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995" w:type="dxa"/>
            <w:vMerge w:val="continue"/>
            <w:tcBorders>
              <w:tl2br w:val="nil"/>
              <w:tr2bl w:val="nil"/>
            </w:tcBorders>
            <w:noWrap w:val="0"/>
            <w:tcMar>
              <w:top w:w="15" w:type="dxa"/>
              <w:left w:w="15" w:type="dxa"/>
              <w:right w:w="15" w:type="dxa"/>
            </w:tcMar>
            <w:vAlign w:val="center"/>
          </w:tcPr>
          <w:p w14:paraId="26E65E17">
            <w:pPr>
              <w:jc w:val="center"/>
              <w:rPr>
                <w:rFonts w:hint="default" w:ascii="Times New Roman" w:hAnsi="Times New Roman" w:eastAsia="宋体" w:cs="Times New Roman"/>
                <w:i w:val="0"/>
                <w:color w:val="auto"/>
                <w:sz w:val="21"/>
                <w:szCs w:val="21"/>
                <w:u w:val="none"/>
              </w:rPr>
            </w:pPr>
          </w:p>
        </w:tc>
        <w:tc>
          <w:tcPr>
            <w:tcW w:w="821" w:type="dxa"/>
            <w:tcBorders>
              <w:tl2br w:val="nil"/>
              <w:tr2bl w:val="nil"/>
            </w:tcBorders>
            <w:noWrap w:val="0"/>
            <w:tcMar>
              <w:top w:w="15" w:type="dxa"/>
              <w:left w:w="15" w:type="dxa"/>
              <w:right w:w="15" w:type="dxa"/>
            </w:tcMar>
            <w:vAlign w:val="center"/>
          </w:tcPr>
          <w:p w14:paraId="1B4ECCD2">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4</w:t>
            </w:r>
          </w:p>
        </w:tc>
        <w:tc>
          <w:tcPr>
            <w:tcW w:w="822" w:type="dxa"/>
            <w:tcBorders>
              <w:tl2br w:val="nil"/>
              <w:tr2bl w:val="nil"/>
            </w:tcBorders>
            <w:noWrap w:val="0"/>
            <w:tcMar>
              <w:top w:w="15" w:type="dxa"/>
              <w:left w:w="15" w:type="dxa"/>
              <w:right w:w="15" w:type="dxa"/>
            </w:tcMar>
            <w:vAlign w:val="center"/>
          </w:tcPr>
          <w:p w14:paraId="3EFA7AA9">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15日</w:t>
            </w:r>
          </w:p>
        </w:tc>
        <w:tc>
          <w:tcPr>
            <w:tcW w:w="821" w:type="dxa"/>
            <w:tcBorders>
              <w:tl2br w:val="nil"/>
              <w:tr2bl w:val="nil"/>
            </w:tcBorders>
            <w:noWrap w:val="0"/>
            <w:tcMar>
              <w:top w:w="15" w:type="dxa"/>
              <w:left w:w="15" w:type="dxa"/>
              <w:right w:w="15" w:type="dxa"/>
            </w:tcMar>
            <w:vAlign w:val="center"/>
          </w:tcPr>
          <w:p w14:paraId="194B062E">
            <w:pPr>
              <w:jc w:val="center"/>
              <w:rPr>
                <w:rFonts w:hint="default" w:ascii="Times New Roman" w:hAnsi="Times New Roman" w:eastAsia="宋体" w:cs="Times New Roman"/>
                <w:i w:val="0"/>
                <w:color w:val="auto"/>
                <w:sz w:val="21"/>
                <w:szCs w:val="21"/>
                <w:u w:val="none"/>
              </w:rPr>
            </w:pPr>
            <w:r>
              <w:rPr>
                <w:rFonts w:hint="eastAsia" w:cs="Times New Roman"/>
                <w:i w:val="0"/>
                <w:color w:val="auto"/>
                <w:kern w:val="2"/>
                <w:sz w:val="21"/>
                <w:szCs w:val="21"/>
                <w:highlight w:val="none"/>
                <w:u w:val="none"/>
                <w:lang w:val="en-US" w:eastAsia="zh-CN" w:bidi="ar-SA"/>
              </w:rPr>
              <w:t>35.3</w:t>
            </w:r>
          </w:p>
        </w:tc>
        <w:tc>
          <w:tcPr>
            <w:tcW w:w="1107" w:type="dxa"/>
            <w:tcBorders>
              <w:tl2br w:val="nil"/>
              <w:tr2bl w:val="nil"/>
            </w:tcBorders>
            <w:noWrap w:val="0"/>
            <w:tcMar>
              <w:top w:w="15" w:type="dxa"/>
              <w:left w:w="15" w:type="dxa"/>
              <w:right w:w="15" w:type="dxa"/>
            </w:tcMar>
            <w:vAlign w:val="center"/>
          </w:tcPr>
          <w:p w14:paraId="373EEAA9">
            <w:pPr>
              <w:jc w:val="center"/>
              <w:rPr>
                <w:rFonts w:hint="default" w:ascii="Times New Roman" w:hAnsi="Times New Roman" w:eastAsia="宋体" w:cs="Times New Roman"/>
                <w:i w:val="0"/>
                <w:color w:val="auto"/>
                <w:sz w:val="21"/>
                <w:szCs w:val="21"/>
                <w:u w:val="none"/>
              </w:rPr>
            </w:pPr>
            <w:r>
              <w:rPr>
                <w:rFonts w:hint="eastAsia" w:cs="Times New Roman"/>
                <w:i w:val="0"/>
                <w:color w:val="auto"/>
                <w:kern w:val="2"/>
                <w:sz w:val="21"/>
                <w:szCs w:val="21"/>
                <w:highlight w:val="none"/>
                <w:u w:val="none"/>
                <w:lang w:val="en-US" w:eastAsia="zh-CN" w:bidi="ar-SA"/>
              </w:rPr>
              <w:t>11.8</w:t>
            </w:r>
          </w:p>
        </w:tc>
        <w:tc>
          <w:tcPr>
            <w:tcW w:w="980" w:type="dxa"/>
            <w:tcBorders>
              <w:tl2br w:val="nil"/>
              <w:tr2bl w:val="nil"/>
            </w:tcBorders>
            <w:noWrap w:val="0"/>
            <w:tcMar>
              <w:top w:w="15" w:type="dxa"/>
              <w:left w:w="15" w:type="dxa"/>
              <w:right w:w="15" w:type="dxa"/>
            </w:tcMar>
            <w:vAlign w:val="center"/>
          </w:tcPr>
          <w:p w14:paraId="411B6AA6">
            <w:pPr>
              <w:jc w:val="center"/>
              <w:rPr>
                <w:rFonts w:hint="default" w:ascii="Times New Roman" w:hAnsi="Times New Roman" w:eastAsia="宋体" w:cs="Times New Roman"/>
                <w:i w:val="0"/>
                <w:color w:val="auto"/>
                <w:sz w:val="21"/>
                <w:szCs w:val="21"/>
                <w:u w:val="none"/>
              </w:rPr>
            </w:pPr>
          </w:p>
        </w:tc>
        <w:tc>
          <w:tcPr>
            <w:tcW w:w="1439" w:type="dxa"/>
            <w:tcBorders>
              <w:tl2br w:val="nil"/>
              <w:tr2bl w:val="nil"/>
            </w:tcBorders>
            <w:noWrap w:val="0"/>
            <w:tcMar>
              <w:top w:w="15" w:type="dxa"/>
              <w:left w:w="15" w:type="dxa"/>
              <w:right w:w="15" w:type="dxa"/>
            </w:tcMar>
            <w:vAlign w:val="center"/>
          </w:tcPr>
          <w:p w14:paraId="2A380473">
            <w:pPr>
              <w:jc w:val="center"/>
              <w:rPr>
                <w:rFonts w:hint="default" w:ascii="Times New Roman" w:hAnsi="Times New Roman" w:eastAsia="宋体" w:cs="Times New Roman"/>
                <w:i w:val="0"/>
                <w:color w:val="auto"/>
                <w:sz w:val="21"/>
                <w:szCs w:val="21"/>
                <w:u w:val="none"/>
              </w:rPr>
            </w:pPr>
          </w:p>
        </w:tc>
        <w:tc>
          <w:tcPr>
            <w:tcW w:w="1150" w:type="dxa"/>
            <w:tcBorders>
              <w:tl2br w:val="nil"/>
              <w:tr2bl w:val="nil"/>
            </w:tcBorders>
            <w:noWrap w:val="0"/>
            <w:tcMar>
              <w:top w:w="15" w:type="dxa"/>
              <w:left w:w="15" w:type="dxa"/>
              <w:right w:w="15" w:type="dxa"/>
            </w:tcMar>
            <w:vAlign w:val="center"/>
          </w:tcPr>
          <w:p w14:paraId="2D5F1A2A">
            <w:pPr>
              <w:jc w:val="center"/>
              <w:rPr>
                <w:rFonts w:hint="default" w:ascii="Times New Roman" w:hAnsi="Times New Roman" w:eastAsia="宋体" w:cs="Times New Roman"/>
                <w:i w:val="0"/>
                <w:color w:val="auto"/>
                <w:sz w:val="21"/>
                <w:szCs w:val="21"/>
                <w:u w:val="none"/>
              </w:rPr>
            </w:pPr>
          </w:p>
        </w:tc>
        <w:tc>
          <w:tcPr>
            <w:tcW w:w="966" w:type="dxa"/>
            <w:tcBorders>
              <w:tl2br w:val="nil"/>
              <w:tr2bl w:val="nil"/>
            </w:tcBorders>
            <w:noWrap w:val="0"/>
            <w:tcMar>
              <w:top w:w="15" w:type="dxa"/>
              <w:left w:w="15" w:type="dxa"/>
              <w:right w:w="15" w:type="dxa"/>
            </w:tcMar>
            <w:vAlign w:val="center"/>
          </w:tcPr>
          <w:p w14:paraId="20FB81DC">
            <w:pPr>
              <w:jc w:val="center"/>
              <w:rPr>
                <w:rFonts w:hint="default" w:ascii="Times New Roman" w:hAnsi="Times New Roman" w:eastAsia="宋体" w:cs="Times New Roman"/>
                <w:i w:val="0"/>
                <w:color w:val="auto"/>
                <w:sz w:val="21"/>
                <w:szCs w:val="21"/>
                <w:u w:val="none"/>
              </w:rPr>
            </w:pPr>
          </w:p>
        </w:tc>
      </w:tr>
      <w:tr w14:paraId="54CE7C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vMerge w:val="restart"/>
            <w:tcBorders>
              <w:tl2br w:val="nil"/>
              <w:tr2bl w:val="nil"/>
            </w:tcBorders>
            <w:noWrap w:val="0"/>
            <w:tcMar>
              <w:top w:w="15" w:type="dxa"/>
              <w:left w:w="15" w:type="dxa"/>
              <w:right w:w="15" w:type="dxa"/>
            </w:tcMar>
            <w:vAlign w:val="center"/>
          </w:tcPr>
          <w:p w14:paraId="67727BA3">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2026年</w:t>
            </w:r>
            <w:r>
              <w:rPr>
                <w:rFonts w:hint="eastAsia" w:ascii="Times New Roman" w:hAnsi="Times New Roman" w:eastAsia="宋体" w:cs="Times New Roman"/>
                <w:i w:val="0"/>
                <w:color w:val="auto"/>
                <w:kern w:val="0"/>
                <w:sz w:val="21"/>
                <w:szCs w:val="21"/>
                <w:u w:val="none"/>
                <w:lang w:val="en-US" w:eastAsia="zh-CN" w:bidi="ar"/>
              </w:rPr>
              <w:t>非</w:t>
            </w:r>
            <w:r>
              <w:rPr>
                <w:rFonts w:hint="default" w:ascii="Times New Roman" w:hAnsi="Times New Roman" w:eastAsia="宋体" w:cs="Times New Roman"/>
                <w:i w:val="0"/>
                <w:color w:val="auto"/>
                <w:kern w:val="0"/>
                <w:sz w:val="21"/>
                <w:szCs w:val="21"/>
                <w:u w:val="none"/>
                <w:lang w:val="en-US" w:eastAsia="zh-CN" w:bidi="ar"/>
              </w:rPr>
              <w:t>汛期</w:t>
            </w:r>
          </w:p>
        </w:tc>
        <w:tc>
          <w:tcPr>
            <w:tcW w:w="821" w:type="dxa"/>
            <w:tcBorders>
              <w:tl2br w:val="nil"/>
              <w:tr2bl w:val="nil"/>
            </w:tcBorders>
            <w:noWrap w:val="0"/>
            <w:tcMar>
              <w:top w:w="15" w:type="dxa"/>
              <w:left w:w="15" w:type="dxa"/>
              <w:right w:w="15" w:type="dxa"/>
            </w:tcMar>
            <w:vAlign w:val="center"/>
          </w:tcPr>
          <w:p w14:paraId="77708BF3">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w:t>
            </w:r>
          </w:p>
        </w:tc>
        <w:tc>
          <w:tcPr>
            <w:tcW w:w="822" w:type="dxa"/>
            <w:tcBorders>
              <w:tl2br w:val="nil"/>
              <w:tr2bl w:val="nil"/>
            </w:tcBorders>
            <w:noWrap w:val="0"/>
            <w:tcMar>
              <w:top w:w="15" w:type="dxa"/>
              <w:left w:w="15" w:type="dxa"/>
              <w:right w:w="15" w:type="dxa"/>
            </w:tcMar>
            <w:vAlign w:val="center"/>
          </w:tcPr>
          <w:p w14:paraId="790D3831">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0E0999CB">
            <w:pPr>
              <w:widowControl/>
              <w:jc w:val="center"/>
              <w:textAlignment w:val="center"/>
              <w:rPr>
                <w:rFonts w:hint="default" w:ascii="Times New Roman" w:hAnsi="Times New Roman" w:eastAsia="宋体" w:cs="Times New Roman"/>
                <w:i w:val="0"/>
                <w:color w:val="auto"/>
                <w:sz w:val="21"/>
                <w:szCs w:val="21"/>
                <w:u w:val="none"/>
              </w:rPr>
            </w:pPr>
            <w:r>
              <w:rPr>
                <w:rFonts w:hint="eastAsia" w:cs="Times New Roman"/>
                <w:i w:val="0"/>
                <w:color w:val="auto"/>
                <w:sz w:val="21"/>
                <w:szCs w:val="21"/>
                <w:highlight w:val="none"/>
                <w:u w:val="none"/>
                <w:lang w:val="en-US" w:eastAsia="zh-CN"/>
              </w:rPr>
              <w:t>31.4</w:t>
            </w:r>
          </w:p>
        </w:tc>
        <w:tc>
          <w:tcPr>
            <w:tcW w:w="1107" w:type="dxa"/>
            <w:tcBorders>
              <w:tl2br w:val="nil"/>
              <w:tr2bl w:val="nil"/>
            </w:tcBorders>
            <w:noWrap w:val="0"/>
            <w:tcMar>
              <w:top w:w="15" w:type="dxa"/>
              <w:left w:w="15" w:type="dxa"/>
              <w:right w:w="15" w:type="dxa"/>
            </w:tcMar>
            <w:vAlign w:val="center"/>
          </w:tcPr>
          <w:p w14:paraId="62441FBD">
            <w:pPr>
              <w:widowControl/>
              <w:jc w:val="center"/>
              <w:textAlignment w:val="center"/>
              <w:rPr>
                <w:rFonts w:hint="default" w:ascii="Times New Roman" w:hAnsi="Times New Roman" w:eastAsia="宋体" w:cs="Times New Roman"/>
                <w:i w:val="0"/>
                <w:color w:val="auto"/>
                <w:sz w:val="21"/>
                <w:szCs w:val="21"/>
                <w:u w:val="none"/>
              </w:rPr>
            </w:pPr>
          </w:p>
        </w:tc>
        <w:tc>
          <w:tcPr>
            <w:tcW w:w="980" w:type="dxa"/>
            <w:tcBorders>
              <w:tl2br w:val="nil"/>
              <w:tr2bl w:val="nil"/>
            </w:tcBorders>
            <w:noWrap w:val="0"/>
            <w:tcMar>
              <w:top w:w="15" w:type="dxa"/>
              <w:left w:w="15" w:type="dxa"/>
              <w:right w:w="15" w:type="dxa"/>
            </w:tcMar>
            <w:vAlign w:val="center"/>
          </w:tcPr>
          <w:p w14:paraId="661A1105">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1.21</w:t>
            </w:r>
          </w:p>
        </w:tc>
        <w:tc>
          <w:tcPr>
            <w:tcW w:w="1439" w:type="dxa"/>
            <w:tcBorders>
              <w:tl2br w:val="nil"/>
              <w:tr2bl w:val="nil"/>
            </w:tcBorders>
            <w:noWrap w:val="0"/>
            <w:tcMar>
              <w:top w:w="15" w:type="dxa"/>
              <w:left w:w="15" w:type="dxa"/>
              <w:right w:w="15" w:type="dxa"/>
            </w:tcMar>
            <w:vAlign w:val="center"/>
          </w:tcPr>
          <w:p w14:paraId="3BE2FD86">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 xml:space="preserve">0.16 </w:t>
            </w:r>
          </w:p>
        </w:tc>
        <w:tc>
          <w:tcPr>
            <w:tcW w:w="1150" w:type="dxa"/>
            <w:tcBorders>
              <w:tl2br w:val="nil"/>
              <w:tr2bl w:val="nil"/>
            </w:tcBorders>
            <w:noWrap w:val="0"/>
            <w:tcMar>
              <w:top w:w="15" w:type="dxa"/>
              <w:left w:w="15" w:type="dxa"/>
              <w:right w:w="15" w:type="dxa"/>
            </w:tcMar>
            <w:vAlign w:val="center"/>
          </w:tcPr>
          <w:p w14:paraId="2B203357">
            <w:pPr>
              <w:widowControl/>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6E9E09B8">
            <w:pPr>
              <w:jc w:val="center"/>
              <w:rPr>
                <w:rFonts w:hint="default" w:ascii="Times New Roman" w:hAnsi="Times New Roman" w:eastAsia="宋体" w:cs="Times New Roman"/>
                <w:i w:val="0"/>
                <w:color w:val="auto"/>
                <w:sz w:val="21"/>
                <w:szCs w:val="21"/>
                <w:u w:val="none"/>
              </w:rPr>
            </w:pPr>
          </w:p>
        </w:tc>
      </w:tr>
      <w:tr w14:paraId="5A8C6E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vMerge w:val="continue"/>
            <w:tcBorders>
              <w:tl2br w:val="nil"/>
              <w:tr2bl w:val="nil"/>
            </w:tcBorders>
            <w:noWrap w:val="0"/>
            <w:tcMar>
              <w:top w:w="15" w:type="dxa"/>
              <w:left w:w="15" w:type="dxa"/>
              <w:right w:w="15" w:type="dxa"/>
            </w:tcMar>
            <w:vAlign w:val="center"/>
          </w:tcPr>
          <w:p w14:paraId="09E0D7D5">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21" w:type="dxa"/>
            <w:tcBorders>
              <w:tl2br w:val="nil"/>
              <w:tr2bl w:val="nil"/>
            </w:tcBorders>
            <w:noWrap w:val="0"/>
            <w:tcMar>
              <w:top w:w="15" w:type="dxa"/>
              <w:left w:w="15" w:type="dxa"/>
              <w:right w:w="15" w:type="dxa"/>
            </w:tcMar>
            <w:vAlign w:val="center"/>
          </w:tcPr>
          <w:p w14:paraId="7267C937">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2</w:t>
            </w:r>
          </w:p>
        </w:tc>
        <w:tc>
          <w:tcPr>
            <w:tcW w:w="822" w:type="dxa"/>
            <w:tcBorders>
              <w:tl2br w:val="nil"/>
              <w:tr2bl w:val="nil"/>
            </w:tcBorders>
            <w:noWrap w:val="0"/>
            <w:tcMar>
              <w:top w:w="15" w:type="dxa"/>
              <w:left w:w="15" w:type="dxa"/>
              <w:right w:w="15" w:type="dxa"/>
            </w:tcMar>
            <w:vAlign w:val="center"/>
          </w:tcPr>
          <w:p w14:paraId="4A6BEFBC">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月末</w:t>
            </w:r>
          </w:p>
        </w:tc>
        <w:tc>
          <w:tcPr>
            <w:tcW w:w="821" w:type="dxa"/>
            <w:tcBorders>
              <w:tl2br w:val="nil"/>
              <w:tr2bl w:val="nil"/>
            </w:tcBorders>
            <w:noWrap w:val="0"/>
            <w:tcMar>
              <w:top w:w="15" w:type="dxa"/>
              <w:left w:w="15" w:type="dxa"/>
              <w:right w:w="15" w:type="dxa"/>
            </w:tcMar>
            <w:vAlign w:val="center"/>
          </w:tcPr>
          <w:p w14:paraId="3C6874CD">
            <w:pPr>
              <w:widowControl/>
              <w:jc w:val="center"/>
              <w:textAlignment w:val="center"/>
              <w:rPr>
                <w:rFonts w:hint="default" w:ascii="Times New Roman" w:hAnsi="Times New Roman" w:eastAsia="宋体" w:cs="Times New Roman"/>
                <w:i w:val="0"/>
                <w:color w:val="auto"/>
                <w:sz w:val="21"/>
                <w:szCs w:val="21"/>
                <w:u w:val="none"/>
              </w:rPr>
            </w:pPr>
            <w:r>
              <w:rPr>
                <w:rFonts w:hint="eastAsia" w:cs="Times New Roman"/>
                <w:i w:val="0"/>
                <w:color w:val="auto"/>
                <w:sz w:val="21"/>
                <w:szCs w:val="21"/>
                <w:highlight w:val="none"/>
                <w:u w:val="none"/>
                <w:lang w:val="en-US" w:eastAsia="zh-CN"/>
              </w:rPr>
              <w:t>31.4</w:t>
            </w:r>
          </w:p>
        </w:tc>
        <w:tc>
          <w:tcPr>
            <w:tcW w:w="1107" w:type="dxa"/>
            <w:tcBorders>
              <w:tl2br w:val="nil"/>
              <w:tr2bl w:val="nil"/>
            </w:tcBorders>
            <w:noWrap w:val="0"/>
            <w:tcMar>
              <w:top w:w="15" w:type="dxa"/>
              <w:left w:w="15" w:type="dxa"/>
              <w:right w:w="15" w:type="dxa"/>
            </w:tcMar>
            <w:vAlign w:val="center"/>
          </w:tcPr>
          <w:p w14:paraId="375C6D3E">
            <w:pPr>
              <w:widowControl/>
              <w:jc w:val="center"/>
              <w:textAlignment w:val="center"/>
              <w:rPr>
                <w:rFonts w:hint="default" w:ascii="Times New Roman" w:hAnsi="Times New Roman" w:eastAsia="宋体" w:cs="Times New Roman"/>
                <w:i w:val="0"/>
                <w:color w:val="auto"/>
                <w:sz w:val="21"/>
                <w:szCs w:val="21"/>
                <w:u w:val="none"/>
              </w:rPr>
            </w:pPr>
          </w:p>
        </w:tc>
        <w:tc>
          <w:tcPr>
            <w:tcW w:w="980" w:type="dxa"/>
            <w:tcBorders>
              <w:tl2br w:val="nil"/>
              <w:tr2bl w:val="nil"/>
            </w:tcBorders>
            <w:noWrap w:val="0"/>
            <w:tcMar>
              <w:top w:w="15" w:type="dxa"/>
              <w:left w:w="15" w:type="dxa"/>
              <w:right w:w="15" w:type="dxa"/>
            </w:tcMar>
            <w:vAlign w:val="center"/>
          </w:tcPr>
          <w:p w14:paraId="6F82822A">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rPr>
              <w:t>0.82</w:t>
            </w:r>
          </w:p>
        </w:tc>
        <w:tc>
          <w:tcPr>
            <w:tcW w:w="1439" w:type="dxa"/>
            <w:tcBorders>
              <w:tl2br w:val="nil"/>
              <w:tr2bl w:val="nil"/>
            </w:tcBorders>
            <w:noWrap w:val="0"/>
            <w:tcMar>
              <w:top w:w="15" w:type="dxa"/>
              <w:left w:w="15" w:type="dxa"/>
              <w:right w:w="15" w:type="dxa"/>
            </w:tcMar>
            <w:vAlign w:val="center"/>
          </w:tcPr>
          <w:p w14:paraId="3204F0D0">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rPr>
              <w:t xml:space="preserve">0.11 </w:t>
            </w:r>
          </w:p>
        </w:tc>
        <w:tc>
          <w:tcPr>
            <w:tcW w:w="1150" w:type="dxa"/>
            <w:tcBorders>
              <w:tl2br w:val="nil"/>
              <w:tr2bl w:val="nil"/>
            </w:tcBorders>
            <w:noWrap w:val="0"/>
            <w:tcMar>
              <w:top w:w="15" w:type="dxa"/>
              <w:left w:w="15" w:type="dxa"/>
              <w:right w:w="15" w:type="dxa"/>
            </w:tcMar>
            <w:vAlign w:val="center"/>
          </w:tcPr>
          <w:p w14:paraId="244A3932">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rPr>
              <w:t>0</w:t>
            </w:r>
          </w:p>
        </w:tc>
        <w:tc>
          <w:tcPr>
            <w:tcW w:w="966" w:type="dxa"/>
            <w:tcBorders>
              <w:tl2br w:val="nil"/>
              <w:tr2bl w:val="nil"/>
            </w:tcBorders>
            <w:noWrap w:val="0"/>
            <w:tcMar>
              <w:top w:w="15" w:type="dxa"/>
              <w:left w:w="15" w:type="dxa"/>
              <w:right w:w="15" w:type="dxa"/>
            </w:tcMar>
            <w:vAlign w:val="center"/>
          </w:tcPr>
          <w:p w14:paraId="2AFE6845">
            <w:pPr>
              <w:jc w:val="center"/>
              <w:rPr>
                <w:rFonts w:hint="default" w:ascii="Times New Roman" w:hAnsi="Times New Roman" w:eastAsia="宋体" w:cs="Times New Roman"/>
                <w:i w:val="0"/>
                <w:color w:val="auto"/>
                <w:kern w:val="0"/>
                <w:sz w:val="21"/>
                <w:szCs w:val="21"/>
                <w:u w:val="none"/>
                <w:lang w:val="en-US" w:eastAsia="zh-CN" w:bidi="ar"/>
              </w:rPr>
            </w:pPr>
          </w:p>
        </w:tc>
      </w:tr>
      <w:tr w14:paraId="6B4373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vMerge w:val="continue"/>
            <w:tcBorders>
              <w:tl2br w:val="nil"/>
              <w:tr2bl w:val="nil"/>
            </w:tcBorders>
            <w:noWrap w:val="0"/>
            <w:tcMar>
              <w:top w:w="15" w:type="dxa"/>
              <w:left w:w="15" w:type="dxa"/>
              <w:right w:w="15" w:type="dxa"/>
            </w:tcMar>
            <w:vAlign w:val="center"/>
          </w:tcPr>
          <w:p w14:paraId="42B7F1E0">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821" w:type="dxa"/>
            <w:tcBorders>
              <w:tl2br w:val="nil"/>
              <w:tr2bl w:val="nil"/>
            </w:tcBorders>
            <w:noWrap w:val="0"/>
            <w:tcMar>
              <w:top w:w="15" w:type="dxa"/>
              <w:left w:w="15" w:type="dxa"/>
              <w:right w:w="15" w:type="dxa"/>
            </w:tcMar>
            <w:vAlign w:val="center"/>
          </w:tcPr>
          <w:p w14:paraId="09DC33F9">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3</w:t>
            </w:r>
          </w:p>
        </w:tc>
        <w:tc>
          <w:tcPr>
            <w:tcW w:w="822" w:type="dxa"/>
            <w:tcBorders>
              <w:tl2br w:val="nil"/>
              <w:tr2bl w:val="nil"/>
            </w:tcBorders>
            <w:noWrap w:val="0"/>
            <w:tcMar>
              <w:top w:w="15" w:type="dxa"/>
              <w:left w:w="15" w:type="dxa"/>
              <w:right w:w="15" w:type="dxa"/>
            </w:tcMar>
            <w:vAlign w:val="center"/>
          </w:tcPr>
          <w:p w14:paraId="3AEAA948">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15日</w:t>
            </w:r>
          </w:p>
        </w:tc>
        <w:tc>
          <w:tcPr>
            <w:tcW w:w="821" w:type="dxa"/>
            <w:tcBorders>
              <w:tl2br w:val="nil"/>
              <w:tr2bl w:val="nil"/>
            </w:tcBorders>
            <w:noWrap w:val="0"/>
            <w:tcMar>
              <w:top w:w="15" w:type="dxa"/>
              <w:left w:w="15" w:type="dxa"/>
              <w:right w:w="15" w:type="dxa"/>
            </w:tcMar>
            <w:vAlign w:val="center"/>
          </w:tcPr>
          <w:p w14:paraId="437A5A2D">
            <w:pPr>
              <w:jc w:val="center"/>
              <w:rPr>
                <w:rFonts w:hint="default" w:ascii="Times New Roman" w:hAnsi="Times New Roman" w:eastAsia="宋体" w:cs="Times New Roman"/>
                <w:i w:val="0"/>
                <w:color w:val="auto"/>
                <w:sz w:val="21"/>
                <w:szCs w:val="21"/>
                <w:u w:val="none"/>
              </w:rPr>
            </w:pPr>
            <w:r>
              <w:rPr>
                <w:rFonts w:hint="eastAsia" w:cs="Times New Roman"/>
                <w:i w:val="0"/>
                <w:color w:val="auto"/>
                <w:sz w:val="21"/>
                <w:szCs w:val="21"/>
                <w:highlight w:val="none"/>
                <w:u w:val="none"/>
                <w:lang w:val="en-US" w:eastAsia="zh-CN"/>
              </w:rPr>
              <w:t>31.42</w:t>
            </w:r>
          </w:p>
        </w:tc>
        <w:tc>
          <w:tcPr>
            <w:tcW w:w="1107" w:type="dxa"/>
            <w:tcBorders>
              <w:tl2br w:val="nil"/>
              <w:tr2bl w:val="nil"/>
            </w:tcBorders>
            <w:noWrap w:val="0"/>
            <w:tcMar>
              <w:top w:w="15" w:type="dxa"/>
              <w:left w:w="15" w:type="dxa"/>
              <w:right w:w="15" w:type="dxa"/>
            </w:tcMar>
            <w:vAlign w:val="center"/>
          </w:tcPr>
          <w:p w14:paraId="19D2E7C4">
            <w:pPr>
              <w:widowControl/>
              <w:jc w:val="center"/>
              <w:textAlignment w:val="center"/>
              <w:rPr>
                <w:rFonts w:hint="default" w:ascii="Times New Roman" w:hAnsi="Times New Roman" w:eastAsia="宋体" w:cs="Times New Roman"/>
                <w:i w:val="0"/>
                <w:color w:val="auto"/>
                <w:sz w:val="21"/>
                <w:szCs w:val="21"/>
                <w:u w:val="none"/>
              </w:rPr>
            </w:pPr>
          </w:p>
        </w:tc>
        <w:tc>
          <w:tcPr>
            <w:tcW w:w="980" w:type="dxa"/>
            <w:tcBorders>
              <w:tl2br w:val="nil"/>
              <w:tr2bl w:val="nil"/>
            </w:tcBorders>
            <w:noWrap w:val="0"/>
            <w:tcMar>
              <w:top w:w="15" w:type="dxa"/>
              <w:left w:w="15" w:type="dxa"/>
              <w:right w:w="15" w:type="dxa"/>
            </w:tcMar>
            <w:vAlign w:val="center"/>
          </w:tcPr>
          <w:p w14:paraId="74D27934">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439" w:type="dxa"/>
            <w:tcBorders>
              <w:tl2br w:val="nil"/>
              <w:tr2bl w:val="nil"/>
            </w:tcBorders>
            <w:noWrap w:val="0"/>
            <w:tcMar>
              <w:top w:w="15" w:type="dxa"/>
              <w:left w:w="15" w:type="dxa"/>
              <w:right w:w="15" w:type="dxa"/>
            </w:tcMar>
            <w:vAlign w:val="center"/>
          </w:tcPr>
          <w:p w14:paraId="7B63E0AA">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150" w:type="dxa"/>
            <w:tcBorders>
              <w:tl2br w:val="nil"/>
              <w:tr2bl w:val="nil"/>
            </w:tcBorders>
            <w:noWrap w:val="0"/>
            <w:tcMar>
              <w:top w:w="15" w:type="dxa"/>
              <w:left w:w="15" w:type="dxa"/>
              <w:right w:w="15" w:type="dxa"/>
            </w:tcMar>
            <w:vAlign w:val="center"/>
          </w:tcPr>
          <w:p w14:paraId="0E53E52E">
            <w:pPr>
              <w:widowControl/>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966" w:type="dxa"/>
            <w:tcBorders>
              <w:tl2br w:val="nil"/>
              <w:tr2bl w:val="nil"/>
            </w:tcBorders>
            <w:noWrap w:val="0"/>
            <w:tcMar>
              <w:top w:w="15" w:type="dxa"/>
              <w:left w:w="15" w:type="dxa"/>
              <w:right w:w="15" w:type="dxa"/>
            </w:tcMar>
            <w:vAlign w:val="center"/>
          </w:tcPr>
          <w:p w14:paraId="14B97386">
            <w:pPr>
              <w:jc w:val="center"/>
              <w:rPr>
                <w:rFonts w:hint="default" w:ascii="Times New Roman" w:hAnsi="Times New Roman" w:eastAsia="宋体" w:cs="Times New Roman"/>
                <w:i w:val="0"/>
                <w:color w:val="auto"/>
                <w:kern w:val="0"/>
                <w:sz w:val="21"/>
                <w:szCs w:val="21"/>
                <w:u w:val="none"/>
                <w:lang w:val="en-US" w:eastAsia="zh-CN" w:bidi="ar"/>
              </w:rPr>
            </w:pPr>
          </w:p>
        </w:tc>
      </w:tr>
      <w:tr w14:paraId="6F34B4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995" w:type="dxa"/>
            <w:tcBorders>
              <w:tl2br w:val="nil"/>
              <w:tr2bl w:val="nil"/>
            </w:tcBorders>
            <w:noWrap w:val="0"/>
            <w:tcMar>
              <w:top w:w="15" w:type="dxa"/>
              <w:left w:w="15" w:type="dxa"/>
              <w:right w:w="15" w:type="dxa"/>
            </w:tcMar>
            <w:vAlign w:val="center"/>
          </w:tcPr>
          <w:p w14:paraId="4DB1C1CE">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总计</w:t>
            </w:r>
          </w:p>
        </w:tc>
        <w:tc>
          <w:tcPr>
            <w:tcW w:w="821" w:type="dxa"/>
            <w:tcBorders>
              <w:tl2br w:val="nil"/>
              <w:tr2bl w:val="nil"/>
            </w:tcBorders>
            <w:noWrap w:val="0"/>
            <w:tcMar>
              <w:top w:w="15" w:type="dxa"/>
              <w:left w:w="15" w:type="dxa"/>
              <w:right w:w="15" w:type="dxa"/>
            </w:tcMar>
            <w:vAlign w:val="center"/>
          </w:tcPr>
          <w:p w14:paraId="46C663F2">
            <w:pPr>
              <w:jc w:val="center"/>
              <w:rPr>
                <w:rFonts w:hint="default" w:ascii="Times New Roman" w:hAnsi="Times New Roman" w:eastAsia="宋体" w:cs="Times New Roman"/>
                <w:i w:val="0"/>
                <w:color w:val="auto"/>
                <w:kern w:val="2"/>
                <w:sz w:val="21"/>
                <w:szCs w:val="21"/>
                <w:u w:val="none"/>
                <w:lang w:val="en-US" w:eastAsia="zh-CN" w:bidi="ar-SA"/>
              </w:rPr>
            </w:pPr>
          </w:p>
        </w:tc>
        <w:tc>
          <w:tcPr>
            <w:tcW w:w="822" w:type="dxa"/>
            <w:tcBorders>
              <w:tl2br w:val="nil"/>
              <w:tr2bl w:val="nil"/>
            </w:tcBorders>
            <w:noWrap w:val="0"/>
            <w:tcMar>
              <w:top w:w="15" w:type="dxa"/>
              <w:left w:w="15" w:type="dxa"/>
              <w:right w:w="15" w:type="dxa"/>
            </w:tcMar>
            <w:vAlign w:val="center"/>
          </w:tcPr>
          <w:p w14:paraId="7F51E905">
            <w:pPr>
              <w:jc w:val="center"/>
              <w:rPr>
                <w:rFonts w:hint="default" w:ascii="Times New Roman" w:hAnsi="Times New Roman" w:eastAsia="宋体" w:cs="Times New Roman"/>
                <w:i w:val="0"/>
                <w:color w:val="auto"/>
                <w:kern w:val="2"/>
                <w:sz w:val="21"/>
                <w:szCs w:val="21"/>
                <w:u w:val="none"/>
                <w:lang w:val="en-US" w:eastAsia="zh-CN" w:bidi="ar-SA"/>
              </w:rPr>
            </w:pPr>
          </w:p>
        </w:tc>
        <w:tc>
          <w:tcPr>
            <w:tcW w:w="821" w:type="dxa"/>
            <w:tcBorders>
              <w:tl2br w:val="nil"/>
              <w:tr2bl w:val="nil"/>
            </w:tcBorders>
            <w:noWrap w:val="0"/>
            <w:tcMar>
              <w:top w:w="15" w:type="dxa"/>
              <w:left w:w="15" w:type="dxa"/>
              <w:right w:w="15" w:type="dxa"/>
            </w:tcMar>
            <w:vAlign w:val="center"/>
          </w:tcPr>
          <w:p w14:paraId="4FB6B65F">
            <w:pPr>
              <w:jc w:val="center"/>
              <w:rPr>
                <w:rFonts w:hint="default" w:ascii="Times New Roman" w:hAnsi="Times New Roman" w:eastAsia="宋体" w:cs="Times New Roman"/>
                <w:i w:val="0"/>
                <w:color w:val="auto"/>
                <w:kern w:val="2"/>
                <w:sz w:val="21"/>
                <w:szCs w:val="21"/>
                <w:u w:val="none"/>
                <w:lang w:val="en-US" w:eastAsia="zh-CN" w:bidi="ar-SA"/>
              </w:rPr>
            </w:pPr>
          </w:p>
        </w:tc>
        <w:tc>
          <w:tcPr>
            <w:tcW w:w="1107" w:type="dxa"/>
            <w:tcBorders>
              <w:tl2br w:val="nil"/>
              <w:tr2bl w:val="nil"/>
            </w:tcBorders>
            <w:noWrap w:val="0"/>
            <w:tcMar>
              <w:top w:w="15" w:type="dxa"/>
              <w:left w:w="15" w:type="dxa"/>
              <w:right w:w="15" w:type="dxa"/>
            </w:tcMar>
            <w:vAlign w:val="center"/>
          </w:tcPr>
          <w:p w14:paraId="62DE8620">
            <w:pPr>
              <w:jc w:val="center"/>
              <w:rPr>
                <w:rFonts w:hint="default" w:ascii="Times New Roman" w:hAnsi="Times New Roman" w:eastAsia="宋体" w:cs="Times New Roman"/>
                <w:i w:val="0"/>
                <w:color w:val="auto"/>
                <w:kern w:val="2"/>
                <w:sz w:val="21"/>
                <w:szCs w:val="21"/>
                <w:u w:val="none"/>
                <w:lang w:val="en-US" w:eastAsia="zh-CN" w:bidi="ar-SA"/>
              </w:rPr>
            </w:pPr>
          </w:p>
        </w:tc>
        <w:tc>
          <w:tcPr>
            <w:tcW w:w="980" w:type="dxa"/>
            <w:tcBorders>
              <w:tl2br w:val="nil"/>
              <w:tr2bl w:val="nil"/>
            </w:tcBorders>
            <w:noWrap w:val="0"/>
            <w:tcMar>
              <w:top w:w="15" w:type="dxa"/>
              <w:left w:w="15" w:type="dxa"/>
              <w:right w:w="15" w:type="dxa"/>
            </w:tcMar>
            <w:vAlign w:val="center"/>
          </w:tcPr>
          <w:p w14:paraId="0110A1CB">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40.09</w:t>
            </w:r>
          </w:p>
        </w:tc>
        <w:tc>
          <w:tcPr>
            <w:tcW w:w="1439" w:type="dxa"/>
            <w:tcBorders>
              <w:tl2br w:val="nil"/>
              <w:tr2bl w:val="nil"/>
            </w:tcBorders>
            <w:noWrap w:val="0"/>
            <w:tcMar>
              <w:top w:w="15" w:type="dxa"/>
              <w:left w:w="15" w:type="dxa"/>
              <w:right w:w="15" w:type="dxa"/>
            </w:tcMar>
            <w:vAlign w:val="center"/>
          </w:tcPr>
          <w:p w14:paraId="13602BBD">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0"/>
                <w:sz w:val="21"/>
                <w:szCs w:val="21"/>
                <w:highlight w:val="none"/>
                <w:u w:val="none"/>
                <w:lang w:val="en-US" w:eastAsia="zh-CN"/>
              </w:rPr>
              <w:t>5.12</w:t>
            </w:r>
          </w:p>
        </w:tc>
        <w:tc>
          <w:tcPr>
            <w:tcW w:w="1150" w:type="dxa"/>
            <w:tcBorders>
              <w:tl2br w:val="nil"/>
              <w:tr2bl w:val="nil"/>
            </w:tcBorders>
            <w:noWrap w:val="0"/>
            <w:tcMar>
              <w:top w:w="15" w:type="dxa"/>
              <w:left w:w="15" w:type="dxa"/>
              <w:right w:w="15" w:type="dxa"/>
            </w:tcMar>
            <w:vAlign w:val="center"/>
          </w:tcPr>
          <w:p w14:paraId="02F18708">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29.04</w:t>
            </w:r>
          </w:p>
        </w:tc>
        <w:tc>
          <w:tcPr>
            <w:tcW w:w="966" w:type="dxa"/>
            <w:tcBorders>
              <w:tl2br w:val="nil"/>
              <w:tr2bl w:val="nil"/>
            </w:tcBorders>
            <w:noWrap w:val="0"/>
            <w:tcMar>
              <w:top w:w="15" w:type="dxa"/>
              <w:left w:w="15" w:type="dxa"/>
              <w:right w:w="15" w:type="dxa"/>
            </w:tcMar>
            <w:vAlign w:val="center"/>
          </w:tcPr>
          <w:p w14:paraId="5F70DB9D">
            <w:pPr>
              <w:widowControl/>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1.44</w:t>
            </w:r>
          </w:p>
        </w:tc>
      </w:tr>
    </w:tbl>
    <w:p w14:paraId="36C737C1">
      <w:pPr>
        <w:ind w:firstLine="560"/>
        <w:rPr>
          <w:rFonts w:eastAsia="楷体"/>
          <w:color w:val="auto"/>
          <w:kern w:val="0"/>
          <w:sz w:val="28"/>
          <w:szCs w:val="28"/>
          <w:highlight w:val="none"/>
        </w:rPr>
      </w:pPr>
      <w:r>
        <w:rPr>
          <w:rFonts w:hint="eastAsia" w:eastAsia="楷体"/>
          <w:color w:val="auto"/>
          <w:sz w:val="28"/>
          <w:szCs w:val="28"/>
          <w:highlight w:val="none"/>
          <w:lang w:val="en-US" w:eastAsia="zh-CN"/>
        </w:rPr>
        <w:t>根据2025年前烧水库的运行可知，采用37.75m不仅可以保障水库的防洪安全，</w:t>
      </w:r>
      <w:r>
        <w:rPr>
          <w:rFonts w:hint="default" w:ascii="Times New Roman" w:hAnsi="Times New Roman" w:eastAsia="楷体" w:cs="Times New Roman"/>
          <w:color w:val="auto"/>
          <w:sz w:val="28"/>
          <w:szCs w:val="28"/>
        </w:rPr>
        <w:t>又保障了昆山水库的兴利功能要求。</w:t>
      </w:r>
      <w:r>
        <w:rPr>
          <w:rFonts w:hint="eastAsia" w:eastAsia="楷体"/>
          <w:color w:val="auto"/>
          <w:sz w:val="28"/>
          <w:szCs w:val="28"/>
          <w:highlight w:val="none"/>
          <w:lang w:val="en-US" w:eastAsia="zh-CN"/>
        </w:rPr>
        <w:t>因此</w:t>
      </w:r>
      <w:r>
        <w:rPr>
          <w:rFonts w:eastAsia="楷体"/>
          <w:color w:val="auto"/>
          <w:sz w:val="28"/>
          <w:szCs w:val="28"/>
          <w:highlight w:val="none"/>
        </w:rPr>
        <w:t>20</w:t>
      </w:r>
      <w:r>
        <w:rPr>
          <w:rFonts w:hint="eastAsia" w:eastAsia="楷体"/>
          <w:color w:val="auto"/>
          <w:sz w:val="28"/>
          <w:szCs w:val="28"/>
          <w:highlight w:val="none"/>
          <w:lang w:val="en-US" w:eastAsia="zh-CN"/>
        </w:rPr>
        <w:t>26</w:t>
      </w:r>
      <w:r>
        <w:rPr>
          <w:rFonts w:eastAsia="楷体"/>
          <w:color w:val="auto"/>
          <w:sz w:val="28"/>
          <w:szCs w:val="28"/>
          <w:highlight w:val="none"/>
        </w:rPr>
        <w:t>年将</w:t>
      </w:r>
      <w:r>
        <w:rPr>
          <w:rFonts w:hint="eastAsia" w:eastAsia="楷体"/>
          <w:color w:val="auto"/>
          <w:sz w:val="28"/>
          <w:szCs w:val="28"/>
          <w:highlight w:val="none"/>
          <w:lang w:val="en-US" w:eastAsia="zh-CN"/>
        </w:rPr>
        <w:t>37.75</w:t>
      </w:r>
      <w:r>
        <w:rPr>
          <w:rFonts w:eastAsia="楷体"/>
          <w:color w:val="auto"/>
          <w:sz w:val="28"/>
          <w:szCs w:val="28"/>
          <w:highlight w:val="none"/>
        </w:rPr>
        <w:t>m作为前烧水库的汛限水位。</w:t>
      </w:r>
    </w:p>
    <w:p w14:paraId="4156F91A">
      <w:pPr>
        <w:outlineLvl w:val="2"/>
        <w:rPr>
          <w:rFonts w:eastAsia="楷体"/>
          <w:b/>
          <w:bCs/>
          <w:color w:val="auto"/>
          <w:sz w:val="32"/>
          <w:szCs w:val="30"/>
          <w:highlight w:val="none"/>
        </w:rPr>
      </w:pPr>
      <w:r>
        <w:rPr>
          <w:rFonts w:eastAsia="楷体"/>
          <w:b/>
          <w:bCs/>
          <w:color w:val="auto"/>
          <w:sz w:val="32"/>
          <w:szCs w:val="30"/>
          <w:highlight w:val="none"/>
        </w:rPr>
        <w:t>2.5.4 汛期防洪调度方式</w:t>
      </w:r>
    </w:p>
    <w:p w14:paraId="38357A41">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（1）水库调洪演算</w:t>
      </w:r>
    </w:p>
    <w:p w14:paraId="4B2B4149">
      <w:pPr>
        <w:spacing w:line="520" w:lineRule="exact"/>
        <w:ind w:firstLine="560" w:firstLineChars="200"/>
        <w:rPr>
          <w:rFonts w:eastAsia="楷体"/>
          <w:color w:val="auto"/>
          <w:sz w:val="28"/>
          <w:szCs w:val="28"/>
          <w:highlight w:val="none"/>
        </w:rPr>
      </w:pPr>
      <w:r>
        <w:rPr>
          <w:rFonts w:eastAsia="楷体"/>
          <w:color w:val="auto"/>
          <w:sz w:val="28"/>
          <w:szCs w:val="28"/>
          <w:highlight w:val="none"/>
        </w:rPr>
        <w:t>调洪演算按水量平衡方程式逐时段进行试算，计算方程式如下：</w:t>
      </w:r>
    </w:p>
    <w:p w14:paraId="31992495">
      <w:pPr>
        <w:ind w:firstLine="2520" w:firstLineChars="900"/>
        <w:rPr>
          <w:rFonts w:eastAsia="楷体"/>
          <w:color w:val="auto"/>
          <w:sz w:val="28"/>
          <w:szCs w:val="28"/>
          <w:highlight w:val="none"/>
        </w:rPr>
      </w:pPr>
      <w:r>
        <w:rPr>
          <w:rFonts w:eastAsia="楷体"/>
          <w:color w:val="auto"/>
          <w:position w:val="-24"/>
          <w:sz w:val="28"/>
          <w:szCs w:val="28"/>
          <w:highlight w:val="none"/>
        </w:rPr>
        <w:object>
          <v:shape id="_x0000_i1045" o:spt="75" type="#_x0000_t75" style="height:33.75pt;width:161.2pt;" o:ole="t" filled="f" o:preferrelative="t" stroked="f" coordsize="21600,21600">
            <v:path/>
            <v:fill on="f" focussize="0,0"/>
            <v:stroke on="f"/>
            <v:imagedata r:id="rId23" o:title=""/>
            <o:lock v:ext="edit" grouping="f" rotation="f" text="f" aspectratio="t"/>
            <w10:wrap type="none"/>
            <w10:anchorlock/>
          </v:shape>
          <o:OLEObject Type="Embed" ProgID="Equation.DSMT4" ShapeID="_x0000_i1045" DrawAspect="Content" ObjectID="_1468075745" r:id="rId52">
            <o:LockedField>false</o:LockedField>
          </o:OLEObject>
        </w:object>
      </w:r>
      <w:r>
        <w:rPr>
          <w:rFonts w:eastAsia="楷体"/>
          <w:color w:val="auto"/>
          <w:sz w:val="28"/>
          <w:szCs w:val="28"/>
          <w:highlight w:val="none"/>
        </w:rPr>
        <w:t xml:space="preserve">          </w:t>
      </w:r>
    </w:p>
    <w:p w14:paraId="4B760DBA">
      <w:pPr>
        <w:spacing w:line="520" w:lineRule="exact"/>
        <w:rPr>
          <w:rFonts w:eastAsia="楷体"/>
          <w:color w:val="auto"/>
          <w:sz w:val="28"/>
          <w:szCs w:val="28"/>
          <w:highlight w:val="none"/>
        </w:rPr>
      </w:pPr>
      <w:r>
        <w:rPr>
          <w:rFonts w:eastAsia="楷体"/>
          <w:color w:val="auto"/>
          <w:sz w:val="28"/>
          <w:szCs w:val="28"/>
          <w:highlight w:val="none"/>
        </w:rPr>
        <w:t>式中：</w:t>
      </w:r>
      <w:r>
        <w:rPr>
          <w:rFonts w:eastAsia="楷体"/>
          <w:color w:val="auto"/>
          <w:position w:val="-12"/>
          <w:sz w:val="28"/>
          <w:szCs w:val="28"/>
          <w:highlight w:val="none"/>
        </w:rPr>
        <w:object>
          <v:shape id="_x0000_i1046" o:spt="75" type="#_x0000_t75" style="height:17.25pt;width:37.5pt;" o:ole="t" filled="f" o:preferrelative="t" stroked="f" coordsize="21600,21600">
            <v:path/>
            <v:fill on="f" focussize="0,0"/>
            <v:stroke on="f"/>
            <v:imagedata r:id="rId54" o:title=""/>
            <o:lock v:ext="edit" grouping="f" rotation="f" text="f" aspectratio="t"/>
            <w10:wrap type="none"/>
            <w10:anchorlock/>
          </v:shape>
          <o:OLEObject Type="Embed" ProgID="Equation.DSMT4" ShapeID="_x0000_i1046" DrawAspect="Content" ObjectID="_1468075746" r:id="rId53">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47" o:spt="75" type="#_x0000_t75" style="height:13.5pt;width:15pt;" o:ole="t" filled="f" o:preferrelative="t" stroked="f" coordsize="21600,21600">
            <v:path/>
            <v:fill on="f" focussize="0,0"/>
            <v:stroke on="f"/>
            <v:imagedata r:id="rId56" o:title=""/>
            <o:lock v:ext="edit" grouping="f" rotation="f" text="f" aspectratio="t"/>
            <w10:wrap type="none"/>
            <w10:anchorlock/>
          </v:shape>
          <o:OLEObject Type="Embed" ProgID="Equation.DSMT4" ShapeID="_x0000_i1047" DrawAspect="Content" ObjectID="_1468075747" r:id="rId55">
            <o:LockedField>false</o:LockedField>
          </o:OLEObject>
        </w:object>
      </w:r>
      <w:r>
        <w:rPr>
          <w:rFonts w:eastAsia="楷体"/>
          <w:color w:val="auto"/>
          <w:sz w:val="28"/>
          <w:szCs w:val="28"/>
          <w:highlight w:val="none"/>
        </w:rPr>
        <w:t>始、末的入库流量（</w:t>
      </w:r>
      <w:r>
        <w:rPr>
          <w:rFonts w:eastAsia="楷体"/>
          <w:color w:val="auto"/>
          <w:position w:val="-6"/>
          <w:sz w:val="28"/>
          <w:szCs w:val="28"/>
          <w:highlight w:val="none"/>
        </w:rPr>
        <w:object>
          <v:shape id="_x0000_i1048" o:spt="75" type="#_x0000_t75" style="height:16.5pt;width:30pt;" o:ole="t" filled="f" o:preferrelative="t" stroked="f" coordsize="21600,21600">
            <v:path/>
            <v:fill on="f" focussize="0,0"/>
            <v:stroke on="f"/>
            <v:imagedata r:id="rId58" o:title=""/>
            <o:lock v:ext="edit" grouping="f" rotation="f" text="f" aspectratio="t"/>
            <w10:wrap type="none"/>
            <w10:anchorlock/>
          </v:shape>
          <o:OLEObject Type="Embed" ProgID="Equation.DSMT4" ShapeID="_x0000_i1048" DrawAspect="Content" ObjectID="_1468075748" r:id="rId57">
            <o:LockedField>false</o:LockedField>
          </o:OLEObject>
        </w:object>
      </w:r>
      <w:r>
        <w:rPr>
          <w:rFonts w:eastAsia="楷体"/>
          <w:color w:val="auto"/>
          <w:sz w:val="28"/>
          <w:szCs w:val="28"/>
          <w:highlight w:val="none"/>
        </w:rPr>
        <w:t>）;</w:t>
      </w:r>
    </w:p>
    <w:p w14:paraId="487496DB">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49" o:spt="75" type="#_x0000_t75" style="height:17.25pt;width:33.75pt;" o:ole="t" filled="f" o:preferrelative="t" stroked="f" coordsize="21600,21600">
            <v:path/>
            <v:fill on="f" focussize="0,0"/>
            <v:stroke on="f"/>
            <v:imagedata r:id="rId60" o:title=""/>
            <o:lock v:ext="edit" grouping="f" rotation="f" text="f" aspectratio="t"/>
            <w10:wrap type="none"/>
            <w10:anchorlock/>
          </v:shape>
          <o:OLEObject Type="Embed" ProgID="Equation.DSMT4" ShapeID="_x0000_i1049" DrawAspect="Content" ObjectID="_1468075749" r:id="rId59">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50" o:spt="75" type="#_x0000_t75" style="height:13.5pt;width:15pt;" o:ole="t" filled="f" o:preferrelative="t" stroked="f" coordsize="21600,21600">
            <v:path/>
            <v:fill on="f" focussize="0,0"/>
            <v:stroke on="f"/>
            <v:imagedata r:id="rId62" o:title=""/>
            <o:lock v:ext="edit" grouping="f" rotation="f" text="f" aspectratio="t"/>
            <w10:wrap type="none"/>
            <w10:anchorlock/>
          </v:shape>
          <o:OLEObject Type="Embed" ProgID="Equation.DSMT4" ShapeID="_x0000_i1050" DrawAspect="Content" ObjectID="_1468075750" r:id="rId61">
            <o:LockedField>false</o:LockedField>
          </o:OLEObject>
        </w:object>
      </w:r>
      <w:r>
        <w:rPr>
          <w:rFonts w:eastAsia="楷体"/>
          <w:color w:val="auto"/>
          <w:sz w:val="28"/>
          <w:szCs w:val="28"/>
          <w:highlight w:val="none"/>
        </w:rPr>
        <w:t>始、末的出库流量（</w:t>
      </w:r>
      <w:r>
        <w:rPr>
          <w:rFonts w:eastAsia="楷体"/>
          <w:color w:val="auto"/>
          <w:position w:val="-6"/>
          <w:sz w:val="28"/>
          <w:szCs w:val="28"/>
          <w:highlight w:val="none"/>
        </w:rPr>
        <w:object>
          <v:shape id="_x0000_i1051" o:spt="75" type="#_x0000_t75" style="height:16.5pt;width:30pt;" o:ole="t" filled="f" o:preferrelative="t" stroked="f" coordsize="21600,21600">
            <v:path/>
            <v:fill on="f" focussize="0,0"/>
            <v:stroke on="f"/>
            <v:imagedata r:id="rId64" o:title=""/>
            <o:lock v:ext="edit" grouping="f" rotation="f" text="f" aspectratio="t"/>
            <w10:wrap type="none"/>
            <w10:anchorlock/>
          </v:shape>
          <o:OLEObject Type="Embed" ProgID="Equation.DSMT4" ShapeID="_x0000_i1051" DrawAspect="Content" ObjectID="_1468075751" r:id="rId63">
            <o:LockedField>false</o:LockedField>
          </o:OLEObject>
        </w:object>
      </w:r>
      <w:r>
        <w:rPr>
          <w:rFonts w:eastAsia="楷体"/>
          <w:color w:val="auto"/>
          <w:sz w:val="28"/>
          <w:szCs w:val="28"/>
          <w:highlight w:val="none"/>
        </w:rPr>
        <w:t>）;</w:t>
      </w:r>
    </w:p>
    <w:p w14:paraId="28C07649">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52" o:spt="75" type="#_x0000_t75" style="height:17.25pt;width:33.75pt;" o:ole="t" filled="f" o:preferrelative="t" stroked="f" coordsize="21600,21600">
            <v:path/>
            <v:fill on="f" focussize="0,0"/>
            <v:stroke on="f"/>
            <v:imagedata r:id="rId66" o:title=""/>
            <o:lock v:ext="edit" grouping="f" rotation="f" text="f" aspectratio="t"/>
            <w10:wrap type="none"/>
            <w10:anchorlock/>
          </v:shape>
          <o:OLEObject Type="Embed" ProgID="Equation.DSMT4" ShapeID="_x0000_i1052" DrawAspect="Content" ObjectID="_1468075752" r:id="rId65">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53" o:spt="75" type="#_x0000_t75" style="height:13.5pt;width:15pt;" o:ole="t" filled="f" o:preferrelative="t" stroked="f" coordsize="21600,21600">
            <v:path/>
            <v:fill on="f" focussize="0,0"/>
            <v:stroke on="f"/>
            <v:imagedata r:id="rId68" o:title=""/>
            <o:lock v:ext="edit" grouping="f" rotation="f" text="f" aspectratio="t"/>
            <w10:wrap type="none"/>
            <w10:anchorlock/>
          </v:shape>
          <o:OLEObject Type="Embed" ProgID="Equation.DSMT4" ShapeID="_x0000_i1053" DrawAspect="Content" ObjectID="_1468075753" r:id="rId67">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eastAsia="楷体"/>
          <w:color w:val="auto"/>
          <w:position w:val="-6"/>
          <w:sz w:val="28"/>
          <w:szCs w:val="28"/>
          <w:highlight w:val="none"/>
        </w:rPr>
        <w:object>
          <v:shape id="_x0000_i1054" o:spt="75" type="#_x0000_t75" style="height:16.5pt;width:16.5pt;" o:ole="t" filled="f" o:preferrelative="t" stroked="f" coordsize="21600,21600">
            <v:path/>
            <v:fill on="f" focussize="0,0"/>
            <v:stroke on="f"/>
            <v:imagedata r:id="rId70" o:title=""/>
            <o:lock v:ext="edit" grouping="f" rotation="f" text="f" aspectratio="t"/>
            <w10:wrap type="none"/>
            <w10:anchorlock/>
          </v:shape>
          <o:OLEObject Type="Embed" ProgID="Equation.DSMT4" ShapeID="_x0000_i1054" DrawAspect="Content" ObjectID="_1468075754" r:id="rId69">
            <o:LockedField>false</o:LockedField>
          </o:OLEObject>
        </w:object>
      </w:r>
      <w:r>
        <w:rPr>
          <w:rFonts w:eastAsia="楷体"/>
          <w:color w:val="auto"/>
          <w:sz w:val="28"/>
          <w:szCs w:val="28"/>
          <w:highlight w:val="none"/>
        </w:rPr>
        <w:t>）</w:t>
      </w:r>
    </w:p>
    <w:p w14:paraId="1CD903CE">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w:t>
      </w:r>
      <w:r>
        <w:rPr>
          <w:rFonts w:hint="eastAsia" w:eastAsia="楷体"/>
          <w:color w:val="auto"/>
          <w:sz w:val="28"/>
          <w:szCs w:val="28"/>
          <w:highlight w:val="none"/>
        </w:rPr>
        <w:t>的</w:t>
      </w:r>
      <w:r>
        <w:rPr>
          <w:rFonts w:hint="eastAsia" w:eastAsia="楷体"/>
          <w:color w:val="auto"/>
          <w:sz w:val="28"/>
          <w:szCs w:val="28"/>
          <w:highlight w:val="none"/>
          <w:lang w:val="en-US" w:eastAsia="zh-CN"/>
        </w:rPr>
        <w:t>汛限水位</w:t>
      </w:r>
      <w:r>
        <w:rPr>
          <w:rFonts w:eastAsia="楷体"/>
          <w:color w:val="auto"/>
          <w:sz w:val="28"/>
          <w:szCs w:val="28"/>
          <w:highlight w:val="none"/>
        </w:rPr>
        <w:t>为</w:t>
      </w:r>
      <w:r>
        <w:rPr>
          <w:rFonts w:hint="eastAsia" w:eastAsia="楷体"/>
          <w:color w:val="auto"/>
          <w:sz w:val="28"/>
          <w:szCs w:val="28"/>
          <w:highlight w:val="none"/>
          <w:lang w:eastAsia="zh-CN"/>
        </w:rPr>
        <w:t>37.75</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37.75</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w:t>
      </w:r>
      <w:r>
        <w:rPr>
          <w:rFonts w:hint="eastAsia" w:eastAsia="楷体"/>
          <w:color w:val="auto"/>
          <w:sz w:val="28"/>
          <w:szCs w:val="28"/>
          <w:highlight w:val="none"/>
        </w:rPr>
        <w:t>两</w:t>
      </w:r>
      <w:r>
        <w:rPr>
          <w:rFonts w:eastAsia="楷体"/>
          <w:color w:val="auto"/>
          <w:sz w:val="28"/>
          <w:szCs w:val="28"/>
          <w:highlight w:val="none"/>
        </w:rPr>
        <w:t>种设计频率洪水的调洪演算成果详见表</w:t>
      </w:r>
      <w:r>
        <w:rPr>
          <w:rFonts w:hint="eastAsia" w:eastAsia="楷体"/>
          <w:color w:val="auto"/>
          <w:sz w:val="28"/>
          <w:szCs w:val="28"/>
          <w:highlight w:val="none"/>
        </w:rPr>
        <w:t>4-1</w:t>
      </w:r>
      <w:r>
        <w:rPr>
          <w:rFonts w:eastAsia="楷体"/>
          <w:color w:val="auto"/>
          <w:sz w:val="28"/>
          <w:szCs w:val="28"/>
          <w:highlight w:val="none"/>
        </w:rPr>
        <w:t>。</w:t>
      </w:r>
    </w:p>
    <w:p w14:paraId="6494FAD6">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w:t>
      </w:r>
      <w:r>
        <w:rPr>
          <w:rFonts w:hint="eastAsia" w:eastAsia="楷体"/>
          <w:b/>
          <w:bCs/>
          <w:color w:val="auto"/>
          <w:kern w:val="0"/>
          <w:sz w:val="28"/>
          <w:szCs w:val="28"/>
          <w:highlight w:val="none"/>
        </w:rPr>
        <w:t>4-1</w:t>
      </w:r>
      <w:r>
        <w:rPr>
          <w:rFonts w:eastAsia="楷体"/>
          <w:b/>
          <w:bCs/>
          <w:color w:val="auto"/>
          <w:kern w:val="0"/>
          <w:sz w:val="28"/>
          <w:szCs w:val="28"/>
          <w:highlight w:val="none"/>
        </w:rPr>
        <w:t xml:space="preserve">            前烧水库调洪演算成果表</w:t>
      </w:r>
    </w:p>
    <w:tbl>
      <w:tblPr>
        <w:tblStyle w:val="19"/>
        <w:tblW w:w="0" w:type="auto"/>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0E6C5C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noWrap w:val="0"/>
            <w:vAlign w:val="center"/>
          </w:tcPr>
          <w:p w14:paraId="2E073B3A">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设计频率</w:t>
            </w:r>
          </w:p>
        </w:tc>
        <w:tc>
          <w:tcPr>
            <w:tcW w:w="1875" w:type="dxa"/>
            <w:tcBorders>
              <w:tl2br w:val="nil"/>
              <w:tr2bl w:val="nil"/>
            </w:tcBorders>
            <w:noWrap w:val="0"/>
            <w:vAlign w:val="center"/>
          </w:tcPr>
          <w:p w14:paraId="756F03B1">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最大入库流量</w:t>
            </w:r>
            <w:r>
              <w:rPr>
                <w:b/>
                <w:color w:val="auto"/>
                <w:kern w:val="0"/>
                <w:sz w:val="24"/>
                <w:highlight w:val="none"/>
              </w:rPr>
              <w:t>(m</w:t>
            </w:r>
            <w:r>
              <w:rPr>
                <w:b/>
                <w:color w:val="auto"/>
                <w:kern w:val="0"/>
                <w:sz w:val="24"/>
                <w:highlight w:val="none"/>
                <w:vertAlign w:val="superscript"/>
              </w:rPr>
              <w:t>3</w:t>
            </w:r>
            <w:r>
              <w:rPr>
                <w:b/>
                <w:color w:val="auto"/>
                <w:kern w:val="0"/>
                <w:sz w:val="24"/>
                <w:highlight w:val="none"/>
              </w:rPr>
              <w:t>/s)</w:t>
            </w:r>
          </w:p>
        </w:tc>
        <w:tc>
          <w:tcPr>
            <w:tcW w:w="1630" w:type="dxa"/>
            <w:tcBorders>
              <w:tl2br w:val="nil"/>
              <w:tr2bl w:val="nil"/>
            </w:tcBorders>
            <w:noWrap w:val="0"/>
            <w:vAlign w:val="center"/>
          </w:tcPr>
          <w:p w14:paraId="4FE7F5F5">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最大下泄流量</w:t>
            </w:r>
            <w:r>
              <w:rPr>
                <w:b/>
                <w:color w:val="auto"/>
                <w:kern w:val="0"/>
                <w:sz w:val="24"/>
                <w:highlight w:val="none"/>
              </w:rPr>
              <w:t>(m</w:t>
            </w:r>
            <w:r>
              <w:rPr>
                <w:b/>
                <w:color w:val="auto"/>
                <w:kern w:val="0"/>
                <w:sz w:val="24"/>
                <w:highlight w:val="none"/>
                <w:vertAlign w:val="superscript"/>
              </w:rPr>
              <w:t>3</w:t>
            </w:r>
            <w:r>
              <w:rPr>
                <w:b/>
                <w:color w:val="auto"/>
                <w:kern w:val="0"/>
                <w:sz w:val="24"/>
                <w:highlight w:val="none"/>
              </w:rPr>
              <w:t>/s)</w:t>
            </w:r>
          </w:p>
        </w:tc>
        <w:tc>
          <w:tcPr>
            <w:tcW w:w="1454" w:type="dxa"/>
            <w:tcBorders>
              <w:tl2br w:val="nil"/>
              <w:tr2bl w:val="nil"/>
            </w:tcBorders>
            <w:noWrap w:val="0"/>
            <w:vAlign w:val="center"/>
          </w:tcPr>
          <w:p w14:paraId="3F1BBE47">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最高库水位（</w:t>
            </w:r>
            <w:r>
              <w:rPr>
                <w:b/>
                <w:color w:val="auto"/>
                <w:kern w:val="0"/>
                <w:sz w:val="24"/>
                <w:highlight w:val="none"/>
              </w:rPr>
              <w:t>m</w:t>
            </w:r>
            <w:r>
              <w:rPr>
                <w:rFonts w:hint="eastAsia" w:ascii="宋体" w:hAnsi="宋体" w:cs="宋体"/>
                <w:b/>
                <w:color w:val="auto"/>
                <w:kern w:val="0"/>
                <w:sz w:val="24"/>
                <w:highlight w:val="none"/>
              </w:rPr>
              <w:t>）</w:t>
            </w:r>
          </w:p>
        </w:tc>
        <w:tc>
          <w:tcPr>
            <w:tcW w:w="1455" w:type="dxa"/>
            <w:tcBorders>
              <w:tl2br w:val="nil"/>
              <w:tr2bl w:val="nil"/>
            </w:tcBorders>
            <w:noWrap w:val="0"/>
            <w:vAlign w:val="center"/>
          </w:tcPr>
          <w:p w14:paraId="346C9BAC">
            <w:pPr>
              <w:widowControl/>
              <w:spacing w:line="440" w:lineRule="exact"/>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设计库容</w:t>
            </w:r>
          </w:p>
          <w:p w14:paraId="3C096B79">
            <w:pPr>
              <w:widowControl/>
              <w:spacing w:line="440" w:lineRule="exact"/>
              <w:jc w:val="center"/>
              <w:textAlignment w:val="center"/>
              <w:rPr>
                <w:b/>
                <w:color w:val="auto"/>
                <w:sz w:val="24"/>
                <w:highlight w:val="none"/>
              </w:rPr>
            </w:pPr>
            <w:r>
              <w:rPr>
                <w:rFonts w:hint="eastAsia" w:ascii="宋体" w:hAnsi="宋体" w:cs="宋体"/>
                <w:b/>
                <w:color w:val="auto"/>
                <w:kern w:val="0"/>
                <w:sz w:val="24"/>
                <w:highlight w:val="none"/>
              </w:rPr>
              <w:t>（万</w:t>
            </w:r>
            <w:r>
              <w:rPr>
                <w:b/>
                <w:color w:val="auto"/>
                <w:kern w:val="0"/>
                <w:sz w:val="24"/>
                <w:highlight w:val="none"/>
              </w:rPr>
              <w:t>m</w:t>
            </w:r>
            <w:r>
              <w:rPr>
                <w:b/>
                <w:color w:val="auto"/>
                <w:kern w:val="0"/>
                <w:sz w:val="24"/>
                <w:highlight w:val="none"/>
                <w:vertAlign w:val="superscript"/>
              </w:rPr>
              <w:t>3</w:t>
            </w:r>
            <w:r>
              <w:rPr>
                <w:rFonts w:hint="eastAsia" w:ascii="宋体" w:hAnsi="宋体" w:cs="宋体"/>
                <w:b/>
                <w:color w:val="auto"/>
                <w:kern w:val="0"/>
                <w:sz w:val="24"/>
                <w:highlight w:val="none"/>
              </w:rPr>
              <w:t>）</w:t>
            </w:r>
          </w:p>
        </w:tc>
      </w:tr>
      <w:tr w14:paraId="0FAC42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noWrap w:val="0"/>
            <w:vAlign w:val="center"/>
          </w:tcPr>
          <w:p w14:paraId="358E6CB5">
            <w:pPr>
              <w:widowControl/>
              <w:spacing w:line="440" w:lineRule="exact"/>
              <w:jc w:val="center"/>
              <w:textAlignment w:val="center"/>
              <w:rPr>
                <w:color w:val="auto"/>
                <w:sz w:val="24"/>
                <w:highlight w:val="none"/>
              </w:rPr>
            </w:pPr>
            <w:r>
              <w:rPr>
                <w:color w:val="auto"/>
                <w:kern w:val="0"/>
                <w:sz w:val="24"/>
                <w:highlight w:val="none"/>
              </w:rPr>
              <w:t>P=</w:t>
            </w:r>
            <w:r>
              <w:rPr>
                <w:rFonts w:hint="eastAsia"/>
                <w:color w:val="auto"/>
                <w:kern w:val="0"/>
                <w:sz w:val="24"/>
                <w:highlight w:val="none"/>
                <w:lang w:val="en-US" w:eastAsia="zh-CN"/>
              </w:rPr>
              <w:t>5</w:t>
            </w:r>
            <w:r>
              <w:rPr>
                <w:color w:val="auto"/>
                <w:kern w:val="0"/>
                <w:sz w:val="24"/>
                <w:highlight w:val="none"/>
              </w:rPr>
              <w:t>%</w:t>
            </w:r>
          </w:p>
        </w:tc>
        <w:tc>
          <w:tcPr>
            <w:tcW w:w="1875" w:type="dxa"/>
            <w:tcBorders>
              <w:tl2br w:val="nil"/>
              <w:tr2bl w:val="nil"/>
            </w:tcBorders>
            <w:noWrap w:val="0"/>
            <w:vAlign w:val="center"/>
          </w:tcPr>
          <w:p w14:paraId="7E7363FE">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24.43</w:t>
            </w:r>
          </w:p>
        </w:tc>
        <w:tc>
          <w:tcPr>
            <w:tcW w:w="1630" w:type="dxa"/>
            <w:tcBorders>
              <w:tl2br w:val="nil"/>
              <w:tr2bl w:val="nil"/>
            </w:tcBorders>
            <w:noWrap w:val="0"/>
            <w:vAlign w:val="center"/>
          </w:tcPr>
          <w:p w14:paraId="5D7E4DFF">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7.89</w:t>
            </w:r>
          </w:p>
        </w:tc>
        <w:tc>
          <w:tcPr>
            <w:tcW w:w="1454" w:type="dxa"/>
            <w:tcBorders>
              <w:tl2br w:val="nil"/>
              <w:tr2bl w:val="nil"/>
            </w:tcBorders>
            <w:noWrap w:val="0"/>
            <w:vAlign w:val="center"/>
          </w:tcPr>
          <w:p w14:paraId="3EB7065D">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38.71</w:t>
            </w:r>
          </w:p>
        </w:tc>
        <w:tc>
          <w:tcPr>
            <w:tcW w:w="1455" w:type="dxa"/>
            <w:tcBorders>
              <w:tl2br w:val="nil"/>
              <w:tr2bl w:val="nil"/>
            </w:tcBorders>
            <w:noWrap w:val="0"/>
            <w:vAlign w:val="center"/>
          </w:tcPr>
          <w:p w14:paraId="07F53BA6">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30.16</w:t>
            </w:r>
          </w:p>
        </w:tc>
      </w:tr>
      <w:tr w14:paraId="5F8F7B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0" w:hRule="atLeast"/>
        </w:trPr>
        <w:tc>
          <w:tcPr>
            <w:tcW w:w="1930" w:type="dxa"/>
            <w:tcBorders>
              <w:tl2br w:val="nil"/>
              <w:tr2bl w:val="nil"/>
            </w:tcBorders>
            <w:noWrap w:val="0"/>
            <w:vAlign w:val="center"/>
          </w:tcPr>
          <w:p w14:paraId="0F97D982">
            <w:pPr>
              <w:widowControl/>
              <w:spacing w:line="440" w:lineRule="exact"/>
              <w:jc w:val="center"/>
              <w:textAlignment w:val="center"/>
              <w:rPr>
                <w:color w:val="auto"/>
                <w:sz w:val="24"/>
                <w:highlight w:val="none"/>
              </w:rPr>
            </w:pPr>
            <w:r>
              <w:rPr>
                <w:color w:val="auto"/>
                <w:kern w:val="0"/>
                <w:sz w:val="24"/>
                <w:highlight w:val="none"/>
              </w:rPr>
              <w:t>P=0.</w:t>
            </w:r>
            <w:r>
              <w:rPr>
                <w:rFonts w:hint="eastAsia"/>
                <w:color w:val="auto"/>
                <w:kern w:val="0"/>
                <w:sz w:val="24"/>
                <w:highlight w:val="none"/>
                <w:lang w:val="en-US" w:eastAsia="zh-CN"/>
              </w:rPr>
              <w:t>5</w:t>
            </w:r>
            <w:r>
              <w:rPr>
                <w:color w:val="auto"/>
                <w:kern w:val="0"/>
                <w:sz w:val="24"/>
                <w:highlight w:val="none"/>
              </w:rPr>
              <w:t>%</w:t>
            </w:r>
          </w:p>
        </w:tc>
        <w:tc>
          <w:tcPr>
            <w:tcW w:w="1875" w:type="dxa"/>
            <w:tcBorders>
              <w:tl2br w:val="nil"/>
              <w:tr2bl w:val="nil"/>
            </w:tcBorders>
            <w:noWrap w:val="0"/>
            <w:vAlign w:val="center"/>
          </w:tcPr>
          <w:p w14:paraId="67804CD9">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39.07</w:t>
            </w:r>
          </w:p>
        </w:tc>
        <w:tc>
          <w:tcPr>
            <w:tcW w:w="1630" w:type="dxa"/>
            <w:tcBorders>
              <w:tl2br w:val="nil"/>
              <w:tr2bl w:val="nil"/>
            </w:tcBorders>
            <w:noWrap w:val="0"/>
            <w:vAlign w:val="center"/>
          </w:tcPr>
          <w:p w14:paraId="3477C754">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13.12</w:t>
            </w:r>
          </w:p>
        </w:tc>
        <w:tc>
          <w:tcPr>
            <w:tcW w:w="1454" w:type="dxa"/>
            <w:tcBorders>
              <w:tl2br w:val="nil"/>
              <w:tr2bl w:val="nil"/>
            </w:tcBorders>
            <w:noWrap w:val="0"/>
            <w:vAlign w:val="center"/>
          </w:tcPr>
          <w:p w14:paraId="047D585D">
            <w:pPr>
              <w:widowControl/>
              <w:spacing w:line="440" w:lineRule="exact"/>
              <w:jc w:val="center"/>
              <w:textAlignment w:val="center"/>
              <w:rPr>
                <w:rFonts w:hint="default"/>
                <w:color w:val="auto"/>
                <w:kern w:val="0"/>
                <w:sz w:val="24"/>
                <w:highlight w:val="none"/>
                <w:lang w:val="en-US" w:eastAsia="zh-CN"/>
              </w:rPr>
            </w:pPr>
            <w:r>
              <w:rPr>
                <w:rFonts w:hint="eastAsia"/>
                <w:color w:val="auto"/>
                <w:kern w:val="0"/>
                <w:sz w:val="24"/>
                <w:highlight w:val="none"/>
                <w:lang w:val="en-US" w:eastAsia="zh-CN"/>
              </w:rPr>
              <w:t>39.1</w:t>
            </w:r>
          </w:p>
        </w:tc>
        <w:tc>
          <w:tcPr>
            <w:tcW w:w="1455" w:type="dxa"/>
            <w:tcBorders>
              <w:tl2br w:val="nil"/>
              <w:tr2bl w:val="nil"/>
            </w:tcBorders>
            <w:noWrap w:val="0"/>
            <w:vAlign w:val="center"/>
          </w:tcPr>
          <w:p w14:paraId="3F1E7572">
            <w:pPr>
              <w:widowControl/>
              <w:spacing w:line="440" w:lineRule="exact"/>
              <w:jc w:val="center"/>
              <w:textAlignment w:val="center"/>
              <w:rPr>
                <w:rFonts w:hint="default" w:eastAsia="宋体"/>
                <w:color w:val="auto"/>
                <w:sz w:val="24"/>
                <w:highlight w:val="none"/>
                <w:lang w:val="en-US" w:eastAsia="zh-CN"/>
              </w:rPr>
            </w:pPr>
            <w:r>
              <w:rPr>
                <w:rFonts w:hint="eastAsia"/>
                <w:color w:val="auto"/>
                <w:kern w:val="0"/>
                <w:sz w:val="24"/>
                <w:highlight w:val="none"/>
                <w:lang w:val="en-US" w:eastAsia="zh-CN"/>
              </w:rPr>
              <w:t>32.74</w:t>
            </w:r>
          </w:p>
        </w:tc>
      </w:tr>
    </w:tbl>
    <w:p w14:paraId="42E07C0C">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（2）前烧水库防汛调度方案</w:t>
      </w:r>
    </w:p>
    <w:p w14:paraId="64B4360B">
      <w:pPr>
        <w:numPr>
          <w:ilvl w:val="0"/>
          <w:numId w:val="3"/>
        </w:numPr>
        <w:adjustRightInd/>
        <w:snapToGrid/>
        <w:ind w:firstLine="562"/>
        <w:rPr>
          <w:rFonts w:hint="default" w:ascii="Times New Roman" w:hAnsi="Times New Roman" w:eastAsia="楷体" w:cs="Times New Roman"/>
          <w:b w:val="0"/>
          <w:bCs w:val="0"/>
          <w:color w:val="auto"/>
          <w:sz w:val="28"/>
          <w:szCs w:val="28"/>
        </w:rPr>
      </w:pPr>
      <w:r>
        <w:rPr>
          <w:rFonts w:eastAsia="楷体"/>
          <w:b w:val="0"/>
          <w:bCs w:val="0"/>
          <w:color w:val="auto"/>
          <w:sz w:val="28"/>
          <w:szCs w:val="28"/>
          <w:highlight w:val="none"/>
        </w:rPr>
        <w:t>前烧水库汛限水位为</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m，进入汛期前，若前烧水库水位大于</w:t>
      </w:r>
      <w:r>
        <w:rPr>
          <w:rFonts w:hint="eastAsia" w:eastAsia="楷体"/>
          <w:b w:val="0"/>
          <w:bCs w:val="0"/>
          <w:color w:val="auto"/>
          <w:sz w:val="28"/>
          <w:szCs w:val="28"/>
          <w:highlight w:val="none"/>
          <w:lang w:val="en-US" w:eastAsia="zh-CN"/>
        </w:rPr>
        <w:t>37.75</w:t>
      </w:r>
      <w:r>
        <w:rPr>
          <w:rFonts w:eastAsia="楷体"/>
          <w:b w:val="0"/>
          <w:bCs w:val="0"/>
          <w:color w:val="auto"/>
          <w:sz w:val="28"/>
          <w:szCs w:val="28"/>
          <w:highlight w:val="none"/>
        </w:rPr>
        <w:t>m，</w:t>
      </w:r>
      <w:r>
        <w:rPr>
          <w:rFonts w:hint="eastAsia" w:eastAsia="楷体"/>
          <w:b w:val="0"/>
          <w:bCs w:val="0"/>
          <w:color w:val="auto"/>
          <w:sz w:val="28"/>
          <w:szCs w:val="28"/>
          <w:highlight w:val="none"/>
        </w:rPr>
        <w:t>则自由泄流</w:t>
      </w:r>
      <w:r>
        <w:rPr>
          <w:rFonts w:eastAsia="楷体"/>
          <w:b w:val="0"/>
          <w:bCs w:val="0"/>
          <w:color w:val="auto"/>
          <w:sz w:val="28"/>
          <w:szCs w:val="28"/>
          <w:highlight w:val="none"/>
        </w:rPr>
        <w:t>，使</w:t>
      </w:r>
      <w:r>
        <w:rPr>
          <w:rFonts w:hint="eastAsia" w:eastAsia="楷体"/>
          <w:b w:val="0"/>
          <w:bCs w:val="0"/>
          <w:color w:val="auto"/>
          <w:sz w:val="28"/>
          <w:szCs w:val="28"/>
          <w:highlight w:val="none"/>
          <w:lang w:eastAsia="zh-CN"/>
        </w:rPr>
        <w:t>前烧</w:t>
      </w:r>
      <w:r>
        <w:rPr>
          <w:rFonts w:eastAsia="楷体"/>
          <w:b w:val="0"/>
          <w:bCs w:val="0"/>
          <w:color w:val="auto"/>
          <w:sz w:val="28"/>
          <w:szCs w:val="28"/>
          <w:highlight w:val="none"/>
        </w:rPr>
        <w:t>水库在汛期开始即</w:t>
      </w:r>
      <w:r>
        <w:rPr>
          <w:rFonts w:hint="default" w:ascii="Times New Roman" w:hAnsi="Times New Roman" w:eastAsia="楷体" w:cs="Times New Roman"/>
          <w:b w:val="0"/>
          <w:bCs w:val="0"/>
          <w:color w:val="auto"/>
          <w:sz w:val="28"/>
          <w:szCs w:val="28"/>
        </w:rPr>
        <w:t>4月1日前的水库水位控制在</w:t>
      </w:r>
      <w:r>
        <w:rPr>
          <w:rFonts w:hint="eastAsia" w:eastAsia="楷体" w:cs="Times New Roman"/>
          <w:b w:val="0"/>
          <w:bCs w:val="0"/>
          <w:color w:val="auto"/>
          <w:sz w:val="28"/>
          <w:szCs w:val="28"/>
          <w:lang w:val="en-US" w:eastAsia="zh-CN"/>
        </w:rPr>
        <w:t>37.75</w:t>
      </w:r>
      <w:r>
        <w:rPr>
          <w:rFonts w:hint="default" w:ascii="Times New Roman" w:hAnsi="Times New Roman" w:eastAsia="楷体" w:cs="Times New Roman"/>
          <w:b w:val="0"/>
          <w:bCs w:val="0"/>
          <w:color w:val="auto"/>
          <w:sz w:val="28"/>
          <w:szCs w:val="28"/>
        </w:rPr>
        <w:t>m以下；汛期期间，水库可根据需要进行蓄水，但不得超过</w:t>
      </w:r>
      <w:r>
        <w:rPr>
          <w:rFonts w:hint="eastAsia" w:eastAsia="楷体" w:cs="Times New Roman"/>
          <w:b w:val="0"/>
          <w:bCs w:val="0"/>
          <w:color w:val="auto"/>
          <w:sz w:val="28"/>
          <w:szCs w:val="28"/>
          <w:lang w:val="en-US" w:eastAsia="zh-CN"/>
        </w:rPr>
        <w:t>37.75</w:t>
      </w:r>
      <w:r>
        <w:rPr>
          <w:rFonts w:hint="default" w:ascii="Times New Roman" w:hAnsi="Times New Roman" w:eastAsia="楷体" w:cs="Times New Roman"/>
          <w:b w:val="0"/>
          <w:bCs w:val="0"/>
          <w:color w:val="auto"/>
          <w:sz w:val="28"/>
          <w:szCs w:val="28"/>
        </w:rPr>
        <w:t>m。</w:t>
      </w:r>
    </w:p>
    <w:p w14:paraId="38BF2625">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75ED63D5">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当前烧水库遇到短历时小于50mm的强降雨时，入库最大洪水总量为</w:t>
      </w:r>
      <w:r>
        <w:rPr>
          <w:rFonts w:hint="eastAsia" w:eastAsia="楷体"/>
          <w:color w:val="auto"/>
          <w:sz w:val="28"/>
          <w:szCs w:val="28"/>
          <w:highlight w:val="none"/>
          <w:lang w:val="en-US" w:eastAsia="zh-CN"/>
        </w:rPr>
        <w:t>4.15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37.02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37.02</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37.02</w:t>
      </w:r>
      <w:r>
        <w:rPr>
          <w:rFonts w:eastAsia="楷体"/>
          <w:color w:val="auto"/>
          <w:sz w:val="28"/>
          <w:szCs w:val="28"/>
          <w:highlight w:val="none"/>
        </w:rPr>
        <w:t>m以下；</w:t>
      </w:r>
    </w:p>
    <w:p w14:paraId="1A075C19">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6.22</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36.71</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36.71</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36.71</w:t>
      </w:r>
      <w:r>
        <w:rPr>
          <w:rFonts w:eastAsia="楷体"/>
          <w:color w:val="auto"/>
          <w:sz w:val="28"/>
          <w:szCs w:val="28"/>
          <w:highlight w:val="none"/>
        </w:rPr>
        <w:t>m以下；</w:t>
      </w:r>
    </w:p>
    <w:p w14:paraId="7C223A48">
      <w:pPr>
        <w:numPr>
          <w:ilvl w:val="0"/>
          <w:numId w:val="4"/>
        </w:numPr>
        <w:spacing w:line="520" w:lineRule="exact"/>
        <w:ind w:firstLine="560" w:firstLineChars="200"/>
        <w:rPr>
          <w:rFonts w:hint="default"/>
          <w:color w:val="auto"/>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8.33</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36.22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36.22</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36.22</w:t>
      </w:r>
      <w:r>
        <w:rPr>
          <w:rFonts w:eastAsia="楷体"/>
          <w:color w:val="auto"/>
          <w:sz w:val="28"/>
          <w:szCs w:val="28"/>
          <w:highlight w:val="none"/>
        </w:rPr>
        <w:t>m以下</w:t>
      </w:r>
      <w:r>
        <w:rPr>
          <w:rFonts w:hint="eastAsia" w:eastAsia="楷体"/>
          <w:color w:val="auto"/>
          <w:sz w:val="28"/>
          <w:szCs w:val="28"/>
          <w:highlight w:val="none"/>
          <w:lang w:eastAsia="zh-CN"/>
        </w:rPr>
        <w:t>。</w:t>
      </w:r>
    </w:p>
    <w:p w14:paraId="394B8BFA">
      <w:pPr>
        <w:numPr>
          <w:ilvl w:val="0"/>
          <w:numId w:val="0"/>
        </w:numPr>
        <w:spacing w:line="520" w:lineRule="exact"/>
        <w:ind w:firstLine="560" w:firstLineChars="200"/>
        <w:rPr>
          <w:rFonts w:eastAsia="楷体"/>
          <w:b w:val="0"/>
          <w:bCs w:val="0"/>
          <w:color w:val="auto"/>
          <w:sz w:val="28"/>
          <w:szCs w:val="28"/>
          <w:highlight w:val="none"/>
        </w:rPr>
      </w:pPr>
      <w:r>
        <w:rPr>
          <w:rFonts w:hint="eastAsia" w:eastAsia="楷体"/>
          <w:b w:val="0"/>
          <w:bCs w:val="0"/>
          <w:color w:val="auto"/>
          <w:sz w:val="28"/>
          <w:szCs w:val="28"/>
          <w:highlight w:val="none"/>
          <w:lang w:val="en-US" w:eastAsia="zh-CN"/>
        </w:rPr>
        <w:t>3、</w:t>
      </w:r>
      <w:r>
        <w:rPr>
          <w:rFonts w:eastAsia="楷体"/>
          <w:b w:val="0"/>
          <w:bCs w:val="0"/>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3CB3E811">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7.87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36.33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36.33</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36.33</w:t>
      </w:r>
      <w:r>
        <w:rPr>
          <w:rFonts w:eastAsia="楷体"/>
          <w:color w:val="auto"/>
          <w:sz w:val="28"/>
          <w:szCs w:val="28"/>
          <w:highlight w:val="none"/>
        </w:rPr>
        <w:t>m以下。</w:t>
      </w:r>
    </w:p>
    <w:p w14:paraId="1254479E">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11.78</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35.5</w:t>
      </w:r>
      <w:r>
        <w:rPr>
          <w:rFonts w:eastAsia="楷体"/>
          <w:color w:val="auto"/>
          <w:sz w:val="28"/>
          <w:szCs w:val="28"/>
          <w:highlight w:val="none"/>
        </w:rPr>
        <w:t>m以下，可不考虑水库泄洪；如水库水位在</w:t>
      </w:r>
      <w:r>
        <w:rPr>
          <w:rFonts w:hint="eastAsia" w:eastAsia="楷体"/>
          <w:color w:val="auto"/>
          <w:sz w:val="28"/>
          <w:szCs w:val="28"/>
          <w:highlight w:val="none"/>
        </w:rPr>
        <w:t>1</w:t>
      </w:r>
      <w:r>
        <w:rPr>
          <w:rFonts w:hint="eastAsia" w:eastAsia="楷体"/>
          <w:color w:val="auto"/>
          <w:sz w:val="28"/>
          <w:szCs w:val="28"/>
          <w:highlight w:val="none"/>
          <w:lang w:val="en-US" w:eastAsia="zh-CN"/>
        </w:rPr>
        <w:t>35.5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35.5</w:t>
      </w:r>
      <w:r>
        <w:rPr>
          <w:rFonts w:eastAsia="楷体"/>
          <w:color w:val="auto"/>
          <w:sz w:val="28"/>
          <w:szCs w:val="28"/>
          <w:highlight w:val="none"/>
        </w:rPr>
        <w:t>m以下。</w:t>
      </w:r>
    </w:p>
    <w:p w14:paraId="0BC7552E">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15.66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34.54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34.54</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w:t>
      </w:r>
      <w:r>
        <w:rPr>
          <w:rFonts w:hint="eastAsia" w:eastAsia="楷体"/>
          <w:color w:val="auto"/>
          <w:sz w:val="28"/>
          <w:szCs w:val="28"/>
          <w:highlight w:val="none"/>
          <w:lang w:val="en-US" w:eastAsia="zh-CN"/>
        </w:rPr>
        <w:t>34.54</w:t>
      </w:r>
      <w:r>
        <w:rPr>
          <w:rFonts w:eastAsia="楷体"/>
          <w:color w:val="auto"/>
          <w:sz w:val="28"/>
          <w:szCs w:val="28"/>
          <w:highlight w:val="none"/>
        </w:rPr>
        <w:t>m以下。</w:t>
      </w:r>
    </w:p>
    <w:p w14:paraId="6925DDB1">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19.55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m以下，可不考虑水库泄洪；如水库水位在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降至死水位</w:t>
      </w:r>
      <w:r>
        <w:rPr>
          <w:rFonts w:hint="eastAsia" w:eastAsia="楷体"/>
          <w:color w:val="auto"/>
          <w:sz w:val="28"/>
          <w:szCs w:val="28"/>
          <w:highlight w:val="none"/>
          <w:lang w:val="en-US" w:eastAsia="zh-CN"/>
        </w:rPr>
        <w:t>29.45</w:t>
      </w:r>
      <w:r>
        <w:rPr>
          <w:rFonts w:eastAsia="楷体"/>
          <w:color w:val="auto"/>
          <w:sz w:val="28"/>
          <w:szCs w:val="28"/>
          <w:highlight w:val="none"/>
        </w:rPr>
        <w:t>m以下。</w:t>
      </w:r>
    </w:p>
    <w:p w14:paraId="4A13B943">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23.5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m以下，可不考虑水库泄洪；如水库水位在</w:t>
      </w:r>
      <w:r>
        <w:rPr>
          <w:rFonts w:hint="eastAsia" w:eastAsia="楷体"/>
          <w:color w:val="auto"/>
          <w:sz w:val="28"/>
          <w:szCs w:val="28"/>
          <w:highlight w:val="none"/>
        </w:rPr>
        <w:t>死水位</w:t>
      </w:r>
      <w:r>
        <w:rPr>
          <w:rFonts w:hint="eastAsia" w:eastAsia="楷体"/>
          <w:color w:val="auto"/>
          <w:sz w:val="28"/>
          <w:szCs w:val="28"/>
          <w:highlight w:val="none"/>
          <w:lang w:val="en-US" w:eastAsia="zh-CN"/>
        </w:rPr>
        <w:t>29.45</w:t>
      </w:r>
      <w:r>
        <w:rPr>
          <w:rFonts w:eastAsia="楷体"/>
          <w:color w:val="auto"/>
          <w:sz w:val="28"/>
          <w:szCs w:val="28"/>
          <w:highlight w:val="none"/>
        </w:rPr>
        <w:t>m以上，可在收到泉州市气象部门预警后，先预泄腾空库容迎峰，</w:t>
      </w:r>
      <w:r>
        <w:rPr>
          <w:rFonts w:hint="eastAsia" w:eastAsia="楷体"/>
          <w:color w:val="auto"/>
          <w:sz w:val="28"/>
          <w:szCs w:val="28"/>
          <w:highlight w:val="none"/>
        </w:rPr>
        <w:t>使水</w:t>
      </w:r>
      <w:r>
        <w:rPr>
          <w:rFonts w:eastAsia="楷体"/>
          <w:color w:val="auto"/>
          <w:sz w:val="28"/>
          <w:szCs w:val="28"/>
          <w:highlight w:val="none"/>
        </w:rPr>
        <w:t>库水位</w:t>
      </w:r>
      <w:r>
        <w:rPr>
          <w:rFonts w:hint="eastAsia" w:eastAsia="楷体"/>
          <w:color w:val="auto"/>
          <w:sz w:val="28"/>
          <w:szCs w:val="28"/>
          <w:highlight w:val="none"/>
        </w:rPr>
        <w:t>降至死水位</w:t>
      </w:r>
      <w:r>
        <w:rPr>
          <w:rFonts w:hint="eastAsia" w:eastAsia="楷体"/>
          <w:color w:val="auto"/>
          <w:sz w:val="28"/>
          <w:szCs w:val="28"/>
          <w:highlight w:val="none"/>
          <w:lang w:val="en-US" w:eastAsia="zh-CN"/>
        </w:rPr>
        <w:t>29.45</w:t>
      </w:r>
      <w:r>
        <w:rPr>
          <w:rFonts w:eastAsia="楷体"/>
          <w:color w:val="auto"/>
          <w:sz w:val="28"/>
          <w:szCs w:val="28"/>
          <w:highlight w:val="none"/>
        </w:rPr>
        <w:t>m。</w:t>
      </w:r>
    </w:p>
    <w:p w14:paraId="0FD4660A">
      <w:pPr>
        <w:spacing w:line="520" w:lineRule="exact"/>
        <w:ind w:left="420" w:leftChars="200"/>
        <w:rPr>
          <w:rFonts w:eastAsia="楷体"/>
          <w:b/>
          <w:bCs/>
          <w:color w:val="auto"/>
          <w:sz w:val="28"/>
          <w:szCs w:val="28"/>
          <w:highlight w:val="none"/>
        </w:rPr>
      </w:pPr>
      <w:r>
        <w:rPr>
          <w:rFonts w:hint="eastAsia" w:eastAsia="楷体"/>
          <w:b/>
          <w:bCs/>
          <w:color w:val="auto"/>
          <w:sz w:val="28"/>
          <w:szCs w:val="28"/>
          <w:highlight w:val="none"/>
          <w:lang w:val="en-US" w:eastAsia="zh-CN"/>
        </w:rPr>
        <w:t>3</w:t>
      </w:r>
      <w:r>
        <w:rPr>
          <w:rFonts w:eastAsia="楷体"/>
          <w:b/>
          <w:bCs/>
          <w:color w:val="auto"/>
          <w:sz w:val="28"/>
          <w:szCs w:val="28"/>
          <w:highlight w:val="none"/>
        </w:rPr>
        <w:t>、预警预报制度</w:t>
      </w:r>
    </w:p>
    <w:p w14:paraId="2BA27051">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由于下游沿岸有一定的居民，沿河人类活动较为频繁，为避免发生意外事件，若</w:t>
      </w:r>
      <w:r>
        <w:rPr>
          <w:rFonts w:hint="eastAsia" w:eastAsia="楷体"/>
          <w:color w:val="auto"/>
          <w:sz w:val="28"/>
          <w:szCs w:val="28"/>
          <w:highlight w:val="none"/>
          <w:lang w:val="en-US" w:eastAsia="zh-CN"/>
        </w:rPr>
        <w:t>下</w:t>
      </w:r>
      <w:r>
        <w:rPr>
          <w:rFonts w:eastAsia="楷体"/>
          <w:color w:val="auto"/>
          <w:sz w:val="28"/>
          <w:szCs w:val="28"/>
          <w:highlight w:val="none"/>
        </w:rPr>
        <w:t>泄流量大于10m</w:t>
      </w:r>
      <w:r>
        <w:rPr>
          <w:rFonts w:eastAsia="楷体"/>
          <w:color w:val="auto"/>
          <w:sz w:val="28"/>
          <w:szCs w:val="28"/>
          <w:highlight w:val="none"/>
          <w:vertAlign w:val="superscript"/>
        </w:rPr>
        <w:t>3</w:t>
      </w:r>
      <w:r>
        <w:rPr>
          <w:rFonts w:eastAsia="楷体"/>
          <w:color w:val="auto"/>
          <w:sz w:val="28"/>
          <w:szCs w:val="28"/>
          <w:highlight w:val="none"/>
        </w:rPr>
        <w:t>/s，要将</w:t>
      </w:r>
      <w:r>
        <w:rPr>
          <w:rFonts w:hint="eastAsia" w:eastAsia="楷体"/>
          <w:color w:val="auto"/>
          <w:sz w:val="28"/>
          <w:szCs w:val="28"/>
          <w:highlight w:val="none"/>
          <w:lang w:val="en-US" w:eastAsia="zh-CN"/>
        </w:rPr>
        <w:t>下泄</w:t>
      </w:r>
      <w:r>
        <w:rPr>
          <w:rFonts w:eastAsia="楷体"/>
          <w:color w:val="auto"/>
          <w:sz w:val="28"/>
          <w:szCs w:val="28"/>
          <w:highlight w:val="none"/>
        </w:rPr>
        <w:t>方案上报</w:t>
      </w:r>
      <w:r>
        <w:rPr>
          <w:rFonts w:hint="eastAsia" w:eastAsia="楷体"/>
          <w:color w:val="auto"/>
          <w:sz w:val="28"/>
          <w:szCs w:val="28"/>
          <w:highlight w:val="none"/>
          <w:lang w:val="en-US" w:eastAsia="zh-CN"/>
        </w:rPr>
        <w:t>泉港区农业农村和水务局</w:t>
      </w:r>
      <w:r>
        <w:rPr>
          <w:rFonts w:hint="eastAsia" w:eastAsia="楷体"/>
          <w:color w:val="auto"/>
          <w:sz w:val="28"/>
          <w:szCs w:val="28"/>
          <w:highlight w:val="none"/>
          <w:lang w:eastAsia="zh-CN"/>
        </w:rPr>
        <w:t>。</w:t>
      </w:r>
    </w:p>
    <w:p w14:paraId="04C1D77C">
      <w:pPr>
        <w:spacing w:line="520" w:lineRule="exact"/>
        <w:ind w:firstLine="562" w:firstLineChars="200"/>
        <w:rPr>
          <w:rFonts w:eastAsia="楷体"/>
          <w:b/>
          <w:bCs/>
          <w:color w:val="auto"/>
          <w:sz w:val="28"/>
          <w:szCs w:val="28"/>
          <w:highlight w:val="none"/>
        </w:rPr>
      </w:pPr>
      <w:r>
        <w:rPr>
          <w:rFonts w:hint="eastAsia" w:eastAsia="楷体"/>
          <w:b/>
          <w:bCs/>
          <w:color w:val="auto"/>
          <w:sz w:val="28"/>
          <w:szCs w:val="28"/>
          <w:highlight w:val="none"/>
          <w:lang w:val="en-US" w:eastAsia="zh-CN"/>
        </w:rPr>
        <w:t>4</w:t>
      </w:r>
      <w:r>
        <w:rPr>
          <w:rFonts w:eastAsia="楷体"/>
          <w:b/>
          <w:bCs/>
          <w:color w:val="auto"/>
          <w:sz w:val="28"/>
          <w:szCs w:val="28"/>
          <w:highlight w:val="none"/>
        </w:rPr>
        <w:t>、前烧水库泄洪对下游</w:t>
      </w:r>
      <w:r>
        <w:rPr>
          <w:rFonts w:hint="eastAsia" w:eastAsia="楷体"/>
          <w:b/>
          <w:bCs/>
          <w:color w:val="auto"/>
          <w:sz w:val="28"/>
          <w:szCs w:val="28"/>
          <w:highlight w:val="none"/>
        </w:rPr>
        <w:t>河道</w:t>
      </w:r>
      <w:r>
        <w:rPr>
          <w:rFonts w:eastAsia="楷体"/>
          <w:b/>
          <w:bCs/>
          <w:color w:val="auto"/>
          <w:sz w:val="28"/>
          <w:szCs w:val="28"/>
          <w:highlight w:val="none"/>
        </w:rPr>
        <w:t>的防洪调度影响</w:t>
      </w:r>
    </w:p>
    <w:p w14:paraId="15F833EC">
      <w:pPr>
        <w:spacing w:line="520" w:lineRule="exact"/>
        <w:ind w:firstLine="560" w:firstLineChars="200"/>
        <w:rPr>
          <w:rFonts w:eastAsia="楷体"/>
          <w:color w:val="auto"/>
          <w:sz w:val="28"/>
          <w:szCs w:val="28"/>
          <w:highlight w:val="none"/>
        </w:rPr>
      </w:pPr>
      <w:r>
        <w:rPr>
          <w:rFonts w:eastAsia="楷体"/>
          <w:color w:val="auto"/>
          <w:sz w:val="28"/>
          <w:highlight w:val="none"/>
        </w:rPr>
        <w:t>前烧水库在一定程度上提高了下游</w:t>
      </w:r>
      <w:r>
        <w:rPr>
          <w:rFonts w:hint="eastAsia" w:eastAsia="楷体"/>
          <w:color w:val="auto"/>
          <w:sz w:val="28"/>
          <w:highlight w:val="none"/>
        </w:rPr>
        <w:t>河道</w:t>
      </w:r>
      <w:r>
        <w:rPr>
          <w:rFonts w:eastAsia="楷体"/>
          <w:color w:val="auto"/>
          <w:sz w:val="28"/>
          <w:highlight w:val="none"/>
        </w:rPr>
        <w:t>的防洪能力</w:t>
      </w:r>
      <w:r>
        <w:rPr>
          <w:rFonts w:hint="eastAsia" w:eastAsia="楷体"/>
          <w:color w:val="auto"/>
          <w:sz w:val="28"/>
          <w:highlight w:val="none"/>
        </w:rPr>
        <w:t>，起到了一定的削峰调洪作用</w:t>
      </w:r>
      <w:r>
        <w:rPr>
          <w:rFonts w:eastAsia="楷体"/>
          <w:color w:val="auto"/>
          <w:sz w:val="28"/>
          <w:highlight w:val="none"/>
        </w:rPr>
        <w:t>。</w:t>
      </w:r>
    </w:p>
    <w:p w14:paraId="62EFD78E">
      <w:pPr>
        <w:spacing w:line="520" w:lineRule="exact"/>
        <w:ind w:firstLine="562" w:firstLineChars="200"/>
        <w:rPr>
          <w:rFonts w:eastAsia="楷体"/>
          <w:b/>
          <w:bCs/>
          <w:color w:val="auto"/>
          <w:sz w:val="28"/>
          <w:szCs w:val="28"/>
          <w:highlight w:val="none"/>
        </w:rPr>
      </w:pPr>
      <w:r>
        <w:rPr>
          <w:rFonts w:hint="eastAsia" w:eastAsia="楷体"/>
          <w:b/>
          <w:bCs/>
          <w:color w:val="auto"/>
          <w:sz w:val="28"/>
          <w:szCs w:val="28"/>
          <w:highlight w:val="none"/>
          <w:lang w:val="en-US" w:eastAsia="zh-CN"/>
        </w:rPr>
        <w:t>5</w:t>
      </w:r>
      <w:r>
        <w:rPr>
          <w:rFonts w:eastAsia="楷体"/>
          <w:b/>
          <w:bCs/>
          <w:color w:val="auto"/>
          <w:sz w:val="28"/>
          <w:szCs w:val="28"/>
          <w:highlight w:val="none"/>
        </w:rPr>
        <w:t>、突发事件调度</w:t>
      </w:r>
    </w:p>
    <w:p w14:paraId="5F075373">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一旦突发性事件发生时，立即启动应急预案，服从泉州市人民政府防汛抗旱指挥部调度安排，水库具体应急措施包括：</w:t>
      </w:r>
    </w:p>
    <w:p w14:paraId="06726549">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5077F228">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w:t>
      </w:r>
      <w:r>
        <w:rPr>
          <w:rFonts w:hint="eastAsia" w:eastAsia="楷体"/>
          <w:color w:val="auto"/>
          <w:sz w:val="28"/>
          <w:szCs w:val="28"/>
          <w:highlight w:val="none"/>
        </w:rPr>
        <w:t>前烧村</w:t>
      </w:r>
      <w:r>
        <w:rPr>
          <w:rFonts w:eastAsia="楷体"/>
          <w:color w:val="auto"/>
          <w:sz w:val="28"/>
          <w:szCs w:val="28"/>
          <w:highlight w:val="none"/>
        </w:rPr>
        <w:t>及</w:t>
      </w:r>
      <w:r>
        <w:rPr>
          <w:rFonts w:hint="eastAsia" w:eastAsia="楷体"/>
          <w:color w:val="auto"/>
          <w:sz w:val="28"/>
          <w:szCs w:val="28"/>
          <w:highlight w:val="none"/>
        </w:rPr>
        <w:t>前黄</w:t>
      </w:r>
      <w:r>
        <w:rPr>
          <w:rFonts w:eastAsia="楷体"/>
          <w:color w:val="auto"/>
          <w:sz w:val="28"/>
          <w:szCs w:val="28"/>
          <w:highlight w:val="none"/>
        </w:rPr>
        <w:t>镇政府。</w:t>
      </w:r>
    </w:p>
    <w:p w14:paraId="5D549807">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20AF5DA4">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前烧水库防洪调度注意事项：一是要严格执行上级防汛部门下达的调指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4C41A592">
      <w:pPr>
        <w:spacing w:line="520" w:lineRule="exact"/>
        <w:ind w:firstLine="560" w:firstLineChars="200"/>
        <w:rPr>
          <w:rFonts w:eastAsia="楷体"/>
          <w:color w:val="auto"/>
          <w:sz w:val="28"/>
          <w:szCs w:val="28"/>
          <w:highlight w:val="none"/>
        </w:rPr>
      </w:pPr>
    </w:p>
    <w:p w14:paraId="029E99F7">
      <w:pPr>
        <w:spacing w:line="520" w:lineRule="exact"/>
        <w:ind w:firstLine="560" w:firstLineChars="200"/>
        <w:rPr>
          <w:rFonts w:eastAsia="楷体"/>
          <w:color w:val="auto"/>
          <w:sz w:val="28"/>
          <w:szCs w:val="28"/>
          <w:highlight w:val="none"/>
        </w:rPr>
      </w:pPr>
    </w:p>
    <w:p w14:paraId="442B8518">
      <w:pPr>
        <w:spacing w:line="520" w:lineRule="exact"/>
        <w:ind w:firstLine="560" w:firstLineChars="200"/>
        <w:rPr>
          <w:rFonts w:eastAsia="楷体"/>
          <w:color w:val="auto"/>
          <w:sz w:val="28"/>
          <w:szCs w:val="28"/>
          <w:highlight w:val="none"/>
        </w:rPr>
      </w:pPr>
    </w:p>
    <w:p w14:paraId="328E4BD0">
      <w:pPr>
        <w:spacing w:line="520" w:lineRule="exact"/>
        <w:ind w:firstLine="560" w:firstLineChars="200"/>
        <w:rPr>
          <w:rFonts w:eastAsia="楷体"/>
          <w:color w:val="auto"/>
          <w:sz w:val="28"/>
          <w:szCs w:val="28"/>
          <w:highlight w:val="none"/>
        </w:rPr>
      </w:pPr>
    </w:p>
    <w:p w14:paraId="689B71BA">
      <w:pPr>
        <w:adjustRightInd w:val="0"/>
        <w:snapToGrid w:val="0"/>
        <w:spacing w:before="156" w:beforeLines="50" w:after="156" w:afterLines="50"/>
        <w:jc w:val="center"/>
        <w:outlineLvl w:val="0"/>
        <w:rPr>
          <w:rStyle w:val="53"/>
          <w:rFonts w:eastAsia="楷体"/>
          <w:b/>
          <w:bCs/>
          <w:color w:val="auto"/>
          <w:sz w:val="36"/>
          <w:szCs w:val="36"/>
          <w:highlight w:val="none"/>
        </w:rPr>
        <w:sectPr>
          <w:footerReference r:id="rId9" w:type="default"/>
          <w:pgSz w:w="11907" w:h="16840"/>
          <w:pgMar w:top="1418" w:right="1418" w:bottom="1418" w:left="1418" w:header="851" w:footer="992" w:gutter="0"/>
          <w:pgNumType w:fmt="numberInDash"/>
          <w:cols w:space="720" w:num="1"/>
          <w:docGrid w:type="lines" w:linePitch="312" w:charSpace="0"/>
        </w:sectPr>
      </w:pPr>
      <w:bookmarkStart w:id="41" w:name="_Toc21184"/>
    </w:p>
    <w:p w14:paraId="50C1376F">
      <w:pPr>
        <w:adjustRightInd w:val="0"/>
        <w:snapToGrid w:val="0"/>
        <w:spacing w:before="156" w:beforeLines="50" w:after="156" w:afterLines="50"/>
        <w:jc w:val="center"/>
        <w:outlineLvl w:val="0"/>
        <w:rPr>
          <w:rStyle w:val="53"/>
          <w:rFonts w:eastAsia="楷体"/>
          <w:b/>
          <w:bCs/>
          <w:color w:val="auto"/>
          <w:sz w:val="36"/>
          <w:szCs w:val="36"/>
          <w:highlight w:val="none"/>
        </w:rPr>
      </w:pPr>
      <w:r>
        <w:rPr>
          <w:rStyle w:val="53"/>
          <w:rFonts w:eastAsia="楷体"/>
          <w:b/>
          <w:bCs/>
          <w:color w:val="auto"/>
          <w:sz w:val="36"/>
          <w:szCs w:val="36"/>
          <w:highlight w:val="none"/>
        </w:rPr>
        <w:t>3 突发事件危害性分析</w:t>
      </w:r>
      <w:bookmarkEnd w:id="41"/>
    </w:p>
    <w:p w14:paraId="62CB7AE3">
      <w:pPr>
        <w:spacing w:before="156" w:beforeLines="50" w:after="156" w:afterLines="50"/>
        <w:outlineLvl w:val="1"/>
        <w:rPr>
          <w:rFonts w:eastAsia="楷体"/>
          <w:b/>
          <w:color w:val="auto"/>
          <w:sz w:val="32"/>
          <w:szCs w:val="30"/>
          <w:highlight w:val="none"/>
        </w:rPr>
      </w:pPr>
      <w:bookmarkStart w:id="42" w:name="_Toc10930"/>
      <w:r>
        <w:rPr>
          <w:rFonts w:eastAsia="楷体"/>
          <w:b/>
          <w:color w:val="auto"/>
          <w:sz w:val="32"/>
          <w:szCs w:val="30"/>
          <w:highlight w:val="none"/>
        </w:rPr>
        <w:t>3.1 重大工程险情分析</w:t>
      </w:r>
      <w:bookmarkEnd w:id="42"/>
    </w:p>
    <w:p w14:paraId="0D059873">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前烧水库属于</w:t>
      </w:r>
      <w:r>
        <w:rPr>
          <w:rFonts w:hint="eastAsia" w:eastAsia="楷体"/>
          <w:color w:val="auto"/>
          <w:sz w:val="28"/>
          <w:szCs w:val="28"/>
          <w:highlight w:val="none"/>
        </w:rPr>
        <w:t>小（2）</w:t>
      </w:r>
      <w:r>
        <w:rPr>
          <w:rFonts w:eastAsia="楷体"/>
          <w:color w:val="auto"/>
          <w:sz w:val="28"/>
          <w:szCs w:val="28"/>
          <w:highlight w:val="none"/>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39BA666A">
      <w:pPr>
        <w:spacing w:before="156" w:beforeLines="50" w:after="156" w:afterLines="50"/>
        <w:outlineLvl w:val="1"/>
        <w:rPr>
          <w:rFonts w:eastAsia="楷体"/>
          <w:b/>
          <w:color w:val="auto"/>
          <w:sz w:val="32"/>
          <w:szCs w:val="30"/>
          <w:highlight w:val="none"/>
        </w:rPr>
      </w:pPr>
      <w:bookmarkStart w:id="43" w:name="_Toc12151"/>
      <w:r>
        <w:rPr>
          <w:rFonts w:eastAsia="楷体"/>
          <w:b/>
          <w:color w:val="auto"/>
          <w:sz w:val="32"/>
          <w:szCs w:val="30"/>
          <w:highlight w:val="none"/>
        </w:rPr>
        <w:t>3.2 突发事件（溃坝）危害性分析</w:t>
      </w:r>
      <w:bookmarkEnd w:id="43"/>
    </w:p>
    <w:p w14:paraId="55173605">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前烧水库总库容</w:t>
      </w:r>
      <w:r>
        <w:rPr>
          <w:rFonts w:hint="eastAsia" w:eastAsia="楷体"/>
          <w:color w:val="auto"/>
          <w:sz w:val="28"/>
          <w:szCs w:val="28"/>
          <w:highlight w:val="none"/>
        </w:rPr>
        <w:t>32.74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，为小（</w:t>
      </w:r>
      <w:r>
        <w:rPr>
          <w:rFonts w:hint="eastAsia" w:eastAsia="楷体"/>
          <w:color w:val="auto"/>
          <w:sz w:val="28"/>
          <w:szCs w:val="28"/>
          <w:highlight w:val="none"/>
        </w:rPr>
        <w:t>2</w:t>
      </w:r>
      <w:r>
        <w:rPr>
          <w:rFonts w:eastAsia="楷体"/>
          <w:color w:val="auto"/>
          <w:sz w:val="28"/>
          <w:szCs w:val="28"/>
          <w:highlight w:val="none"/>
        </w:rPr>
        <w:t>）型水库，主要建筑物的设计标准按洪水重现期为</w:t>
      </w:r>
      <w:r>
        <w:rPr>
          <w:rFonts w:hint="eastAsia" w:eastAsia="楷体"/>
          <w:color w:val="auto"/>
          <w:sz w:val="28"/>
          <w:szCs w:val="28"/>
          <w:highlight w:val="none"/>
        </w:rPr>
        <w:t>2</w:t>
      </w:r>
      <w:r>
        <w:rPr>
          <w:rFonts w:eastAsia="楷体"/>
          <w:color w:val="auto"/>
          <w:sz w:val="28"/>
          <w:szCs w:val="28"/>
          <w:highlight w:val="none"/>
        </w:rPr>
        <w:t>0年，相应的洪水位</w:t>
      </w:r>
      <w:r>
        <w:rPr>
          <w:rFonts w:hint="eastAsia" w:eastAsia="楷体"/>
          <w:color w:val="auto"/>
          <w:sz w:val="28"/>
          <w:szCs w:val="28"/>
          <w:highlight w:val="none"/>
        </w:rPr>
        <w:t>38.71</w:t>
      </w:r>
      <w:r>
        <w:rPr>
          <w:rFonts w:eastAsia="楷体"/>
          <w:color w:val="auto"/>
          <w:sz w:val="28"/>
          <w:szCs w:val="28"/>
          <w:highlight w:val="none"/>
        </w:rPr>
        <w:t>m，校核标准按洪水重现期为</w:t>
      </w:r>
      <w:r>
        <w:rPr>
          <w:rFonts w:hint="eastAsia" w:eastAsia="楷体"/>
          <w:color w:val="auto"/>
          <w:sz w:val="28"/>
          <w:szCs w:val="28"/>
          <w:highlight w:val="none"/>
        </w:rPr>
        <w:t>2</w:t>
      </w:r>
      <w:r>
        <w:rPr>
          <w:rFonts w:eastAsia="楷体"/>
          <w:color w:val="auto"/>
          <w:sz w:val="28"/>
          <w:szCs w:val="28"/>
          <w:highlight w:val="none"/>
        </w:rPr>
        <w:t>00年，相应的洪水位</w:t>
      </w:r>
      <w:r>
        <w:rPr>
          <w:rFonts w:hint="eastAsia" w:eastAsia="楷体"/>
          <w:color w:val="auto"/>
          <w:sz w:val="28"/>
          <w:szCs w:val="28"/>
          <w:highlight w:val="none"/>
        </w:rPr>
        <w:t>39.10</w:t>
      </w:r>
      <w:r>
        <w:rPr>
          <w:rFonts w:eastAsia="楷体"/>
          <w:color w:val="auto"/>
          <w:sz w:val="28"/>
          <w:szCs w:val="28"/>
          <w:highlight w:val="none"/>
        </w:rPr>
        <w:t>m。水库在正常蓄水位下运行，一般不会出现超标准洪水漫顶溃决的情况。</w:t>
      </w:r>
    </w:p>
    <w:p w14:paraId="3A06302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前烧水库近几年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eastAsia="楷体"/>
          <w:color w:val="auto"/>
          <w:sz w:val="28"/>
          <w:szCs w:val="28"/>
          <w:highlight w:val="none"/>
          <w:lang w:val="en-US" w:eastAsia="zh-CN"/>
        </w:rPr>
        <w:t>3200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/s，将直接威胁到水库下游沿岸人民的生命财产安全。</w:t>
      </w:r>
    </w:p>
    <w:p w14:paraId="5893DEDE">
      <w:pPr>
        <w:spacing w:before="156" w:beforeLines="50" w:after="156" w:afterLines="50"/>
        <w:outlineLvl w:val="1"/>
        <w:rPr>
          <w:rFonts w:eastAsia="楷体"/>
          <w:b/>
          <w:color w:val="auto"/>
          <w:sz w:val="32"/>
          <w:szCs w:val="30"/>
          <w:highlight w:val="none"/>
        </w:rPr>
      </w:pPr>
      <w:bookmarkStart w:id="44" w:name="_Toc13"/>
      <w:r>
        <w:rPr>
          <w:rFonts w:eastAsia="楷体"/>
          <w:b/>
          <w:color w:val="auto"/>
          <w:sz w:val="32"/>
          <w:szCs w:val="30"/>
          <w:highlight w:val="none"/>
        </w:rPr>
        <w:t>3.3 溃坝失事造成下游经济和社会损失影响分析</w:t>
      </w:r>
      <w:bookmarkEnd w:id="44"/>
    </w:p>
    <w:p w14:paraId="74D772E3">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前烧水库溃坝将直接威胁到水库下游</w:t>
      </w:r>
      <w:r>
        <w:rPr>
          <w:rFonts w:hint="eastAsia" w:eastAsia="楷体"/>
          <w:color w:val="auto"/>
          <w:sz w:val="28"/>
          <w:szCs w:val="28"/>
          <w:highlight w:val="none"/>
        </w:rPr>
        <w:t>前黄镇</w:t>
      </w:r>
      <w:r>
        <w:rPr>
          <w:rFonts w:eastAsia="楷体"/>
          <w:color w:val="auto"/>
          <w:sz w:val="28"/>
          <w:szCs w:val="28"/>
          <w:highlight w:val="none"/>
        </w:rPr>
        <w:t>镇区的人民群众生命、财产的安全。通过前烧水库溃坝流量演算至下游，</w:t>
      </w:r>
      <w:r>
        <w:rPr>
          <w:rFonts w:hint="eastAsia" w:eastAsia="楷体"/>
          <w:color w:val="auto"/>
          <w:sz w:val="28"/>
          <w:szCs w:val="28"/>
          <w:highlight w:val="none"/>
        </w:rPr>
        <w:t>前烧村</w:t>
      </w:r>
      <w:r>
        <w:rPr>
          <w:rFonts w:eastAsia="楷体"/>
          <w:color w:val="auto"/>
          <w:sz w:val="28"/>
          <w:szCs w:val="28"/>
          <w:highlight w:val="none"/>
        </w:rPr>
        <w:t>处的流量将达到</w:t>
      </w:r>
      <w:r>
        <w:rPr>
          <w:rFonts w:hint="eastAsia" w:eastAsia="楷体"/>
          <w:color w:val="auto"/>
          <w:sz w:val="28"/>
          <w:szCs w:val="28"/>
          <w:highlight w:val="none"/>
          <w:lang w:val="en-US" w:eastAsia="zh-CN"/>
        </w:rPr>
        <w:t>1050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/s，超2000年一遇以上流量，可见，溃坝流量传播速度之快，流量之大，给下游造成损失是不可估量。</w:t>
      </w:r>
    </w:p>
    <w:p w14:paraId="435896F3">
      <w:pPr>
        <w:spacing w:line="520" w:lineRule="exact"/>
        <w:ind w:firstLine="640" w:firstLineChars="200"/>
        <w:rPr>
          <w:rFonts w:eastAsia="楷体"/>
          <w:color w:val="auto"/>
          <w:sz w:val="32"/>
          <w:szCs w:val="32"/>
          <w:highlight w:val="none"/>
        </w:rPr>
      </w:pPr>
    </w:p>
    <w:p w14:paraId="1FD26EE1">
      <w:pPr>
        <w:spacing w:line="520" w:lineRule="exact"/>
        <w:ind w:firstLine="640" w:firstLineChars="200"/>
        <w:rPr>
          <w:rFonts w:eastAsia="楷体"/>
          <w:color w:val="auto"/>
          <w:sz w:val="32"/>
          <w:szCs w:val="32"/>
          <w:highlight w:val="none"/>
        </w:rPr>
      </w:pPr>
    </w:p>
    <w:p w14:paraId="61C22515">
      <w:pPr>
        <w:spacing w:line="520" w:lineRule="exact"/>
        <w:ind w:firstLine="640" w:firstLineChars="200"/>
        <w:rPr>
          <w:rFonts w:eastAsia="楷体"/>
          <w:color w:val="auto"/>
          <w:sz w:val="32"/>
          <w:szCs w:val="32"/>
          <w:highlight w:val="none"/>
        </w:rPr>
      </w:pPr>
    </w:p>
    <w:p w14:paraId="08F37C89">
      <w:pPr>
        <w:spacing w:line="520" w:lineRule="exact"/>
        <w:ind w:firstLine="640" w:firstLineChars="200"/>
        <w:rPr>
          <w:rFonts w:eastAsia="楷体"/>
          <w:color w:val="auto"/>
          <w:sz w:val="32"/>
          <w:szCs w:val="32"/>
          <w:highlight w:val="none"/>
        </w:rPr>
      </w:pPr>
    </w:p>
    <w:p w14:paraId="0B0641A3">
      <w:pPr>
        <w:spacing w:line="520" w:lineRule="exact"/>
        <w:ind w:firstLine="640" w:firstLineChars="200"/>
        <w:rPr>
          <w:rFonts w:eastAsia="楷体"/>
          <w:color w:val="auto"/>
          <w:sz w:val="32"/>
          <w:szCs w:val="32"/>
          <w:highlight w:val="none"/>
        </w:rPr>
      </w:pPr>
    </w:p>
    <w:p w14:paraId="02F48428">
      <w:pPr>
        <w:spacing w:line="520" w:lineRule="exact"/>
        <w:ind w:firstLine="640" w:firstLineChars="200"/>
        <w:rPr>
          <w:rFonts w:eastAsia="楷体"/>
          <w:color w:val="auto"/>
          <w:sz w:val="32"/>
          <w:szCs w:val="32"/>
          <w:highlight w:val="none"/>
        </w:rPr>
      </w:pPr>
    </w:p>
    <w:p w14:paraId="66B7BA56">
      <w:pPr>
        <w:spacing w:line="520" w:lineRule="exact"/>
        <w:ind w:firstLine="640" w:firstLineChars="200"/>
        <w:rPr>
          <w:rFonts w:eastAsia="楷体"/>
          <w:color w:val="auto"/>
          <w:sz w:val="32"/>
          <w:szCs w:val="32"/>
          <w:highlight w:val="none"/>
        </w:rPr>
      </w:pPr>
    </w:p>
    <w:p w14:paraId="13CB7707">
      <w:pPr>
        <w:spacing w:line="520" w:lineRule="exact"/>
        <w:ind w:firstLine="640" w:firstLineChars="200"/>
        <w:rPr>
          <w:rFonts w:eastAsia="楷体"/>
          <w:color w:val="auto"/>
          <w:sz w:val="32"/>
          <w:szCs w:val="32"/>
          <w:highlight w:val="none"/>
        </w:rPr>
      </w:pPr>
    </w:p>
    <w:p w14:paraId="54CAD62F">
      <w:pPr>
        <w:spacing w:line="520" w:lineRule="exact"/>
        <w:ind w:firstLine="640" w:firstLineChars="200"/>
        <w:rPr>
          <w:rFonts w:eastAsia="楷体"/>
          <w:color w:val="auto"/>
          <w:sz w:val="32"/>
          <w:szCs w:val="32"/>
          <w:highlight w:val="none"/>
        </w:rPr>
      </w:pPr>
    </w:p>
    <w:p w14:paraId="1B395AA8">
      <w:pPr>
        <w:spacing w:line="520" w:lineRule="exact"/>
        <w:ind w:firstLine="640" w:firstLineChars="200"/>
        <w:rPr>
          <w:rFonts w:eastAsia="楷体"/>
          <w:color w:val="auto"/>
          <w:sz w:val="32"/>
          <w:szCs w:val="32"/>
          <w:highlight w:val="none"/>
        </w:rPr>
      </w:pPr>
    </w:p>
    <w:p w14:paraId="1F8D25E3">
      <w:pPr>
        <w:spacing w:line="520" w:lineRule="exact"/>
        <w:ind w:firstLine="640" w:firstLineChars="200"/>
        <w:rPr>
          <w:rFonts w:eastAsia="楷体"/>
          <w:color w:val="auto"/>
          <w:sz w:val="32"/>
          <w:szCs w:val="32"/>
          <w:highlight w:val="none"/>
        </w:rPr>
      </w:pPr>
    </w:p>
    <w:p w14:paraId="0847EC0D">
      <w:pPr>
        <w:spacing w:line="520" w:lineRule="exact"/>
        <w:ind w:firstLine="640" w:firstLineChars="200"/>
        <w:rPr>
          <w:rFonts w:eastAsia="楷体"/>
          <w:color w:val="auto"/>
          <w:sz w:val="32"/>
          <w:szCs w:val="32"/>
          <w:highlight w:val="none"/>
        </w:rPr>
      </w:pPr>
    </w:p>
    <w:p w14:paraId="337E1D34">
      <w:pPr>
        <w:pStyle w:val="9"/>
        <w:ind w:left="0" w:leftChars="0" w:firstLine="0" w:firstLineChars="0"/>
        <w:rPr>
          <w:rFonts w:hint="default" w:eastAsia="楷体"/>
          <w:color w:val="auto"/>
          <w:sz w:val="28"/>
          <w:szCs w:val="28"/>
          <w:lang w:val="en-US" w:eastAsia="zh-CN"/>
        </w:rPr>
        <w:sectPr>
          <w:pgSz w:w="11906" w:h="16838"/>
          <w:pgMar w:top="1440" w:right="1803" w:bottom="1440" w:left="1803" w:header="851" w:footer="992" w:gutter="0"/>
          <w:pgNumType w:fmt="numberInDash"/>
          <w:cols w:space="720" w:num="1"/>
          <w:docGrid w:type="lines" w:linePitch="319" w:charSpace="0"/>
        </w:sectPr>
      </w:pPr>
    </w:p>
    <w:bookmarkEnd w:id="37"/>
    <w:bookmarkEnd w:id="40"/>
    <w:p w14:paraId="74686870">
      <w:pPr>
        <w:spacing w:line="520" w:lineRule="exact"/>
        <w:rPr>
          <w:rFonts w:eastAsia="楷体"/>
          <w:color w:val="auto"/>
          <w:sz w:val="32"/>
          <w:szCs w:val="32"/>
          <w:highlight w:val="none"/>
        </w:rPr>
      </w:pPr>
    </w:p>
    <w:p w14:paraId="1EED662F">
      <w:pPr>
        <w:adjustRightInd w:val="0"/>
        <w:snapToGrid w:val="0"/>
        <w:spacing w:line="520" w:lineRule="exact"/>
        <w:jc w:val="center"/>
        <w:outlineLvl w:val="0"/>
        <w:rPr>
          <w:rStyle w:val="53"/>
          <w:rFonts w:eastAsia="楷体"/>
          <w:b/>
          <w:bCs/>
          <w:color w:val="auto"/>
          <w:sz w:val="36"/>
          <w:szCs w:val="36"/>
          <w:highlight w:val="none"/>
        </w:rPr>
      </w:pPr>
      <w:bookmarkStart w:id="45" w:name="_Toc9103"/>
      <w:r>
        <w:rPr>
          <w:rStyle w:val="53"/>
          <w:rFonts w:eastAsia="楷体"/>
          <w:b/>
          <w:bCs/>
          <w:color w:val="auto"/>
          <w:sz w:val="36"/>
          <w:szCs w:val="36"/>
          <w:highlight w:val="none"/>
        </w:rPr>
        <w:t>4 险情监测与报告</w:t>
      </w:r>
      <w:bookmarkEnd w:id="45"/>
    </w:p>
    <w:p w14:paraId="09F0D6F5">
      <w:pPr>
        <w:spacing w:before="156" w:beforeLines="50" w:after="156" w:afterLines="50"/>
        <w:jc w:val="left"/>
        <w:outlineLvl w:val="1"/>
        <w:rPr>
          <w:rFonts w:eastAsia="楷体"/>
          <w:b/>
          <w:color w:val="auto"/>
          <w:sz w:val="32"/>
          <w:szCs w:val="30"/>
          <w:highlight w:val="none"/>
        </w:rPr>
      </w:pPr>
      <w:bookmarkStart w:id="46" w:name="_Toc9065"/>
      <w:r>
        <w:rPr>
          <w:rFonts w:eastAsia="楷体"/>
          <w:b/>
          <w:color w:val="auto"/>
          <w:sz w:val="32"/>
          <w:szCs w:val="30"/>
          <w:highlight w:val="none"/>
        </w:rPr>
        <w:t>4.1险情监测和巡视</w:t>
      </w:r>
      <w:bookmarkEnd w:id="46"/>
    </w:p>
    <w:p w14:paraId="45D1D364">
      <w:pPr>
        <w:spacing w:before="156" w:beforeLines="50" w:after="156" w:afterLines="50"/>
        <w:jc w:val="left"/>
        <w:outlineLvl w:val="2"/>
        <w:rPr>
          <w:rFonts w:eastAsia="楷体"/>
          <w:b/>
          <w:color w:val="auto"/>
          <w:sz w:val="32"/>
          <w:szCs w:val="32"/>
          <w:highlight w:val="none"/>
        </w:rPr>
      </w:pPr>
      <w:r>
        <w:rPr>
          <w:rFonts w:eastAsia="楷体"/>
          <w:b/>
          <w:color w:val="auto"/>
          <w:sz w:val="32"/>
          <w:szCs w:val="32"/>
          <w:highlight w:val="none"/>
        </w:rPr>
        <w:t>4.1.1 水库工程险情监测、巡查</w:t>
      </w:r>
    </w:p>
    <w:p w14:paraId="36B99612">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水库工程险情监测、巡查的部位主要为：水工建筑物、混凝土建筑物、金属结构、启闭机（有重叠）、水流形态、水库附属工程、动力、照明、交通、通讯、安全防护，避雷设施和观测设备等。</w:t>
      </w:r>
    </w:p>
    <w:p w14:paraId="70FE0AB6">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水库工程险情监测、巡查的内容主要为：</w:t>
      </w:r>
    </w:p>
    <w:p w14:paraId="401C79F2">
      <w:pPr>
        <w:widowControl/>
        <w:spacing w:line="520" w:lineRule="exact"/>
        <w:ind w:firstLine="560"/>
        <w:rPr>
          <w:rFonts w:eastAsia="楷体"/>
          <w:color w:val="auto"/>
          <w:sz w:val="28"/>
          <w:szCs w:val="28"/>
          <w:highlight w:val="none"/>
        </w:rPr>
      </w:pPr>
      <w:r>
        <w:rPr>
          <w:rFonts w:eastAsia="楷体"/>
          <w:color w:val="auto"/>
          <w:sz w:val="28"/>
          <w:szCs w:val="28"/>
          <w:highlight w:val="none"/>
        </w:rPr>
        <w:t>（1）对水工建筑物的检查和观察中，应注意坝身有无裂缝、塌坑隆起现象；迎水坡有无风浪冲刷；背水坡有无散浸及集中渗漏；坝头岸坡有无绕渗；排水导渗设施有无堵塞、破坏、失效等。</w:t>
      </w:r>
    </w:p>
    <w:p w14:paraId="2927AFE9">
      <w:pPr>
        <w:widowControl/>
        <w:spacing w:line="520" w:lineRule="exact"/>
        <w:ind w:firstLine="560"/>
        <w:rPr>
          <w:rFonts w:eastAsia="楷体"/>
          <w:color w:val="auto"/>
          <w:sz w:val="28"/>
          <w:szCs w:val="28"/>
          <w:highlight w:val="none"/>
        </w:rPr>
      </w:pPr>
      <w:r>
        <w:rPr>
          <w:rFonts w:eastAsia="楷体"/>
          <w:color w:val="auto"/>
          <w:sz w:val="28"/>
          <w:szCs w:val="28"/>
          <w:highlight w:val="none"/>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58BB0913">
      <w:pPr>
        <w:widowControl/>
        <w:spacing w:line="520" w:lineRule="exact"/>
        <w:ind w:firstLine="560"/>
        <w:rPr>
          <w:rFonts w:eastAsia="楷体"/>
          <w:color w:val="auto"/>
          <w:sz w:val="28"/>
          <w:szCs w:val="28"/>
          <w:highlight w:val="none"/>
        </w:rPr>
      </w:pPr>
      <w:r>
        <w:rPr>
          <w:rFonts w:eastAsia="楷体"/>
          <w:color w:val="auto"/>
          <w:sz w:val="28"/>
          <w:szCs w:val="28"/>
          <w:highlight w:val="none"/>
        </w:rPr>
        <w:t>（3）对金属结构的检查和观察，应结合构件部位受外界因素影响条件，注意结构有无变形、裂纹、锈蚀、气蚀、油漆剥落、磨损、振动以及焊缝开裂、铆钉或螺栓松动等现象。</w:t>
      </w:r>
    </w:p>
    <w:p w14:paraId="1C17BE39">
      <w:pPr>
        <w:widowControl/>
        <w:spacing w:line="520" w:lineRule="exact"/>
        <w:ind w:firstLine="560"/>
        <w:rPr>
          <w:rFonts w:eastAsia="楷体"/>
          <w:color w:val="auto"/>
          <w:sz w:val="28"/>
          <w:szCs w:val="28"/>
          <w:highlight w:val="none"/>
        </w:rPr>
      </w:pPr>
      <w:r>
        <w:rPr>
          <w:rFonts w:eastAsia="楷体"/>
          <w:color w:val="auto"/>
          <w:sz w:val="28"/>
          <w:szCs w:val="28"/>
          <w:highlight w:val="none"/>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19CF9591">
      <w:pPr>
        <w:widowControl/>
        <w:spacing w:line="520" w:lineRule="exact"/>
        <w:ind w:firstLine="560"/>
        <w:rPr>
          <w:rFonts w:eastAsia="楷体"/>
          <w:color w:val="auto"/>
          <w:sz w:val="28"/>
          <w:szCs w:val="28"/>
          <w:highlight w:val="none"/>
        </w:rPr>
      </w:pPr>
      <w:r>
        <w:rPr>
          <w:rFonts w:eastAsia="楷体"/>
          <w:color w:val="auto"/>
          <w:sz w:val="28"/>
          <w:szCs w:val="28"/>
          <w:highlight w:val="none"/>
        </w:rPr>
        <w:t>（5）水流形态的观察，主要应注意进口段水流是否平顺，堰后水流形态是否正常，水流是否平稳；有无不正常流态和冲刷淤积现象。拦污栅、拦鱼设施、漂浮物有否壅水或堵塞现象等。</w:t>
      </w:r>
    </w:p>
    <w:p w14:paraId="122E6BE4">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（6）检查水库附属工程、动力、照明、交通、通讯、安全防护，避雷设施和观测设备等是否完好。</w:t>
      </w:r>
    </w:p>
    <w:p w14:paraId="46D8B542">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水库工程险情监测、巡查的方式主要为：人工巡查和设备监测。</w:t>
      </w:r>
    </w:p>
    <w:p w14:paraId="67EEAD80">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21E2DA9F">
      <w:pPr>
        <w:widowControl/>
        <w:spacing w:line="520" w:lineRule="exact"/>
        <w:ind w:firstLine="560" w:firstLineChars="200"/>
        <w:rPr>
          <w:rFonts w:eastAsia="楷体"/>
          <w:color w:val="auto"/>
          <w:sz w:val="32"/>
          <w:szCs w:val="32"/>
          <w:highlight w:val="none"/>
        </w:rPr>
      </w:pPr>
      <w:r>
        <w:rPr>
          <w:rFonts w:eastAsia="楷体"/>
          <w:color w:val="auto"/>
          <w:sz w:val="28"/>
          <w:szCs w:val="28"/>
          <w:highlight w:val="none"/>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6114898F">
      <w:pPr>
        <w:spacing w:before="156" w:beforeLines="50" w:after="156" w:afterLines="50"/>
        <w:jc w:val="left"/>
        <w:outlineLvl w:val="2"/>
        <w:rPr>
          <w:rFonts w:eastAsia="楷体"/>
          <w:b/>
          <w:color w:val="auto"/>
          <w:sz w:val="32"/>
          <w:szCs w:val="32"/>
          <w:highlight w:val="none"/>
        </w:rPr>
      </w:pPr>
      <w:r>
        <w:rPr>
          <w:rFonts w:eastAsia="楷体"/>
          <w:b/>
          <w:color w:val="auto"/>
          <w:sz w:val="32"/>
          <w:szCs w:val="32"/>
          <w:highlight w:val="none"/>
        </w:rPr>
        <w:t>4.1.2 规定监测、巡查人员组成及监测、巡查结果的处理程序</w:t>
      </w:r>
    </w:p>
    <w:p w14:paraId="31CBBD0A">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监测、巡查人员由水库管理所关人员为主，必要时也可从其它部门抽调人员补充。</w:t>
      </w:r>
    </w:p>
    <w:p w14:paraId="6C0D0623">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巡查结果必须要以书面形式形成文字材料存档和逐级上报，遇重大险情可先电话上报</w:t>
      </w:r>
      <w:r>
        <w:rPr>
          <w:rFonts w:hint="eastAsia" w:eastAsia="楷体"/>
          <w:color w:val="auto"/>
          <w:sz w:val="28"/>
          <w:szCs w:val="28"/>
          <w:highlight w:val="none"/>
        </w:rPr>
        <w:t>泉港区</w:t>
      </w:r>
      <w:r>
        <w:rPr>
          <w:rFonts w:eastAsia="楷体"/>
          <w:color w:val="auto"/>
          <w:sz w:val="28"/>
          <w:szCs w:val="28"/>
          <w:highlight w:val="none"/>
        </w:rPr>
        <w:t>防汛抗旱指挥部。</w:t>
      </w:r>
    </w:p>
    <w:p w14:paraId="62F3CADC">
      <w:pPr>
        <w:spacing w:before="156" w:beforeLines="50" w:after="156" w:afterLines="50"/>
        <w:jc w:val="left"/>
        <w:outlineLvl w:val="1"/>
        <w:rPr>
          <w:rFonts w:eastAsia="楷体"/>
          <w:b/>
          <w:color w:val="auto"/>
          <w:sz w:val="32"/>
          <w:szCs w:val="30"/>
          <w:highlight w:val="none"/>
        </w:rPr>
      </w:pPr>
      <w:bookmarkStart w:id="47" w:name="_Toc9767"/>
      <w:r>
        <w:rPr>
          <w:rFonts w:eastAsia="楷体"/>
          <w:b/>
          <w:color w:val="auto"/>
          <w:sz w:val="32"/>
          <w:szCs w:val="30"/>
          <w:highlight w:val="none"/>
        </w:rPr>
        <w:t>4.2 险情上报与通报</w:t>
      </w:r>
      <w:bookmarkEnd w:id="47"/>
    </w:p>
    <w:p w14:paraId="7AB61C2E">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泉港区防汛防旱指挥部和泉州市防汛抗旱指挥部汇报。</w:t>
      </w:r>
    </w:p>
    <w:p w14:paraId="0584A93F">
      <w:pPr>
        <w:widowControl/>
        <w:spacing w:line="360" w:lineRule="auto"/>
        <w:ind w:firstLine="560"/>
        <w:rPr>
          <w:rFonts w:eastAsia="楷体"/>
          <w:color w:val="auto"/>
          <w:sz w:val="32"/>
          <w:szCs w:val="32"/>
          <w:highlight w:val="none"/>
        </w:rPr>
      </w:pPr>
    </w:p>
    <w:p w14:paraId="1574151E">
      <w:pPr>
        <w:widowControl/>
        <w:spacing w:line="360" w:lineRule="auto"/>
        <w:ind w:firstLine="560"/>
        <w:rPr>
          <w:rFonts w:eastAsia="楷体"/>
          <w:color w:val="auto"/>
          <w:sz w:val="32"/>
          <w:szCs w:val="32"/>
          <w:highlight w:val="none"/>
        </w:rPr>
      </w:pPr>
    </w:p>
    <w:p w14:paraId="4D710FFE">
      <w:pPr>
        <w:adjustRightInd w:val="0"/>
        <w:snapToGrid w:val="0"/>
        <w:spacing w:line="520" w:lineRule="exact"/>
        <w:jc w:val="center"/>
        <w:outlineLvl w:val="0"/>
        <w:rPr>
          <w:rStyle w:val="53"/>
          <w:rFonts w:eastAsia="楷体"/>
          <w:b/>
          <w:bCs/>
          <w:color w:val="auto"/>
          <w:sz w:val="36"/>
          <w:szCs w:val="36"/>
          <w:highlight w:val="none"/>
        </w:rPr>
      </w:pPr>
      <w:bookmarkStart w:id="48" w:name="_Toc4797"/>
      <w:r>
        <w:rPr>
          <w:rStyle w:val="53"/>
          <w:rFonts w:eastAsia="楷体"/>
          <w:b/>
          <w:bCs/>
          <w:color w:val="auto"/>
          <w:sz w:val="36"/>
          <w:szCs w:val="36"/>
          <w:highlight w:val="none"/>
        </w:rPr>
        <w:t>5 险情抢护</w:t>
      </w:r>
      <w:bookmarkEnd w:id="48"/>
    </w:p>
    <w:p w14:paraId="228CB96F">
      <w:pPr>
        <w:spacing w:before="156" w:beforeLines="50" w:after="156" w:afterLines="50"/>
        <w:outlineLvl w:val="1"/>
        <w:rPr>
          <w:rFonts w:eastAsia="楷体"/>
          <w:b/>
          <w:color w:val="auto"/>
          <w:sz w:val="32"/>
          <w:szCs w:val="30"/>
          <w:highlight w:val="none"/>
        </w:rPr>
      </w:pPr>
      <w:bookmarkStart w:id="49" w:name="_Toc15232"/>
      <w:r>
        <w:rPr>
          <w:rFonts w:eastAsia="楷体"/>
          <w:b/>
          <w:color w:val="auto"/>
          <w:sz w:val="32"/>
          <w:szCs w:val="30"/>
          <w:highlight w:val="none"/>
        </w:rPr>
        <w:t>5.1 抢险调度</w:t>
      </w:r>
      <w:bookmarkEnd w:id="49"/>
    </w:p>
    <w:p w14:paraId="34F46DB3">
      <w:pPr>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与市防办取得联系并下达开闸泄洪指令，管理处工情执行小组应立即执行指令开闸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6CEDFF45">
      <w:pPr>
        <w:spacing w:before="156" w:beforeLines="50" w:after="156" w:afterLines="50"/>
        <w:outlineLvl w:val="1"/>
        <w:rPr>
          <w:rFonts w:eastAsia="楷体"/>
          <w:b/>
          <w:color w:val="auto"/>
          <w:sz w:val="32"/>
          <w:szCs w:val="30"/>
          <w:highlight w:val="none"/>
        </w:rPr>
      </w:pPr>
      <w:bookmarkStart w:id="50" w:name="_Toc20185"/>
      <w:r>
        <w:rPr>
          <w:rFonts w:eastAsia="楷体"/>
          <w:b/>
          <w:color w:val="auto"/>
          <w:sz w:val="32"/>
          <w:szCs w:val="30"/>
          <w:highlight w:val="none"/>
        </w:rPr>
        <w:t>5.2抢险措施</w:t>
      </w:r>
      <w:bookmarkEnd w:id="50"/>
    </w:p>
    <w:p w14:paraId="53FB26F3">
      <w:pPr>
        <w:spacing w:line="520" w:lineRule="exact"/>
        <w:ind w:firstLine="560" w:firstLineChars="200"/>
        <w:rPr>
          <w:rFonts w:eastAsia="楷体"/>
          <w:color w:val="auto"/>
          <w:sz w:val="28"/>
          <w:szCs w:val="28"/>
          <w:highlight w:val="none"/>
        </w:rPr>
      </w:pPr>
      <w:r>
        <w:rPr>
          <w:rFonts w:eastAsia="楷体"/>
          <w:color w:val="auto"/>
          <w:sz w:val="28"/>
          <w:szCs w:val="28"/>
          <w:highlight w:val="none"/>
        </w:rPr>
        <w:t>若水库发生如下险情时，由</w:t>
      </w:r>
      <w:r>
        <w:rPr>
          <w:rFonts w:hint="eastAsia" w:eastAsia="楷体"/>
          <w:color w:val="auto"/>
          <w:sz w:val="28"/>
          <w:szCs w:val="28"/>
          <w:highlight w:val="none"/>
          <w:lang w:eastAsia="zh-CN"/>
        </w:rPr>
        <w:t>农水局</w:t>
      </w:r>
      <w:r>
        <w:rPr>
          <w:rFonts w:eastAsia="楷体"/>
          <w:color w:val="auto"/>
          <w:sz w:val="28"/>
          <w:szCs w:val="28"/>
          <w:highlight w:val="none"/>
        </w:rPr>
        <w:t>负责现场抢险部位的技术指导。</w:t>
      </w:r>
    </w:p>
    <w:p w14:paraId="0F8B3A17">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5.2.1水库大坝坝体发生漏洞时应急抢险措施</w:t>
      </w:r>
    </w:p>
    <w:p w14:paraId="480B5890">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1.出现漏洞时应及时查清发生漏洞部位，并上报水库防洪抢险应急指挥部。</w:t>
      </w:r>
    </w:p>
    <w:p w14:paraId="60808D96">
      <w:pPr>
        <w:spacing w:line="520" w:lineRule="exact"/>
        <w:ind w:firstLine="560" w:firstLineChars="200"/>
        <w:rPr>
          <w:rFonts w:eastAsia="楷体"/>
          <w:color w:val="auto"/>
          <w:sz w:val="28"/>
          <w:szCs w:val="28"/>
          <w:highlight w:val="none"/>
        </w:rPr>
      </w:pPr>
      <w:r>
        <w:rPr>
          <w:rFonts w:eastAsia="楷体"/>
          <w:color w:val="auto"/>
          <w:sz w:val="28"/>
          <w:szCs w:val="28"/>
          <w:highlight w:val="none"/>
        </w:rPr>
        <w:t>2.组织抢险人员在大坝迎水面抛填砂袋、块石封堵漏洞入口防止库水继续渗入，提高坝体与坝基的防渗能力；在大坝下游做好导流设施，防止险情进一步扩大。</w:t>
      </w:r>
    </w:p>
    <w:p w14:paraId="7715C468">
      <w:pPr>
        <w:spacing w:line="520" w:lineRule="exact"/>
        <w:ind w:firstLine="560" w:firstLineChars="200"/>
        <w:rPr>
          <w:rFonts w:eastAsia="楷体"/>
          <w:color w:val="auto"/>
          <w:sz w:val="28"/>
          <w:szCs w:val="28"/>
          <w:highlight w:val="none"/>
        </w:rPr>
      </w:pPr>
      <w:r>
        <w:rPr>
          <w:rFonts w:eastAsia="楷体"/>
          <w:color w:val="auto"/>
          <w:sz w:val="28"/>
          <w:szCs w:val="28"/>
          <w:highlight w:val="none"/>
        </w:rPr>
        <w:t>3.条件允许的情况下开启泄洪设施降低库水位，保证抢险工作顺利进行。</w:t>
      </w:r>
    </w:p>
    <w:p w14:paraId="7660EC02">
      <w:pPr>
        <w:spacing w:line="520" w:lineRule="exact"/>
        <w:ind w:firstLine="560" w:firstLineChars="200"/>
        <w:rPr>
          <w:rFonts w:eastAsia="楷体"/>
          <w:color w:val="auto"/>
          <w:sz w:val="28"/>
          <w:szCs w:val="28"/>
          <w:highlight w:val="none"/>
        </w:rPr>
      </w:pPr>
      <w:r>
        <w:rPr>
          <w:rFonts w:eastAsia="楷体"/>
          <w:color w:val="auto"/>
          <w:sz w:val="28"/>
          <w:szCs w:val="28"/>
          <w:highlight w:val="none"/>
        </w:rPr>
        <w:t>4.拉响防洪警报，及时转移和疏散区域内的群众，保障人民生命、财产安全。</w:t>
      </w:r>
    </w:p>
    <w:p w14:paraId="269249F6">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4BDBD774">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5.2.2 水库大坝上游发生滑坡时应急抢险措施</w:t>
      </w:r>
    </w:p>
    <w:p w14:paraId="6906CAAC">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1.出现滑坡时应及时查清原因，并上报水库防洪抢险应急指挥部。</w:t>
      </w:r>
    </w:p>
    <w:p w14:paraId="5D96F62C">
      <w:pPr>
        <w:spacing w:line="520" w:lineRule="exact"/>
        <w:ind w:firstLine="560" w:firstLineChars="200"/>
        <w:rPr>
          <w:rFonts w:eastAsia="楷体"/>
          <w:color w:val="auto"/>
          <w:sz w:val="28"/>
          <w:szCs w:val="28"/>
          <w:highlight w:val="none"/>
        </w:rPr>
      </w:pPr>
      <w:r>
        <w:rPr>
          <w:rFonts w:eastAsia="楷体"/>
          <w:color w:val="auto"/>
          <w:sz w:val="28"/>
          <w:szCs w:val="28"/>
          <w:highlight w:val="none"/>
        </w:rPr>
        <w:t>2.因库水位骤降而引起的滑坡时，应立即停止放水或减缓放水速度，在不影响防汛安全的前提下，可在滑坡体上部削坡减载，在可能的滑坡底部位置抛投砂袋、石料进行压重固脚。</w:t>
      </w:r>
    </w:p>
    <w:p w14:paraId="2EC3F76B">
      <w:pPr>
        <w:spacing w:line="520" w:lineRule="exact"/>
        <w:ind w:firstLine="560" w:firstLineChars="200"/>
        <w:rPr>
          <w:rFonts w:eastAsia="楷体"/>
          <w:color w:val="auto"/>
          <w:sz w:val="28"/>
          <w:szCs w:val="28"/>
          <w:highlight w:val="none"/>
        </w:rPr>
      </w:pPr>
      <w:r>
        <w:rPr>
          <w:rFonts w:eastAsia="楷体"/>
          <w:color w:val="auto"/>
          <w:sz w:val="28"/>
          <w:szCs w:val="28"/>
          <w:highlight w:val="none"/>
        </w:rPr>
        <w:t>3.在高水位作用下发生滑坡时，应开启泄洪设施尽可能降低库水位，但同时也要控制好库水降落的速度，防止因库水位骤降而影响上游坝坡的稳定。</w:t>
      </w:r>
    </w:p>
    <w:p w14:paraId="540B015E">
      <w:pPr>
        <w:spacing w:line="520" w:lineRule="exact"/>
        <w:ind w:firstLine="560" w:firstLineChars="200"/>
        <w:rPr>
          <w:rFonts w:eastAsia="楷体"/>
          <w:color w:val="auto"/>
          <w:sz w:val="28"/>
          <w:szCs w:val="28"/>
          <w:highlight w:val="none"/>
        </w:rPr>
      </w:pPr>
      <w:r>
        <w:rPr>
          <w:rFonts w:eastAsia="楷体"/>
          <w:color w:val="auto"/>
          <w:sz w:val="28"/>
          <w:szCs w:val="28"/>
          <w:highlight w:val="none"/>
        </w:rPr>
        <w:t>4.及时转移和疏散区域内的群众，保障人民生命、财产安全。</w:t>
      </w:r>
    </w:p>
    <w:p w14:paraId="3A09EE31">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09751527">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5.2.3 发生超标准洪水应急抢险措施</w:t>
      </w:r>
    </w:p>
    <w:p w14:paraId="19038707">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1.出现超过设计的校核防洪标准的洪水时，应及时上报水库防洪抢险应急指挥部。</w:t>
      </w:r>
    </w:p>
    <w:p w14:paraId="1BAFAAD7">
      <w:pPr>
        <w:spacing w:line="520" w:lineRule="exact"/>
        <w:ind w:firstLine="560" w:firstLineChars="200"/>
        <w:rPr>
          <w:rFonts w:eastAsia="楷体"/>
          <w:color w:val="auto"/>
          <w:sz w:val="28"/>
          <w:szCs w:val="28"/>
          <w:highlight w:val="none"/>
        </w:rPr>
      </w:pPr>
      <w:r>
        <w:rPr>
          <w:rFonts w:eastAsia="楷体"/>
          <w:color w:val="auto"/>
          <w:sz w:val="28"/>
          <w:szCs w:val="28"/>
          <w:highlight w:val="none"/>
        </w:rPr>
        <w:t>2.选择适宜的山凹破口泄洪，保障大坝避免洪水漫溢而发生溃决事故。</w:t>
      </w:r>
    </w:p>
    <w:p w14:paraId="296A2102">
      <w:pPr>
        <w:spacing w:line="520" w:lineRule="exact"/>
        <w:ind w:firstLine="560" w:firstLineChars="200"/>
        <w:rPr>
          <w:rFonts w:eastAsia="楷体"/>
          <w:color w:val="auto"/>
          <w:sz w:val="28"/>
          <w:szCs w:val="28"/>
          <w:highlight w:val="none"/>
        </w:rPr>
      </w:pPr>
      <w:r>
        <w:rPr>
          <w:rFonts w:eastAsia="楷体"/>
          <w:color w:val="auto"/>
          <w:sz w:val="28"/>
          <w:szCs w:val="28"/>
          <w:highlight w:val="none"/>
        </w:rPr>
        <w:t>3.及时转移和疏散泄洪区域内的群众，确保人民群众生命、财产安全。</w:t>
      </w:r>
    </w:p>
    <w:p w14:paraId="77CD0261">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5.2.4 发生库区山体滑坡导致水库水位严重壅高等危及大坝安全的险情抢险措施</w:t>
      </w:r>
    </w:p>
    <w:p w14:paraId="2B156113">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1.出现库区山体滑坡导致水库水位严重壅高等危及大坝安全的险情时，应及时上报水库防洪应急指挥部。</w:t>
      </w:r>
    </w:p>
    <w:p w14:paraId="6F7958AD">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2.提前降低库水位，保障水库的安全运行。</w:t>
      </w:r>
    </w:p>
    <w:p w14:paraId="4745C9E7">
      <w:pPr>
        <w:spacing w:line="520" w:lineRule="exact"/>
        <w:ind w:firstLine="560" w:firstLineChars="200"/>
        <w:rPr>
          <w:rFonts w:eastAsia="楷体"/>
          <w:color w:val="auto"/>
          <w:sz w:val="28"/>
          <w:szCs w:val="28"/>
          <w:highlight w:val="none"/>
        </w:rPr>
      </w:pPr>
      <w:r>
        <w:rPr>
          <w:rFonts w:eastAsia="楷体"/>
          <w:color w:val="auto"/>
          <w:sz w:val="28"/>
          <w:szCs w:val="28"/>
          <w:highlight w:val="none"/>
        </w:rPr>
        <w:t>3.开启泄洪设施仍不能有效降低库水位时，选择适宜的山凹破口泄洪，保障水库及大坝的安全。</w:t>
      </w:r>
    </w:p>
    <w:p w14:paraId="296E12F2">
      <w:pPr>
        <w:spacing w:line="520" w:lineRule="exact"/>
        <w:ind w:firstLine="560" w:firstLineChars="200"/>
        <w:rPr>
          <w:rFonts w:eastAsia="楷体"/>
          <w:color w:val="auto"/>
          <w:sz w:val="28"/>
          <w:szCs w:val="28"/>
          <w:highlight w:val="none"/>
        </w:rPr>
      </w:pPr>
      <w:r>
        <w:rPr>
          <w:rFonts w:eastAsia="楷体"/>
          <w:color w:val="auto"/>
          <w:sz w:val="28"/>
          <w:szCs w:val="28"/>
          <w:highlight w:val="none"/>
        </w:rPr>
        <w:t>4.为防止再次滑坡，在滑坡体外围布置排水沟槽，截断流至滑坡体上水流，确保滑坡体的稳定。</w:t>
      </w:r>
    </w:p>
    <w:p w14:paraId="47072512">
      <w:pPr>
        <w:spacing w:line="520" w:lineRule="exact"/>
        <w:ind w:firstLine="560" w:firstLineChars="200"/>
        <w:rPr>
          <w:rFonts w:eastAsia="楷体"/>
          <w:color w:val="auto"/>
          <w:sz w:val="28"/>
          <w:szCs w:val="28"/>
          <w:highlight w:val="none"/>
        </w:rPr>
      </w:pPr>
      <w:r>
        <w:rPr>
          <w:rFonts w:eastAsia="楷体"/>
          <w:color w:val="auto"/>
          <w:sz w:val="28"/>
          <w:szCs w:val="28"/>
          <w:highlight w:val="none"/>
        </w:rPr>
        <w:t>5.对滑坡体进行削坡、减载，防止滑坡体产生进一步的滑动。</w:t>
      </w:r>
    </w:p>
    <w:p w14:paraId="50FAD664">
      <w:pPr>
        <w:spacing w:line="520" w:lineRule="exact"/>
        <w:ind w:firstLine="560" w:firstLineChars="200"/>
        <w:rPr>
          <w:rFonts w:eastAsia="楷体"/>
          <w:color w:val="auto"/>
          <w:sz w:val="28"/>
          <w:szCs w:val="28"/>
          <w:highlight w:val="none"/>
        </w:rPr>
      </w:pPr>
      <w:r>
        <w:rPr>
          <w:rFonts w:eastAsia="楷体"/>
          <w:color w:val="auto"/>
          <w:sz w:val="28"/>
          <w:szCs w:val="28"/>
          <w:highlight w:val="none"/>
        </w:rPr>
        <w:t>6.及时转移和疏散滑坡体周围的群众安全撤离，将险情带来的危害降低到最小程度。</w:t>
      </w:r>
    </w:p>
    <w:p w14:paraId="0D03D4DD">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5.2.5 发生溃坝应急抢险措施</w:t>
      </w:r>
    </w:p>
    <w:p w14:paraId="5C1B8CC5">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根据溃坝洪水演算成果分析，溃口坝址最大流量为</w:t>
      </w:r>
      <w:r>
        <w:rPr>
          <w:rFonts w:hint="eastAsia" w:eastAsia="楷体"/>
          <w:color w:val="auto"/>
          <w:sz w:val="28"/>
          <w:szCs w:val="28"/>
          <w:highlight w:val="none"/>
          <w:lang w:val="en-US" w:eastAsia="zh-CN"/>
        </w:rPr>
        <w:t>3200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/s，可导致下游附近镇村被淹没，在接到撤离通知后相关部门应及时组织车辆、人员将淹没区内的群众在洪峰到达前撤离至安全高程以上，具体撤离方式和路线由地方防办制定并组织执行。</w:t>
      </w:r>
    </w:p>
    <w:p w14:paraId="4B7EE1EC">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7EA915C7">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1.警报形式</w:t>
      </w:r>
    </w:p>
    <w:p w14:paraId="5EF057A3">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由泉港区防汛指挥部受权给广播电视部门向社会发出警报，采用广播、电视台、发信号弹。</w:t>
      </w:r>
    </w:p>
    <w:p w14:paraId="29E6D763">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2.出险标志</w:t>
      </w:r>
    </w:p>
    <w:p w14:paraId="163DEF82">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在险段部位用小红旗围住四周，在夜间可采用灯光预警提示。</w:t>
      </w:r>
    </w:p>
    <w:p w14:paraId="03E5795C">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3.解除警报</w:t>
      </w:r>
    </w:p>
    <w:p w14:paraId="696BB9DC">
      <w:pPr>
        <w:spacing w:line="520" w:lineRule="exact"/>
        <w:ind w:firstLine="560" w:firstLineChars="200"/>
        <w:rPr>
          <w:rFonts w:eastAsia="楷体"/>
          <w:color w:val="auto"/>
          <w:sz w:val="28"/>
          <w:szCs w:val="28"/>
          <w:highlight w:val="none"/>
        </w:rPr>
      </w:pPr>
      <w:r>
        <w:rPr>
          <w:rFonts w:eastAsia="楷体"/>
          <w:color w:val="auto"/>
          <w:sz w:val="28"/>
          <w:szCs w:val="28"/>
          <w:highlight w:val="none"/>
        </w:rPr>
        <w:t xml:space="preserve"> 警报解除时，由市防汛应急指挥部受权广播电视部门及有关乡镇通过电视、广播、发信号弹等形式，向社会宣布解除警报。</w:t>
      </w:r>
    </w:p>
    <w:p w14:paraId="2848D230">
      <w:pPr>
        <w:spacing w:line="520" w:lineRule="exact"/>
        <w:ind w:firstLine="560" w:firstLineChars="200"/>
        <w:rPr>
          <w:rFonts w:eastAsia="楷体"/>
          <w:color w:val="auto"/>
          <w:sz w:val="28"/>
          <w:szCs w:val="28"/>
          <w:highlight w:val="none"/>
        </w:rPr>
      </w:pPr>
    </w:p>
    <w:p w14:paraId="23176803">
      <w:pPr>
        <w:spacing w:line="520" w:lineRule="exact"/>
        <w:outlineLvl w:val="1"/>
        <w:rPr>
          <w:rFonts w:eastAsia="楷体"/>
          <w:b/>
          <w:color w:val="auto"/>
          <w:sz w:val="32"/>
          <w:szCs w:val="30"/>
          <w:highlight w:val="none"/>
        </w:rPr>
      </w:pPr>
      <w:bookmarkStart w:id="51" w:name="_Toc8277"/>
      <w:r>
        <w:rPr>
          <w:rFonts w:eastAsia="楷体"/>
          <w:b/>
          <w:color w:val="auto"/>
          <w:sz w:val="32"/>
          <w:szCs w:val="30"/>
          <w:highlight w:val="none"/>
        </w:rPr>
        <w:t>5.3 应急转移</w:t>
      </w:r>
      <w:bookmarkEnd w:id="51"/>
    </w:p>
    <w:p w14:paraId="43CA53A4">
      <w:pPr>
        <w:spacing w:before="156" w:beforeLines="50" w:after="156" w:afterLines="50"/>
        <w:rPr>
          <w:rFonts w:eastAsia="楷体"/>
          <w:color w:val="auto"/>
          <w:sz w:val="32"/>
          <w:szCs w:val="30"/>
          <w:highlight w:val="none"/>
        </w:rPr>
      </w:pPr>
      <w:r>
        <w:rPr>
          <w:rFonts w:eastAsia="楷体"/>
          <w:b/>
          <w:bCs/>
          <w:color w:val="auto"/>
          <w:sz w:val="32"/>
          <w:szCs w:val="30"/>
          <w:highlight w:val="none"/>
        </w:rPr>
        <w:t>5.3.1转移安置方案</w:t>
      </w:r>
    </w:p>
    <w:p w14:paraId="4BBA9671">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597E51DA">
      <w:pPr>
        <w:spacing w:before="156" w:beforeLines="50" w:after="156" w:afterLines="50"/>
        <w:rPr>
          <w:rFonts w:eastAsia="楷体"/>
          <w:color w:val="auto"/>
          <w:sz w:val="32"/>
          <w:szCs w:val="30"/>
          <w:highlight w:val="none"/>
        </w:rPr>
      </w:pPr>
      <w:r>
        <w:rPr>
          <w:rFonts w:eastAsia="楷体"/>
          <w:b/>
          <w:bCs/>
          <w:color w:val="auto"/>
          <w:sz w:val="32"/>
          <w:szCs w:val="30"/>
          <w:highlight w:val="none"/>
        </w:rPr>
        <w:t>5.3.2转移安置的组织实施</w:t>
      </w:r>
    </w:p>
    <w:p w14:paraId="10D52F95">
      <w:pPr>
        <w:spacing w:line="520" w:lineRule="exact"/>
        <w:ind w:firstLine="560" w:firstLineChars="200"/>
        <w:rPr>
          <w:rFonts w:eastAsia="楷体"/>
          <w:color w:val="auto"/>
          <w:sz w:val="28"/>
          <w:szCs w:val="28"/>
          <w:highlight w:val="none"/>
        </w:rPr>
      </w:pPr>
      <w:r>
        <w:rPr>
          <w:rFonts w:eastAsia="楷体"/>
          <w:color w:val="auto"/>
          <w:sz w:val="28"/>
          <w:szCs w:val="28"/>
          <w:highlight w:val="none"/>
        </w:rPr>
        <w:t>下游群众的转移，财产撤离由镇武装部负责。抢险现场的警戒、安全保卫、非防汛的车辆和人员进入由公安局具体负责，同时负责抢险期间枢纽工程建筑物、财产等的安全保卫工作。</w:t>
      </w:r>
    </w:p>
    <w:p w14:paraId="1A784431">
      <w:pPr>
        <w:widowControl/>
        <w:spacing w:line="520" w:lineRule="exact"/>
        <w:rPr>
          <w:rFonts w:eastAsia="楷体"/>
          <w:b/>
          <w:bCs/>
          <w:color w:val="auto"/>
          <w:kern w:val="0"/>
          <w:sz w:val="28"/>
          <w:szCs w:val="28"/>
          <w:highlight w:val="none"/>
        </w:rPr>
      </w:pPr>
      <w:r>
        <w:rPr>
          <w:rFonts w:eastAsia="楷体"/>
          <w:b/>
          <w:bCs/>
          <w:color w:val="auto"/>
          <w:kern w:val="0"/>
          <w:sz w:val="28"/>
          <w:szCs w:val="28"/>
          <w:highlight w:val="none"/>
        </w:rPr>
        <w:t xml:space="preserve">表5-1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各威胁区域撤退点一览表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592DB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0F75B778">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序号</w:t>
            </w:r>
          </w:p>
        </w:tc>
        <w:tc>
          <w:tcPr>
            <w:tcW w:w="2760" w:type="dxa"/>
            <w:noWrap w:val="0"/>
            <w:vAlign w:val="center"/>
          </w:tcPr>
          <w:p w14:paraId="3E1D36ED">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受威胁区域</w:t>
            </w:r>
          </w:p>
        </w:tc>
        <w:tc>
          <w:tcPr>
            <w:tcW w:w="4258" w:type="dxa"/>
            <w:noWrap w:val="0"/>
            <w:vAlign w:val="center"/>
          </w:tcPr>
          <w:p w14:paraId="07F10006">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撤退点</w:t>
            </w:r>
          </w:p>
        </w:tc>
        <w:tc>
          <w:tcPr>
            <w:tcW w:w="1323" w:type="dxa"/>
            <w:noWrap w:val="0"/>
            <w:vAlign w:val="center"/>
          </w:tcPr>
          <w:p w14:paraId="1C4FA410">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备注</w:t>
            </w:r>
          </w:p>
        </w:tc>
      </w:tr>
      <w:tr w14:paraId="37AFF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25F80755">
            <w:pPr>
              <w:widowControl/>
              <w:snapToGrid w:val="0"/>
              <w:spacing w:line="440" w:lineRule="exact"/>
              <w:jc w:val="center"/>
              <w:rPr>
                <w:rFonts w:eastAsia="楷体"/>
                <w:color w:val="auto"/>
                <w:kern w:val="0"/>
                <w:sz w:val="24"/>
                <w:highlight w:val="none"/>
              </w:rPr>
            </w:pPr>
            <w:r>
              <w:rPr>
                <w:rFonts w:eastAsia="楷体"/>
                <w:color w:val="auto"/>
                <w:kern w:val="0"/>
                <w:sz w:val="24"/>
                <w:highlight w:val="none"/>
              </w:rPr>
              <w:t>1</w:t>
            </w:r>
          </w:p>
        </w:tc>
        <w:tc>
          <w:tcPr>
            <w:tcW w:w="2760" w:type="dxa"/>
            <w:noWrap w:val="0"/>
            <w:vAlign w:val="center"/>
          </w:tcPr>
          <w:p w14:paraId="5DEF1EBB">
            <w:pPr>
              <w:widowControl/>
              <w:snapToGrid w:val="0"/>
              <w:spacing w:line="440" w:lineRule="exact"/>
              <w:jc w:val="center"/>
              <w:rPr>
                <w:rFonts w:hint="eastAsia" w:eastAsia="楷体"/>
                <w:color w:val="auto"/>
                <w:kern w:val="0"/>
                <w:sz w:val="24"/>
                <w:highlight w:val="none"/>
              </w:rPr>
            </w:pPr>
            <w:r>
              <w:rPr>
                <w:rFonts w:hint="eastAsia" w:eastAsia="楷体"/>
                <w:color w:val="auto"/>
                <w:kern w:val="0"/>
                <w:sz w:val="24"/>
                <w:highlight w:val="none"/>
              </w:rPr>
              <w:t>前烧村</w:t>
            </w:r>
          </w:p>
        </w:tc>
        <w:tc>
          <w:tcPr>
            <w:tcW w:w="4258" w:type="dxa"/>
            <w:noWrap w:val="0"/>
            <w:vAlign w:val="center"/>
          </w:tcPr>
          <w:p w14:paraId="21D8E251">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前黄镇</w:t>
            </w:r>
            <w:r>
              <w:rPr>
                <w:rFonts w:eastAsia="楷体"/>
                <w:color w:val="auto"/>
                <w:kern w:val="0"/>
                <w:sz w:val="24"/>
                <w:highlight w:val="none"/>
              </w:rPr>
              <w:t>政府、</w:t>
            </w:r>
          </w:p>
          <w:p w14:paraId="489BF000">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各中小学</w:t>
            </w:r>
            <w:r>
              <w:rPr>
                <w:rFonts w:eastAsia="楷体"/>
                <w:color w:val="auto"/>
                <w:kern w:val="0"/>
                <w:sz w:val="24"/>
                <w:highlight w:val="none"/>
              </w:rPr>
              <w:t>等</w:t>
            </w:r>
          </w:p>
        </w:tc>
        <w:tc>
          <w:tcPr>
            <w:tcW w:w="1323" w:type="dxa"/>
            <w:noWrap w:val="0"/>
            <w:vAlign w:val="center"/>
          </w:tcPr>
          <w:p w14:paraId="29D0DE6E">
            <w:pPr>
              <w:widowControl/>
              <w:snapToGrid w:val="0"/>
              <w:spacing w:line="440" w:lineRule="exact"/>
              <w:jc w:val="center"/>
              <w:rPr>
                <w:rFonts w:eastAsia="楷体"/>
                <w:color w:val="auto"/>
                <w:kern w:val="0"/>
                <w:sz w:val="24"/>
                <w:highlight w:val="none"/>
              </w:rPr>
            </w:pPr>
          </w:p>
        </w:tc>
      </w:tr>
    </w:tbl>
    <w:p w14:paraId="6FA844C3">
      <w:pPr>
        <w:spacing w:line="520" w:lineRule="exact"/>
        <w:rPr>
          <w:rFonts w:eastAsia="楷体"/>
          <w:b/>
          <w:bCs/>
          <w:color w:val="auto"/>
          <w:sz w:val="32"/>
          <w:szCs w:val="30"/>
          <w:highlight w:val="none"/>
        </w:rPr>
      </w:pPr>
    </w:p>
    <w:p w14:paraId="368186F5">
      <w:pPr>
        <w:spacing w:line="520" w:lineRule="exact"/>
        <w:rPr>
          <w:rFonts w:eastAsia="楷体"/>
          <w:b/>
          <w:bCs/>
          <w:color w:val="auto"/>
          <w:sz w:val="32"/>
          <w:szCs w:val="30"/>
          <w:highlight w:val="none"/>
        </w:rPr>
      </w:pPr>
    </w:p>
    <w:p w14:paraId="480D7030">
      <w:pPr>
        <w:spacing w:line="520" w:lineRule="exact"/>
        <w:rPr>
          <w:rFonts w:eastAsia="楷体"/>
          <w:b/>
          <w:bCs/>
          <w:color w:val="auto"/>
          <w:sz w:val="32"/>
          <w:szCs w:val="30"/>
          <w:highlight w:val="none"/>
        </w:rPr>
      </w:pPr>
    </w:p>
    <w:p w14:paraId="734B8896">
      <w:pPr>
        <w:spacing w:line="520" w:lineRule="exact"/>
        <w:rPr>
          <w:rFonts w:eastAsia="楷体"/>
          <w:b/>
          <w:bCs/>
          <w:color w:val="auto"/>
          <w:sz w:val="32"/>
          <w:szCs w:val="30"/>
          <w:highlight w:val="none"/>
        </w:rPr>
      </w:pPr>
    </w:p>
    <w:p w14:paraId="1BAE63A8">
      <w:pPr>
        <w:spacing w:line="520" w:lineRule="exact"/>
        <w:rPr>
          <w:rFonts w:eastAsia="楷体"/>
          <w:b/>
          <w:bCs/>
          <w:color w:val="auto"/>
          <w:sz w:val="32"/>
          <w:szCs w:val="30"/>
          <w:highlight w:val="none"/>
        </w:rPr>
      </w:pPr>
    </w:p>
    <w:p w14:paraId="5289BE05">
      <w:pPr>
        <w:spacing w:line="520" w:lineRule="exact"/>
        <w:rPr>
          <w:rFonts w:eastAsia="楷体"/>
          <w:b/>
          <w:bCs/>
          <w:color w:val="auto"/>
          <w:sz w:val="32"/>
          <w:szCs w:val="30"/>
          <w:highlight w:val="none"/>
        </w:rPr>
      </w:pPr>
    </w:p>
    <w:p w14:paraId="6ED7F88E">
      <w:pPr>
        <w:spacing w:line="520" w:lineRule="exact"/>
        <w:rPr>
          <w:rFonts w:eastAsia="楷体"/>
          <w:b/>
          <w:bCs/>
          <w:color w:val="auto"/>
          <w:sz w:val="32"/>
          <w:szCs w:val="30"/>
          <w:highlight w:val="none"/>
        </w:rPr>
      </w:pPr>
    </w:p>
    <w:p w14:paraId="14924713">
      <w:pPr>
        <w:spacing w:line="520" w:lineRule="exact"/>
        <w:rPr>
          <w:rFonts w:eastAsia="楷体"/>
          <w:b/>
          <w:bCs/>
          <w:color w:val="auto"/>
          <w:sz w:val="32"/>
          <w:szCs w:val="30"/>
          <w:highlight w:val="none"/>
        </w:rPr>
      </w:pPr>
    </w:p>
    <w:p w14:paraId="3AD4620D">
      <w:pPr>
        <w:spacing w:line="520" w:lineRule="exact"/>
        <w:rPr>
          <w:rFonts w:eastAsia="楷体"/>
          <w:b/>
          <w:bCs/>
          <w:color w:val="auto"/>
          <w:sz w:val="32"/>
          <w:szCs w:val="30"/>
          <w:highlight w:val="none"/>
        </w:rPr>
      </w:pPr>
    </w:p>
    <w:p w14:paraId="1DB901BC">
      <w:pPr>
        <w:spacing w:line="520" w:lineRule="exact"/>
        <w:rPr>
          <w:rFonts w:eastAsia="楷体"/>
          <w:b/>
          <w:bCs/>
          <w:color w:val="auto"/>
          <w:sz w:val="32"/>
          <w:szCs w:val="30"/>
          <w:highlight w:val="none"/>
        </w:rPr>
      </w:pPr>
    </w:p>
    <w:p w14:paraId="6B61527F">
      <w:pPr>
        <w:spacing w:line="520" w:lineRule="exact"/>
        <w:rPr>
          <w:rFonts w:eastAsia="楷体"/>
          <w:b/>
          <w:bCs/>
          <w:color w:val="auto"/>
          <w:sz w:val="32"/>
          <w:szCs w:val="30"/>
          <w:highlight w:val="none"/>
        </w:rPr>
      </w:pPr>
    </w:p>
    <w:p w14:paraId="19222751">
      <w:pPr>
        <w:adjustRightInd w:val="0"/>
        <w:snapToGrid w:val="0"/>
        <w:spacing w:before="156" w:beforeLines="50" w:after="156" w:afterLines="50" w:line="360" w:lineRule="auto"/>
        <w:jc w:val="center"/>
        <w:outlineLvl w:val="0"/>
        <w:rPr>
          <w:rStyle w:val="53"/>
          <w:rFonts w:eastAsia="楷体"/>
          <w:b/>
          <w:bCs/>
          <w:color w:val="auto"/>
          <w:sz w:val="36"/>
          <w:szCs w:val="36"/>
          <w:highlight w:val="none"/>
        </w:rPr>
      </w:pPr>
      <w:bookmarkStart w:id="52" w:name="_Toc11254"/>
      <w:r>
        <w:rPr>
          <w:rStyle w:val="53"/>
          <w:rFonts w:eastAsia="楷体"/>
          <w:b/>
          <w:bCs/>
          <w:color w:val="auto"/>
          <w:sz w:val="36"/>
          <w:szCs w:val="36"/>
          <w:highlight w:val="none"/>
        </w:rPr>
        <w:t>6 应急保障</w:t>
      </w:r>
      <w:bookmarkEnd w:id="52"/>
    </w:p>
    <w:p w14:paraId="338AEF51">
      <w:pPr>
        <w:spacing w:line="520" w:lineRule="exact"/>
        <w:ind w:firstLine="560" w:firstLineChars="200"/>
        <w:rPr>
          <w:rFonts w:eastAsia="楷体"/>
          <w:color w:val="auto"/>
          <w:sz w:val="28"/>
          <w:szCs w:val="28"/>
          <w:highlight w:val="none"/>
        </w:rPr>
      </w:pPr>
      <w:r>
        <w:rPr>
          <w:rFonts w:eastAsia="楷体"/>
          <w:color w:val="auto"/>
          <w:sz w:val="28"/>
          <w:szCs w:val="28"/>
          <w:highlight w:val="none"/>
        </w:rPr>
        <w:t>依照《防洪法》规定，防洪抢险必须实行行政首长负责，根据分级分部门负责的原则，成立前烧水库防洪抢险应急指挥部，指挥部成员由前烧水库防汛工作领导小组成员组成，具体负责水库防洪抢险、防灾减灾及灾后恢复工作的统一领导和指挥，在保障工作全面、有序开展的同时，各领导成员按照职责必须负责具体的工作。</w:t>
      </w:r>
    </w:p>
    <w:p w14:paraId="2A7BE4AA">
      <w:pPr>
        <w:spacing w:before="156" w:beforeLines="50" w:after="156" w:afterLines="50" w:line="360" w:lineRule="auto"/>
        <w:outlineLvl w:val="1"/>
        <w:rPr>
          <w:rFonts w:eastAsia="楷体"/>
          <w:b/>
          <w:color w:val="auto"/>
          <w:sz w:val="32"/>
          <w:szCs w:val="30"/>
          <w:highlight w:val="none"/>
        </w:rPr>
      </w:pPr>
      <w:bookmarkStart w:id="53" w:name="_Toc24772"/>
      <w:r>
        <w:rPr>
          <w:rFonts w:eastAsia="楷体"/>
          <w:b/>
          <w:color w:val="auto"/>
          <w:sz w:val="32"/>
          <w:szCs w:val="30"/>
          <w:highlight w:val="none"/>
        </w:rPr>
        <w:t>6.1 组织保障</w:t>
      </w:r>
      <w:bookmarkEnd w:id="53"/>
    </w:p>
    <w:p w14:paraId="198978F1">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val="en-US" w:eastAsia="zh-CN"/>
        </w:rPr>
        <w:t>前烧</w:t>
      </w:r>
      <w:r>
        <w:rPr>
          <w:rFonts w:eastAsia="楷体"/>
          <w:color w:val="auto"/>
          <w:sz w:val="28"/>
          <w:szCs w:val="28"/>
          <w:highlight w:val="none"/>
        </w:rPr>
        <w:t>水库20</w:t>
      </w:r>
      <w:r>
        <w:rPr>
          <w:rFonts w:hint="eastAsia" w:eastAsia="楷体"/>
          <w:color w:val="auto"/>
          <w:sz w:val="28"/>
          <w:szCs w:val="28"/>
          <w:highlight w:val="none"/>
          <w:lang w:val="en-US" w:eastAsia="zh-CN"/>
        </w:rPr>
        <w:t>26</w:t>
      </w:r>
      <w:r>
        <w:rPr>
          <w:rFonts w:eastAsia="楷体"/>
          <w:color w:val="auto"/>
          <w:sz w:val="28"/>
          <w:szCs w:val="28"/>
          <w:highlight w:val="none"/>
        </w:rPr>
        <w:t>年防汛工作的顺利进行，成立</w:t>
      </w:r>
      <w:r>
        <w:rPr>
          <w:rFonts w:hint="eastAsia" w:eastAsia="楷体"/>
          <w:color w:val="auto"/>
          <w:sz w:val="28"/>
          <w:szCs w:val="28"/>
          <w:highlight w:val="none"/>
          <w:lang w:val="en-US" w:eastAsia="zh-CN"/>
        </w:rPr>
        <w:t>前烧</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6B00B686">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4-1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1457"/>
        <w:gridCol w:w="1589"/>
        <w:gridCol w:w="3028"/>
        <w:gridCol w:w="1796"/>
      </w:tblGrid>
      <w:tr w14:paraId="4AA08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07" w:type="dxa"/>
            <w:noWrap w:val="0"/>
            <w:vAlign w:val="center"/>
          </w:tcPr>
          <w:p w14:paraId="127854F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457" w:type="dxa"/>
            <w:noWrap w:val="0"/>
            <w:vAlign w:val="center"/>
          </w:tcPr>
          <w:p w14:paraId="60E8F21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589" w:type="dxa"/>
            <w:noWrap w:val="0"/>
            <w:vAlign w:val="center"/>
          </w:tcPr>
          <w:p w14:paraId="0C5AF22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3028" w:type="dxa"/>
            <w:noWrap w:val="0"/>
            <w:vAlign w:val="center"/>
          </w:tcPr>
          <w:p w14:paraId="053346F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796" w:type="dxa"/>
            <w:noWrap w:val="0"/>
            <w:vAlign w:val="center"/>
          </w:tcPr>
          <w:p w14:paraId="2FDBA0B0">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6F819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7" w:type="dxa"/>
            <w:noWrap w:val="0"/>
            <w:vAlign w:val="center"/>
          </w:tcPr>
          <w:p w14:paraId="344EB60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457" w:type="dxa"/>
            <w:noWrap w:val="0"/>
            <w:vAlign w:val="center"/>
          </w:tcPr>
          <w:p w14:paraId="09297BF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89" w:type="dxa"/>
            <w:noWrap w:val="0"/>
            <w:vAlign w:val="center"/>
          </w:tcPr>
          <w:p w14:paraId="11DA18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3028" w:type="dxa"/>
            <w:noWrap w:val="0"/>
            <w:vAlign w:val="center"/>
          </w:tcPr>
          <w:p w14:paraId="76380DC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796" w:type="dxa"/>
            <w:noWrap w:val="0"/>
            <w:vAlign w:val="center"/>
          </w:tcPr>
          <w:p w14:paraId="0F00C35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6A87A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7" w:type="dxa"/>
            <w:noWrap w:val="0"/>
            <w:vAlign w:val="center"/>
          </w:tcPr>
          <w:p w14:paraId="172BB5E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457" w:type="dxa"/>
            <w:noWrap w:val="0"/>
            <w:vAlign w:val="center"/>
          </w:tcPr>
          <w:p w14:paraId="6ACFA4F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589" w:type="dxa"/>
            <w:noWrap w:val="0"/>
            <w:vAlign w:val="center"/>
          </w:tcPr>
          <w:p w14:paraId="7AA06CE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3028" w:type="dxa"/>
            <w:noWrap w:val="0"/>
            <w:vAlign w:val="center"/>
          </w:tcPr>
          <w:p w14:paraId="22A3A16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796" w:type="dxa"/>
            <w:noWrap w:val="0"/>
            <w:vAlign w:val="center"/>
          </w:tcPr>
          <w:p w14:paraId="28C9E20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09572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7" w:type="dxa"/>
            <w:noWrap w:val="0"/>
            <w:vAlign w:val="center"/>
          </w:tcPr>
          <w:p w14:paraId="2C160A00">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457" w:type="dxa"/>
            <w:noWrap w:val="0"/>
            <w:vAlign w:val="center"/>
          </w:tcPr>
          <w:p w14:paraId="7091052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589" w:type="dxa"/>
            <w:noWrap w:val="0"/>
            <w:vAlign w:val="center"/>
          </w:tcPr>
          <w:p w14:paraId="7CC72E75">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贾义海</w:t>
            </w:r>
          </w:p>
        </w:tc>
        <w:tc>
          <w:tcPr>
            <w:tcW w:w="3028" w:type="dxa"/>
            <w:noWrap w:val="0"/>
            <w:vAlign w:val="center"/>
          </w:tcPr>
          <w:p w14:paraId="0B2285F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镇党委委员、人武部部长</w:t>
            </w:r>
          </w:p>
        </w:tc>
        <w:tc>
          <w:tcPr>
            <w:tcW w:w="1796" w:type="dxa"/>
            <w:noWrap w:val="0"/>
            <w:vAlign w:val="center"/>
          </w:tcPr>
          <w:p w14:paraId="552C712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7F7E0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7" w:type="dxa"/>
            <w:noWrap w:val="0"/>
            <w:vAlign w:val="center"/>
          </w:tcPr>
          <w:p w14:paraId="096F3D6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457" w:type="dxa"/>
            <w:noWrap w:val="0"/>
            <w:vAlign w:val="center"/>
          </w:tcPr>
          <w:p w14:paraId="1884B4B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89" w:type="dxa"/>
            <w:noWrap w:val="0"/>
            <w:vAlign w:val="center"/>
          </w:tcPr>
          <w:p w14:paraId="01AD2AF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3028" w:type="dxa"/>
            <w:noWrap w:val="0"/>
            <w:vAlign w:val="center"/>
          </w:tcPr>
          <w:p w14:paraId="7FE330C5">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auto"/>
                <w:kern w:val="0"/>
                <w:sz w:val="24"/>
                <w:szCs w:val="24"/>
                <w:highlight w:val="none"/>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796" w:type="dxa"/>
            <w:noWrap w:val="0"/>
            <w:vAlign w:val="center"/>
          </w:tcPr>
          <w:p w14:paraId="0E95997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i w:val="0"/>
                <w:color w:val="auto"/>
                <w:kern w:val="0"/>
                <w:sz w:val="24"/>
                <w:szCs w:val="24"/>
                <w:highlight w:val="none"/>
                <w:u w:val="none"/>
                <w:lang w:val="en-US" w:eastAsia="zh-CN" w:bidi="ar"/>
              </w:rPr>
            </w:pPr>
            <w:r>
              <w:rPr>
                <w:rFonts w:hint="eastAsia" w:eastAsia="楷体" w:cs="Times New Roman"/>
                <w:color w:val="auto"/>
                <w:sz w:val="24"/>
                <w:szCs w:val="24"/>
                <w:highlight w:val="none"/>
                <w:lang w:val="en-US" w:eastAsia="zh-CN"/>
              </w:rPr>
              <w:t>87966081</w:t>
            </w:r>
          </w:p>
        </w:tc>
      </w:tr>
      <w:tr w14:paraId="26115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7" w:type="dxa"/>
            <w:noWrap w:val="0"/>
            <w:vAlign w:val="center"/>
          </w:tcPr>
          <w:p w14:paraId="61F2B65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457" w:type="dxa"/>
            <w:noWrap w:val="0"/>
            <w:vAlign w:val="center"/>
          </w:tcPr>
          <w:p w14:paraId="786D53B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89" w:type="dxa"/>
            <w:noWrap w:val="0"/>
            <w:vAlign w:val="center"/>
          </w:tcPr>
          <w:p w14:paraId="12AE6FA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肖美金</w:t>
            </w:r>
          </w:p>
        </w:tc>
        <w:tc>
          <w:tcPr>
            <w:tcW w:w="3028" w:type="dxa"/>
            <w:noWrap w:val="0"/>
            <w:vAlign w:val="center"/>
          </w:tcPr>
          <w:p w14:paraId="30220323">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rPr>
              <w:t>镇社会事务服务中心主任</w:t>
            </w:r>
          </w:p>
        </w:tc>
        <w:tc>
          <w:tcPr>
            <w:tcW w:w="1796" w:type="dxa"/>
            <w:noWrap w:val="0"/>
            <w:vAlign w:val="center"/>
          </w:tcPr>
          <w:p w14:paraId="08E73B9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87966515</w:t>
            </w:r>
          </w:p>
        </w:tc>
      </w:tr>
    </w:tbl>
    <w:p w14:paraId="4138FEAE">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15495F01">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2DB52EF4">
      <w:pPr>
        <w:spacing w:before="156" w:beforeLines="50" w:after="156" w:afterLines="50" w:line="360" w:lineRule="auto"/>
        <w:outlineLvl w:val="1"/>
        <w:rPr>
          <w:rFonts w:eastAsia="楷体"/>
          <w:b/>
          <w:color w:val="auto"/>
          <w:sz w:val="32"/>
          <w:szCs w:val="30"/>
          <w:highlight w:val="none"/>
        </w:rPr>
      </w:pPr>
      <w:bookmarkStart w:id="54" w:name="_Toc29561"/>
      <w:r>
        <w:rPr>
          <w:rFonts w:eastAsia="楷体"/>
          <w:b/>
          <w:color w:val="auto"/>
          <w:sz w:val="32"/>
          <w:szCs w:val="30"/>
          <w:highlight w:val="none"/>
        </w:rPr>
        <w:t>6.2 队伍保障</w:t>
      </w:r>
      <w:bookmarkEnd w:id="54"/>
    </w:p>
    <w:p w14:paraId="6DE73E21">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6.2.1 专业抢险队</w:t>
      </w:r>
    </w:p>
    <w:p w14:paraId="0ED11AF7">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由水库行政主管部门、水库工程管理单位的技术人员、武装部、武警中队、属地乡镇民兵组成，主要负责对大坝、溢洪道重点部位的抢险，采取切实有效的保坝措施，保证大坝的安全，尽力减少洪水灾害。</w:t>
      </w:r>
    </w:p>
    <w:p w14:paraId="2A67DF1F">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6.2.2 群众抢险队</w:t>
      </w:r>
    </w:p>
    <w:p w14:paraId="3B65F2BA">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w:t>
      </w:r>
      <w:r>
        <w:rPr>
          <w:rFonts w:hint="eastAsia" w:eastAsia="楷体"/>
          <w:color w:val="auto"/>
          <w:kern w:val="0"/>
          <w:sz w:val="28"/>
          <w:szCs w:val="28"/>
          <w:highlight w:val="none"/>
        </w:rPr>
        <w:t>前黄镇</w:t>
      </w:r>
      <w:r>
        <w:rPr>
          <w:rFonts w:eastAsia="楷体"/>
          <w:color w:val="auto"/>
          <w:kern w:val="0"/>
          <w:sz w:val="28"/>
          <w:szCs w:val="28"/>
          <w:highlight w:val="none"/>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30A9D8CF">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6.2.3 人民解放军、武警部队</w:t>
      </w:r>
    </w:p>
    <w:p w14:paraId="439A9A5D">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6FEF87B1">
      <w:pPr>
        <w:spacing w:before="156" w:beforeLines="50" w:after="156" w:afterLines="50" w:line="360" w:lineRule="auto"/>
        <w:outlineLvl w:val="1"/>
        <w:rPr>
          <w:rFonts w:eastAsia="楷体"/>
          <w:b/>
          <w:color w:val="auto"/>
          <w:sz w:val="32"/>
          <w:szCs w:val="30"/>
          <w:highlight w:val="none"/>
        </w:rPr>
      </w:pPr>
      <w:bookmarkStart w:id="55" w:name="_Toc16237"/>
      <w:r>
        <w:rPr>
          <w:rFonts w:eastAsia="楷体"/>
          <w:b/>
          <w:color w:val="auto"/>
          <w:sz w:val="32"/>
          <w:szCs w:val="30"/>
          <w:highlight w:val="none"/>
        </w:rPr>
        <w:t>6.3 物资保障</w:t>
      </w:r>
      <w:bookmarkEnd w:id="55"/>
    </w:p>
    <w:p w14:paraId="5362A3DE">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防洪期间为保证抢险工作落到实处，抢险物资的储备是必不可少的。根据前烧水库工程情况，在水库防汛仓库派专人负责储备物资的管理工作。</w:t>
      </w:r>
    </w:p>
    <w:p w14:paraId="4DB0B786">
      <w:pPr>
        <w:widowControl/>
        <w:spacing w:line="520" w:lineRule="exact"/>
        <w:rPr>
          <w:rFonts w:eastAsia="楷体"/>
          <w:b/>
          <w:bCs/>
          <w:color w:val="auto"/>
          <w:sz w:val="28"/>
          <w:szCs w:val="28"/>
          <w:highlight w:val="none"/>
        </w:rPr>
      </w:pPr>
      <w:bookmarkStart w:id="56" w:name="_Toc18695"/>
    </w:p>
    <w:p w14:paraId="0E585471">
      <w:pPr>
        <w:widowControl/>
        <w:spacing w:line="520" w:lineRule="exact"/>
        <w:rPr>
          <w:rFonts w:eastAsia="楷体"/>
          <w:b/>
          <w:bCs/>
          <w:color w:val="auto"/>
          <w:sz w:val="28"/>
          <w:szCs w:val="28"/>
          <w:highlight w:val="none"/>
        </w:rPr>
      </w:pPr>
    </w:p>
    <w:p w14:paraId="41AD37C8">
      <w:pPr>
        <w:widowControl/>
        <w:spacing w:line="520" w:lineRule="exact"/>
        <w:rPr>
          <w:rFonts w:eastAsia="楷体"/>
          <w:b/>
          <w:bCs/>
          <w:color w:val="auto"/>
          <w:sz w:val="28"/>
          <w:szCs w:val="28"/>
          <w:highlight w:val="none"/>
        </w:rPr>
      </w:pPr>
    </w:p>
    <w:p w14:paraId="0A85D36A">
      <w:pPr>
        <w:widowControl/>
        <w:spacing w:line="520" w:lineRule="exact"/>
        <w:rPr>
          <w:rFonts w:eastAsia="楷体"/>
          <w:b/>
          <w:bCs/>
          <w:color w:val="auto"/>
          <w:sz w:val="28"/>
          <w:szCs w:val="28"/>
          <w:highlight w:val="none"/>
        </w:rPr>
      </w:pPr>
    </w:p>
    <w:p w14:paraId="65DE9D34">
      <w:pPr>
        <w:widowControl/>
        <w:spacing w:line="520" w:lineRule="exact"/>
        <w:rPr>
          <w:rFonts w:eastAsia="楷体"/>
          <w:b/>
          <w:bCs/>
          <w:color w:val="auto"/>
          <w:sz w:val="28"/>
          <w:szCs w:val="28"/>
          <w:highlight w:val="none"/>
        </w:rPr>
      </w:pPr>
    </w:p>
    <w:p w14:paraId="428EAA36">
      <w:pPr>
        <w:pStyle w:val="9"/>
        <w:rPr>
          <w:rFonts w:eastAsia="楷体"/>
          <w:b/>
          <w:bCs/>
          <w:color w:val="auto"/>
          <w:sz w:val="28"/>
          <w:szCs w:val="28"/>
          <w:highlight w:val="none"/>
        </w:rPr>
      </w:pPr>
    </w:p>
    <w:p w14:paraId="01917FBD">
      <w:pPr>
        <w:pStyle w:val="9"/>
        <w:rPr>
          <w:rFonts w:eastAsia="楷体"/>
          <w:b/>
          <w:bCs/>
          <w:color w:val="auto"/>
          <w:sz w:val="28"/>
          <w:szCs w:val="28"/>
          <w:highlight w:val="none"/>
        </w:rPr>
      </w:pPr>
    </w:p>
    <w:p w14:paraId="747EC59F">
      <w:pPr>
        <w:widowControl/>
        <w:spacing w:line="520" w:lineRule="exact"/>
        <w:rPr>
          <w:rFonts w:eastAsia="楷体"/>
          <w:b/>
          <w:bCs/>
          <w:color w:val="auto"/>
          <w:sz w:val="28"/>
          <w:szCs w:val="28"/>
          <w:highlight w:val="none"/>
        </w:rPr>
      </w:pPr>
      <w:r>
        <w:rPr>
          <w:rFonts w:eastAsia="楷体"/>
          <w:b/>
          <w:bCs/>
          <w:color w:val="auto"/>
          <w:sz w:val="28"/>
          <w:szCs w:val="28"/>
          <w:highlight w:val="none"/>
        </w:rPr>
        <w:t xml:space="preserve">表6-2        </w:t>
      </w:r>
      <w:r>
        <w:rPr>
          <w:rFonts w:hint="eastAsia" w:eastAsia="楷体"/>
          <w:b/>
          <w:bCs/>
          <w:color w:val="auto"/>
          <w:sz w:val="28"/>
          <w:szCs w:val="28"/>
          <w:highlight w:val="none"/>
        </w:rPr>
        <w:t xml:space="preserve">     </w:t>
      </w:r>
      <w:r>
        <w:rPr>
          <w:rFonts w:eastAsia="楷体"/>
          <w:b/>
          <w:bCs/>
          <w:color w:val="auto"/>
          <w:sz w:val="28"/>
          <w:szCs w:val="28"/>
          <w:highlight w:val="none"/>
        </w:rPr>
        <w:t>水库现场抢险物资配备明细表</w:t>
      </w:r>
      <w:bookmarkEnd w:id="56"/>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703"/>
        <w:gridCol w:w="3086"/>
        <w:gridCol w:w="1776"/>
        <w:gridCol w:w="1777"/>
      </w:tblGrid>
      <w:tr w14:paraId="0EE994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6" w:hRule="atLeast"/>
        </w:trPr>
        <w:tc>
          <w:tcPr>
            <w:tcW w:w="1703" w:type="dxa"/>
            <w:noWrap w:val="0"/>
            <w:vAlign w:val="center"/>
          </w:tcPr>
          <w:p w14:paraId="41601653">
            <w:pPr>
              <w:widowControl/>
              <w:spacing w:line="440" w:lineRule="exact"/>
              <w:jc w:val="center"/>
              <w:textAlignment w:val="center"/>
              <w:rPr>
                <w:rFonts w:hint="default" w:ascii="Times New Roman" w:hAnsi="Times New Roman" w:eastAsia="楷体" w:cs="Times New Roman"/>
                <w:color w:val="auto"/>
                <w:sz w:val="24"/>
                <w:highlight w:val="none"/>
              </w:rPr>
            </w:pPr>
            <w:bookmarkStart w:id="57" w:name="_Toc14017"/>
            <w:r>
              <w:rPr>
                <w:rFonts w:hint="default" w:ascii="Times New Roman" w:hAnsi="Times New Roman" w:eastAsia="楷体" w:cs="Times New Roman"/>
                <w:color w:val="auto"/>
                <w:kern w:val="0"/>
                <w:sz w:val="24"/>
                <w:highlight w:val="none"/>
                <w:lang w:bidi="ar"/>
              </w:rPr>
              <w:t>序号</w:t>
            </w:r>
          </w:p>
        </w:tc>
        <w:tc>
          <w:tcPr>
            <w:tcW w:w="3086" w:type="dxa"/>
            <w:noWrap w:val="0"/>
            <w:vAlign w:val="center"/>
          </w:tcPr>
          <w:p w14:paraId="1712C4B9">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品  名</w:t>
            </w:r>
          </w:p>
        </w:tc>
        <w:tc>
          <w:tcPr>
            <w:tcW w:w="1776" w:type="dxa"/>
            <w:noWrap w:val="0"/>
            <w:vAlign w:val="center"/>
          </w:tcPr>
          <w:p w14:paraId="049A6DF0">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单位</w:t>
            </w:r>
          </w:p>
        </w:tc>
        <w:tc>
          <w:tcPr>
            <w:tcW w:w="1777" w:type="dxa"/>
            <w:noWrap w:val="0"/>
            <w:vAlign w:val="center"/>
          </w:tcPr>
          <w:p w14:paraId="45C17143">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S</w:t>
            </w:r>
            <w:r>
              <w:rPr>
                <w:rFonts w:hint="default" w:ascii="Times New Roman" w:hAnsi="Times New Roman" w:eastAsia="楷体" w:cs="Times New Roman"/>
                <w:color w:val="auto"/>
                <w:kern w:val="0"/>
                <w:sz w:val="24"/>
                <w:highlight w:val="none"/>
                <w:vertAlign w:val="subscript"/>
                <w:lang w:bidi="ar"/>
              </w:rPr>
              <w:t>库</w:t>
            </w:r>
          </w:p>
        </w:tc>
      </w:tr>
      <w:tr w14:paraId="79D2F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7D2B0F68">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一</w:t>
            </w:r>
          </w:p>
        </w:tc>
        <w:tc>
          <w:tcPr>
            <w:tcW w:w="3086" w:type="dxa"/>
            <w:noWrap w:val="0"/>
            <w:vAlign w:val="center"/>
          </w:tcPr>
          <w:p w14:paraId="07B0D41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抢险物料</w:t>
            </w:r>
          </w:p>
        </w:tc>
        <w:tc>
          <w:tcPr>
            <w:tcW w:w="1776" w:type="dxa"/>
            <w:noWrap w:val="0"/>
            <w:vAlign w:val="center"/>
          </w:tcPr>
          <w:p w14:paraId="553A6075">
            <w:pPr>
              <w:widowControl/>
              <w:spacing w:line="440" w:lineRule="exact"/>
              <w:jc w:val="center"/>
              <w:rPr>
                <w:rFonts w:hint="default" w:ascii="Times New Roman" w:hAnsi="Times New Roman" w:eastAsia="楷体" w:cs="Times New Roman"/>
                <w:color w:val="auto"/>
                <w:sz w:val="24"/>
                <w:highlight w:val="none"/>
              </w:rPr>
            </w:pPr>
          </w:p>
        </w:tc>
        <w:tc>
          <w:tcPr>
            <w:tcW w:w="1777" w:type="dxa"/>
            <w:noWrap w:val="0"/>
            <w:vAlign w:val="center"/>
          </w:tcPr>
          <w:p w14:paraId="262D3D7F">
            <w:pPr>
              <w:widowControl/>
              <w:spacing w:line="440" w:lineRule="exact"/>
              <w:jc w:val="center"/>
              <w:rPr>
                <w:rFonts w:hint="default" w:ascii="Times New Roman" w:hAnsi="Times New Roman" w:eastAsia="楷体" w:cs="Times New Roman"/>
                <w:color w:val="auto"/>
                <w:sz w:val="24"/>
                <w:highlight w:val="none"/>
              </w:rPr>
            </w:pPr>
          </w:p>
        </w:tc>
      </w:tr>
      <w:tr w14:paraId="50D382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12933770">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c>
          <w:tcPr>
            <w:tcW w:w="3086" w:type="dxa"/>
            <w:noWrap w:val="0"/>
            <w:vAlign w:val="center"/>
          </w:tcPr>
          <w:p w14:paraId="10FBE3A8">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袋类</w:t>
            </w:r>
          </w:p>
        </w:tc>
        <w:tc>
          <w:tcPr>
            <w:tcW w:w="1776" w:type="dxa"/>
            <w:noWrap w:val="0"/>
            <w:vAlign w:val="center"/>
          </w:tcPr>
          <w:p w14:paraId="01F83423">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条</w:t>
            </w:r>
          </w:p>
        </w:tc>
        <w:tc>
          <w:tcPr>
            <w:tcW w:w="1777" w:type="dxa"/>
            <w:noWrap w:val="0"/>
            <w:vAlign w:val="center"/>
          </w:tcPr>
          <w:p w14:paraId="016B942A">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4500</w:t>
            </w:r>
          </w:p>
        </w:tc>
      </w:tr>
      <w:tr w14:paraId="7AE759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28B8CC71">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2</w:t>
            </w:r>
          </w:p>
        </w:tc>
        <w:tc>
          <w:tcPr>
            <w:tcW w:w="3086" w:type="dxa"/>
            <w:noWrap w:val="0"/>
            <w:vAlign w:val="center"/>
          </w:tcPr>
          <w:p w14:paraId="5E2DDD99">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土工布</w:t>
            </w:r>
          </w:p>
        </w:tc>
        <w:tc>
          <w:tcPr>
            <w:tcW w:w="1776" w:type="dxa"/>
            <w:noWrap w:val="0"/>
            <w:vAlign w:val="center"/>
          </w:tcPr>
          <w:p w14:paraId="360727C8">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m</w:t>
            </w:r>
            <w:r>
              <w:rPr>
                <w:rFonts w:hint="default" w:ascii="Times New Roman" w:hAnsi="Times New Roman" w:eastAsia="楷体" w:cs="Times New Roman"/>
                <w:color w:val="auto"/>
                <w:kern w:val="0"/>
                <w:sz w:val="24"/>
                <w:highlight w:val="none"/>
                <w:vertAlign w:val="superscript"/>
                <w:lang w:bidi="ar"/>
              </w:rPr>
              <w:t>2</w:t>
            </w:r>
          </w:p>
        </w:tc>
        <w:tc>
          <w:tcPr>
            <w:tcW w:w="1777" w:type="dxa"/>
            <w:noWrap w:val="0"/>
            <w:vAlign w:val="center"/>
          </w:tcPr>
          <w:p w14:paraId="0BCD9C3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2000</w:t>
            </w:r>
          </w:p>
        </w:tc>
      </w:tr>
      <w:tr w14:paraId="1E145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2E5BAEE0">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3</w:t>
            </w:r>
          </w:p>
        </w:tc>
        <w:tc>
          <w:tcPr>
            <w:tcW w:w="3086" w:type="dxa"/>
            <w:noWrap w:val="0"/>
            <w:vAlign w:val="center"/>
          </w:tcPr>
          <w:p w14:paraId="18B0A6C5">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砂石料</w:t>
            </w:r>
          </w:p>
        </w:tc>
        <w:tc>
          <w:tcPr>
            <w:tcW w:w="1776" w:type="dxa"/>
            <w:noWrap w:val="0"/>
            <w:vAlign w:val="center"/>
          </w:tcPr>
          <w:p w14:paraId="2989021C">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m</w:t>
            </w:r>
            <w:r>
              <w:rPr>
                <w:rFonts w:hint="default" w:ascii="Times New Roman" w:hAnsi="Times New Roman" w:eastAsia="楷体" w:cs="Times New Roman"/>
                <w:color w:val="auto"/>
                <w:kern w:val="0"/>
                <w:sz w:val="24"/>
                <w:highlight w:val="none"/>
                <w:vertAlign w:val="superscript"/>
                <w:lang w:bidi="ar"/>
              </w:rPr>
              <w:t>3</w:t>
            </w:r>
          </w:p>
        </w:tc>
        <w:tc>
          <w:tcPr>
            <w:tcW w:w="1777" w:type="dxa"/>
            <w:noWrap w:val="0"/>
            <w:vAlign w:val="center"/>
          </w:tcPr>
          <w:p w14:paraId="736D6A0B">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500</w:t>
            </w:r>
          </w:p>
        </w:tc>
      </w:tr>
      <w:tr w14:paraId="79EBAE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78D69F33">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4</w:t>
            </w:r>
          </w:p>
        </w:tc>
        <w:tc>
          <w:tcPr>
            <w:tcW w:w="3086" w:type="dxa"/>
            <w:noWrap w:val="0"/>
            <w:vAlign w:val="center"/>
          </w:tcPr>
          <w:p w14:paraId="4D4A51A2">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块石</w:t>
            </w:r>
          </w:p>
        </w:tc>
        <w:tc>
          <w:tcPr>
            <w:tcW w:w="1776" w:type="dxa"/>
            <w:noWrap w:val="0"/>
            <w:vAlign w:val="center"/>
          </w:tcPr>
          <w:p w14:paraId="3BC33DFB">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m</w:t>
            </w:r>
            <w:r>
              <w:rPr>
                <w:rFonts w:hint="default" w:ascii="Times New Roman" w:hAnsi="Times New Roman" w:eastAsia="楷体" w:cs="Times New Roman"/>
                <w:color w:val="auto"/>
                <w:kern w:val="0"/>
                <w:sz w:val="24"/>
                <w:highlight w:val="none"/>
                <w:vertAlign w:val="superscript"/>
                <w:lang w:bidi="ar"/>
              </w:rPr>
              <w:t>3</w:t>
            </w:r>
          </w:p>
        </w:tc>
        <w:tc>
          <w:tcPr>
            <w:tcW w:w="1777" w:type="dxa"/>
            <w:noWrap w:val="0"/>
            <w:vAlign w:val="center"/>
          </w:tcPr>
          <w:p w14:paraId="6F528571">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500</w:t>
            </w:r>
          </w:p>
        </w:tc>
      </w:tr>
      <w:tr w14:paraId="59EB33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6E3206FD">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w:t>
            </w:r>
          </w:p>
        </w:tc>
        <w:tc>
          <w:tcPr>
            <w:tcW w:w="3086" w:type="dxa"/>
            <w:noWrap w:val="0"/>
            <w:vAlign w:val="center"/>
          </w:tcPr>
          <w:p w14:paraId="3909F85A">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铅丝</w:t>
            </w:r>
          </w:p>
        </w:tc>
        <w:tc>
          <w:tcPr>
            <w:tcW w:w="1776" w:type="dxa"/>
            <w:noWrap w:val="0"/>
            <w:vAlign w:val="center"/>
          </w:tcPr>
          <w:p w14:paraId="6C60A67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kg</w:t>
            </w:r>
          </w:p>
        </w:tc>
        <w:tc>
          <w:tcPr>
            <w:tcW w:w="1777" w:type="dxa"/>
            <w:noWrap w:val="0"/>
            <w:vAlign w:val="center"/>
          </w:tcPr>
          <w:p w14:paraId="28A7993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500</w:t>
            </w:r>
          </w:p>
        </w:tc>
      </w:tr>
      <w:tr w14:paraId="62D2FB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36D0E9EB">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6</w:t>
            </w:r>
          </w:p>
        </w:tc>
        <w:tc>
          <w:tcPr>
            <w:tcW w:w="3086" w:type="dxa"/>
            <w:noWrap w:val="0"/>
            <w:vAlign w:val="center"/>
          </w:tcPr>
          <w:p w14:paraId="3A175DDA">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桩木</w:t>
            </w:r>
          </w:p>
        </w:tc>
        <w:tc>
          <w:tcPr>
            <w:tcW w:w="1776" w:type="dxa"/>
            <w:noWrap w:val="0"/>
            <w:vAlign w:val="center"/>
          </w:tcPr>
          <w:p w14:paraId="516E210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m</w:t>
            </w:r>
            <w:r>
              <w:rPr>
                <w:rFonts w:hint="default" w:ascii="Times New Roman" w:hAnsi="Times New Roman" w:eastAsia="楷体" w:cs="Times New Roman"/>
                <w:color w:val="auto"/>
                <w:kern w:val="0"/>
                <w:sz w:val="24"/>
                <w:highlight w:val="none"/>
                <w:vertAlign w:val="superscript"/>
                <w:lang w:bidi="ar"/>
              </w:rPr>
              <w:t>3</w:t>
            </w:r>
          </w:p>
        </w:tc>
        <w:tc>
          <w:tcPr>
            <w:tcW w:w="1777" w:type="dxa"/>
            <w:noWrap w:val="0"/>
            <w:vAlign w:val="center"/>
          </w:tcPr>
          <w:p w14:paraId="31F1315F">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r>
      <w:tr w14:paraId="0177EF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65BFEE8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二</w:t>
            </w:r>
          </w:p>
        </w:tc>
        <w:tc>
          <w:tcPr>
            <w:tcW w:w="3086" w:type="dxa"/>
            <w:noWrap w:val="0"/>
            <w:vAlign w:val="center"/>
          </w:tcPr>
          <w:p w14:paraId="3F345665">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救生器材</w:t>
            </w:r>
          </w:p>
        </w:tc>
        <w:tc>
          <w:tcPr>
            <w:tcW w:w="1776" w:type="dxa"/>
            <w:noWrap w:val="0"/>
            <w:vAlign w:val="center"/>
          </w:tcPr>
          <w:p w14:paraId="05E4CD6F">
            <w:pPr>
              <w:widowControl/>
              <w:spacing w:line="440" w:lineRule="exact"/>
              <w:jc w:val="center"/>
              <w:rPr>
                <w:rFonts w:hint="default" w:ascii="Times New Roman" w:hAnsi="Times New Roman" w:eastAsia="楷体" w:cs="Times New Roman"/>
                <w:color w:val="auto"/>
                <w:sz w:val="24"/>
                <w:highlight w:val="none"/>
              </w:rPr>
            </w:pPr>
          </w:p>
        </w:tc>
        <w:tc>
          <w:tcPr>
            <w:tcW w:w="1777" w:type="dxa"/>
            <w:noWrap w:val="0"/>
            <w:vAlign w:val="center"/>
          </w:tcPr>
          <w:p w14:paraId="5426A54E">
            <w:pPr>
              <w:widowControl/>
              <w:spacing w:line="440" w:lineRule="exact"/>
              <w:jc w:val="center"/>
              <w:rPr>
                <w:rFonts w:hint="default" w:ascii="Times New Roman" w:hAnsi="Times New Roman" w:eastAsia="楷体" w:cs="Times New Roman"/>
                <w:color w:val="auto"/>
                <w:sz w:val="24"/>
                <w:highlight w:val="none"/>
              </w:rPr>
            </w:pPr>
          </w:p>
        </w:tc>
      </w:tr>
      <w:tr w14:paraId="0F6106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20B00A4F">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c>
          <w:tcPr>
            <w:tcW w:w="3086" w:type="dxa"/>
            <w:noWrap w:val="0"/>
            <w:vAlign w:val="center"/>
          </w:tcPr>
          <w:p w14:paraId="49514551">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救生衣（圈）</w:t>
            </w:r>
          </w:p>
        </w:tc>
        <w:tc>
          <w:tcPr>
            <w:tcW w:w="1776" w:type="dxa"/>
            <w:noWrap w:val="0"/>
            <w:vAlign w:val="center"/>
          </w:tcPr>
          <w:p w14:paraId="65B24EEA">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件</w:t>
            </w:r>
          </w:p>
        </w:tc>
        <w:tc>
          <w:tcPr>
            <w:tcW w:w="1777" w:type="dxa"/>
            <w:noWrap w:val="0"/>
            <w:vAlign w:val="center"/>
          </w:tcPr>
          <w:p w14:paraId="5F51C65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w:t>
            </w:r>
          </w:p>
        </w:tc>
      </w:tr>
      <w:tr w14:paraId="122899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5E8542FF">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三</w:t>
            </w:r>
          </w:p>
        </w:tc>
        <w:tc>
          <w:tcPr>
            <w:tcW w:w="3086" w:type="dxa"/>
            <w:noWrap w:val="0"/>
            <w:vAlign w:val="center"/>
          </w:tcPr>
          <w:p w14:paraId="7AF25F12">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小型抢险机具</w:t>
            </w:r>
          </w:p>
        </w:tc>
        <w:tc>
          <w:tcPr>
            <w:tcW w:w="1776" w:type="dxa"/>
            <w:noWrap w:val="0"/>
            <w:vAlign w:val="center"/>
          </w:tcPr>
          <w:p w14:paraId="53F214BE">
            <w:pPr>
              <w:widowControl/>
              <w:spacing w:line="440" w:lineRule="exact"/>
              <w:jc w:val="center"/>
              <w:rPr>
                <w:rFonts w:hint="default" w:ascii="Times New Roman" w:hAnsi="Times New Roman" w:eastAsia="楷体" w:cs="Times New Roman"/>
                <w:color w:val="auto"/>
                <w:sz w:val="24"/>
                <w:highlight w:val="none"/>
              </w:rPr>
            </w:pPr>
          </w:p>
        </w:tc>
        <w:tc>
          <w:tcPr>
            <w:tcW w:w="1777" w:type="dxa"/>
            <w:noWrap w:val="0"/>
            <w:vAlign w:val="center"/>
          </w:tcPr>
          <w:p w14:paraId="3A5C13BE">
            <w:pPr>
              <w:widowControl/>
              <w:spacing w:line="440" w:lineRule="exact"/>
              <w:jc w:val="center"/>
              <w:rPr>
                <w:rFonts w:hint="default" w:ascii="Times New Roman" w:hAnsi="Times New Roman" w:eastAsia="楷体" w:cs="Times New Roman"/>
                <w:color w:val="auto"/>
                <w:sz w:val="24"/>
                <w:highlight w:val="none"/>
              </w:rPr>
            </w:pPr>
          </w:p>
        </w:tc>
      </w:tr>
      <w:tr w14:paraId="41884B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7C2D22EC">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c>
          <w:tcPr>
            <w:tcW w:w="3086" w:type="dxa"/>
            <w:noWrap w:val="0"/>
            <w:vAlign w:val="center"/>
          </w:tcPr>
          <w:p w14:paraId="599BD351">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发电机组</w:t>
            </w:r>
          </w:p>
        </w:tc>
        <w:tc>
          <w:tcPr>
            <w:tcW w:w="1776" w:type="dxa"/>
            <w:noWrap w:val="0"/>
            <w:vAlign w:val="center"/>
          </w:tcPr>
          <w:p w14:paraId="32F087C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kw</w:t>
            </w:r>
          </w:p>
        </w:tc>
        <w:tc>
          <w:tcPr>
            <w:tcW w:w="1777" w:type="dxa"/>
            <w:noWrap w:val="0"/>
            <w:vAlign w:val="center"/>
          </w:tcPr>
          <w:p w14:paraId="13A3210C">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10</w:t>
            </w:r>
          </w:p>
        </w:tc>
      </w:tr>
      <w:tr w14:paraId="788B09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3DA3B695">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2</w:t>
            </w:r>
          </w:p>
        </w:tc>
        <w:tc>
          <w:tcPr>
            <w:tcW w:w="3086" w:type="dxa"/>
            <w:noWrap w:val="0"/>
            <w:vAlign w:val="center"/>
          </w:tcPr>
          <w:p w14:paraId="6281453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便携式工作灯</w:t>
            </w:r>
          </w:p>
        </w:tc>
        <w:tc>
          <w:tcPr>
            <w:tcW w:w="1776" w:type="dxa"/>
            <w:noWrap w:val="0"/>
            <w:vAlign w:val="center"/>
          </w:tcPr>
          <w:p w14:paraId="1188B94C">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只</w:t>
            </w:r>
          </w:p>
        </w:tc>
        <w:tc>
          <w:tcPr>
            <w:tcW w:w="1777" w:type="dxa"/>
            <w:noWrap w:val="0"/>
            <w:vAlign w:val="center"/>
          </w:tcPr>
          <w:p w14:paraId="081CF009">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10</w:t>
            </w:r>
          </w:p>
        </w:tc>
      </w:tr>
      <w:tr w14:paraId="409AEC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1AD4871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3</w:t>
            </w:r>
          </w:p>
        </w:tc>
        <w:tc>
          <w:tcPr>
            <w:tcW w:w="3086" w:type="dxa"/>
            <w:noWrap w:val="0"/>
            <w:vAlign w:val="center"/>
          </w:tcPr>
          <w:p w14:paraId="5F2FFA4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投光灯</w:t>
            </w:r>
          </w:p>
        </w:tc>
        <w:tc>
          <w:tcPr>
            <w:tcW w:w="1776" w:type="dxa"/>
            <w:noWrap w:val="0"/>
            <w:vAlign w:val="center"/>
          </w:tcPr>
          <w:p w14:paraId="7E02F5E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只</w:t>
            </w:r>
          </w:p>
        </w:tc>
        <w:tc>
          <w:tcPr>
            <w:tcW w:w="1777" w:type="dxa"/>
            <w:noWrap w:val="0"/>
            <w:vAlign w:val="center"/>
          </w:tcPr>
          <w:p w14:paraId="4702C36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r>
      <w:tr w14:paraId="4449E8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273F2B2F">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4</w:t>
            </w:r>
          </w:p>
        </w:tc>
        <w:tc>
          <w:tcPr>
            <w:tcW w:w="3086" w:type="dxa"/>
            <w:noWrap w:val="0"/>
            <w:vAlign w:val="center"/>
          </w:tcPr>
          <w:p w14:paraId="7E0BF339">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电缆</w:t>
            </w:r>
          </w:p>
        </w:tc>
        <w:tc>
          <w:tcPr>
            <w:tcW w:w="1776" w:type="dxa"/>
            <w:noWrap w:val="0"/>
            <w:vAlign w:val="center"/>
          </w:tcPr>
          <w:p w14:paraId="3B8D38B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m</w:t>
            </w:r>
          </w:p>
        </w:tc>
        <w:tc>
          <w:tcPr>
            <w:tcW w:w="1777" w:type="dxa"/>
            <w:noWrap w:val="0"/>
            <w:vAlign w:val="center"/>
          </w:tcPr>
          <w:p w14:paraId="4E205EB2">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150</w:t>
            </w:r>
          </w:p>
        </w:tc>
      </w:tr>
      <w:tr w14:paraId="6DA34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7D775A04">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四</w:t>
            </w:r>
          </w:p>
        </w:tc>
        <w:tc>
          <w:tcPr>
            <w:tcW w:w="3086" w:type="dxa"/>
            <w:noWrap w:val="0"/>
            <w:vAlign w:val="center"/>
          </w:tcPr>
          <w:p w14:paraId="5579B6A3">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其他专用设备及配件</w:t>
            </w:r>
          </w:p>
        </w:tc>
        <w:tc>
          <w:tcPr>
            <w:tcW w:w="1776" w:type="dxa"/>
            <w:noWrap w:val="0"/>
            <w:vAlign w:val="center"/>
          </w:tcPr>
          <w:p w14:paraId="5F913825">
            <w:pPr>
              <w:widowControl/>
              <w:spacing w:line="440" w:lineRule="exact"/>
              <w:jc w:val="center"/>
              <w:rPr>
                <w:rFonts w:hint="default" w:ascii="Times New Roman" w:hAnsi="Times New Roman" w:eastAsia="楷体" w:cs="Times New Roman"/>
                <w:color w:val="auto"/>
                <w:sz w:val="24"/>
                <w:highlight w:val="none"/>
              </w:rPr>
            </w:pPr>
          </w:p>
        </w:tc>
        <w:tc>
          <w:tcPr>
            <w:tcW w:w="1777" w:type="dxa"/>
            <w:noWrap w:val="0"/>
            <w:vAlign w:val="center"/>
          </w:tcPr>
          <w:p w14:paraId="0AF9A913">
            <w:pPr>
              <w:widowControl/>
              <w:spacing w:line="440" w:lineRule="exact"/>
              <w:jc w:val="center"/>
              <w:rPr>
                <w:rFonts w:hint="default" w:ascii="Times New Roman" w:hAnsi="Times New Roman" w:eastAsia="楷体" w:cs="Times New Roman"/>
                <w:color w:val="auto"/>
                <w:sz w:val="24"/>
                <w:highlight w:val="none"/>
              </w:rPr>
            </w:pPr>
          </w:p>
        </w:tc>
      </w:tr>
      <w:tr w14:paraId="6452A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6" w:hRule="atLeast"/>
        </w:trPr>
        <w:tc>
          <w:tcPr>
            <w:tcW w:w="1703" w:type="dxa"/>
            <w:noWrap w:val="0"/>
            <w:vAlign w:val="center"/>
          </w:tcPr>
          <w:p w14:paraId="76B92B12">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1</w:t>
            </w:r>
          </w:p>
        </w:tc>
        <w:tc>
          <w:tcPr>
            <w:tcW w:w="3086" w:type="dxa"/>
            <w:noWrap w:val="0"/>
            <w:vAlign w:val="center"/>
          </w:tcPr>
          <w:p w14:paraId="5188AD20">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雨衣</w:t>
            </w:r>
          </w:p>
        </w:tc>
        <w:tc>
          <w:tcPr>
            <w:tcW w:w="1776" w:type="dxa"/>
            <w:noWrap w:val="0"/>
            <w:vAlign w:val="center"/>
          </w:tcPr>
          <w:p w14:paraId="5F5CF926">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件</w:t>
            </w:r>
          </w:p>
        </w:tc>
        <w:tc>
          <w:tcPr>
            <w:tcW w:w="1777" w:type="dxa"/>
            <w:noWrap w:val="0"/>
            <w:vAlign w:val="center"/>
          </w:tcPr>
          <w:p w14:paraId="40D82D0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w:t>
            </w:r>
          </w:p>
        </w:tc>
      </w:tr>
      <w:tr w14:paraId="5354F4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03" w:type="dxa"/>
            <w:noWrap w:val="0"/>
            <w:vAlign w:val="center"/>
          </w:tcPr>
          <w:p w14:paraId="38858CB7">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2</w:t>
            </w:r>
          </w:p>
        </w:tc>
        <w:tc>
          <w:tcPr>
            <w:tcW w:w="3086" w:type="dxa"/>
            <w:noWrap w:val="0"/>
            <w:vAlign w:val="center"/>
          </w:tcPr>
          <w:p w14:paraId="1973A25A">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雨鞋</w:t>
            </w:r>
          </w:p>
        </w:tc>
        <w:tc>
          <w:tcPr>
            <w:tcW w:w="1776" w:type="dxa"/>
            <w:noWrap w:val="0"/>
            <w:vAlign w:val="center"/>
          </w:tcPr>
          <w:p w14:paraId="0C47DF1E">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双</w:t>
            </w:r>
          </w:p>
        </w:tc>
        <w:tc>
          <w:tcPr>
            <w:tcW w:w="1777" w:type="dxa"/>
            <w:noWrap w:val="0"/>
            <w:vAlign w:val="center"/>
          </w:tcPr>
          <w:p w14:paraId="7FA1432B">
            <w:pPr>
              <w:widowControl/>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bidi="ar"/>
              </w:rPr>
              <w:t>50</w:t>
            </w:r>
          </w:p>
        </w:tc>
      </w:tr>
    </w:tbl>
    <w:p w14:paraId="18AD5BAF">
      <w:pPr>
        <w:spacing w:before="156" w:beforeLines="50" w:after="156" w:afterLines="50" w:line="360" w:lineRule="auto"/>
        <w:outlineLvl w:val="1"/>
        <w:rPr>
          <w:rFonts w:eastAsia="楷体"/>
          <w:b/>
          <w:color w:val="auto"/>
          <w:sz w:val="32"/>
          <w:szCs w:val="30"/>
          <w:highlight w:val="none"/>
        </w:rPr>
      </w:pPr>
      <w:r>
        <w:rPr>
          <w:rFonts w:eastAsia="楷体"/>
          <w:b/>
          <w:color w:val="auto"/>
          <w:sz w:val="32"/>
          <w:szCs w:val="30"/>
          <w:highlight w:val="none"/>
        </w:rPr>
        <w:t>6.4通讯保障</w:t>
      </w:r>
      <w:bookmarkEnd w:id="57"/>
    </w:p>
    <w:p w14:paraId="41156485">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前烧水库防洪期间一旦出现防洪险情，工程管理单位要以各种有效的方式（有线通讯、无线通讯、移动通讯）将情况上报前烧水库防洪抢险应急指挥部，并保持通讯畅通及时、准确传递水库应急指挥部的抢险指令，随时向指挥部汇报抢险情况，保证抢险工作的顺利进行。</w:t>
      </w:r>
    </w:p>
    <w:p w14:paraId="1189FA2E">
      <w:pPr>
        <w:spacing w:before="156" w:beforeLines="50" w:after="156" w:afterLines="50" w:line="360" w:lineRule="auto"/>
        <w:outlineLvl w:val="1"/>
        <w:rPr>
          <w:rFonts w:eastAsia="楷体"/>
          <w:b/>
          <w:color w:val="auto"/>
          <w:sz w:val="32"/>
          <w:szCs w:val="30"/>
          <w:highlight w:val="none"/>
        </w:rPr>
      </w:pPr>
      <w:bookmarkStart w:id="58" w:name="_Toc5419"/>
      <w:r>
        <w:rPr>
          <w:rFonts w:eastAsia="楷体"/>
          <w:b/>
          <w:color w:val="auto"/>
          <w:sz w:val="32"/>
          <w:szCs w:val="30"/>
          <w:highlight w:val="none"/>
        </w:rPr>
        <w:t>6.5其他保障</w:t>
      </w:r>
      <w:bookmarkEnd w:id="58"/>
    </w:p>
    <w:p w14:paraId="09EB06F0">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6.5.1卫生保障</w:t>
      </w:r>
    </w:p>
    <w:p w14:paraId="5343B25F">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防疫所需的物资、药品由所在地县级卫生防疫部门负责组织、调拨，并实行集中储存和管理，统一发放，确保救灾防疫物资和药品能够在发生灾害后及时、安全发放到每个受灾群众的手中，保障每个因发生灾害而受灾的群众能得到有效救助。</w:t>
      </w:r>
    </w:p>
    <w:p w14:paraId="2ADBEE56">
      <w:pPr>
        <w:spacing w:before="156" w:beforeLines="50" w:after="156" w:afterLines="50"/>
        <w:outlineLvl w:val="2"/>
        <w:rPr>
          <w:rFonts w:eastAsia="楷体"/>
          <w:b/>
          <w:color w:val="auto"/>
          <w:sz w:val="32"/>
          <w:szCs w:val="30"/>
          <w:highlight w:val="none"/>
        </w:rPr>
      </w:pPr>
      <w:r>
        <w:rPr>
          <w:rFonts w:eastAsia="楷体"/>
          <w:b/>
          <w:color w:val="auto"/>
          <w:sz w:val="32"/>
          <w:szCs w:val="30"/>
          <w:highlight w:val="none"/>
        </w:rPr>
        <w:t>6.5.2 交通保障</w:t>
      </w:r>
    </w:p>
    <w:p w14:paraId="143BF6D1">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救灾期间所需交通工具由所在地县级交通运输管理部门负责协商、落实安排相关事项。</w:t>
      </w:r>
    </w:p>
    <w:p w14:paraId="66A44B69">
      <w:pPr>
        <w:spacing w:before="156" w:beforeLines="50" w:after="156" w:afterLines="50"/>
        <w:outlineLvl w:val="2"/>
        <w:rPr>
          <w:rFonts w:eastAsia="楷体"/>
          <w:b/>
          <w:color w:val="auto"/>
          <w:sz w:val="32"/>
          <w:szCs w:val="30"/>
          <w:highlight w:val="none"/>
        </w:rPr>
      </w:pPr>
      <w:r>
        <w:rPr>
          <w:rFonts w:eastAsia="楷体"/>
          <w:b/>
          <w:color w:val="auto"/>
          <w:sz w:val="32"/>
          <w:szCs w:val="30"/>
          <w:highlight w:val="none"/>
        </w:rPr>
        <w:t>6.5.3 安全保障</w:t>
      </w:r>
    </w:p>
    <w:p w14:paraId="6BA9201C">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05E19120">
      <w:pPr>
        <w:adjustRightInd w:val="0"/>
        <w:snapToGrid w:val="0"/>
        <w:spacing w:line="520" w:lineRule="exact"/>
        <w:jc w:val="center"/>
        <w:outlineLvl w:val="0"/>
        <w:rPr>
          <w:rStyle w:val="53"/>
          <w:rFonts w:eastAsia="楷体"/>
          <w:b/>
          <w:bCs/>
          <w:color w:val="auto"/>
          <w:sz w:val="36"/>
          <w:szCs w:val="36"/>
          <w:highlight w:val="none"/>
        </w:rPr>
        <w:sectPr>
          <w:footerReference r:id="rId10" w:type="default"/>
          <w:pgSz w:w="11907" w:h="16840"/>
          <w:pgMar w:top="1418" w:right="1418" w:bottom="1418" w:left="1418" w:header="851" w:footer="992" w:gutter="0"/>
          <w:pgNumType w:fmt="numberInDash"/>
          <w:cols w:space="720" w:num="1"/>
          <w:docGrid w:type="lines" w:linePitch="312" w:charSpace="0"/>
        </w:sectPr>
      </w:pPr>
      <w:bookmarkStart w:id="59" w:name="_Toc28054"/>
    </w:p>
    <w:p w14:paraId="1D3D8E95">
      <w:pPr>
        <w:adjustRightInd w:val="0"/>
        <w:snapToGrid w:val="0"/>
        <w:spacing w:line="520" w:lineRule="exact"/>
        <w:jc w:val="center"/>
        <w:outlineLvl w:val="0"/>
        <w:rPr>
          <w:rStyle w:val="53"/>
          <w:rFonts w:eastAsia="楷体"/>
          <w:b/>
          <w:bCs/>
          <w:color w:val="auto"/>
          <w:sz w:val="36"/>
          <w:szCs w:val="36"/>
          <w:highlight w:val="none"/>
        </w:rPr>
      </w:pPr>
      <w:r>
        <w:rPr>
          <w:rStyle w:val="53"/>
          <w:rFonts w:eastAsia="楷体"/>
          <w:b/>
          <w:bCs/>
          <w:color w:val="auto"/>
          <w:sz w:val="36"/>
          <w:szCs w:val="36"/>
          <w:highlight w:val="none"/>
        </w:rPr>
        <w:t>7 《应急预案》启动和结束</w:t>
      </w:r>
      <w:bookmarkEnd w:id="59"/>
    </w:p>
    <w:p w14:paraId="0D08A1F4">
      <w:pPr>
        <w:pStyle w:val="3"/>
        <w:spacing w:before="120" w:beforeLines="0" w:after="120" w:afterLines="0" w:line="360" w:lineRule="auto"/>
        <w:rPr>
          <w:rFonts w:ascii="Times New Roman" w:hAnsi="Times New Roman" w:eastAsia="楷体"/>
          <w:color w:val="auto"/>
          <w:kern w:val="0"/>
          <w:sz w:val="28"/>
          <w:szCs w:val="28"/>
          <w:highlight w:val="none"/>
        </w:rPr>
      </w:pPr>
      <w:bookmarkStart w:id="60" w:name="_Toc2574"/>
      <w:bookmarkStart w:id="61" w:name="_Toc475106539"/>
      <w:r>
        <w:rPr>
          <w:rFonts w:ascii="Times New Roman" w:hAnsi="Times New Roman" w:eastAsia="楷体"/>
          <w:bCs w:val="0"/>
          <w:color w:val="auto"/>
          <w:highlight w:val="none"/>
        </w:rPr>
        <w:t>7.1 启动与结束条件</w:t>
      </w:r>
      <w:bookmarkEnd w:id="60"/>
      <w:bookmarkEnd w:id="61"/>
    </w:p>
    <w:p w14:paraId="576C052E">
      <w:pPr>
        <w:pStyle w:val="4"/>
        <w:spacing w:before="93" w:beforeLines="30" w:after="93" w:afterLines="30" w:line="360" w:lineRule="auto"/>
        <w:rPr>
          <w:rFonts w:eastAsia="楷体"/>
          <w:bCs w:val="0"/>
          <w:color w:val="auto"/>
          <w:highlight w:val="none"/>
        </w:rPr>
      </w:pPr>
      <w:r>
        <w:rPr>
          <w:rFonts w:eastAsia="楷体"/>
          <w:bCs w:val="0"/>
          <w:color w:val="auto"/>
          <w:highlight w:val="none"/>
        </w:rPr>
        <w:t>7.1.1 启动《应急预案》的条件</w:t>
      </w:r>
    </w:p>
    <w:p w14:paraId="50A0796E">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（1）大坝发生严重的贯穿性裂缝、滑坡、冲刷、坝肩失稳等可能导致决口、垮坝等重大险情。</w:t>
      </w:r>
    </w:p>
    <w:p w14:paraId="6632F4AE">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（2）水库库区内发生</w:t>
      </w:r>
      <w:bookmarkStart w:id="76" w:name="_GoBack"/>
      <w:bookmarkEnd w:id="76"/>
      <w:r>
        <w:rPr>
          <w:rFonts w:eastAsia="楷体"/>
          <w:color w:val="auto"/>
          <w:sz w:val="28"/>
          <w:szCs w:val="28"/>
          <w:highlight w:val="none"/>
        </w:rPr>
        <w:t>超标准洪水，导致水库水位超过校核洪水位的险情。</w:t>
      </w:r>
    </w:p>
    <w:p w14:paraId="7D2A5B63">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（3）因地震、地质灾害可能导致水库大坝决口、垮坝等重大险情。</w:t>
      </w:r>
    </w:p>
    <w:p w14:paraId="0063714D">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（4）因战争或恐怖活动而引发导致水库大坝决口、垮坝等重大险情。</w:t>
      </w:r>
    </w:p>
    <w:p w14:paraId="10BB8A16">
      <w:pPr>
        <w:pStyle w:val="4"/>
        <w:snapToGrid w:val="0"/>
        <w:spacing w:before="93" w:beforeLines="30" w:after="93" w:afterLines="30" w:line="360" w:lineRule="auto"/>
        <w:rPr>
          <w:rFonts w:eastAsia="楷体"/>
          <w:bCs w:val="0"/>
          <w:color w:val="auto"/>
          <w:highlight w:val="none"/>
        </w:rPr>
      </w:pPr>
      <w:r>
        <w:rPr>
          <w:rFonts w:eastAsia="楷体"/>
          <w:bCs w:val="0"/>
          <w:color w:val="auto"/>
          <w:highlight w:val="none"/>
        </w:rPr>
        <w:t>7.1.2 终止《应急预案》的条件</w:t>
      </w:r>
    </w:p>
    <w:p w14:paraId="1A4C9C85">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当洪水灾害、大坝险情、泄水建筑物险情、地震地质灾害导致水库大坝垮坝的险情、战争或恐怖活动而引发导致水库大坝垮坝的险情，得到有效控制。</w:t>
      </w:r>
    </w:p>
    <w:p w14:paraId="5B7C87E7">
      <w:pPr>
        <w:pStyle w:val="3"/>
        <w:spacing w:before="120" w:beforeLines="0" w:after="120" w:afterLines="0" w:line="360" w:lineRule="auto"/>
        <w:rPr>
          <w:rFonts w:ascii="Times New Roman" w:hAnsi="Times New Roman" w:eastAsia="楷体"/>
          <w:bCs w:val="0"/>
          <w:color w:val="auto"/>
          <w:highlight w:val="none"/>
        </w:rPr>
      </w:pPr>
      <w:bookmarkStart w:id="62" w:name="_Toc369"/>
      <w:bookmarkStart w:id="63" w:name="_Toc475106540"/>
      <w:r>
        <w:rPr>
          <w:rFonts w:ascii="Times New Roman" w:hAnsi="Times New Roman" w:eastAsia="楷体"/>
          <w:bCs w:val="0"/>
          <w:color w:val="auto"/>
          <w:highlight w:val="none"/>
        </w:rPr>
        <w:t>7.2 决策机构与程序</w:t>
      </w:r>
      <w:bookmarkEnd w:id="62"/>
      <w:bookmarkEnd w:id="63"/>
    </w:p>
    <w:p w14:paraId="34297820">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7.2.1 启动《应急预案》的决策机构与程序</w:t>
      </w:r>
    </w:p>
    <w:p w14:paraId="6A82F8DE">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前烧水库《应急预案》的启动，是根据水库出现险情的危害性，由“防洪应急指挥部”研究决定启动《应急预案》。</w:t>
      </w:r>
    </w:p>
    <w:p w14:paraId="04CC9541">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7.2.2 终止《应急预案》的决策机构与程序</w:t>
      </w:r>
    </w:p>
    <w:p w14:paraId="7CCAAC11">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当水库险情通过科学调度抢险，使险情得到有效控制时，由“防洪应急指挥部”决定终止《应急预案》响应。</w:t>
      </w:r>
      <w:bookmarkStart w:id="64" w:name="_Toc133397989"/>
    </w:p>
    <w:p w14:paraId="34FD31C2">
      <w:pPr>
        <w:widowControl/>
        <w:spacing w:line="360" w:lineRule="auto"/>
        <w:ind w:firstLine="560"/>
        <w:jc w:val="left"/>
        <w:rPr>
          <w:rFonts w:eastAsia="楷体"/>
          <w:color w:val="auto"/>
          <w:sz w:val="32"/>
          <w:szCs w:val="32"/>
          <w:highlight w:val="none"/>
        </w:rPr>
      </w:pPr>
    </w:p>
    <w:p w14:paraId="04082D8F">
      <w:pPr>
        <w:widowControl/>
        <w:spacing w:line="360" w:lineRule="auto"/>
        <w:ind w:firstLine="560"/>
        <w:jc w:val="left"/>
        <w:rPr>
          <w:rFonts w:eastAsia="楷体"/>
          <w:color w:val="auto"/>
          <w:sz w:val="32"/>
          <w:szCs w:val="32"/>
          <w:highlight w:val="none"/>
        </w:rPr>
      </w:pPr>
    </w:p>
    <w:p w14:paraId="1DF03FDC">
      <w:pPr>
        <w:widowControl/>
        <w:spacing w:line="360" w:lineRule="auto"/>
        <w:ind w:firstLine="560"/>
        <w:jc w:val="left"/>
        <w:rPr>
          <w:rFonts w:eastAsia="楷体"/>
          <w:color w:val="auto"/>
          <w:sz w:val="32"/>
          <w:szCs w:val="32"/>
          <w:highlight w:val="none"/>
        </w:rPr>
      </w:pPr>
    </w:p>
    <w:p w14:paraId="10023981">
      <w:pPr>
        <w:widowControl/>
        <w:spacing w:line="360" w:lineRule="auto"/>
        <w:ind w:firstLine="560"/>
        <w:jc w:val="left"/>
        <w:rPr>
          <w:rFonts w:eastAsia="楷体"/>
          <w:color w:val="auto"/>
          <w:sz w:val="32"/>
          <w:szCs w:val="32"/>
          <w:highlight w:val="none"/>
        </w:rPr>
      </w:pPr>
    </w:p>
    <w:p w14:paraId="34B100D1">
      <w:pPr>
        <w:adjustRightInd w:val="0"/>
        <w:snapToGrid w:val="0"/>
        <w:spacing w:line="520" w:lineRule="exact"/>
        <w:jc w:val="center"/>
        <w:outlineLvl w:val="0"/>
        <w:rPr>
          <w:rStyle w:val="53"/>
          <w:rFonts w:eastAsia="楷体"/>
          <w:b/>
          <w:bCs/>
          <w:color w:val="auto"/>
          <w:sz w:val="36"/>
          <w:szCs w:val="36"/>
          <w:highlight w:val="none"/>
        </w:rPr>
      </w:pPr>
      <w:bookmarkStart w:id="65" w:name="_Toc15125"/>
      <w:r>
        <w:rPr>
          <w:rStyle w:val="53"/>
          <w:rFonts w:eastAsia="楷体"/>
          <w:b/>
          <w:bCs/>
          <w:color w:val="auto"/>
          <w:sz w:val="36"/>
          <w:szCs w:val="36"/>
          <w:highlight w:val="none"/>
        </w:rPr>
        <w:t>8 附件</w:t>
      </w:r>
      <w:bookmarkEnd w:id="64"/>
      <w:bookmarkEnd w:id="65"/>
    </w:p>
    <w:p w14:paraId="3B1504D5">
      <w:pPr>
        <w:jc w:val="center"/>
        <w:outlineLvl w:val="1"/>
        <w:rPr>
          <w:rFonts w:eastAsia="楷体"/>
          <w:b/>
          <w:color w:val="auto"/>
          <w:sz w:val="28"/>
          <w:szCs w:val="28"/>
          <w:highlight w:val="none"/>
        </w:rPr>
      </w:pPr>
      <w:bookmarkStart w:id="66" w:name="_Toc23604"/>
      <w:bookmarkStart w:id="67" w:name="_Toc219720619"/>
      <w:bookmarkStart w:id="68" w:name="_Toc208384482"/>
      <w:bookmarkStart w:id="69" w:name="_Toc208810953"/>
      <w:bookmarkStart w:id="70" w:name="_Toc209594979"/>
      <w:r>
        <w:rPr>
          <w:rFonts w:eastAsia="楷体"/>
          <w:b/>
          <w:color w:val="auto"/>
          <w:sz w:val="28"/>
          <w:szCs w:val="28"/>
          <w:highlight w:val="none"/>
        </w:rPr>
        <w:t>表1    前烧水库工程特性表</w:t>
      </w:r>
      <w:bookmarkEnd w:id="66"/>
    </w:p>
    <w:bookmarkEnd w:id="67"/>
    <w:bookmarkEnd w:id="68"/>
    <w:bookmarkEnd w:id="69"/>
    <w:bookmarkEnd w:id="70"/>
    <w:tbl>
      <w:tblPr>
        <w:tblStyle w:val="19"/>
        <w:tblW w:w="0" w:type="auto"/>
        <w:tblInd w:w="0" w:type="dxa"/>
        <w:tblLayout w:type="fixed"/>
        <w:tblCellMar>
          <w:top w:w="15" w:type="dxa"/>
          <w:left w:w="15" w:type="dxa"/>
          <w:bottom w:w="15" w:type="dxa"/>
          <w:right w:w="15" w:type="dxa"/>
        </w:tblCellMar>
      </w:tblPr>
      <w:tblGrid>
        <w:gridCol w:w="816"/>
        <w:gridCol w:w="368"/>
        <w:gridCol w:w="1041"/>
        <w:gridCol w:w="1655"/>
        <w:gridCol w:w="865"/>
        <w:gridCol w:w="1893"/>
        <w:gridCol w:w="617"/>
        <w:gridCol w:w="437"/>
        <w:gridCol w:w="1411"/>
      </w:tblGrid>
      <w:tr w14:paraId="56A73D11">
        <w:tblPrEx>
          <w:tblCellMar>
            <w:top w:w="15" w:type="dxa"/>
            <w:left w:w="15" w:type="dxa"/>
            <w:bottom w:w="15" w:type="dxa"/>
            <w:right w:w="15" w:type="dxa"/>
          </w:tblCellMar>
        </w:tblPrEx>
        <w:trPr>
          <w:trHeight w:val="286" w:hRule="atLeast"/>
        </w:trPr>
        <w:tc>
          <w:tcPr>
            <w:tcW w:w="2225" w:type="dxa"/>
            <w:gridSpan w:val="3"/>
            <w:tcBorders>
              <w:top w:val="single" w:color="000000" w:sz="12" w:space="0"/>
              <w:left w:val="single" w:color="000000" w:sz="12" w:space="0"/>
              <w:bottom w:val="single" w:color="000000" w:sz="4" w:space="0"/>
              <w:right w:val="single" w:color="000000" w:sz="4" w:space="0"/>
            </w:tcBorders>
            <w:noWrap w:val="0"/>
            <w:vAlign w:val="center"/>
          </w:tcPr>
          <w:p w14:paraId="4A223B7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水库名称</w:t>
            </w:r>
          </w:p>
        </w:tc>
        <w:tc>
          <w:tcPr>
            <w:tcW w:w="1655" w:type="dxa"/>
            <w:tcBorders>
              <w:top w:val="single" w:color="000000" w:sz="12" w:space="0"/>
              <w:left w:val="single" w:color="000000" w:sz="4" w:space="0"/>
              <w:bottom w:val="single" w:color="000000" w:sz="4" w:space="0"/>
              <w:right w:val="single" w:color="000000" w:sz="4" w:space="0"/>
            </w:tcBorders>
            <w:noWrap w:val="0"/>
            <w:vAlign w:val="center"/>
          </w:tcPr>
          <w:p w14:paraId="09FF73F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前烧水库</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25019EB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主管部门</w:t>
            </w:r>
          </w:p>
        </w:tc>
        <w:tc>
          <w:tcPr>
            <w:tcW w:w="1848" w:type="dxa"/>
            <w:gridSpan w:val="2"/>
            <w:tcBorders>
              <w:top w:val="single" w:color="000000" w:sz="12" w:space="0"/>
              <w:left w:val="single" w:color="000000" w:sz="4" w:space="0"/>
              <w:bottom w:val="single" w:color="000000" w:sz="4" w:space="0"/>
              <w:right w:val="single" w:color="000000" w:sz="12" w:space="0"/>
            </w:tcBorders>
            <w:noWrap w:val="0"/>
            <w:vAlign w:val="center"/>
          </w:tcPr>
          <w:p w14:paraId="109F586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泉港区</w:t>
            </w:r>
            <w:r>
              <w:rPr>
                <w:rFonts w:eastAsia="楷体"/>
                <w:color w:val="auto"/>
                <w:kern w:val="0"/>
                <w:sz w:val="18"/>
                <w:szCs w:val="18"/>
                <w:highlight w:val="none"/>
                <w:lang w:bidi="ar"/>
              </w:rPr>
              <w:t>农水局</w:t>
            </w:r>
          </w:p>
        </w:tc>
      </w:tr>
      <w:tr w14:paraId="674FE2B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0B593C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管理机构名称</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DF2DD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前烧村委会</w:t>
            </w:r>
          </w:p>
        </w:tc>
        <w:tc>
          <w:tcPr>
            <w:tcW w:w="3375" w:type="dxa"/>
            <w:gridSpan w:val="3"/>
            <w:tcBorders>
              <w:top w:val="single" w:color="000000" w:sz="4" w:space="0"/>
              <w:left w:val="single" w:color="000000" w:sz="4" w:space="0"/>
              <w:bottom w:val="single" w:color="000000" w:sz="4" w:space="0"/>
              <w:right w:val="single" w:color="000000" w:sz="4" w:space="0"/>
            </w:tcBorders>
            <w:noWrap w:val="0"/>
            <w:vAlign w:val="center"/>
          </w:tcPr>
          <w:p w14:paraId="2D2D3DC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所在地点</w:t>
            </w:r>
          </w:p>
        </w:tc>
        <w:tc>
          <w:tcPr>
            <w:tcW w:w="1848" w:type="dxa"/>
            <w:gridSpan w:val="2"/>
            <w:tcBorders>
              <w:top w:val="single" w:color="000000" w:sz="4" w:space="0"/>
              <w:left w:val="single" w:color="000000" w:sz="4" w:space="0"/>
              <w:bottom w:val="single" w:color="000000" w:sz="4" w:space="0"/>
              <w:right w:val="single" w:color="000000" w:sz="12" w:space="0"/>
            </w:tcBorders>
            <w:noWrap w:val="0"/>
            <w:vAlign w:val="center"/>
          </w:tcPr>
          <w:p w14:paraId="09F2976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前黄镇</w:t>
            </w:r>
            <w:r>
              <w:rPr>
                <w:rFonts w:eastAsia="楷体"/>
                <w:color w:val="auto"/>
                <w:kern w:val="0"/>
                <w:sz w:val="18"/>
                <w:szCs w:val="18"/>
                <w:highlight w:val="none"/>
                <w:lang w:bidi="ar"/>
              </w:rPr>
              <w:t>前烧</w:t>
            </w:r>
            <w:r>
              <w:rPr>
                <w:rFonts w:hint="eastAsia" w:eastAsia="楷体"/>
                <w:color w:val="auto"/>
                <w:kern w:val="0"/>
                <w:sz w:val="18"/>
                <w:szCs w:val="18"/>
                <w:highlight w:val="none"/>
                <w:lang w:bidi="ar"/>
              </w:rPr>
              <w:t>村</w:t>
            </w:r>
          </w:p>
        </w:tc>
      </w:tr>
      <w:tr w14:paraId="4DEF1B7B">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361D8A9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681ED1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东经</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E25FC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118°</w:t>
            </w:r>
            <w:r>
              <w:rPr>
                <w:rFonts w:hint="eastAsia" w:eastAsia="楷体"/>
                <w:color w:val="auto"/>
                <w:kern w:val="0"/>
                <w:sz w:val="18"/>
                <w:szCs w:val="18"/>
                <w:highlight w:val="none"/>
                <w:lang w:bidi="ar"/>
              </w:rPr>
              <w:t>50</w:t>
            </w:r>
            <w:r>
              <w:rPr>
                <w:rFonts w:eastAsia="楷体"/>
                <w:color w:val="auto"/>
                <w:kern w:val="0"/>
                <w:sz w:val="18"/>
                <w:szCs w:val="18"/>
                <w:highlight w:val="none"/>
                <w:lang w:bidi="ar"/>
              </w:rPr>
              <w:t>′</w:t>
            </w:r>
            <w:r>
              <w:rPr>
                <w:rFonts w:hint="eastAsia" w:eastAsia="楷体"/>
                <w:color w:val="auto"/>
                <w:kern w:val="0"/>
                <w:sz w:val="18"/>
                <w:szCs w:val="18"/>
                <w:highlight w:val="none"/>
                <w:lang w:bidi="ar"/>
              </w:rPr>
              <w:t>00</w:t>
            </w:r>
            <w:r>
              <w:rPr>
                <w:rFonts w:eastAsia="楷体"/>
                <w:color w:val="auto"/>
                <w:kern w:val="0"/>
                <w:sz w:val="18"/>
                <w:szCs w:val="18"/>
                <w:highlight w:val="none"/>
                <w:lang w:bidi="ar"/>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051F07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开工日期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C3C2D8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766F296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所在河流</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7A08F97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前烧溪</w:t>
            </w:r>
          </w:p>
        </w:tc>
      </w:tr>
      <w:tr w14:paraId="7CF03627">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7CE2607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位置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1F4D5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北纬</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435B01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25°</w:t>
            </w:r>
            <w:r>
              <w:rPr>
                <w:rFonts w:hint="eastAsia" w:eastAsia="楷体"/>
                <w:color w:val="auto"/>
                <w:kern w:val="0"/>
                <w:sz w:val="18"/>
                <w:szCs w:val="18"/>
                <w:highlight w:val="none"/>
                <w:lang w:bidi="ar"/>
              </w:rPr>
              <w:t>07</w:t>
            </w:r>
            <w:r>
              <w:rPr>
                <w:rFonts w:eastAsia="楷体"/>
                <w:color w:val="auto"/>
                <w:kern w:val="0"/>
                <w:sz w:val="18"/>
                <w:szCs w:val="18"/>
                <w:highlight w:val="none"/>
                <w:lang w:bidi="ar"/>
              </w:rPr>
              <w:t>′</w:t>
            </w:r>
            <w:r>
              <w:rPr>
                <w:rFonts w:hint="eastAsia" w:eastAsia="楷体"/>
                <w:color w:val="auto"/>
                <w:kern w:val="0"/>
                <w:sz w:val="18"/>
                <w:szCs w:val="18"/>
                <w:highlight w:val="none"/>
                <w:lang w:bidi="ar"/>
              </w:rPr>
              <w:t>30</w:t>
            </w:r>
            <w:r>
              <w:rPr>
                <w:rFonts w:eastAsia="楷体"/>
                <w:color w:val="auto"/>
                <w:kern w:val="0"/>
                <w:sz w:val="18"/>
                <w:szCs w:val="18"/>
                <w:highlight w:val="none"/>
                <w:lang w:bidi="ar"/>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60FE61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竣工日期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D6A062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1965</w:t>
            </w:r>
            <w:r>
              <w:rPr>
                <w:rFonts w:eastAsia="楷体"/>
                <w:color w:val="auto"/>
                <w:kern w:val="0"/>
                <w:sz w:val="18"/>
                <w:szCs w:val="18"/>
                <w:highlight w:val="none"/>
                <w:lang w:bidi="ar"/>
              </w:rPr>
              <w:t>年</w:t>
            </w:r>
            <w:r>
              <w:rPr>
                <w:rFonts w:hint="eastAsia" w:eastAsia="楷体"/>
                <w:color w:val="auto"/>
                <w:kern w:val="0"/>
                <w:sz w:val="18"/>
                <w:szCs w:val="18"/>
                <w:highlight w:val="none"/>
                <w:lang w:bidi="ar"/>
              </w:rPr>
              <w:t>8月</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7A3B285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高程基准</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049CFBB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1985国家高程基准</w:t>
            </w:r>
          </w:p>
        </w:tc>
      </w:tr>
      <w:tr w14:paraId="246E706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376795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集雨面积(km</w:t>
            </w:r>
            <w:r>
              <w:rPr>
                <w:rStyle w:val="35"/>
                <w:rFonts w:hint="default" w:eastAsia="楷体"/>
                <w:color w:val="auto"/>
                <w:sz w:val="18"/>
                <w:szCs w:val="18"/>
                <w:highlight w:val="none"/>
                <w:lang w:bidi="ar"/>
              </w:rPr>
              <w:t>2</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C718A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0.87</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2544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C7532D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098C27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均质土坝</w:t>
            </w:r>
          </w:p>
        </w:tc>
      </w:tr>
      <w:tr w14:paraId="56EDF56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1F85EC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河流比降(‰)</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56B315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160.3</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DFDDC">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596F7C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714016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39.80</w:t>
            </w:r>
          </w:p>
        </w:tc>
      </w:tr>
      <w:tr w14:paraId="75721EC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A9BDD8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主河道长度(km)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DE545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1.33</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E362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1AF83A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16E279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40.75</w:t>
            </w:r>
          </w:p>
        </w:tc>
      </w:tr>
      <w:tr w14:paraId="348EFAA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F3DC31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多年平均降水量(mm)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DC535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1350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67E13">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08126C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99D3EC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12.00</w:t>
            </w:r>
          </w:p>
        </w:tc>
      </w:tr>
      <w:tr w14:paraId="07046751">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02C6ED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多年平均径流量(万m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579545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2516F">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303433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D10E21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200</w:t>
            </w:r>
          </w:p>
        </w:tc>
      </w:tr>
      <w:tr w14:paraId="7445852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C7B920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正常蓄水位(m)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CA30E9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37.75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9F7C4">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1D51F8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DBF31D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3.90</w:t>
            </w:r>
          </w:p>
        </w:tc>
      </w:tr>
      <w:tr w14:paraId="081709B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ABC122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1D71BE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29.45</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22B9A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副坝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C3631E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vMerge w:val="restart"/>
            <w:tcBorders>
              <w:top w:val="single" w:color="000000" w:sz="4" w:space="0"/>
              <w:left w:val="single" w:color="000000" w:sz="4" w:space="0"/>
              <w:bottom w:val="single" w:color="000000" w:sz="4" w:space="0"/>
              <w:right w:val="single" w:color="000000" w:sz="12" w:space="0"/>
            </w:tcBorders>
            <w:noWrap w:val="0"/>
            <w:vAlign w:val="center"/>
          </w:tcPr>
          <w:p w14:paraId="542F35C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无</w:t>
            </w:r>
          </w:p>
        </w:tc>
      </w:tr>
      <w:tr w14:paraId="1258D0E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A7555A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3E569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7017B">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3D5105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228E3312">
            <w:pPr>
              <w:jc w:val="center"/>
              <w:rPr>
                <w:rFonts w:eastAsia="楷体"/>
                <w:color w:val="auto"/>
                <w:sz w:val="18"/>
                <w:szCs w:val="18"/>
                <w:highlight w:val="none"/>
              </w:rPr>
            </w:pPr>
          </w:p>
        </w:tc>
      </w:tr>
      <w:tr w14:paraId="3A0F471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1F9A75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A2790F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w:t>
            </w:r>
            <w:r>
              <w:rPr>
                <w:rFonts w:eastAsia="楷体"/>
                <w:color w:val="auto"/>
                <w:kern w:val="0"/>
                <w:sz w:val="18"/>
                <w:szCs w:val="18"/>
                <w:highlight w:val="none"/>
                <w:lang w:bidi="ar"/>
              </w:rPr>
              <w:t>00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AE3C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D93832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01818A85">
            <w:pPr>
              <w:jc w:val="center"/>
              <w:rPr>
                <w:rFonts w:eastAsia="楷体"/>
                <w:color w:val="auto"/>
                <w:sz w:val="18"/>
                <w:szCs w:val="18"/>
                <w:highlight w:val="none"/>
              </w:rPr>
            </w:pPr>
          </w:p>
        </w:tc>
      </w:tr>
      <w:tr w14:paraId="7AC3FE1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96A08E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10DFC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38.71</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622D4">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E07053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477D5CA0">
            <w:pPr>
              <w:jc w:val="center"/>
              <w:rPr>
                <w:rFonts w:eastAsia="楷体"/>
                <w:color w:val="auto"/>
                <w:sz w:val="18"/>
                <w:szCs w:val="18"/>
                <w:highlight w:val="none"/>
              </w:rPr>
            </w:pPr>
          </w:p>
        </w:tc>
      </w:tr>
      <w:tr w14:paraId="2AAAB51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E0A81C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E028C1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24.43</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36AF9">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E9F3B2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0A05B981">
            <w:pPr>
              <w:jc w:val="center"/>
              <w:rPr>
                <w:rFonts w:eastAsia="楷体"/>
                <w:color w:val="auto"/>
                <w:sz w:val="18"/>
                <w:szCs w:val="18"/>
                <w:highlight w:val="none"/>
              </w:rPr>
            </w:pPr>
          </w:p>
        </w:tc>
      </w:tr>
      <w:tr w14:paraId="4735BC2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1FF4CD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40DC08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23.18</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058B2">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863B18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30D972A5">
            <w:pPr>
              <w:jc w:val="center"/>
              <w:rPr>
                <w:rFonts w:eastAsia="楷体"/>
                <w:color w:val="auto"/>
                <w:sz w:val="18"/>
                <w:szCs w:val="18"/>
                <w:highlight w:val="none"/>
              </w:rPr>
            </w:pPr>
          </w:p>
        </w:tc>
      </w:tr>
      <w:tr w14:paraId="4D5FF27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40547F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56A1F8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39.10</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07E9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溢洪道</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61D767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F5CC33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宽顶堰</w:t>
            </w:r>
          </w:p>
        </w:tc>
      </w:tr>
      <w:tr w14:paraId="7ECBA6D8">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E1B58F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CBAF06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39.07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03971">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E75E49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堰顶高程(m)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63F3085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37.75</w:t>
            </w:r>
          </w:p>
        </w:tc>
      </w:tr>
      <w:tr w14:paraId="34B99F4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B8DBF9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E356B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35.92</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CFB4B">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343645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净宽(m)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C7EA1C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5.70</w:t>
            </w:r>
          </w:p>
        </w:tc>
      </w:tr>
      <w:tr w14:paraId="20397A8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F17920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地震基本烈度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686047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6441E">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660C12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最大下泄流量(m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/s)</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6DFCDD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13.12</w:t>
            </w:r>
          </w:p>
        </w:tc>
      </w:tr>
      <w:tr w14:paraId="2F1A0C8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5AA5A6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设计抗震烈度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C6A7D1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048E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0BBB68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最大单宽流量(m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/s.m)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61DFBE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2.30</w:t>
            </w:r>
          </w:p>
        </w:tc>
      </w:tr>
      <w:tr w14:paraId="73A03C1F">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4" w:space="0"/>
              <w:right w:val="single" w:color="000000" w:sz="4" w:space="0"/>
            </w:tcBorders>
            <w:noWrap w:val="0"/>
            <w:vAlign w:val="center"/>
          </w:tcPr>
          <w:p w14:paraId="7280052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库容特性</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08DF45B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总库容(万m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478C21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32.74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608E3">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FE48EA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消能型式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7F04120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跌水消力池</w:t>
            </w:r>
          </w:p>
        </w:tc>
      </w:tr>
      <w:tr w14:paraId="2CD1A7B8">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73DB328B">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4F6D1E7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调洪库容(万m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E2452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8.56</w:t>
            </w:r>
          </w:p>
        </w:tc>
        <w:tc>
          <w:tcPr>
            <w:tcW w:w="865" w:type="dxa"/>
            <w:vMerge w:val="restart"/>
            <w:tcBorders>
              <w:top w:val="single" w:color="000000" w:sz="4" w:space="0"/>
              <w:left w:val="single" w:color="000000" w:sz="4" w:space="0"/>
              <w:bottom w:val="single" w:color="000000" w:sz="12" w:space="0"/>
              <w:right w:val="single" w:color="000000" w:sz="4" w:space="0"/>
            </w:tcBorders>
            <w:noWrap w:val="0"/>
            <w:vAlign w:val="center"/>
          </w:tcPr>
          <w:p w14:paraId="7B2A031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取水建筑物</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1E0D07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FA2F4E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浆砌条石箱涵套PE管</w:t>
            </w:r>
          </w:p>
        </w:tc>
      </w:tr>
      <w:tr w14:paraId="01502531">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47231708">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229B43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兴利库容(万m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88B1C1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20.70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3D87D58">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F920E1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长度</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80B5E9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低涵55，高涵44</w:t>
            </w:r>
          </w:p>
        </w:tc>
      </w:tr>
      <w:tr w14:paraId="369C9E20">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75AEE1DC">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D28619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死库容(万m</w:t>
            </w:r>
            <w:r>
              <w:rPr>
                <w:rStyle w:val="35"/>
                <w:rFonts w:hint="default" w:eastAsia="楷体"/>
                <w:color w:val="auto"/>
                <w:sz w:val="18"/>
                <w:szCs w:val="18"/>
                <w:highlight w:val="none"/>
                <w:lang w:bidi="ar"/>
              </w:rPr>
              <w:t>3</w:t>
            </w:r>
            <w:r>
              <w:rPr>
                <w:rStyle w:val="40"/>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92C43F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3.48</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CE093C0">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D9C0D7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断面尺寸</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CE6591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低涵φ0.4，高涵φ0.4</w:t>
            </w:r>
          </w:p>
        </w:tc>
      </w:tr>
      <w:tr w14:paraId="42811F9B">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12" w:space="0"/>
              <w:right w:val="single" w:color="000000" w:sz="4" w:space="0"/>
            </w:tcBorders>
            <w:noWrap w:val="0"/>
            <w:vAlign w:val="center"/>
          </w:tcPr>
          <w:p w14:paraId="7FB5099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工程效益</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58D2754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有效灌溉面积（亩）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FD62F4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C26AAC1">
            <w:pPr>
              <w:jc w:val="center"/>
              <w:rPr>
                <w:rFonts w:eastAsia="楷体"/>
                <w:color w:val="auto"/>
                <w:sz w:val="18"/>
                <w:szCs w:val="18"/>
                <w:highlight w:val="none"/>
              </w:rPr>
            </w:pPr>
          </w:p>
        </w:tc>
        <w:tc>
          <w:tcPr>
            <w:tcW w:w="1893" w:type="dxa"/>
            <w:tcBorders>
              <w:top w:val="single" w:color="000000" w:sz="4" w:space="0"/>
              <w:left w:val="single" w:color="000000" w:sz="4" w:space="0"/>
              <w:bottom w:val="single" w:color="auto" w:sz="4" w:space="0"/>
              <w:right w:val="single" w:color="000000" w:sz="4" w:space="0"/>
            </w:tcBorders>
            <w:noWrap w:val="0"/>
            <w:vAlign w:val="center"/>
          </w:tcPr>
          <w:p w14:paraId="4DBDA13A">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465" w:type="dxa"/>
            <w:gridSpan w:val="3"/>
            <w:tcBorders>
              <w:top w:val="single" w:color="000000" w:sz="4" w:space="0"/>
              <w:left w:val="single" w:color="000000" w:sz="4" w:space="0"/>
              <w:bottom w:val="single" w:color="auto" w:sz="4" w:space="0"/>
              <w:right w:val="single" w:color="000000" w:sz="12" w:space="0"/>
            </w:tcBorders>
            <w:noWrap w:val="0"/>
            <w:vAlign w:val="center"/>
          </w:tcPr>
          <w:p w14:paraId="6F2578F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低涵29.45，高涵33.30</w:t>
            </w:r>
          </w:p>
        </w:tc>
      </w:tr>
      <w:tr w14:paraId="6D2A8AA1">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75A843A">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56028F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B7607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1D0789A8">
            <w:pPr>
              <w:jc w:val="center"/>
              <w:rPr>
                <w:rFonts w:eastAsia="楷体"/>
                <w:color w:val="auto"/>
                <w:sz w:val="18"/>
                <w:szCs w:val="18"/>
                <w:highlight w:val="none"/>
              </w:rPr>
            </w:pPr>
          </w:p>
        </w:tc>
        <w:tc>
          <w:tcPr>
            <w:tcW w:w="1893" w:type="dxa"/>
            <w:tcBorders>
              <w:top w:val="single" w:color="auto" w:sz="4" w:space="0"/>
              <w:left w:val="single" w:color="000000" w:sz="4" w:space="0"/>
              <w:bottom w:val="single" w:color="auto" w:sz="4" w:space="0"/>
              <w:right w:val="single" w:color="000000" w:sz="4" w:space="0"/>
            </w:tcBorders>
            <w:noWrap w:val="0"/>
            <w:vAlign w:val="center"/>
          </w:tcPr>
          <w:p w14:paraId="01A168A1">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465" w:type="dxa"/>
            <w:gridSpan w:val="3"/>
            <w:tcBorders>
              <w:top w:val="single" w:color="auto" w:sz="4" w:space="0"/>
              <w:left w:val="single" w:color="000000" w:sz="4" w:space="0"/>
              <w:bottom w:val="single" w:color="auto" w:sz="4" w:space="0"/>
              <w:right w:val="single" w:color="000000" w:sz="12" w:space="0"/>
            </w:tcBorders>
            <w:noWrap w:val="0"/>
            <w:vAlign w:val="center"/>
          </w:tcPr>
          <w:p w14:paraId="187B809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低涵28.01，高涵31.95</w:t>
            </w:r>
          </w:p>
        </w:tc>
      </w:tr>
      <w:tr w14:paraId="0D0B7DA7">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04A874EB">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0542914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保护人口（人）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85E84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51BF56FC">
            <w:pPr>
              <w:jc w:val="center"/>
              <w:rPr>
                <w:rFonts w:eastAsia="楷体"/>
                <w:color w:val="auto"/>
                <w:sz w:val="18"/>
                <w:szCs w:val="18"/>
                <w:highlight w:val="none"/>
              </w:rPr>
            </w:pPr>
          </w:p>
        </w:tc>
        <w:tc>
          <w:tcPr>
            <w:tcW w:w="1893" w:type="dxa"/>
            <w:tcBorders>
              <w:top w:val="single" w:color="auto" w:sz="4" w:space="0"/>
              <w:left w:val="single" w:color="000000" w:sz="4" w:space="0"/>
              <w:bottom w:val="single" w:color="000000" w:sz="4" w:space="0"/>
              <w:right w:val="single" w:color="000000" w:sz="4" w:space="0"/>
            </w:tcBorders>
            <w:noWrap w:val="0"/>
            <w:vAlign w:val="center"/>
          </w:tcPr>
          <w:p w14:paraId="7AAF7A8C">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465" w:type="dxa"/>
            <w:gridSpan w:val="3"/>
            <w:tcBorders>
              <w:top w:val="single" w:color="auto" w:sz="4" w:space="0"/>
              <w:left w:val="single" w:color="000000" w:sz="4" w:space="0"/>
              <w:bottom w:val="single" w:color="000000" w:sz="4" w:space="0"/>
              <w:right w:val="single" w:color="000000" w:sz="12" w:space="0"/>
            </w:tcBorders>
            <w:noWrap w:val="0"/>
            <w:vAlign w:val="center"/>
          </w:tcPr>
          <w:p w14:paraId="441A62C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低涵0.144，高涵0.105</w:t>
            </w:r>
          </w:p>
        </w:tc>
      </w:tr>
      <w:tr w14:paraId="4028C565">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C336446">
            <w:pPr>
              <w:jc w:val="center"/>
              <w:rPr>
                <w:rFonts w:eastAsia="楷体"/>
                <w:color w:val="auto"/>
                <w:sz w:val="18"/>
                <w:szCs w:val="18"/>
                <w:highlight w:val="none"/>
              </w:rPr>
            </w:pPr>
          </w:p>
        </w:tc>
        <w:tc>
          <w:tcPr>
            <w:tcW w:w="14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C968F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保护耕地（亩）</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7B68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8277FF4">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66A99A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放水型式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3B52BB6">
            <w:pPr>
              <w:widowControl/>
              <w:jc w:val="center"/>
              <w:textAlignment w:val="center"/>
              <w:rPr>
                <w:rFonts w:hint="eastAsia" w:eastAsia="楷体"/>
                <w:color w:val="auto"/>
                <w:kern w:val="0"/>
                <w:sz w:val="18"/>
                <w:szCs w:val="18"/>
                <w:highlight w:val="none"/>
                <w:lang w:bidi="ar"/>
              </w:rPr>
            </w:pPr>
            <w:r>
              <w:rPr>
                <w:rFonts w:hint="eastAsia" w:eastAsia="楷体"/>
                <w:color w:val="auto"/>
                <w:kern w:val="0"/>
                <w:sz w:val="18"/>
                <w:szCs w:val="18"/>
                <w:highlight w:val="none"/>
                <w:lang w:bidi="ar"/>
              </w:rPr>
              <w:t>低涵：转动门盖</w:t>
            </w:r>
          </w:p>
          <w:p w14:paraId="0C7013D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高涵：转动门盖</w:t>
            </w:r>
          </w:p>
        </w:tc>
      </w:tr>
      <w:tr w14:paraId="0E0A07FC">
        <w:tblPrEx>
          <w:tblCellMar>
            <w:top w:w="15" w:type="dxa"/>
            <w:left w:w="15" w:type="dxa"/>
            <w:bottom w:w="15" w:type="dxa"/>
            <w:right w:w="15" w:type="dxa"/>
          </w:tblCellMar>
        </w:tblPrEx>
        <w:trPr>
          <w:trHeight w:val="312"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2F015FEC">
            <w:pPr>
              <w:jc w:val="center"/>
              <w:rPr>
                <w:rFonts w:eastAsia="楷体"/>
                <w:color w:val="auto"/>
                <w:sz w:val="18"/>
                <w:szCs w:val="18"/>
                <w:highlight w:val="none"/>
              </w:rPr>
            </w:pPr>
          </w:p>
        </w:tc>
        <w:tc>
          <w:tcPr>
            <w:tcW w:w="14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48FB5E">
            <w:pPr>
              <w:jc w:val="center"/>
              <w:rPr>
                <w:rFonts w:eastAsia="楷体"/>
                <w:color w:val="auto"/>
                <w:sz w:val="18"/>
                <w:szCs w:val="18"/>
                <w:highlight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742C9">
            <w:pPr>
              <w:jc w:val="center"/>
              <w:rPr>
                <w:rFonts w:eastAsia="楷体"/>
                <w:color w:val="auto"/>
                <w:sz w:val="18"/>
                <w:szCs w:val="18"/>
                <w:highlight w:val="none"/>
              </w:rPr>
            </w:pP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49FE7209">
            <w:pPr>
              <w:jc w:val="center"/>
              <w:rPr>
                <w:rFonts w:eastAsia="楷体"/>
                <w:color w:val="auto"/>
                <w:sz w:val="18"/>
                <w:szCs w:val="18"/>
                <w:highlight w:val="none"/>
              </w:rPr>
            </w:pPr>
          </w:p>
        </w:tc>
        <w:tc>
          <w:tcPr>
            <w:tcW w:w="1893" w:type="dxa"/>
            <w:vMerge w:val="restart"/>
            <w:tcBorders>
              <w:top w:val="single" w:color="000000" w:sz="4" w:space="0"/>
              <w:left w:val="single" w:color="000000" w:sz="4" w:space="0"/>
              <w:bottom w:val="single" w:color="000000" w:sz="12" w:space="0"/>
              <w:right w:val="single" w:color="000000" w:sz="4" w:space="0"/>
            </w:tcBorders>
            <w:noWrap w:val="0"/>
            <w:vAlign w:val="center"/>
          </w:tcPr>
          <w:p w14:paraId="52BC287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启闭设备</w:t>
            </w:r>
          </w:p>
        </w:tc>
        <w:tc>
          <w:tcPr>
            <w:tcW w:w="2465" w:type="dxa"/>
            <w:gridSpan w:val="3"/>
            <w:vMerge w:val="restart"/>
            <w:tcBorders>
              <w:top w:val="single" w:color="000000" w:sz="4" w:space="0"/>
              <w:left w:val="single" w:color="000000" w:sz="4" w:space="0"/>
              <w:bottom w:val="single" w:color="000000" w:sz="12" w:space="0"/>
              <w:right w:val="single" w:color="000000" w:sz="12" w:space="0"/>
            </w:tcBorders>
            <w:noWrap w:val="0"/>
            <w:vAlign w:val="center"/>
          </w:tcPr>
          <w:p w14:paraId="13E39A46">
            <w:pPr>
              <w:widowControl/>
              <w:jc w:val="center"/>
              <w:textAlignment w:val="center"/>
              <w:rPr>
                <w:rFonts w:hint="eastAsia" w:eastAsia="楷体"/>
                <w:color w:val="auto"/>
                <w:kern w:val="0"/>
                <w:sz w:val="18"/>
                <w:szCs w:val="18"/>
                <w:highlight w:val="none"/>
                <w:lang w:bidi="ar"/>
              </w:rPr>
            </w:pPr>
            <w:r>
              <w:rPr>
                <w:rFonts w:hint="eastAsia" w:eastAsia="楷体"/>
                <w:color w:val="auto"/>
                <w:kern w:val="0"/>
                <w:sz w:val="18"/>
                <w:szCs w:val="18"/>
                <w:highlight w:val="none"/>
                <w:lang w:bidi="ar"/>
              </w:rPr>
              <w:t>低涵：3t手动卷扬式启闭机</w:t>
            </w:r>
          </w:p>
          <w:p w14:paraId="5E63883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高涵：3t手动卷扬式启闭机</w:t>
            </w:r>
          </w:p>
        </w:tc>
      </w:tr>
      <w:tr w14:paraId="1A7D5245">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5308129">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12" w:space="0"/>
              <w:right w:val="single" w:color="000000" w:sz="4" w:space="0"/>
            </w:tcBorders>
            <w:noWrap w:val="0"/>
            <w:vAlign w:val="center"/>
          </w:tcPr>
          <w:p w14:paraId="69CEAD4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总装机功率（kw）</w:t>
            </w:r>
          </w:p>
        </w:tc>
        <w:tc>
          <w:tcPr>
            <w:tcW w:w="1655" w:type="dxa"/>
            <w:tcBorders>
              <w:top w:val="single" w:color="000000" w:sz="4" w:space="0"/>
              <w:left w:val="single" w:color="000000" w:sz="4" w:space="0"/>
              <w:bottom w:val="single" w:color="000000" w:sz="12" w:space="0"/>
              <w:right w:val="single" w:color="000000" w:sz="4" w:space="0"/>
            </w:tcBorders>
            <w:noWrap w:val="0"/>
            <w:vAlign w:val="center"/>
          </w:tcPr>
          <w:p w14:paraId="5C0278D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6C08AD9">
            <w:pPr>
              <w:jc w:val="center"/>
              <w:rPr>
                <w:rFonts w:eastAsia="楷体"/>
                <w:color w:val="auto"/>
                <w:sz w:val="18"/>
                <w:szCs w:val="18"/>
                <w:highlight w:val="none"/>
              </w:rPr>
            </w:pPr>
          </w:p>
        </w:tc>
        <w:tc>
          <w:tcPr>
            <w:tcW w:w="1893" w:type="dxa"/>
            <w:vMerge w:val="continue"/>
            <w:tcBorders>
              <w:top w:val="single" w:color="000000" w:sz="4" w:space="0"/>
              <w:left w:val="single" w:color="000000" w:sz="4" w:space="0"/>
              <w:bottom w:val="single" w:color="000000" w:sz="12" w:space="0"/>
              <w:right w:val="single" w:color="000000" w:sz="4" w:space="0"/>
            </w:tcBorders>
            <w:noWrap w:val="0"/>
            <w:vAlign w:val="center"/>
          </w:tcPr>
          <w:p w14:paraId="7F1C6F92">
            <w:pPr>
              <w:jc w:val="center"/>
              <w:rPr>
                <w:rFonts w:eastAsia="楷体"/>
                <w:color w:val="auto"/>
                <w:sz w:val="18"/>
                <w:szCs w:val="18"/>
                <w:highlight w:val="none"/>
              </w:rPr>
            </w:pPr>
          </w:p>
        </w:tc>
        <w:tc>
          <w:tcPr>
            <w:tcW w:w="2465" w:type="dxa"/>
            <w:gridSpan w:val="3"/>
            <w:vMerge w:val="continue"/>
            <w:tcBorders>
              <w:top w:val="single" w:color="000000" w:sz="4" w:space="0"/>
              <w:left w:val="single" w:color="000000" w:sz="4" w:space="0"/>
              <w:bottom w:val="single" w:color="000000" w:sz="12" w:space="0"/>
              <w:right w:val="single" w:color="000000" w:sz="12" w:space="0"/>
            </w:tcBorders>
            <w:noWrap w:val="0"/>
            <w:vAlign w:val="center"/>
          </w:tcPr>
          <w:p w14:paraId="6AA53655">
            <w:pPr>
              <w:jc w:val="center"/>
              <w:rPr>
                <w:rFonts w:eastAsia="楷体"/>
                <w:color w:val="auto"/>
                <w:sz w:val="18"/>
                <w:szCs w:val="18"/>
                <w:highlight w:val="none"/>
              </w:rPr>
            </w:pPr>
          </w:p>
        </w:tc>
      </w:tr>
    </w:tbl>
    <w:p w14:paraId="2A324FD2">
      <w:pPr>
        <w:rPr>
          <w:rFonts w:eastAsia="楷体"/>
          <w:vanish/>
          <w:color w:val="auto"/>
          <w:highlight w:val="none"/>
        </w:rPr>
      </w:pPr>
    </w:p>
    <w:p w14:paraId="29B1E213">
      <w:pPr>
        <w:jc w:val="center"/>
        <w:rPr>
          <w:rFonts w:eastAsia="楷体"/>
          <w:b/>
          <w:color w:val="auto"/>
          <w:sz w:val="28"/>
          <w:szCs w:val="28"/>
          <w:highlight w:val="none"/>
        </w:rPr>
      </w:pPr>
    </w:p>
    <w:p w14:paraId="39A8346E">
      <w:pPr>
        <w:jc w:val="center"/>
        <w:outlineLvl w:val="1"/>
        <w:rPr>
          <w:rFonts w:eastAsia="楷体"/>
          <w:b/>
          <w:color w:val="auto"/>
          <w:sz w:val="28"/>
          <w:szCs w:val="28"/>
          <w:highlight w:val="none"/>
        </w:rPr>
      </w:pPr>
      <w:bookmarkStart w:id="71" w:name="_Toc18024"/>
      <w:r>
        <w:rPr>
          <w:rFonts w:eastAsia="楷体"/>
          <w:b/>
          <w:color w:val="auto"/>
          <w:sz w:val="28"/>
          <w:szCs w:val="28"/>
          <w:highlight w:val="none"/>
        </w:rPr>
        <w:t>表2    前烧水库水位～库容关系曲线表</w:t>
      </w:r>
      <w:bookmarkEnd w:id="71"/>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5584F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72592500">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5" w:type="dxa"/>
            <w:noWrap w:val="0"/>
            <w:vAlign w:val="center"/>
          </w:tcPr>
          <w:p w14:paraId="0B7FF3F7">
            <w:pPr>
              <w:pStyle w:val="27"/>
              <w:spacing w:line="460" w:lineRule="exact"/>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2519B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5BD4590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33.72</w:t>
            </w:r>
          </w:p>
        </w:tc>
        <w:tc>
          <w:tcPr>
            <w:tcW w:w="4645" w:type="dxa"/>
            <w:noWrap w:val="0"/>
            <w:vAlign w:val="center"/>
          </w:tcPr>
          <w:p w14:paraId="574B2550">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6.00</w:t>
            </w:r>
          </w:p>
        </w:tc>
      </w:tr>
      <w:tr w14:paraId="4083D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E66C29C">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34.00</w:t>
            </w:r>
          </w:p>
        </w:tc>
        <w:tc>
          <w:tcPr>
            <w:tcW w:w="4645" w:type="dxa"/>
            <w:noWrap w:val="0"/>
            <w:vAlign w:val="center"/>
          </w:tcPr>
          <w:p w14:paraId="5AEC0E8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6.86</w:t>
            </w:r>
          </w:p>
        </w:tc>
      </w:tr>
      <w:tr w14:paraId="1FDC9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1C9109A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35.00</w:t>
            </w:r>
          </w:p>
        </w:tc>
        <w:tc>
          <w:tcPr>
            <w:tcW w:w="4645" w:type="dxa"/>
            <w:noWrap w:val="0"/>
            <w:vAlign w:val="center"/>
          </w:tcPr>
          <w:p w14:paraId="3A1CE22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10.56</w:t>
            </w:r>
          </w:p>
        </w:tc>
      </w:tr>
      <w:tr w14:paraId="2C22C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5FAB54CA">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36.00</w:t>
            </w:r>
          </w:p>
        </w:tc>
        <w:tc>
          <w:tcPr>
            <w:tcW w:w="4645" w:type="dxa"/>
            <w:noWrap w:val="0"/>
            <w:vAlign w:val="center"/>
          </w:tcPr>
          <w:p w14:paraId="2527778E">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14.89</w:t>
            </w:r>
          </w:p>
        </w:tc>
      </w:tr>
      <w:tr w14:paraId="11FFC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930EA33">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37.00</w:t>
            </w:r>
          </w:p>
        </w:tc>
        <w:tc>
          <w:tcPr>
            <w:tcW w:w="4645" w:type="dxa"/>
            <w:noWrap w:val="0"/>
            <w:vAlign w:val="center"/>
          </w:tcPr>
          <w:p w14:paraId="178C6D8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19.92</w:t>
            </w:r>
          </w:p>
        </w:tc>
      </w:tr>
      <w:tr w14:paraId="4E66F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5AC99328">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37.75</w:t>
            </w:r>
          </w:p>
        </w:tc>
        <w:tc>
          <w:tcPr>
            <w:tcW w:w="4645" w:type="dxa"/>
            <w:noWrap w:val="0"/>
            <w:vAlign w:val="center"/>
          </w:tcPr>
          <w:p w14:paraId="670E1BE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24.18</w:t>
            </w:r>
          </w:p>
        </w:tc>
      </w:tr>
      <w:tr w14:paraId="43117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F54687B">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38.00</w:t>
            </w:r>
          </w:p>
        </w:tc>
        <w:tc>
          <w:tcPr>
            <w:tcW w:w="4645" w:type="dxa"/>
            <w:noWrap w:val="0"/>
            <w:vAlign w:val="center"/>
          </w:tcPr>
          <w:p w14:paraId="741B6F6D">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25.68</w:t>
            </w:r>
          </w:p>
        </w:tc>
      </w:tr>
      <w:tr w14:paraId="65D7E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11C1B7C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39.00</w:t>
            </w:r>
          </w:p>
        </w:tc>
        <w:tc>
          <w:tcPr>
            <w:tcW w:w="4645" w:type="dxa"/>
            <w:noWrap w:val="0"/>
            <w:vAlign w:val="center"/>
          </w:tcPr>
          <w:p w14:paraId="5150096F">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32.05</w:t>
            </w:r>
          </w:p>
        </w:tc>
      </w:tr>
      <w:tr w14:paraId="094D7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45084112">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39.80</w:t>
            </w:r>
          </w:p>
        </w:tc>
        <w:tc>
          <w:tcPr>
            <w:tcW w:w="4645" w:type="dxa"/>
            <w:noWrap w:val="0"/>
            <w:vAlign w:val="center"/>
          </w:tcPr>
          <w:p w14:paraId="51E04B51">
            <w:pPr>
              <w:pStyle w:val="27"/>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37.65</w:t>
            </w:r>
          </w:p>
        </w:tc>
      </w:tr>
    </w:tbl>
    <w:p w14:paraId="005A6F4E">
      <w:pPr>
        <w:jc w:val="center"/>
        <w:outlineLvl w:val="1"/>
        <w:rPr>
          <w:rFonts w:eastAsia="楷体"/>
          <w:b/>
          <w:color w:val="auto"/>
          <w:sz w:val="28"/>
          <w:szCs w:val="28"/>
          <w:highlight w:val="none"/>
        </w:rPr>
      </w:pPr>
      <w:r>
        <w:rPr>
          <w:color w:val="auto"/>
          <w:highlight w:val="none"/>
        </w:rPr>
        <w:pict>
          <v:shape id="图片 75" o:spid="_x0000_s2050" o:spt="75" type="#_x0000_t75" style="position:absolute;left:0pt;margin-left:-6.7pt;margin-top:21.9pt;height:266.8pt;width:453.35pt;mso-wrap-distance-bottom:0pt;mso-wrap-distance-left:9pt;mso-wrap-distance-right:9pt;mso-wrap-distance-top:0pt;z-index:251659264;mso-width-relative:page;mso-height-relative:page;" filled="f" o:preferrelative="t" stroked="f" coordsize="21600,21600">
            <v:path/>
            <v:fill on="f" focussize="0,0"/>
            <v:stroke on="f"/>
            <v:imagedata r:id="rId71" o:title=""/>
            <o:lock v:ext="edit" grouping="f" rotation="f" text="f" aspectratio="t"/>
            <w10:wrap type="square"/>
          </v:shape>
        </w:pict>
      </w:r>
    </w:p>
    <w:p w14:paraId="58C26630">
      <w:pPr>
        <w:jc w:val="center"/>
        <w:rPr>
          <w:rFonts w:eastAsia="楷体"/>
          <w:b/>
          <w:color w:val="auto"/>
          <w:sz w:val="28"/>
          <w:szCs w:val="28"/>
          <w:highlight w:val="none"/>
        </w:rPr>
      </w:pPr>
    </w:p>
    <w:p w14:paraId="7558BBC6">
      <w:pPr>
        <w:rPr>
          <w:rFonts w:eastAsia="楷体"/>
          <w:color w:val="auto"/>
          <w:spacing w:val="20"/>
          <w:kern w:val="0"/>
          <w:sz w:val="28"/>
          <w:szCs w:val="28"/>
          <w:highlight w:val="none"/>
        </w:rPr>
      </w:pPr>
    </w:p>
    <w:p w14:paraId="5EC55811">
      <w:pPr>
        <w:rPr>
          <w:rFonts w:eastAsia="楷体"/>
          <w:color w:val="auto"/>
          <w:spacing w:val="20"/>
          <w:kern w:val="0"/>
          <w:sz w:val="28"/>
          <w:szCs w:val="28"/>
          <w:highlight w:val="none"/>
        </w:rPr>
      </w:pPr>
    </w:p>
    <w:p w14:paraId="66C8E8A9">
      <w:pPr>
        <w:spacing w:line="520" w:lineRule="exact"/>
        <w:jc w:val="center"/>
        <w:outlineLvl w:val="1"/>
        <w:rPr>
          <w:rFonts w:eastAsia="楷体"/>
          <w:b/>
          <w:bCs/>
          <w:color w:val="auto"/>
          <w:sz w:val="28"/>
          <w:szCs w:val="28"/>
          <w:highlight w:val="none"/>
        </w:rPr>
      </w:pPr>
      <w:bookmarkStart w:id="72" w:name="_Toc14341"/>
      <w:r>
        <w:rPr>
          <w:rFonts w:eastAsia="楷体"/>
          <w:b/>
          <w:bCs/>
          <w:color w:val="auto"/>
          <w:sz w:val="28"/>
          <w:szCs w:val="28"/>
          <w:highlight w:val="none"/>
        </w:rPr>
        <w:t>表3    前烧水库溢洪道下泄流量表</w:t>
      </w:r>
      <w:bookmarkEnd w:id="72"/>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1932"/>
        <w:gridCol w:w="821"/>
        <w:gridCol w:w="908"/>
        <w:gridCol w:w="907"/>
        <w:gridCol w:w="907"/>
        <w:gridCol w:w="907"/>
        <w:gridCol w:w="907"/>
        <w:gridCol w:w="907"/>
        <w:gridCol w:w="907"/>
      </w:tblGrid>
      <w:tr w14:paraId="65C143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6B19A1B1">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821" w:type="dxa"/>
            <w:noWrap w:val="0"/>
            <w:vAlign w:val="center"/>
          </w:tcPr>
          <w:p w14:paraId="00B59CDE">
            <w:pPr>
              <w:widowControl/>
              <w:jc w:val="center"/>
              <w:textAlignment w:val="center"/>
              <w:rPr>
                <w:rFonts w:eastAsia="楷体"/>
                <w:color w:val="auto"/>
                <w:sz w:val="24"/>
                <w:highlight w:val="none"/>
              </w:rPr>
            </w:pPr>
            <w:r>
              <w:rPr>
                <w:rFonts w:hint="eastAsia" w:eastAsia="楷体"/>
                <w:color w:val="auto"/>
                <w:kern w:val="0"/>
                <w:sz w:val="24"/>
                <w:highlight w:val="none"/>
                <w:lang w:bidi="ar"/>
              </w:rPr>
              <w:t>37.75</w:t>
            </w:r>
          </w:p>
        </w:tc>
        <w:tc>
          <w:tcPr>
            <w:tcW w:w="908" w:type="dxa"/>
            <w:noWrap w:val="0"/>
            <w:vAlign w:val="center"/>
          </w:tcPr>
          <w:p w14:paraId="0B79F1BC">
            <w:pPr>
              <w:widowControl/>
              <w:jc w:val="center"/>
              <w:textAlignment w:val="center"/>
              <w:rPr>
                <w:rFonts w:eastAsia="楷体"/>
                <w:color w:val="auto"/>
                <w:sz w:val="24"/>
                <w:highlight w:val="none"/>
              </w:rPr>
            </w:pPr>
            <w:r>
              <w:rPr>
                <w:rFonts w:hint="eastAsia" w:eastAsia="楷体"/>
                <w:color w:val="auto"/>
                <w:kern w:val="0"/>
                <w:sz w:val="24"/>
                <w:highlight w:val="none"/>
                <w:lang w:bidi="ar"/>
              </w:rPr>
              <w:t>37.80</w:t>
            </w:r>
          </w:p>
        </w:tc>
        <w:tc>
          <w:tcPr>
            <w:tcW w:w="907" w:type="dxa"/>
            <w:noWrap w:val="0"/>
            <w:vAlign w:val="center"/>
          </w:tcPr>
          <w:p w14:paraId="15F453D9">
            <w:pPr>
              <w:widowControl/>
              <w:jc w:val="center"/>
              <w:textAlignment w:val="center"/>
              <w:rPr>
                <w:rFonts w:eastAsia="楷体"/>
                <w:color w:val="auto"/>
                <w:sz w:val="24"/>
                <w:highlight w:val="none"/>
              </w:rPr>
            </w:pPr>
            <w:r>
              <w:rPr>
                <w:rFonts w:hint="eastAsia" w:eastAsia="楷体"/>
                <w:color w:val="auto"/>
                <w:kern w:val="0"/>
                <w:sz w:val="24"/>
                <w:highlight w:val="none"/>
                <w:lang w:bidi="ar"/>
              </w:rPr>
              <w:t>37.90</w:t>
            </w:r>
          </w:p>
        </w:tc>
        <w:tc>
          <w:tcPr>
            <w:tcW w:w="907" w:type="dxa"/>
            <w:noWrap w:val="0"/>
            <w:vAlign w:val="center"/>
          </w:tcPr>
          <w:p w14:paraId="359A61AC">
            <w:pPr>
              <w:widowControl/>
              <w:jc w:val="center"/>
              <w:textAlignment w:val="center"/>
              <w:rPr>
                <w:rFonts w:eastAsia="楷体"/>
                <w:color w:val="auto"/>
                <w:sz w:val="24"/>
                <w:highlight w:val="none"/>
              </w:rPr>
            </w:pPr>
            <w:r>
              <w:rPr>
                <w:rFonts w:hint="eastAsia" w:eastAsia="楷体"/>
                <w:color w:val="auto"/>
                <w:kern w:val="0"/>
                <w:sz w:val="24"/>
                <w:highlight w:val="none"/>
                <w:lang w:bidi="ar"/>
              </w:rPr>
              <w:t>38.00</w:t>
            </w:r>
          </w:p>
        </w:tc>
        <w:tc>
          <w:tcPr>
            <w:tcW w:w="907" w:type="dxa"/>
            <w:noWrap w:val="0"/>
            <w:vAlign w:val="center"/>
          </w:tcPr>
          <w:p w14:paraId="7BB33B3A">
            <w:pPr>
              <w:widowControl/>
              <w:jc w:val="center"/>
              <w:textAlignment w:val="center"/>
              <w:rPr>
                <w:rFonts w:eastAsia="楷体"/>
                <w:color w:val="auto"/>
                <w:sz w:val="24"/>
                <w:highlight w:val="none"/>
              </w:rPr>
            </w:pPr>
            <w:r>
              <w:rPr>
                <w:rFonts w:hint="eastAsia" w:eastAsia="楷体"/>
                <w:color w:val="auto"/>
                <w:kern w:val="0"/>
                <w:sz w:val="24"/>
                <w:highlight w:val="none"/>
                <w:lang w:bidi="ar"/>
              </w:rPr>
              <w:t>38.10</w:t>
            </w:r>
          </w:p>
        </w:tc>
        <w:tc>
          <w:tcPr>
            <w:tcW w:w="907" w:type="dxa"/>
            <w:noWrap w:val="0"/>
            <w:vAlign w:val="center"/>
          </w:tcPr>
          <w:p w14:paraId="44F98CC5">
            <w:pPr>
              <w:widowControl/>
              <w:jc w:val="center"/>
              <w:textAlignment w:val="center"/>
              <w:rPr>
                <w:rFonts w:eastAsia="楷体"/>
                <w:color w:val="auto"/>
                <w:sz w:val="24"/>
                <w:highlight w:val="none"/>
              </w:rPr>
            </w:pPr>
            <w:r>
              <w:rPr>
                <w:rFonts w:hint="eastAsia" w:eastAsia="楷体"/>
                <w:color w:val="auto"/>
                <w:kern w:val="0"/>
                <w:sz w:val="24"/>
                <w:highlight w:val="none"/>
                <w:lang w:bidi="ar"/>
              </w:rPr>
              <w:t>38.20</w:t>
            </w:r>
          </w:p>
        </w:tc>
        <w:tc>
          <w:tcPr>
            <w:tcW w:w="907" w:type="dxa"/>
            <w:noWrap w:val="0"/>
            <w:vAlign w:val="center"/>
          </w:tcPr>
          <w:p w14:paraId="0B7021EC">
            <w:pPr>
              <w:widowControl/>
              <w:jc w:val="center"/>
              <w:textAlignment w:val="center"/>
              <w:rPr>
                <w:rFonts w:eastAsia="楷体"/>
                <w:color w:val="auto"/>
                <w:sz w:val="24"/>
                <w:highlight w:val="none"/>
              </w:rPr>
            </w:pPr>
            <w:r>
              <w:rPr>
                <w:rFonts w:hint="eastAsia" w:eastAsia="楷体"/>
                <w:color w:val="auto"/>
                <w:kern w:val="0"/>
                <w:sz w:val="24"/>
                <w:highlight w:val="none"/>
                <w:lang w:bidi="ar"/>
              </w:rPr>
              <w:t>38.30</w:t>
            </w:r>
          </w:p>
        </w:tc>
        <w:tc>
          <w:tcPr>
            <w:tcW w:w="907" w:type="dxa"/>
            <w:noWrap w:val="0"/>
            <w:vAlign w:val="top"/>
          </w:tcPr>
          <w:p w14:paraId="618AA0F8">
            <w:pPr>
              <w:widowControl/>
              <w:jc w:val="center"/>
              <w:textAlignment w:val="center"/>
              <w:rPr>
                <w:rFonts w:eastAsia="楷体"/>
                <w:color w:val="auto"/>
                <w:kern w:val="0"/>
                <w:sz w:val="24"/>
                <w:highlight w:val="none"/>
                <w:lang w:bidi="ar"/>
              </w:rPr>
            </w:pPr>
            <w:r>
              <w:rPr>
                <w:rFonts w:hint="eastAsia" w:eastAsia="楷体"/>
                <w:color w:val="auto"/>
                <w:kern w:val="0"/>
                <w:sz w:val="24"/>
                <w:highlight w:val="none"/>
                <w:lang w:bidi="ar"/>
              </w:rPr>
              <w:t>38.40</w:t>
            </w:r>
          </w:p>
        </w:tc>
      </w:tr>
      <w:tr w14:paraId="41DE30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101AD730">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821" w:type="dxa"/>
            <w:noWrap w:val="0"/>
            <w:vAlign w:val="center"/>
          </w:tcPr>
          <w:p w14:paraId="08FCE9F7">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908" w:type="dxa"/>
            <w:noWrap w:val="0"/>
            <w:vAlign w:val="center"/>
          </w:tcPr>
          <w:p w14:paraId="4B6DBEFC">
            <w:pPr>
              <w:widowControl/>
              <w:jc w:val="center"/>
              <w:textAlignment w:val="center"/>
              <w:rPr>
                <w:rFonts w:eastAsia="楷体"/>
                <w:color w:val="auto"/>
                <w:sz w:val="24"/>
                <w:highlight w:val="none"/>
              </w:rPr>
            </w:pPr>
            <w:r>
              <w:rPr>
                <w:rFonts w:hint="eastAsia" w:eastAsia="楷体"/>
                <w:color w:val="auto"/>
                <w:kern w:val="0"/>
                <w:sz w:val="24"/>
                <w:highlight w:val="none"/>
                <w:lang w:bidi="ar"/>
              </w:rPr>
              <w:t>0.09</w:t>
            </w:r>
          </w:p>
        </w:tc>
        <w:tc>
          <w:tcPr>
            <w:tcW w:w="907" w:type="dxa"/>
            <w:noWrap w:val="0"/>
            <w:vAlign w:val="center"/>
          </w:tcPr>
          <w:p w14:paraId="710A2DF4">
            <w:pPr>
              <w:widowControl/>
              <w:jc w:val="center"/>
              <w:textAlignment w:val="center"/>
              <w:rPr>
                <w:rFonts w:eastAsia="楷体"/>
                <w:color w:val="auto"/>
                <w:sz w:val="24"/>
                <w:highlight w:val="none"/>
              </w:rPr>
            </w:pPr>
            <w:r>
              <w:rPr>
                <w:rFonts w:hint="eastAsia" w:eastAsia="楷体"/>
                <w:color w:val="auto"/>
                <w:kern w:val="0"/>
                <w:sz w:val="24"/>
                <w:highlight w:val="none"/>
                <w:lang w:bidi="ar"/>
              </w:rPr>
              <w:t>0.49</w:t>
            </w:r>
          </w:p>
        </w:tc>
        <w:tc>
          <w:tcPr>
            <w:tcW w:w="907" w:type="dxa"/>
            <w:noWrap w:val="0"/>
            <w:vAlign w:val="center"/>
          </w:tcPr>
          <w:p w14:paraId="55D76507">
            <w:pPr>
              <w:widowControl/>
              <w:jc w:val="center"/>
              <w:textAlignment w:val="center"/>
              <w:rPr>
                <w:rFonts w:eastAsia="楷体"/>
                <w:color w:val="auto"/>
                <w:sz w:val="24"/>
                <w:highlight w:val="none"/>
              </w:rPr>
            </w:pPr>
            <w:r>
              <w:rPr>
                <w:rFonts w:hint="eastAsia" w:eastAsia="楷体"/>
                <w:color w:val="auto"/>
                <w:kern w:val="0"/>
                <w:sz w:val="24"/>
                <w:highlight w:val="none"/>
                <w:lang w:bidi="ar"/>
              </w:rPr>
              <w:t>1.05</w:t>
            </w:r>
          </w:p>
        </w:tc>
        <w:tc>
          <w:tcPr>
            <w:tcW w:w="907" w:type="dxa"/>
            <w:noWrap w:val="0"/>
            <w:vAlign w:val="center"/>
          </w:tcPr>
          <w:p w14:paraId="13337C14">
            <w:pPr>
              <w:widowControl/>
              <w:jc w:val="center"/>
              <w:textAlignment w:val="center"/>
              <w:rPr>
                <w:rFonts w:eastAsia="楷体"/>
                <w:color w:val="auto"/>
                <w:sz w:val="24"/>
                <w:highlight w:val="none"/>
              </w:rPr>
            </w:pPr>
            <w:r>
              <w:rPr>
                <w:rFonts w:hint="eastAsia" w:eastAsia="楷体"/>
                <w:color w:val="auto"/>
                <w:kern w:val="0"/>
                <w:sz w:val="24"/>
                <w:highlight w:val="none"/>
                <w:lang w:bidi="ar"/>
              </w:rPr>
              <w:t>1.74</w:t>
            </w:r>
          </w:p>
        </w:tc>
        <w:tc>
          <w:tcPr>
            <w:tcW w:w="907" w:type="dxa"/>
            <w:noWrap w:val="0"/>
            <w:vAlign w:val="center"/>
          </w:tcPr>
          <w:p w14:paraId="60252783">
            <w:pPr>
              <w:widowControl/>
              <w:jc w:val="center"/>
              <w:textAlignment w:val="center"/>
              <w:rPr>
                <w:rFonts w:eastAsia="楷体"/>
                <w:color w:val="auto"/>
                <w:sz w:val="24"/>
                <w:highlight w:val="none"/>
              </w:rPr>
            </w:pPr>
            <w:r>
              <w:rPr>
                <w:rFonts w:hint="eastAsia" w:eastAsia="楷体"/>
                <w:color w:val="auto"/>
                <w:kern w:val="0"/>
                <w:sz w:val="24"/>
                <w:highlight w:val="none"/>
                <w:lang w:bidi="ar"/>
              </w:rPr>
              <w:t>2.53</w:t>
            </w:r>
          </w:p>
        </w:tc>
        <w:tc>
          <w:tcPr>
            <w:tcW w:w="907" w:type="dxa"/>
            <w:noWrap w:val="0"/>
            <w:vAlign w:val="center"/>
          </w:tcPr>
          <w:p w14:paraId="298D8F48">
            <w:pPr>
              <w:widowControl/>
              <w:jc w:val="center"/>
              <w:textAlignment w:val="center"/>
              <w:rPr>
                <w:rFonts w:eastAsia="楷体"/>
                <w:color w:val="auto"/>
                <w:sz w:val="24"/>
                <w:highlight w:val="none"/>
              </w:rPr>
            </w:pPr>
            <w:r>
              <w:rPr>
                <w:rFonts w:hint="eastAsia" w:eastAsia="楷体"/>
                <w:color w:val="auto"/>
                <w:kern w:val="0"/>
                <w:sz w:val="24"/>
                <w:highlight w:val="none"/>
                <w:lang w:bidi="ar"/>
              </w:rPr>
              <w:t>3.42</w:t>
            </w:r>
          </w:p>
        </w:tc>
        <w:tc>
          <w:tcPr>
            <w:tcW w:w="907" w:type="dxa"/>
            <w:noWrap w:val="0"/>
            <w:vAlign w:val="top"/>
          </w:tcPr>
          <w:p w14:paraId="6CB2528B">
            <w:pPr>
              <w:widowControl/>
              <w:jc w:val="center"/>
              <w:textAlignment w:val="center"/>
              <w:rPr>
                <w:rFonts w:eastAsia="楷体"/>
                <w:color w:val="auto"/>
                <w:kern w:val="0"/>
                <w:sz w:val="24"/>
                <w:highlight w:val="none"/>
                <w:lang w:bidi="ar"/>
              </w:rPr>
            </w:pPr>
            <w:r>
              <w:rPr>
                <w:rFonts w:hint="eastAsia" w:eastAsia="楷体"/>
                <w:color w:val="auto"/>
                <w:kern w:val="0"/>
                <w:sz w:val="24"/>
                <w:highlight w:val="none"/>
                <w:lang w:bidi="ar"/>
              </w:rPr>
              <w:t>4.40</w:t>
            </w:r>
          </w:p>
        </w:tc>
      </w:tr>
      <w:tr w14:paraId="658942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5A13701C">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821" w:type="dxa"/>
            <w:noWrap w:val="0"/>
            <w:vAlign w:val="center"/>
          </w:tcPr>
          <w:p w14:paraId="764A6947">
            <w:pPr>
              <w:widowControl/>
              <w:jc w:val="center"/>
              <w:textAlignment w:val="center"/>
              <w:rPr>
                <w:rFonts w:eastAsia="楷体"/>
                <w:color w:val="auto"/>
                <w:sz w:val="24"/>
                <w:highlight w:val="none"/>
              </w:rPr>
            </w:pPr>
            <w:r>
              <w:rPr>
                <w:rFonts w:hint="eastAsia" w:eastAsia="楷体"/>
                <w:color w:val="auto"/>
                <w:kern w:val="0"/>
                <w:sz w:val="24"/>
                <w:highlight w:val="none"/>
                <w:lang w:bidi="ar"/>
              </w:rPr>
              <w:t>38.50</w:t>
            </w:r>
          </w:p>
        </w:tc>
        <w:tc>
          <w:tcPr>
            <w:tcW w:w="908" w:type="dxa"/>
            <w:noWrap w:val="0"/>
            <w:vAlign w:val="center"/>
          </w:tcPr>
          <w:p w14:paraId="61BF9AB0">
            <w:pPr>
              <w:widowControl/>
              <w:jc w:val="center"/>
              <w:textAlignment w:val="center"/>
              <w:rPr>
                <w:rFonts w:eastAsia="楷体"/>
                <w:color w:val="auto"/>
                <w:sz w:val="24"/>
                <w:highlight w:val="none"/>
              </w:rPr>
            </w:pPr>
            <w:r>
              <w:rPr>
                <w:rFonts w:hint="eastAsia" w:eastAsia="楷体"/>
                <w:color w:val="auto"/>
                <w:kern w:val="0"/>
                <w:sz w:val="24"/>
                <w:highlight w:val="none"/>
                <w:lang w:bidi="ar"/>
              </w:rPr>
              <w:t>38.60</w:t>
            </w:r>
          </w:p>
        </w:tc>
        <w:tc>
          <w:tcPr>
            <w:tcW w:w="907" w:type="dxa"/>
            <w:noWrap w:val="0"/>
            <w:vAlign w:val="center"/>
          </w:tcPr>
          <w:p w14:paraId="5EDEBE55">
            <w:pPr>
              <w:widowControl/>
              <w:jc w:val="center"/>
              <w:textAlignment w:val="center"/>
              <w:rPr>
                <w:rFonts w:eastAsia="楷体"/>
                <w:color w:val="auto"/>
                <w:sz w:val="24"/>
                <w:highlight w:val="none"/>
              </w:rPr>
            </w:pPr>
            <w:r>
              <w:rPr>
                <w:rFonts w:hint="eastAsia" w:eastAsia="楷体"/>
                <w:color w:val="auto"/>
                <w:kern w:val="0"/>
                <w:sz w:val="24"/>
                <w:highlight w:val="none"/>
                <w:lang w:bidi="ar"/>
              </w:rPr>
              <w:t>38.70</w:t>
            </w:r>
          </w:p>
        </w:tc>
        <w:tc>
          <w:tcPr>
            <w:tcW w:w="907" w:type="dxa"/>
            <w:noWrap w:val="0"/>
            <w:vAlign w:val="center"/>
          </w:tcPr>
          <w:p w14:paraId="66BCC80F">
            <w:pPr>
              <w:widowControl/>
              <w:jc w:val="center"/>
              <w:textAlignment w:val="center"/>
              <w:rPr>
                <w:rFonts w:eastAsia="楷体"/>
                <w:color w:val="auto"/>
                <w:sz w:val="24"/>
                <w:highlight w:val="none"/>
              </w:rPr>
            </w:pPr>
            <w:r>
              <w:rPr>
                <w:rFonts w:hint="eastAsia" w:eastAsia="楷体"/>
                <w:color w:val="auto"/>
                <w:kern w:val="0"/>
                <w:sz w:val="24"/>
                <w:highlight w:val="none"/>
                <w:lang w:bidi="ar"/>
              </w:rPr>
              <w:t>38.80</w:t>
            </w:r>
          </w:p>
        </w:tc>
        <w:tc>
          <w:tcPr>
            <w:tcW w:w="907" w:type="dxa"/>
            <w:noWrap w:val="0"/>
            <w:vAlign w:val="center"/>
          </w:tcPr>
          <w:p w14:paraId="4A24C5BA">
            <w:pPr>
              <w:widowControl/>
              <w:jc w:val="center"/>
              <w:textAlignment w:val="center"/>
              <w:rPr>
                <w:rFonts w:eastAsia="楷体"/>
                <w:color w:val="auto"/>
                <w:sz w:val="24"/>
                <w:highlight w:val="none"/>
              </w:rPr>
            </w:pPr>
            <w:r>
              <w:rPr>
                <w:rFonts w:hint="eastAsia" w:eastAsia="楷体"/>
                <w:color w:val="auto"/>
                <w:kern w:val="0"/>
                <w:sz w:val="24"/>
                <w:highlight w:val="none"/>
                <w:lang w:bidi="ar"/>
              </w:rPr>
              <w:t>38.90</w:t>
            </w:r>
          </w:p>
        </w:tc>
        <w:tc>
          <w:tcPr>
            <w:tcW w:w="907" w:type="dxa"/>
            <w:noWrap w:val="0"/>
            <w:vAlign w:val="center"/>
          </w:tcPr>
          <w:p w14:paraId="1524836F">
            <w:pPr>
              <w:widowControl/>
              <w:jc w:val="center"/>
              <w:textAlignment w:val="center"/>
              <w:rPr>
                <w:rFonts w:eastAsia="楷体"/>
                <w:color w:val="auto"/>
                <w:sz w:val="24"/>
                <w:highlight w:val="none"/>
              </w:rPr>
            </w:pPr>
            <w:r>
              <w:rPr>
                <w:rFonts w:hint="eastAsia" w:eastAsia="楷体"/>
                <w:color w:val="auto"/>
                <w:kern w:val="0"/>
                <w:sz w:val="24"/>
                <w:highlight w:val="none"/>
                <w:lang w:bidi="ar"/>
              </w:rPr>
              <w:t>39.00</w:t>
            </w:r>
          </w:p>
        </w:tc>
        <w:tc>
          <w:tcPr>
            <w:tcW w:w="907" w:type="dxa"/>
            <w:noWrap w:val="0"/>
            <w:vAlign w:val="center"/>
          </w:tcPr>
          <w:p w14:paraId="46D2FB62">
            <w:pPr>
              <w:widowControl/>
              <w:jc w:val="center"/>
              <w:textAlignment w:val="center"/>
              <w:rPr>
                <w:rFonts w:eastAsia="楷体"/>
                <w:color w:val="auto"/>
                <w:sz w:val="24"/>
                <w:highlight w:val="none"/>
              </w:rPr>
            </w:pPr>
            <w:r>
              <w:rPr>
                <w:rFonts w:hint="eastAsia" w:eastAsia="楷体"/>
                <w:color w:val="auto"/>
                <w:kern w:val="0"/>
                <w:sz w:val="24"/>
                <w:highlight w:val="none"/>
                <w:lang w:bidi="ar"/>
              </w:rPr>
              <w:t>39.20</w:t>
            </w:r>
          </w:p>
        </w:tc>
        <w:tc>
          <w:tcPr>
            <w:tcW w:w="907" w:type="dxa"/>
            <w:noWrap w:val="0"/>
            <w:vAlign w:val="top"/>
          </w:tcPr>
          <w:p w14:paraId="2F5D8EDB">
            <w:pPr>
              <w:widowControl/>
              <w:jc w:val="center"/>
              <w:textAlignment w:val="center"/>
              <w:rPr>
                <w:rFonts w:eastAsia="楷体"/>
                <w:color w:val="auto"/>
                <w:kern w:val="0"/>
                <w:sz w:val="24"/>
                <w:highlight w:val="none"/>
                <w:lang w:bidi="ar"/>
              </w:rPr>
            </w:pPr>
          </w:p>
        </w:tc>
      </w:tr>
      <w:tr w14:paraId="6F4090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1932" w:type="dxa"/>
            <w:noWrap w:val="0"/>
            <w:vAlign w:val="center"/>
          </w:tcPr>
          <w:p w14:paraId="7C6C5EBC">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821" w:type="dxa"/>
            <w:noWrap w:val="0"/>
            <w:vAlign w:val="center"/>
          </w:tcPr>
          <w:p w14:paraId="2A74016B">
            <w:pPr>
              <w:widowControl/>
              <w:jc w:val="center"/>
              <w:textAlignment w:val="center"/>
              <w:rPr>
                <w:rFonts w:eastAsia="楷体"/>
                <w:color w:val="auto"/>
                <w:sz w:val="24"/>
                <w:highlight w:val="none"/>
              </w:rPr>
            </w:pPr>
            <w:r>
              <w:rPr>
                <w:rFonts w:hint="eastAsia" w:eastAsia="楷体"/>
                <w:color w:val="auto"/>
                <w:kern w:val="0"/>
                <w:sz w:val="24"/>
                <w:highlight w:val="none"/>
                <w:lang w:bidi="ar"/>
              </w:rPr>
              <w:t>5.45</w:t>
            </w:r>
          </w:p>
        </w:tc>
        <w:tc>
          <w:tcPr>
            <w:tcW w:w="908" w:type="dxa"/>
            <w:noWrap w:val="0"/>
            <w:vAlign w:val="center"/>
          </w:tcPr>
          <w:p w14:paraId="027C3920">
            <w:pPr>
              <w:widowControl/>
              <w:jc w:val="center"/>
              <w:textAlignment w:val="center"/>
              <w:rPr>
                <w:rFonts w:eastAsia="楷体"/>
                <w:color w:val="auto"/>
                <w:sz w:val="24"/>
                <w:highlight w:val="none"/>
              </w:rPr>
            </w:pPr>
            <w:r>
              <w:rPr>
                <w:rFonts w:hint="eastAsia" w:eastAsia="楷体"/>
                <w:color w:val="auto"/>
                <w:kern w:val="0"/>
                <w:sz w:val="24"/>
                <w:highlight w:val="none"/>
                <w:lang w:bidi="ar"/>
              </w:rPr>
              <w:t>6.58</w:t>
            </w:r>
          </w:p>
        </w:tc>
        <w:tc>
          <w:tcPr>
            <w:tcW w:w="907" w:type="dxa"/>
            <w:noWrap w:val="0"/>
            <w:vAlign w:val="center"/>
          </w:tcPr>
          <w:p w14:paraId="63CBC7BA">
            <w:pPr>
              <w:widowControl/>
              <w:jc w:val="center"/>
              <w:textAlignment w:val="center"/>
              <w:rPr>
                <w:rFonts w:eastAsia="楷体"/>
                <w:color w:val="auto"/>
                <w:sz w:val="24"/>
                <w:highlight w:val="none"/>
              </w:rPr>
            </w:pPr>
            <w:r>
              <w:rPr>
                <w:rFonts w:hint="eastAsia" w:eastAsia="楷体"/>
                <w:color w:val="auto"/>
                <w:kern w:val="0"/>
                <w:sz w:val="24"/>
                <w:highlight w:val="none"/>
                <w:lang w:bidi="ar"/>
              </w:rPr>
              <w:t>7.77</w:t>
            </w:r>
          </w:p>
        </w:tc>
        <w:tc>
          <w:tcPr>
            <w:tcW w:w="907" w:type="dxa"/>
            <w:noWrap w:val="0"/>
            <w:vAlign w:val="center"/>
          </w:tcPr>
          <w:p w14:paraId="75698BE3">
            <w:pPr>
              <w:widowControl/>
              <w:jc w:val="center"/>
              <w:textAlignment w:val="center"/>
              <w:rPr>
                <w:rFonts w:eastAsia="楷体"/>
                <w:color w:val="auto"/>
                <w:sz w:val="24"/>
                <w:highlight w:val="none"/>
              </w:rPr>
            </w:pPr>
            <w:r>
              <w:rPr>
                <w:rFonts w:hint="eastAsia" w:eastAsia="楷体"/>
                <w:color w:val="auto"/>
                <w:kern w:val="0"/>
                <w:sz w:val="24"/>
                <w:highlight w:val="none"/>
                <w:lang w:bidi="ar"/>
              </w:rPr>
              <w:t>9.03</w:t>
            </w:r>
          </w:p>
        </w:tc>
        <w:tc>
          <w:tcPr>
            <w:tcW w:w="907" w:type="dxa"/>
            <w:noWrap w:val="0"/>
            <w:vAlign w:val="center"/>
          </w:tcPr>
          <w:p w14:paraId="571FD756">
            <w:pPr>
              <w:widowControl/>
              <w:jc w:val="center"/>
              <w:textAlignment w:val="center"/>
              <w:rPr>
                <w:rFonts w:eastAsia="楷体"/>
                <w:color w:val="auto"/>
                <w:sz w:val="24"/>
                <w:highlight w:val="none"/>
              </w:rPr>
            </w:pPr>
            <w:r>
              <w:rPr>
                <w:rFonts w:hint="eastAsia" w:eastAsia="楷体"/>
                <w:color w:val="auto"/>
                <w:kern w:val="0"/>
                <w:sz w:val="24"/>
                <w:highlight w:val="none"/>
                <w:lang w:bidi="ar"/>
              </w:rPr>
              <w:t>10.35</w:t>
            </w:r>
          </w:p>
        </w:tc>
        <w:tc>
          <w:tcPr>
            <w:tcW w:w="907" w:type="dxa"/>
            <w:noWrap w:val="0"/>
            <w:vAlign w:val="center"/>
          </w:tcPr>
          <w:p w14:paraId="3E2AB209">
            <w:pPr>
              <w:widowControl/>
              <w:jc w:val="center"/>
              <w:textAlignment w:val="center"/>
              <w:rPr>
                <w:rFonts w:eastAsia="楷体"/>
                <w:color w:val="auto"/>
                <w:sz w:val="24"/>
                <w:highlight w:val="none"/>
              </w:rPr>
            </w:pPr>
            <w:r>
              <w:rPr>
                <w:rFonts w:hint="eastAsia" w:eastAsia="楷体"/>
                <w:color w:val="auto"/>
                <w:kern w:val="0"/>
                <w:sz w:val="24"/>
                <w:highlight w:val="none"/>
                <w:lang w:bidi="ar"/>
              </w:rPr>
              <w:t>11.73</w:t>
            </w:r>
          </w:p>
        </w:tc>
        <w:tc>
          <w:tcPr>
            <w:tcW w:w="907" w:type="dxa"/>
            <w:noWrap w:val="0"/>
            <w:vAlign w:val="center"/>
          </w:tcPr>
          <w:p w14:paraId="58F783CC">
            <w:pPr>
              <w:widowControl/>
              <w:jc w:val="center"/>
              <w:textAlignment w:val="center"/>
              <w:rPr>
                <w:rFonts w:eastAsia="楷体"/>
                <w:color w:val="auto"/>
                <w:sz w:val="24"/>
                <w:highlight w:val="none"/>
              </w:rPr>
            </w:pPr>
            <w:r>
              <w:rPr>
                <w:rFonts w:hint="eastAsia" w:eastAsia="楷体"/>
                <w:color w:val="auto"/>
                <w:kern w:val="0"/>
                <w:sz w:val="24"/>
                <w:highlight w:val="none"/>
                <w:lang w:bidi="ar"/>
              </w:rPr>
              <w:t>14.65</w:t>
            </w:r>
          </w:p>
        </w:tc>
        <w:tc>
          <w:tcPr>
            <w:tcW w:w="907" w:type="dxa"/>
            <w:noWrap w:val="0"/>
            <w:vAlign w:val="top"/>
          </w:tcPr>
          <w:p w14:paraId="6805DD02">
            <w:pPr>
              <w:widowControl/>
              <w:jc w:val="center"/>
              <w:textAlignment w:val="center"/>
              <w:rPr>
                <w:rFonts w:eastAsia="楷体"/>
                <w:color w:val="auto"/>
                <w:kern w:val="0"/>
                <w:sz w:val="24"/>
                <w:highlight w:val="none"/>
                <w:lang w:bidi="ar"/>
              </w:rPr>
            </w:pPr>
          </w:p>
        </w:tc>
      </w:tr>
    </w:tbl>
    <w:p w14:paraId="5D2852D9">
      <w:pPr>
        <w:spacing w:line="520" w:lineRule="exact"/>
        <w:jc w:val="center"/>
        <w:rPr>
          <w:rFonts w:eastAsia="楷体"/>
          <w:b/>
          <w:bCs/>
          <w:color w:val="auto"/>
          <w:sz w:val="28"/>
          <w:szCs w:val="28"/>
          <w:highlight w:val="none"/>
        </w:rPr>
      </w:pPr>
      <w:bookmarkStart w:id="73" w:name="_Toc18348"/>
      <w:r>
        <w:rPr>
          <w:color w:val="auto"/>
          <w:highlight w:val="none"/>
        </w:rPr>
        <w:pict>
          <v:shape id="图片 76" o:spid="_x0000_s2051" o:spt="75" type="#_x0000_t75" style="position:absolute;left:0pt;margin-left:0.25pt;margin-top:33.5pt;height:267.25pt;width:453.1pt;mso-wrap-distance-bottom:0pt;mso-wrap-distance-left:9pt;mso-wrap-distance-right:9pt;mso-wrap-distance-top:0pt;z-index:251660288;mso-width-relative:page;mso-height-relative:page;" filled="f" o:preferrelative="t" stroked="f" coordsize="21600,21600">
            <v:path/>
            <v:fill on="f" focussize="0,0"/>
            <v:stroke on="f"/>
            <v:imagedata r:id="rId72" o:title=""/>
            <o:lock v:ext="edit" grouping="f" rotation="f" text="f" aspectratio="t"/>
            <w10:wrap type="square"/>
          </v:shape>
        </w:pict>
      </w:r>
    </w:p>
    <w:p w14:paraId="706FC4F3">
      <w:pPr>
        <w:spacing w:line="520" w:lineRule="exact"/>
        <w:jc w:val="center"/>
        <w:rPr>
          <w:rFonts w:eastAsia="楷体"/>
          <w:b/>
          <w:bCs/>
          <w:color w:val="auto"/>
          <w:sz w:val="28"/>
          <w:szCs w:val="28"/>
          <w:highlight w:val="none"/>
        </w:rPr>
      </w:pPr>
    </w:p>
    <w:p w14:paraId="015F453D">
      <w:pPr>
        <w:spacing w:line="520" w:lineRule="exact"/>
        <w:jc w:val="center"/>
        <w:outlineLvl w:val="1"/>
        <w:rPr>
          <w:rFonts w:eastAsia="楷体"/>
          <w:b/>
          <w:bCs/>
          <w:color w:val="auto"/>
          <w:sz w:val="28"/>
          <w:szCs w:val="28"/>
          <w:highlight w:val="none"/>
        </w:rPr>
      </w:pPr>
      <w:r>
        <w:rPr>
          <w:rFonts w:eastAsia="楷体"/>
          <w:b/>
          <w:bCs/>
          <w:color w:val="auto"/>
          <w:sz w:val="28"/>
          <w:szCs w:val="28"/>
          <w:highlight w:val="none"/>
        </w:rPr>
        <w:t>表4    前烧水库调洪演算成果表（讯限水位202m）</w:t>
      </w:r>
      <w:bookmarkEnd w:id="73"/>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154C7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noWrap w:val="0"/>
            <w:vAlign w:val="center"/>
          </w:tcPr>
          <w:p w14:paraId="653B5F5E">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设计频率</w:t>
            </w:r>
          </w:p>
        </w:tc>
        <w:tc>
          <w:tcPr>
            <w:tcW w:w="2045" w:type="dxa"/>
            <w:noWrap w:val="0"/>
            <w:vAlign w:val="center"/>
          </w:tcPr>
          <w:p w14:paraId="47BDC722">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3EE08CC5">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6" w:type="dxa"/>
            <w:noWrap w:val="0"/>
            <w:vAlign w:val="center"/>
          </w:tcPr>
          <w:p w14:paraId="5ADC4787">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7" w:type="dxa"/>
            <w:noWrap w:val="0"/>
            <w:vAlign w:val="center"/>
          </w:tcPr>
          <w:p w14:paraId="586B3F0F">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5B34DA22">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6312AE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2B01D980">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P=2%</w:t>
            </w:r>
          </w:p>
        </w:tc>
        <w:tc>
          <w:tcPr>
            <w:tcW w:w="2045" w:type="dxa"/>
            <w:noWrap w:val="0"/>
            <w:vAlign w:val="center"/>
          </w:tcPr>
          <w:p w14:paraId="56D7E59E">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456</w:t>
            </w:r>
          </w:p>
        </w:tc>
        <w:tc>
          <w:tcPr>
            <w:tcW w:w="1778" w:type="dxa"/>
            <w:noWrap w:val="0"/>
            <w:vAlign w:val="center"/>
          </w:tcPr>
          <w:p w14:paraId="3559A151">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344</w:t>
            </w:r>
          </w:p>
        </w:tc>
        <w:tc>
          <w:tcPr>
            <w:tcW w:w="1586" w:type="dxa"/>
            <w:noWrap w:val="0"/>
            <w:vAlign w:val="center"/>
          </w:tcPr>
          <w:p w14:paraId="3D74D58A">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204.53</w:t>
            </w:r>
          </w:p>
        </w:tc>
        <w:tc>
          <w:tcPr>
            <w:tcW w:w="1587" w:type="dxa"/>
            <w:noWrap w:val="0"/>
            <w:vAlign w:val="center"/>
          </w:tcPr>
          <w:p w14:paraId="5CA96A57">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918.52</w:t>
            </w:r>
          </w:p>
        </w:tc>
      </w:tr>
      <w:tr w14:paraId="7E87F3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63D0C17D">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P=0.2%</w:t>
            </w:r>
          </w:p>
        </w:tc>
        <w:tc>
          <w:tcPr>
            <w:tcW w:w="2045" w:type="dxa"/>
            <w:noWrap w:val="0"/>
            <w:vAlign w:val="center"/>
          </w:tcPr>
          <w:p w14:paraId="7D8D38CC">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692</w:t>
            </w:r>
          </w:p>
        </w:tc>
        <w:tc>
          <w:tcPr>
            <w:tcW w:w="1778" w:type="dxa"/>
            <w:noWrap w:val="0"/>
            <w:vAlign w:val="center"/>
          </w:tcPr>
          <w:p w14:paraId="69330CD7">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537.2</w:t>
            </w:r>
          </w:p>
        </w:tc>
        <w:tc>
          <w:tcPr>
            <w:tcW w:w="1586" w:type="dxa"/>
            <w:noWrap w:val="0"/>
            <w:vAlign w:val="center"/>
          </w:tcPr>
          <w:p w14:paraId="20A3E6E4">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205.41</w:t>
            </w:r>
          </w:p>
        </w:tc>
        <w:tc>
          <w:tcPr>
            <w:tcW w:w="1587" w:type="dxa"/>
            <w:noWrap w:val="0"/>
            <w:vAlign w:val="center"/>
          </w:tcPr>
          <w:p w14:paraId="0A84511D">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962.73</w:t>
            </w:r>
          </w:p>
        </w:tc>
      </w:tr>
    </w:tbl>
    <w:p w14:paraId="6FF4C094">
      <w:pPr>
        <w:jc w:val="center"/>
        <w:rPr>
          <w:rFonts w:eastAsia="楷体"/>
          <w:b/>
          <w:bCs/>
          <w:color w:val="auto"/>
          <w:sz w:val="28"/>
          <w:szCs w:val="28"/>
          <w:highlight w:val="none"/>
        </w:rPr>
      </w:pPr>
      <w:bookmarkStart w:id="74" w:name="_Toc17772"/>
    </w:p>
    <w:p w14:paraId="34E18A3E">
      <w:pPr>
        <w:jc w:val="center"/>
        <w:rPr>
          <w:rFonts w:eastAsia="楷体"/>
          <w:b/>
          <w:bCs/>
          <w:color w:val="auto"/>
          <w:sz w:val="28"/>
          <w:szCs w:val="28"/>
          <w:highlight w:val="none"/>
        </w:rPr>
      </w:pPr>
    </w:p>
    <w:p w14:paraId="21B12AA1">
      <w:pPr>
        <w:jc w:val="center"/>
        <w:rPr>
          <w:rFonts w:eastAsia="楷体"/>
          <w:b/>
          <w:bCs/>
          <w:color w:val="auto"/>
          <w:sz w:val="28"/>
          <w:szCs w:val="28"/>
          <w:highlight w:val="none"/>
        </w:rPr>
      </w:pPr>
    </w:p>
    <w:p w14:paraId="49A07D32">
      <w:pPr>
        <w:jc w:val="center"/>
        <w:rPr>
          <w:rFonts w:eastAsia="楷体"/>
          <w:b/>
          <w:bCs/>
          <w:color w:val="auto"/>
          <w:sz w:val="28"/>
          <w:szCs w:val="28"/>
          <w:highlight w:val="none"/>
        </w:rPr>
      </w:pPr>
    </w:p>
    <w:p w14:paraId="1669D03A">
      <w:pPr>
        <w:jc w:val="center"/>
        <w:outlineLvl w:val="1"/>
        <w:rPr>
          <w:rFonts w:eastAsia="楷体"/>
          <w:b/>
          <w:bCs/>
          <w:color w:val="auto"/>
          <w:sz w:val="28"/>
          <w:szCs w:val="28"/>
          <w:highlight w:val="none"/>
        </w:rPr>
      </w:pPr>
      <w:r>
        <w:rPr>
          <w:rFonts w:eastAsia="楷体"/>
          <w:b/>
          <w:bCs/>
          <w:color w:val="auto"/>
          <w:sz w:val="28"/>
          <w:szCs w:val="28"/>
          <w:highlight w:val="none"/>
        </w:rPr>
        <w:t>表</w:t>
      </w:r>
      <w:r>
        <w:rPr>
          <w:rFonts w:hint="eastAsia" w:eastAsia="楷体"/>
          <w:b/>
          <w:bCs/>
          <w:color w:val="auto"/>
          <w:sz w:val="28"/>
          <w:szCs w:val="28"/>
          <w:highlight w:val="none"/>
        </w:rPr>
        <w:t>5</w:t>
      </w:r>
      <w:r>
        <w:rPr>
          <w:rFonts w:eastAsia="楷体"/>
          <w:b/>
          <w:bCs/>
          <w:color w:val="auto"/>
          <w:sz w:val="28"/>
          <w:szCs w:val="28"/>
          <w:highlight w:val="none"/>
        </w:rPr>
        <w:t xml:space="preserve">    前烧水库防洪抢险领导小组成员名单</w:t>
      </w:r>
      <w:bookmarkEnd w:id="74"/>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760"/>
        <w:gridCol w:w="3018"/>
        <w:gridCol w:w="1858"/>
      </w:tblGrid>
      <w:tr w14:paraId="5D7C5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1261DE9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362BEC3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760" w:type="dxa"/>
            <w:noWrap w:val="0"/>
            <w:vAlign w:val="center"/>
          </w:tcPr>
          <w:p w14:paraId="1BBD617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3018" w:type="dxa"/>
            <w:noWrap w:val="0"/>
            <w:vAlign w:val="center"/>
          </w:tcPr>
          <w:p w14:paraId="2E5B584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1605DBB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480B1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AB5F99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210AF93">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760" w:type="dxa"/>
            <w:noWrap w:val="0"/>
            <w:vAlign w:val="center"/>
          </w:tcPr>
          <w:p w14:paraId="69AA55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3018" w:type="dxa"/>
            <w:noWrap w:val="0"/>
            <w:vAlign w:val="center"/>
          </w:tcPr>
          <w:p w14:paraId="54AE228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3CD83F9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2B486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CC2B72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45E306A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760" w:type="dxa"/>
            <w:noWrap w:val="0"/>
            <w:vAlign w:val="center"/>
          </w:tcPr>
          <w:p w14:paraId="5180708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曾荣桂</w:t>
            </w:r>
          </w:p>
        </w:tc>
        <w:tc>
          <w:tcPr>
            <w:tcW w:w="3018" w:type="dxa"/>
            <w:noWrap w:val="0"/>
            <w:vAlign w:val="center"/>
          </w:tcPr>
          <w:p w14:paraId="4CAEB2D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036F500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5066B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CD1B9B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1E06DA3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760" w:type="dxa"/>
            <w:noWrap w:val="0"/>
            <w:vAlign w:val="center"/>
          </w:tcPr>
          <w:p w14:paraId="6ECBFAF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贾义海</w:t>
            </w:r>
          </w:p>
        </w:tc>
        <w:tc>
          <w:tcPr>
            <w:tcW w:w="3018" w:type="dxa"/>
            <w:noWrap w:val="0"/>
            <w:vAlign w:val="center"/>
          </w:tcPr>
          <w:p w14:paraId="16E7C4E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3B19C47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14C1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BE5F5C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5E91A16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760" w:type="dxa"/>
            <w:noWrap w:val="0"/>
            <w:vAlign w:val="center"/>
          </w:tcPr>
          <w:p w14:paraId="1E1FAB3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3018" w:type="dxa"/>
            <w:noWrap w:val="0"/>
            <w:vAlign w:val="center"/>
          </w:tcPr>
          <w:p w14:paraId="1CB4D301">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auto"/>
                <w:kern w:val="0"/>
                <w:sz w:val="24"/>
                <w:szCs w:val="24"/>
                <w:highlight w:val="none"/>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0D6BF91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r w14:paraId="4E003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6B7333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203E66C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760" w:type="dxa"/>
            <w:noWrap w:val="0"/>
            <w:vAlign w:val="center"/>
          </w:tcPr>
          <w:p w14:paraId="0B0B199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肖美金</w:t>
            </w:r>
          </w:p>
        </w:tc>
        <w:tc>
          <w:tcPr>
            <w:tcW w:w="3018" w:type="dxa"/>
            <w:noWrap w:val="0"/>
            <w:vAlign w:val="center"/>
          </w:tcPr>
          <w:p w14:paraId="44E7A0D1">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rPr>
              <w:t>镇社会事务服务中心主任</w:t>
            </w:r>
          </w:p>
        </w:tc>
        <w:tc>
          <w:tcPr>
            <w:tcW w:w="1858" w:type="dxa"/>
            <w:noWrap w:val="0"/>
            <w:vAlign w:val="center"/>
          </w:tcPr>
          <w:p w14:paraId="3E561B3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87966515</w:t>
            </w:r>
          </w:p>
        </w:tc>
      </w:tr>
    </w:tbl>
    <w:p w14:paraId="522780C4">
      <w:pPr>
        <w:shd w:val="clear" w:color="auto" w:fill="FFFFFF"/>
        <w:rPr>
          <w:rFonts w:eastAsia="楷体"/>
          <w:color w:val="auto"/>
          <w:sz w:val="32"/>
          <w:szCs w:val="32"/>
          <w:highlight w:val="none"/>
        </w:rPr>
      </w:pPr>
    </w:p>
    <w:p w14:paraId="6D3F528E">
      <w:pPr>
        <w:jc w:val="center"/>
        <w:outlineLvl w:val="1"/>
        <w:rPr>
          <w:rFonts w:eastAsia="楷体"/>
          <w:b/>
          <w:bCs/>
          <w:color w:val="auto"/>
          <w:sz w:val="28"/>
          <w:szCs w:val="28"/>
          <w:highlight w:val="none"/>
        </w:rPr>
      </w:pPr>
      <w:bookmarkStart w:id="75" w:name="_Toc10959"/>
      <w:r>
        <w:rPr>
          <w:rFonts w:eastAsia="楷体"/>
          <w:b/>
          <w:bCs/>
          <w:color w:val="auto"/>
          <w:sz w:val="28"/>
          <w:szCs w:val="28"/>
          <w:highlight w:val="none"/>
        </w:rPr>
        <w:t>表</w:t>
      </w:r>
      <w:r>
        <w:rPr>
          <w:rFonts w:hint="eastAsia" w:eastAsia="楷体"/>
          <w:b/>
          <w:bCs/>
          <w:color w:val="auto"/>
          <w:sz w:val="28"/>
          <w:szCs w:val="28"/>
          <w:highlight w:val="none"/>
          <w:lang w:val="en-US" w:eastAsia="zh-CN"/>
        </w:rPr>
        <w:t>6</w:t>
      </w:r>
      <w:r>
        <w:rPr>
          <w:rFonts w:eastAsia="楷体"/>
          <w:b/>
          <w:bCs/>
          <w:color w:val="auto"/>
          <w:sz w:val="28"/>
          <w:szCs w:val="28"/>
          <w:highlight w:val="none"/>
        </w:rPr>
        <w:t xml:space="preserve">    前烧水库防汛抗洪抢险救灾应急小组成员名单</w:t>
      </w:r>
      <w:bookmarkEnd w:id="75"/>
    </w:p>
    <w:tbl>
      <w:tblPr>
        <w:tblStyle w:val="19"/>
        <w:tblW w:w="93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7"/>
        <w:gridCol w:w="2151"/>
        <w:gridCol w:w="2058"/>
        <w:gridCol w:w="1005"/>
        <w:gridCol w:w="1468"/>
        <w:gridCol w:w="1808"/>
      </w:tblGrid>
      <w:tr w14:paraId="040C1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3" w:hRule="atLeast"/>
        </w:trPr>
        <w:tc>
          <w:tcPr>
            <w:tcW w:w="847" w:type="dxa"/>
            <w:noWrap w:val="0"/>
            <w:vAlign w:val="center"/>
          </w:tcPr>
          <w:p w14:paraId="5E1915CD">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序号</w:t>
            </w:r>
          </w:p>
        </w:tc>
        <w:tc>
          <w:tcPr>
            <w:tcW w:w="2151" w:type="dxa"/>
            <w:noWrap w:val="0"/>
            <w:vAlign w:val="center"/>
          </w:tcPr>
          <w:p w14:paraId="6448865A">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名称</w:t>
            </w:r>
          </w:p>
        </w:tc>
        <w:tc>
          <w:tcPr>
            <w:tcW w:w="2058" w:type="dxa"/>
            <w:noWrap w:val="0"/>
            <w:vAlign w:val="center"/>
          </w:tcPr>
          <w:p w14:paraId="45640E1B">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组成单位</w:t>
            </w:r>
          </w:p>
        </w:tc>
        <w:tc>
          <w:tcPr>
            <w:tcW w:w="1005" w:type="dxa"/>
            <w:noWrap w:val="0"/>
            <w:vAlign w:val="center"/>
          </w:tcPr>
          <w:p w14:paraId="21544B85">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人数</w:t>
            </w:r>
          </w:p>
        </w:tc>
        <w:tc>
          <w:tcPr>
            <w:tcW w:w="1468" w:type="dxa"/>
            <w:noWrap w:val="0"/>
            <w:vAlign w:val="center"/>
          </w:tcPr>
          <w:p w14:paraId="49A1EDAF">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联系人</w:t>
            </w:r>
          </w:p>
        </w:tc>
        <w:tc>
          <w:tcPr>
            <w:tcW w:w="1808" w:type="dxa"/>
            <w:noWrap w:val="0"/>
            <w:vAlign w:val="center"/>
          </w:tcPr>
          <w:p w14:paraId="7AB130D9">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联系电话</w:t>
            </w:r>
          </w:p>
        </w:tc>
      </w:tr>
      <w:tr w14:paraId="3F77C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847" w:type="dxa"/>
            <w:noWrap w:val="0"/>
            <w:vAlign w:val="center"/>
          </w:tcPr>
          <w:p w14:paraId="543046B1">
            <w:pPr>
              <w:jc w:val="center"/>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1</w:t>
            </w:r>
          </w:p>
        </w:tc>
        <w:tc>
          <w:tcPr>
            <w:tcW w:w="2151" w:type="dxa"/>
            <w:noWrap w:val="0"/>
            <w:vAlign w:val="center"/>
          </w:tcPr>
          <w:p w14:paraId="3AC6979B">
            <w:pPr>
              <w:jc w:val="center"/>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前黄镇机关抢险应急队伍</w:t>
            </w:r>
          </w:p>
        </w:tc>
        <w:tc>
          <w:tcPr>
            <w:tcW w:w="2058" w:type="dxa"/>
            <w:noWrap w:val="0"/>
            <w:vAlign w:val="center"/>
          </w:tcPr>
          <w:p w14:paraId="2E047D52">
            <w:pPr>
              <w:jc w:val="center"/>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镇机关和</w:t>
            </w:r>
            <w:r>
              <w:rPr>
                <w:rFonts w:hint="default" w:ascii="Times New Roman" w:hAnsi="Times New Roman" w:eastAsia="楷体" w:cs="Times New Roman"/>
                <w:color w:val="auto"/>
                <w:sz w:val="24"/>
                <w:highlight w:val="none"/>
                <w:lang w:val="en-US" w:eastAsia="zh-CN"/>
              </w:rPr>
              <w:t>13个行政村</w:t>
            </w:r>
          </w:p>
        </w:tc>
        <w:tc>
          <w:tcPr>
            <w:tcW w:w="1005" w:type="dxa"/>
            <w:noWrap w:val="0"/>
            <w:vAlign w:val="center"/>
          </w:tcPr>
          <w:p w14:paraId="07352B76">
            <w:pPr>
              <w:jc w:val="center"/>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200</w:t>
            </w:r>
          </w:p>
        </w:tc>
        <w:tc>
          <w:tcPr>
            <w:tcW w:w="1468" w:type="dxa"/>
            <w:noWrap w:val="0"/>
            <w:vAlign w:val="center"/>
          </w:tcPr>
          <w:p w14:paraId="09EA5D18">
            <w:pPr>
              <w:jc w:val="center"/>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szCs w:val="24"/>
                <w:highlight w:val="none"/>
                <w:lang w:eastAsia="zh-CN"/>
              </w:rPr>
              <w:t>贾义海</w:t>
            </w:r>
          </w:p>
        </w:tc>
        <w:tc>
          <w:tcPr>
            <w:tcW w:w="1808" w:type="dxa"/>
            <w:noWrap w:val="0"/>
            <w:vAlign w:val="center"/>
          </w:tcPr>
          <w:p w14:paraId="290C027C">
            <w:pPr>
              <w:jc w:val="center"/>
              <w:rPr>
                <w:rFonts w:hint="default" w:ascii="Times New Roman" w:hAnsi="Times New Roman" w:eastAsia="楷体" w:cs="Times New Roman"/>
                <w:color w:val="auto"/>
                <w:kern w:val="2"/>
                <w:sz w:val="21"/>
                <w:szCs w:val="24"/>
                <w:highlight w:val="none"/>
                <w:lang w:val="en-US" w:eastAsia="zh-CN" w:bidi="ar-SA"/>
              </w:rPr>
            </w:pPr>
            <w:r>
              <w:rPr>
                <w:rFonts w:hint="eastAsia" w:ascii="Times New Roman" w:hAnsi="Times New Roman" w:eastAsia="楷体" w:cs="Times New Roman"/>
                <w:color w:val="auto"/>
                <w:sz w:val="24"/>
                <w:szCs w:val="24"/>
                <w:highlight w:val="none"/>
                <w:lang w:val="en-US" w:eastAsia="zh-CN"/>
              </w:rPr>
              <w:t>87039666</w:t>
            </w:r>
          </w:p>
        </w:tc>
      </w:tr>
    </w:tbl>
    <w:p w14:paraId="53B2E187">
      <w:pPr>
        <w:shd w:val="clear" w:color="auto" w:fill="FFFFFF"/>
        <w:spacing w:line="420" w:lineRule="exact"/>
        <w:jc w:val="center"/>
        <w:rPr>
          <w:rFonts w:eastAsia="楷体"/>
          <w:color w:val="auto"/>
          <w:sz w:val="28"/>
          <w:szCs w:val="28"/>
          <w:highlight w:val="none"/>
        </w:rPr>
      </w:pPr>
    </w:p>
    <w:p w14:paraId="43B56126">
      <w:pPr>
        <w:shd w:val="clear" w:color="auto" w:fill="FFFFFF"/>
        <w:ind w:firstLine="640" w:firstLineChars="200"/>
        <w:rPr>
          <w:rFonts w:eastAsia="楷体"/>
          <w:color w:val="auto"/>
          <w:sz w:val="32"/>
          <w:szCs w:val="32"/>
          <w:highlight w:val="none"/>
        </w:rPr>
      </w:pPr>
    </w:p>
    <w:p w14:paraId="42C7A628">
      <w:pPr>
        <w:shd w:val="clear" w:color="auto" w:fill="FFFFFF"/>
        <w:ind w:firstLine="640" w:firstLineChars="200"/>
        <w:rPr>
          <w:rFonts w:eastAsia="楷体"/>
          <w:color w:val="auto"/>
          <w:sz w:val="32"/>
          <w:szCs w:val="32"/>
          <w:highlight w:val="none"/>
        </w:rPr>
      </w:pPr>
    </w:p>
    <w:p w14:paraId="7B2EDD8F">
      <w:pPr>
        <w:shd w:val="clear" w:color="auto" w:fill="FFFFFF"/>
        <w:ind w:firstLine="640" w:firstLineChars="200"/>
        <w:rPr>
          <w:rFonts w:eastAsia="楷体"/>
          <w:color w:val="auto"/>
          <w:sz w:val="32"/>
          <w:szCs w:val="32"/>
          <w:highlight w:val="none"/>
        </w:rPr>
      </w:pPr>
    </w:p>
    <w:p w14:paraId="36C59D72">
      <w:pPr>
        <w:shd w:val="clear" w:color="auto" w:fill="FFFFFF"/>
        <w:tabs>
          <w:tab w:val="left" w:pos="840"/>
        </w:tabs>
        <w:spacing w:line="460" w:lineRule="exact"/>
        <w:rPr>
          <w:rFonts w:eastAsia="楷体"/>
          <w:b/>
          <w:color w:val="auto"/>
          <w:spacing w:val="-10"/>
          <w:sz w:val="32"/>
          <w:szCs w:val="32"/>
          <w:highlight w:val="none"/>
        </w:rPr>
      </w:pPr>
    </w:p>
    <w:p w14:paraId="2EEDB48A">
      <w:pPr>
        <w:shd w:val="clear" w:color="auto" w:fill="FFFFFF"/>
        <w:tabs>
          <w:tab w:val="left" w:pos="840"/>
        </w:tabs>
        <w:spacing w:line="460" w:lineRule="exact"/>
        <w:rPr>
          <w:rFonts w:eastAsia="楷体"/>
          <w:b/>
          <w:color w:val="auto"/>
          <w:spacing w:val="-10"/>
          <w:sz w:val="32"/>
          <w:szCs w:val="32"/>
          <w:highlight w:val="none"/>
        </w:rPr>
      </w:pPr>
    </w:p>
    <w:p w14:paraId="4194A0DB">
      <w:pPr>
        <w:rPr>
          <w:rFonts w:hint="eastAsia" w:eastAsia="楷体"/>
          <w:color w:val="auto"/>
          <w:sz w:val="32"/>
          <w:highlight w:val="none"/>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E36D">
    <w:pPr>
      <w:pStyle w:val="13"/>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F8368">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34F8368">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436668D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2CD9">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4848365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497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2E430">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2772E430">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C4B7">
    <w:pPr>
      <w:pStyle w:val="1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BBEFC">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34BBEFC">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B035">
    <w:pPr>
      <w:pStyle w:val="13"/>
      <w:ind w:firstLine="360"/>
    </w:pPr>
    <w:r>
      <w:rPr>
        <w:sz w:val="18"/>
      </w:rPr>
      <w:pict>
        <v:shape id="文本框 3" o:spid="_x0000_s409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14:paraId="08A6F2BC">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8D4C">
    <w:pPr>
      <w:pStyle w:val="13"/>
      <w:ind w:right="360" w:firstLine="360"/>
      <w:rPr>
        <w:rStyle w:val="21"/>
        <w:rFonts w:hint="eastAsia"/>
      </w:rPr>
    </w:pPr>
    <w:r>
      <w:pict>
        <v:shape id="文本框 5"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A1F9FE5">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w:r>
  </w:p>
  <w:p w14:paraId="1595A9A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AB2E">
    <w:pPr>
      <w:pStyle w:val="13"/>
      <w:ind w:right="360" w:firstLine="360"/>
      <w:rPr>
        <w:rStyle w:val="21"/>
        <w:rFonts w:hint="eastAsia"/>
      </w:rPr>
    </w:pPr>
    <w:r>
      <w:pict>
        <v:shape id="文本框 4"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2AF41A">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w:r>
  </w:p>
  <w:p w14:paraId="65F5682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8E47">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2019"/>
    <w:multiLevelType w:val="singleLevel"/>
    <w:tmpl w:val="58C52019"/>
    <w:lvl w:ilvl="0" w:tentative="0">
      <w:start w:val="1"/>
      <w:numFmt w:val="decimal"/>
      <w:suff w:val="nothing"/>
      <w:lvlText w:val="%1、"/>
      <w:lvlJc w:val="left"/>
    </w:lvl>
  </w:abstractNum>
  <w:abstractNum w:abstractNumId="1">
    <w:nsid w:val="58C574CD"/>
    <w:multiLevelType w:val="singleLevel"/>
    <w:tmpl w:val="58C574CD"/>
    <w:lvl w:ilvl="0" w:tentative="0">
      <w:start w:val="1"/>
      <w:numFmt w:val="decimal"/>
      <w:suff w:val="nothing"/>
      <w:lvlText w:val="%1、"/>
      <w:lvlJc w:val="left"/>
    </w:lvl>
  </w:abstractNum>
  <w:abstractNum w:abstractNumId="2">
    <w:nsid w:val="58C57F7A"/>
    <w:multiLevelType w:val="singleLevel"/>
    <w:tmpl w:val="58C57F7A"/>
    <w:lvl w:ilvl="0" w:tentative="0">
      <w:start w:val="1"/>
      <w:numFmt w:val="decimal"/>
      <w:suff w:val="nothing"/>
      <w:lvlText w:val="%1）"/>
      <w:lvlJc w:val="left"/>
    </w:lvl>
  </w:abstractNum>
  <w:abstractNum w:abstractNumId="3">
    <w:nsid w:val="58C589AA"/>
    <w:multiLevelType w:val="singleLevel"/>
    <w:tmpl w:val="58C589AA"/>
    <w:lvl w:ilvl="0" w:tentative="0">
      <w:start w:val="3"/>
      <w:numFmt w:val="decimal"/>
      <w:suff w:val="nothing"/>
      <w:lvlText w:val="%1、"/>
      <w:lvlJc w:val="left"/>
    </w:lvl>
  </w:abstractNum>
  <w:abstractNum w:abstractNumId="4">
    <w:nsid w:val="58C58D27"/>
    <w:multiLevelType w:val="singleLevel"/>
    <w:tmpl w:val="58C58D27"/>
    <w:lvl w:ilvl="0" w:tentative="0">
      <w:start w:val="1"/>
      <w:numFmt w:val="decimal"/>
      <w:suff w:val="nothing"/>
      <w:lvlText w:val="%1）"/>
      <w:lvlJc w:val="left"/>
    </w:lvl>
  </w:abstractNum>
  <w:abstractNum w:abstractNumId="5">
    <w:nsid w:val="58C5BA32"/>
    <w:multiLevelType w:val="singleLevel"/>
    <w:tmpl w:val="58C5BA32"/>
    <w:lvl w:ilvl="0" w:tentative="0">
      <w:start w:val="1"/>
      <w:numFmt w:val="chineseCounting"/>
      <w:suff w:val="nothing"/>
      <w:lvlText w:val="（%1）"/>
      <w:lvlJc w:val="left"/>
    </w:lvl>
  </w:abstractNum>
  <w:abstractNum w:abstractNumId="6">
    <w:nsid w:val="58D6D257"/>
    <w:multiLevelType w:val="singleLevel"/>
    <w:tmpl w:val="58D6D257"/>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OTkwNTVmOGRmMmYwN2QxZjkwNGY2MTZkOTFjMmUifQ=="/>
    <w:docVar w:name="KSO_WPS_MARK_KEY" w:val="9eb497f2-6afc-458e-8fd5-d45eaa7f9108"/>
  </w:docVars>
  <w:rsids>
    <w:rsidRoot w:val="00172A27"/>
    <w:rsid w:val="00E96347"/>
    <w:rsid w:val="00FE5DE6"/>
    <w:rsid w:val="010D4B03"/>
    <w:rsid w:val="02395912"/>
    <w:rsid w:val="02A768B8"/>
    <w:rsid w:val="03015CC8"/>
    <w:rsid w:val="030671D3"/>
    <w:rsid w:val="03CD1636"/>
    <w:rsid w:val="040F3E66"/>
    <w:rsid w:val="04642403"/>
    <w:rsid w:val="049F51EA"/>
    <w:rsid w:val="05A00E19"/>
    <w:rsid w:val="05DD4A95"/>
    <w:rsid w:val="05EA4B8A"/>
    <w:rsid w:val="069401BE"/>
    <w:rsid w:val="06FC0699"/>
    <w:rsid w:val="07AB50CF"/>
    <w:rsid w:val="08065580"/>
    <w:rsid w:val="084C56A2"/>
    <w:rsid w:val="08530F41"/>
    <w:rsid w:val="086F0796"/>
    <w:rsid w:val="08EF64F6"/>
    <w:rsid w:val="09322AD0"/>
    <w:rsid w:val="09573134"/>
    <w:rsid w:val="096133B5"/>
    <w:rsid w:val="0A490BFC"/>
    <w:rsid w:val="0A530F50"/>
    <w:rsid w:val="0B41524D"/>
    <w:rsid w:val="0BD601E5"/>
    <w:rsid w:val="0C6236CC"/>
    <w:rsid w:val="0D035BA5"/>
    <w:rsid w:val="0D5C3CF5"/>
    <w:rsid w:val="0E7C35A5"/>
    <w:rsid w:val="0EC91368"/>
    <w:rsid w:val="0ECB14A7"/>
    <w:rsid w:val="0F6A0F20"/>
    <w:rsid w:val="0F870D46"/>
    <w:rsid w:val="0FC33901"/>
    <w:rsid w:val="0FF22FB9"/>
    <w:rsid w:val="10DD77C5"/>
    <w:rsid w:val="113C29F2"/>
    <w:rsid w:val="11B06C88"/>
    <w:rsid w:val="128D7A00"/>
    <w:rsid w:val="132D4B68"/>
    <w:rsid w:val="138A4FBD"/>
    <w:rsid w:val="14CD7C26"/>
    <w:rsid w:val="15B34F99"/>
    <w:rsid w:val="15B900D5"/>
    <w:rsid w:val="15FD7CC8"/>
    <w:rsid w:val="16C3120C"/>
    <w:rsid w:val="17887D5F"/>
    <w:rsid w:val="17BB5745"/>
    <w:rsid w:val="17E46420"/>
    <w:rsid w:val="19930D77"/>
    <w:rsid w:val="1A153C7E"/>
    <w:rsid w:val="1A614EAF"/>
    <w:rsid w:val="1A7573D0"/>
    <w:rsid w:val="1CA94A00"/>
    <w:rsid w:val="1CEA631A"/>
    <w:rsid w:val="1D2B3667"/>
    <w:rsid w:val="1D7E5E8C"/>
    <w:rsid w:val="1DE657E0"/>
    <w:rsid w:val="1DF94361"/>
    <w:rsid w:val="1ED971B7"/>
    <w:rsid w:val="1F1B303B"/>
    <w:rsid w:val="1F2E082C"/>
    <w:rsid w:val="1F6C7F4A"/>
    <w:rsid w:val="1FFC1BF0"/>
    <w:rsid w:val="20D50A20"/>
    <w:rsid w:val="20E028E6"/>
    <w:rsid w:val="214C62A1"/>
    <w:rsid w:val="24115799"/>
    <w:rsid w:val="24B46637"/>
    <w:rsid w:val="25F3318F"/>
    <w:rsid w:val="27182EAE"/>
    <w:rsid w:val="28357A8F"/>
    <w:rsid w:val="2AA32406"/>
    <w:rsid w:val="2AD37CF2"/>
    <w:rsid w:val="2AF552B4"/>
    <w:rsid w:val="2B8C3E6A"/>
    <w:rsid w:val="2C26606D"/>
    <w:rsid w:val="2C2A061F"/>
    <w:rsid w:val="2D564CE8"/>
    <w:rsid w:val="2DDB2E87"/>
    <w:rsid w:val="2E84707B"/>
    <w:rsid w:val="2F482176"/>
    <w:rsid w:val="3020175E"/>
    <w:rsid w:val="30B579BF"/>
    <w:rsid w:val="30C05686"/>
    <w:rsid w:val="30ED02A8"/>
    <w:rsid w:val="317E4255"/>
    <w:rsid w:val="31A57A34"/>
    <w:rsid w:val="31B163D9"/>
    <w:rsid w:val="329B2BE5"/>
    <w:rsid w:val="32AB4763"/>
    <w:rsid w:val="32DA370D"/>
    <w:rsid w:val="35765210"/>
    <w:rsid w:val="3579006A"/>
    <w:rsid w:val="36431640"/>
    <w:rsid w:val="371B1434"/>
    <w:rsid w:val="37473FC7"/>
    <w:rsid w:val="37683CCE"/>
    <w:rsid w:val="37862517"/>
    <w:rsid w:val="38194CD8"/>
    <w:rsid w:val="38424655"/>
    <w:rsid w:val="38E01351"/>
    <w:rsid w:val="399238C2"/>
    <w:rsid w:val="3A211A10"/>
    <w:rsid w:val="3A667F7C"/>
    <w:rsid w:val="3A72247D"/>
    <w:rsid w:val="3B137CF3"/>
    <w:rsid w:val="3B295232"/>
    <w:rsid w:val="3B8331EB"/>
    <w:rsid w:val="3BF10037"/>
    <w:rsid w:val="3C174364"/>
    <w:rsid w:val="3CAC25BA"/>
    <w:rsid w:val="3DC47494"/>
    <w:rsid w:val="3E4A4441"/>
    <w:rsid w:val="3E5E1696"/>
    <w:rsid w:val="3E773828"/>
    <w:rsid w:val="3EE06943"/>
    <w:rsid w:val="3F112477"/>
    <w:rsid w:val="3F19380F"/>
    <w:rsid w:val="3F8E1487"/>
    <w:rsid w:val="3FB84DD6"/>
    <w:rsid w:val="41C6397B"/>
    <w:rsid w:val="422A1F2F"/>
    <w:rsid w:val="42DE63C4"/>
    <w:rsid w:val="42E82E8E"/>
    <w:rsid w:val="43315A7C"/>
    <w:rsid w:val="444F55DD"/>
    <w:rsid w:val="445F57D3"/>
    <w:rsid w:val="44DE708D"/>
    <w:rsid w:val="45D349E7"/>
    <w:rsid w:val="46220C85"/>
    <w:rsid w:val="477F2757"/>
    <w:rsid w:val="478163F5"/>
    <w:rsid w:val="480C2163"/>
    <w:rsid w:val="48B53AD8"/>
    <w:rsid w:val="48EA49D8"/>
    <w:rsid w:val="49A07988"/>
    <w:rsid w:val="4A1277D9"/>
    <w:rsid w:val="4A230F21"/>
    <w:rsid w:val="4A665F4F"/>
    <w:rsid w:val="4B5300A9"/>
    <w:rsid w:val="4B804280"/>
    <w:rsid w:val="4C03387D"/>
    <w:rsid w:val="4C926794"/>
    <w:rsid w:val="4DD21759"/>
    <w:rsid w:val="4DD52FF7"/>
    <w:rsid w:val="4EFA0F67"/>
    <w:rsid w:val="4EFA2D9F"/>
    <w:rsid w:val="504842A5"/>
    <w:rsid w:val="51EB103B"/>
    <w:rsid w:val="51FD35C7"/>
    <w:rsid w:val="522307D5"/>
    <w:rsid w:val="53041F96"/>
    <w:rsid w:val="535951ED"/>
    <w:rsid w:val="541C2087"/>
    <w:rsid w:val="54891457"/>
    <w:rsid w:val="552345C5"/>
    <w:rsid w:val="55B31E70"/>
    <w:rsid w:val="55F12998"/>
    <w:rsid w:val="56AE5637"/>
    <w:rsid w:val="56B81639"/>
    <w:rsid w:val="56D2389A"/>
    <w:rsid w:val="57520A45"/>
    <w:rsid w:val="586B684D"/>
    <w:rsid w:val="58E53490"/>
    <w:rsid w:val="59384264"/>
    <w:rsid w:val="597E2795"/>
    <w:rsid w:val="5A192D8A"/>
    <w:rsid w:val="5A2C0443"/>
    <w:rsid w:val="5A676C9A"/>
    <w:rsid w:val="5B545E68"/>
    <w:rsid w:val="5B9A007D"/>
    <w:rsid w:val="5C142783"/>
    <w:rsid w:val="5C221AFD"/>
    <w:rsid w:val="5C292E8C"/>
    <w:rsid w:val="5D900CE9"/>
    <w:rsid w:val="5F584ADD"/>
    <w:rsid w:val="5FC3788B"/>
    <w:rsid w:val="5FEC555E"/>
    <w:rsid w:val="60712D59"/>
    <w:rsid w:val="60940AF0"/>
    <w:rsid w:val="613F6529"/>
    <w:rsid w:val="61D01B16"/>
    <w:rsid w:val="62452634"/>
    <w:rsid w:val="624D0F56"/>
    <w:rsid w:val="62503059"/>
    <w:rsid w:val="62C21944"/>
    <w:rsid w:val="62E80C93"/>
    <w:rsid w:val="636B3D8A"/>
    <w:rsid w:val="64237999"/>
    <w:rsid w:val="64B73059"/>
    <w:rsid w:val="65AE7A2C"/>
    <w:rsid w:val="65D025CA"/>
    <w:rsid w:val="65FA6C17"/>
    <w:rsid w:val="66657DE5"/>
    <w:rsid w:val="669A7FBF"/>
    <w:rsid w:val="67E1286C"/>
    <w:rsid w:val="6806328D"/>
    <w:rsid w:val="68FE4D85"/>
    <w:rsid w:val="6B07654D"/>
    <w:rsid w:val="6BE24E05"/>
    <w:rsid w:val="6C1039F4"/>
    <w:rsid w:val="6C202490"/>
    <w:rsid w:val="6DDB4CF9"/>
    <w:rsid w:val="6F082A84"/>
    <w:rsid w:val="6F7C731F"/>
    <w:rsid w:val="6FB306B3"/>
    <w:rsid w:val="70115CB9"/>
    <w:rsid w:val="7141437C"/>
    <w:rsid w:val="717F635B"/>
    <w:rsid w:val="72395053"/>
    <w:rsid w:val="727F33AE"/>
    <w:rsid w:val="7306762B"/>
    <w:rsid w:val="73AB3D2F"/>
    <w:rsid w:val="74161AF0"/>
    <w:rsid w:val="75091316"/>
    <w:rsid w:val="752B15CB"/>
    <w:rsid w:val="75B55338"/>
    <w:rsid w:val="760E61D9"/>
    <w:rsid w:val="76426BCC"/>
    <w:rsid w:val="766F3907"/>
    <w:rsid w:val="77493F8A"/>
    <w:rsid w:val="77963756"/>
    <w:rsid w:val="77A331F7"/>
    <w:rsid w:val="77CF26E1"/>
    <w:rsid w:val="77E11985"/>
    <w:rsid w:val="77E617D9"/>
    <w:rsid w:val="78361C89"/>
    <w:rsid w:val="78804744"/>
    <w:rsid w:val="790C26E0"/>
    <w:rsid w:val="796706F8"/>
    <w:rsid w:val="7A55026C"/>
    <w:rsid w:val="7A5D7685"/>
    <w:rsid w:val="7ADC6EC3"/>
    <w:rsid w:val="7BD06A28"/>
    <w:rsid w:val="7DA352C8"/>
    <w:rsid w:val="7EF40A5B"/>
    <w:rsid w:val="7F8F09A8"/>
    <w:rsid w:val="7F9B734D"/>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character" w:default="1" w:styleId="20">
    <w:name w:val="Default Paragraph Font"/>
    <w:semiHidden/>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Document Map"/>
    <w:basedOn w:val="1"/>
    <w:link w:val="50"/>
    <w:uiPriority w:val="0"/>
    <w:pPr>
      <w:shd w:val="clear" w:color="auto" w:fill="000080"/>
    </w:pPr>
  </w:style>
  <w:style w:type="paragraph" w:styleId="6">
    <w:name w:val="annotation text"/>
    <w:basedOn w:val="1"/>
    <w:link w:val="34"/>
    <w:uiPriority w:val="0"/>
    <w:pPr>
      <w:jc w:val="left"/>
    </w:pPr>
  </w:style>
  <w:style w:type="paragraph" w:styleId="7">
    <w:name w:val="Body Text"/>
    <w:basedOn w:val="1"/>
    <w:link w:val="38"/>
    <w:uiPriority w:val="0"/>
    <w:pPr>
      <w:spacing w:after="120"/>
    </w:pPr>
  </w:style>
  <w:style w:type="paragraph" w:styleId="8">
    <w:name w:val="Body Text Indent"/>
    <w:basedOn w:val="1"/>
    <w:uiPriority w:val="0"/>
    <w:pPr>
      <w:ind w:firstLine="640" w:firstLineChars="200"/>
    </w:pPr>
    <w:rPr>
      <w:rFonts w:ascii="仿宋_GB2312" w:eastAsia="仿宋_GB2312"/>
      <w:kern w:val="0"/>
      <w:sz w:val="32"/>
      <w:szCs w:val="18"/>
    </w:rPr>
  </w:style>
  <w:style w:type="paragraph" w:styleId="9">
    <w:name w:val="Block Text"/>
    <w:basedOn w:val="1"/>
    <w:qFormat/>
    <w:uiPriority w:val="0"/>
    <w:pPr>
      <w:spacing w:after="120"/>
      <w:ind w:left="1440" w:leftChars="700" w:right="1440" w:rightChars="700"/>
    </w:pPr>
  </w:style>
  <w:style w:type="paragraph" w:styleId="10">
    <w:name w:val="Date"/>
    <w:basedOn w:val="1"/>
    <w:next w:val="1"/>
    <w:uiPriority w:val="0"/>
    <w:pPr>
      <w:ind w:left="100" w:leftChars="2500"/>
    </w:pPr>
  </w:style>
  <w:style w:type="paragraph" w:styleId="11">
    <w:name w:val="Body Text Indent 2"/>
    <w:basedOn w:val="1"/>
    <w:link w:val="37"/>
    <w:qFormat/>
    <w:uiPriority w:val="0"/>
    <w:pPr>
      <w:tabs>
        <w:tab w:val="left" w:pos="0"/>
      </w:tabs>
      <w:ind w:firstLine="555"/>
    </w:pPr>
    <w:rPr>
      <w:rFonts w:hint="eastAsia" w:ascii="仿宋_GB2312" w:eastAsia="仿宋_GB2312"/>
      <w:sz w:val="30"/>
    </w:rPr>
  </w:style>
  <w:style w:type="paragraph" w:styleId="12">
    <w:name w:val="Balloon Text"/>
    <w:basedOn w:val="1"/>
    <w:semiHidden/>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iPriority w:val="0"/>
    <w:pPr>
      <w:tabs>
        <w:tab w:val="right" w:leader="dot" w:pos="8296"/>
      </w:tabs>
    </w:pPr>
    <w:rPr>
      <w:rFonts w:ascii="仿宋_GB2312" w:eastAsia="仿宋_GB2312"/>
      <w:b/>
      <w:sz w:val="28"/>
      <w:szCs w:val="28"/>
    </w:rPr>
  </w:style>
  <w:style w:type="paragraph" w:styleId="16">
    <w:name w:val="toc 2"/>
    <w:basedOn w:val="1"/>
    <w:next w:val="1"/>
    <w:semiHidden/>
    <w:uiPriority w:val="0"/>
    <w:pPr>
      <w:ind w:left="420" w:leftChars="200"/>
    </w:pPr>
  </w:style>
  <w:style w:type="paragraph" w:styleId="17">
    <w:name w:val="Normal (Web)"/>
    <w:basedOn w:val="1"/>
    <w:uiPriority w:val="0"/>
    <w:rPr>
      <w:sz w:val="24"/>
    </w:rPr>
  </w:style>
  <w:style w:type="paragraph" w:styleId="18">
    <w:name w:val="annotation subject"/>
    <w:basedOn w:val="6"/>
    <w:next w:val="6"/>
    <w:link w:val="45"/>
    <w:uiPriority w:val="0"/>
    <w:rPr>
      <w:b/>
      <w:bCs/>
    </w:rPr>
  </w:style>
  <w:style w:type="character" w:styleId="21">
    <w:name w:val="page number"/>
    <w:basedOn w:val="20"/>
    <w:qFormat/>
    <w:uiPriority w:val="0"/>
  </w:style>
  <w:style w:type="character" w:styleId="22">
    <w:name w:val="Hyperlink"/>
    <w:uiPriority w:val="0"/>
    <w:rPr>
      <w:color w:val="0000FF"/>
      <w:u w:val="single"/>
    </w:rPr>
  </w:style>
  <w:style w:type="character" w:styleId="23">
    <w:name w:val="annotation reference"/>
    <w:uiPriority w:val="0"/>
    <w:rPr>
      <w:sz w:val="21"/>
      <w:szCs w:val="21"/>
    </w:rPr>
  </w:style>
  <w:style w:type="paragraph" w:customStyle="1" w:styleId="24">
    <w:name w:val="表头文字"/>
    <w:basedOn w:val="1"/>
    <w:qFormat/>
    <w:uiPriority w:val="0"/>
    <w:rPr>
      <w:rFonts w:ascii="宋体" w:hAnsi="宋体"/>
      <w:b/>
    </w:rPr>
  </w:style>
  <w:style w:type="paragraph" w:customStyle="1" w:styleId="25">
    <w:name w:val="Char Char Char1 Char Char Char Char Char1 Char"/>
    <w:basedOn w:val="1"/>
    <w:qFormat/>
    <w:uiPriority w:val="0"/>
  </w:style>
  <w:style w:type="paragraph" w:customStyle="1" w:styleId="26">
    <w:name w:val="_Style 1"/>
    <w:basedOn w:val="1"/>
    <w:qFormat/>
    <w:uiPriority w:val="34"/>
    <w:pPr>
      <w:ind w:firstLine="420" w:firstLineChars="200"/>
    </w:pPr>
  </w:style>
  <w:style w:type="paragraph" w:customStyle="1" w:styleId="27">
    <w:name w:val="表格文字"/>
    <w:basedOn w:val="24"/>
    <w:qFormat/>
    <w:uiPriority w:val="0"/>
    <w:pPr>
      <w:spacing w:line="440" w:lineRule="exact"/>
      <w:jc w:val="center"/>
    </w:pPr>
    <w:rPr>
      <w:b w:val="0"/>
      <w:sz w:val="24"/>
    </w:rPr>
  </w:style>
  <w:style w:type="paragraph" w:customStyle="1" w:styleId="28">
    <w:name w:val="正文首行缩进2"/>
    <w:basedOn w:val="1"/>
    <w:link w:val="47"/>
    <w:qFormat/>
    <w:uiPriority w:val="0"/>
    <w:pPr>
      <w:spacing w:line="520" w:lineRule="exact"/>
      <w:ind w:firstLine="560" w:firstLineChars="200"/>
    </w:pPr>
    <w:rPr>
      <w:rFonts w:eastAsia="仿宋_GB2312"/>
      <w:kern w:val="0"/>
      <w:sz w:val="28"/>
      <w:szCs w:val="28"/>
    </w:rPr>
  </w:style>
  <w:style w:type="paragraph" w:customStyle="1" w:styleId="29">
    <w:name w:val="正文（郑）"/>
    <w:basedOn w:val="1"/>
    <w:link w:val="48"/>
    <w:qFormat/>
    <w:uiPriority w:val="0"/>
    <w:pPr>
      <w:spacing w:line="560" w:lineRule="exact"/>
      <w:ind w:firstLine="600"/>
    </w:pPr>
    <w:rPr>
      <w:rFonts w:cs="宋体"/>
      <w:sz w:val="30"/>
      <w:szCs w:val="20"/>
    </w:rPr>
  </w:style>
  <w:style w:type="paragraph" w:customStyle="1" w:styleId="30">
    <w:name w:val="表格"/>
    <w:basedOn w:val="1"/>
    <w:qFormat/>
    <w:uiPriority w:val="0"/>
    <w:pPr>
      <w:spacing w:line="560" w:lineRule="exact"/>
      <w:jc w:val="center"/>
    </w:pPr>
    <w:rPr>
      <w:rFonts w:eastAsia="方正大标宋简体"/>
      <w:sz w:val="30"/>
    </w:rPr>
  </w:style>
  <w:style w:type="paragraph" w:customStyle="1" w:styleId="31">
    <w:name w:val="表号码"/>
    <w:basedOn w:val="1"/>
    <w:qFormat/>
    <w:uiPriority w:val="0"/>
    <w:pPr>
      <w:spacing w:line="560" w:lineRule="exact"/>
      <w:jc w:val="left"/>
    </w:pPr>
    <w:rPr>
      <w:rFonts w:eastAsia="方正楷体简体"/>
      <w:sz w:val="24"/>
    </w:rPr>
  </w:style>
  <w:style w:type="paragraph" w:customStyle="1" w:styleId="32">
    <w:name w:val="正确的三级标题"/>
    <w:basedOn w:val="4"/>
    <w:qFormat/>
    <w:uiPriority w:val="0"/>
    <w:pPr>
      <w:adjustRightInd w:val="0"/>
      <w:snapToGrid w:val="0"/>
      <w:spacing w:beforeLines="50" w:afterLines="50" w:line="240" w:lineRule="auto"/>
      <w:jc w:val="left"/>
    </w:pPr>
    <w:rPr>
      <w:spacing w:val="20"/>
      <w:sz w:val="28"/>
      <w:szCs w:val="30"/>
    </w:rPr>
  </w:style>
  <w:style w:type="paragraph" w:customStyle="1" w:styleId="33">
    <w:name w:val="标文"/>
    <w:basedOn w:val="1"/>
    <w:qFormat/>
    <w:uiPriority w:val="0"/>
    <w:pPr>
      <w:ind w:right="-49" w:firstLine="640" w:firstLineChars="200"/>
    </w:pPr>
    <w:rPr>
      <w:rFonts w:ascii="仿宋_GB2312" w:hAnsi="Arial" w:eastAsia="仿宋_GB2312"/>
      <w:sz w:val="32"/>
      <w:szCs w:val="28"/>
    </w:rPr>
  </w:style>
  <w:style w:type="character" w:customStyle="1" w:styleId="34">
    <w:name w:val="批注文字 Char Char"/>
    <w:link w:val="6"/>
    <w:qFormat/>
    <w:uiPriority w:val="0"/>
    <w:rPr>
      <w:kern w:val="2"/>
      <w:sz w:val="21"/>
      <w:szCs w:val="24"/>
    </w:rPr>
  </w:style>
  <w:style w:type="character" w:customStyle="1" w:styleId="35">
    <w:name w:val="font01"/>
    <w:basedOn w:val="20"/>
    <w:qFormat/>
    <w:uiPriority w:val="0"/>
    <w:rPr>
      <w:rFonts w:hint="eastAsia" w:ascii="宋体" w:hAnsi="宋体" w:eastAsia="宋体" w:cs="宋体"/>
      <w:color w:val="000000"/>
      <w:sz w:val="24"/>
      <w:szCs w:val="24"/>
      <w:u w:val="none"/>
    </w:rPr>
  </w:style>
  <w:style w:type="character" w:customStyle="1" w:styleId="36">
    <w:name w:val="font71"/>
    <w:basedOn w:val="20"/>
    <w:qFormat/>
    <w:uiPriority w:val="0"/>
    <w:rPr>
      <w:rFonts w:hint="default" w:ascii="Times New Roman" w:hAnsi="Times New Roman" w:cs="Times New Roman"/>
      <w:color w:val="auto"/>
      <w:sz w:val="24"/>
      <w:szCs w:val="24"/>
      <w:u w:val="none"/>
    </w:rPr>
  </w:style>
  <w:style w:type="character" w:customStyle="1" w:styleId="37">
    <w:name w:val="正文文本缩进 2 Char Char"/>
    <w:link w:val="11"/>
    <w:qFormat/>
    <w:uiPriority w:val="0"/>
    <w:rPr>
      <w:rFonts w:hint="eastAsia" w:ascii="仿宋_GB2312" w:eastAsia="仿宋_GB2312" w:cs="仿宋_GB2312"/>
      <w:kern w:val="2"/>
      <w:sz w:val="30"/>
      <w:szCs w:val="24"/>
    </w:rPr>
  </w:style>
  <w:style w:type="character" w:customStyle="1" w:styleId="38">
    <w:name w:val="正文文本 Char Char"/>
    <w:link w:val="7"/>
    <w:qFormat/>
    <w:uiPriority w:val="0"/>
    <w:rPr>
      <w:kern w:val="2"/>
      <w:sz w:val="21"/>
      <w:szCs w:val="24"/>
    </w:rPr>
  </w:style>
  <w:style w:type="character" w:customStyle="1" w:styleId="39">
    <w:name w:val="font21"/>
    <w:basedOn w:val="20"/>
    <w:qFormat/>
    <w:uiPriority w:val="0"/>
    <w:rPr>
      <w:rFonts w:hint="eastAsia" w:ascii="宋体" w:hAnsi="宋体" w:eastAsia="宋体" w:cs="宋体"/>
      <w:color w:val="000000"/>
      <w:sz w:val="24"/>
      <w:szCs w:val="24"/>
      <w:u w:val="none"/>
      <w:vertAlign w:val="superscript"/>
    </w:rPr>
  </w:style>
  <w:style w:type="character" w:customStyle="1" w:styleId="40">
    <w:name w:val="font11"/>
    <w:basedOn w:val="20"/>
    <w:qFormat/>
    <w:uiPriority w:val="0"/>
    <w:rPr>
      <w:rFonts w:hint="default" w:ascii="Times New Roman" w:hAnsi="Times New Roman" w:cs="Times New Roman"/>
      <w:color w:val="000000"/>
      <w:sz w:val="22"/>
      <w:szCs w:val="22"/>
      <w:u w:val="none"/>
      <w:vertAlign w:val="superscript"/>
    </w:rPr>
  </w:style>
  <w:style w:type="character" w:customStyle="1" w:styleId="41">
    <w:name w:val="font31"/>
    <w:basedOn w:val="20"/>
    <w:qFormat/>
    <w:uiPriority w:val="0"/>
    <w:rPr>
      <w:rFonts w:hint="default" w:ascii="Times New Roman" w:hAnsi="Times New Roman" w:cs="Times New Roman"/>
      <w:color w:val="000000"/>
      <w:sz w:val="22"/>
      <w:szCs w:val="22"/>
      <w:u w:val="none"/>
    </w:rPr>
  </w:style>
  <w:style w:type="character" w:customStyle="1" w:styleId="42">
    <w:name w:val="font41"/>
    <w:basedOn w:val="20"/>
    <w:qFormat/>
    <w:uiPriority w:val="0"/>
    <w:rPr>
      <w:rFonts w:hint="default" w:ascii="仿宋_GB2312" w:eastAsia="仿宋_GB2312" w:cs="仿宋_GB2312"/>
      <w:color w:val="000000"/>
      <w:sz w:val="21"/>
      <w:szCs w:val="21"/>
      <w:u w:val="none"/>
      <w:vertAlign w:val="subscript"/>
    </w:rPr>
  </w:style>
  <w:style w:type="character" w:customStyle="1" w:styleId="43">
    <w:name w:val="font81"/>
    <w:basedOn w:val="20"/>
    <w:qFormat/>
    <w:uiPriority w:val="0"/>
    <w:rPr>
      <w:rFonts w:hint="eastAsia" w:ascii="宋体" w:hAnsi="宋体" w:eastAsia="宋体" w:cs="宋体"/>
      <w:b/>
      <w:color w:val="auto"/>
      <w:sz w:val="24"/>
      <w:szCs w:val="24"/>
      <w:u w:val="none"/>
    </w:rPr>
  </w:style>
  <w:style w:type="character" w:customStyle="1" w:styleId="44">
    <w:name w:val="font51"/>
    <w:basedOn w:val="20"/>
    <w:qFormat/>
    <w:uiPriority w:val="0"/>
    <w:rPr>
      <w:rFonts w:hint="default" w:ascii="Times New Roman" w:hAnsi="Times New Roman" w:cs="Times New Roman"/>
      <w:b/>
      <w:color w:val="000000"/>
      <w:sz w:val="24"/>
      <w:szCs w:val="24"/>
      <w:u w:val="none"/>
    </w:rPr>
  </w:style>
  <w:style w:type="character" w:customStyle="1" w:styleId="45">
    <w:name w:val="批注主题 Char Char"/>
    <w:link w:val="18"/>
    <w:qFormat/>
    <w:uiPriority w:val="0"/>
    <w:rPr>
      <w:b/>
      <w:bCs/>
      <w:kern w:val="2"/>
      <w:sz w:val="21"/>
      <w:szCs w:val="24"/>
    </w:rPr>
  </w:style>
  <w:style w:type="character" w:customStyle="1" w:styleId="46">
    <w:name w:val="font61"/>
    <w:basedOn w:val="20"/>
    <w:qFormat/>
    <w:uiPriority w:val="0"/>
    <w:rPr>
      <w:rFonts w:hint="default" w:ascii="Times New Roman" w:hAnsi="Times New Roman" w:cs="Times New Roman"/>
      <w:color w:val="auto"/>
      <w:sz w:val="24"/>
      <w:szCs w:val="24"/>
      <w:u w:val="none"/>
    </w:rPr>
  </w:style>
  <w:style w:type="character" w:customStyle="1" w:styleId="47">
    <w:name w:val="正文首行缩进2 Char Char"/>
    <w:link w:val="28"/>
    <w:qFormat/>
    <w:uiPriority w:val="0"/>
    <w:rPr>
      <w:rFonts w:eastAsia="仿宋_GB2312"/>
      <w:sz w:val="28"/>
      <w:szCs w:val="28"/>
      <w:lang w:val="en-US" w:eastAsia="zh-CN" w:bidi="ar-SA"/>
    </w:rPr>
  </w:style>
  <w:style w:type="character" w:customStyle="1" w:styleId="48">
    <w:name w:val="正文（郑） Char Char"/>
    <w:basedOn w:val="20"/>
    <w:link w:val="29"/>
    <w:qFormat/>
    <w:uiPriority w:val="0"/>
    <w:rPr>
      <w:rFonts w:cs="宋体"/>
      <w:sz w:val="30"/>
      <w:szCs w:val="20"/>
    </w:rPr>
  </w:style>
  <w:style w:type="character" w:customStyle="1" w:styleId="49">
    <w:name w:val="标题 3 Char Char"/>
    <w:basedOn w:val="20"/>
    <w:link w:val="4"/>
    <w:qFormat/>
    <w:uiPriority w:val="0"/>
    <w:rPr>
      <w:b/>
      <w:bCs/>
      <w:kern w:val="2"/>
      <w:sz w:val="32"/>
      <w:szCs w:val="32"/>
    </w:rPr>
  </w:style>
  <w:style w:type="character" w:customStyle="1" w:styleId="50">
    <w:name w:val="文档结构图 Char Char Char"/>
    <w:basedOn w:val="20"/>
    <w:link w:val="5"/>
    <w:qFormat/>
    <w:uiPriority w:val="0"/>
    <w:rPr>
      <w:rFonts w:ascii="Times New Roman" w:hAnsi="Times New Roman" w:eastAsia="宋体" w:cs="Times New Roman"/>
    </w:rPr>
  </w:style>
  <w:style w:type="character" w:customStyle="1" w:styleId="51">
    <w:name w:val="style8"/>
    <w:basedOn w:val="20"/>
    <w:qFormat/>
    <w:uiPriority w:val="0"/>
    <w:rPr>
      <w:rFonts w:ascii="Times New Roman" w:hAnsi="Times New Roman" w:eastAsia="宋体" w:cs="Times New Roman"/>
    </w:rPr>
  </w:style>
  <w:style w:type="character" w:customStyle="1" w:styleId="52">
    <w:name w:val="fred1"/>
    <w:qFormat/>
    <w:uiPriority w:val="0"/>
    <w:rPr>
      <w:rFonts w:hint="default" w:ascii="o?" w:hAnsi="o?" w:eastAsia="宋体" w:cs="Times New Roman"/>
      <w:color w:val="CC0000"/>
      <w:sz w:val="24"/>
      <w:szCs w:val="24"/>
    </w:rPr>
  </w:style>
  <w:style w:type="character" w:customStyle="1" w:styleId="53">
    <w:name w:val="fonta951"/>
    <w:qFormat/>
    <w:uiPriority w:val="0"/>
    <w:rPr>
      <w:rFonts w:ascii="Times New Roman" w:hAnsi="Times New Roman" w:eastAsia="宋体" w:cs="Times New Roman"/>
      <w:color w:val="000000"/>
      <w:sz w:val="20"/>
      <w:szCs w:val="20"/>
    </w:rPr>
  </w:style>
  <w:style w:type="paragraph" w:customStyle="1" w:styleId="54">
    <w:name w:val="样式 样式 首行缩进:  1.92 字符 + 首行缩进:  2 字符"/>
    <w:basedOn w:val="1"/>
    <w:qFormat/>
    <w:uiPriority w:val="0"/>
    <w:pPr>
      <w:adjustRightInd w:val="0"/>
      <w:snapToGrid w:val="0"/>
      <w:spacing w:line="300" w:lineRule="auto"/>
      <w:ind w:firstLine="560" w:firstLineChars="200"/>
    </w:pPr>
    <w:rPr>
      <w:rFonts w:eastAsia="仿宋_GB2312" w:cs="宋体"/>
      <w:kern w:val="0"/>
      <w:sz w:val="24"/>
      <w:szCs w:val="20"/>
    </w:rPr>
  </w:style>
  <w:style w:type="paragraph" w:customStyle="1" w:styleId="55">
    <w:name w:val=" Char"/>
    <w:basedOn w:val="1"/>
    <w:semiHidden/>
    <w:qFormat/>
    <w:uiPriority w:val="0"/>
    <w:pPr>
      <w:ind w:firstLine="560" w:firstLineChars="200"/>
    </w:pPr>
    <w:rPr>
      <w:rFonts w:eastAsia="仿宋_GB2312"/>
      <w:color w:val="000000"/>
      <w:sz w:val="28"/>
      <w:szCs w:val="28"/>
    </w:rPr>
  </w:style>
  <w:style w:type="paragraph" w:customStyle="1" w:styleId="56">
    <w:name w:val="6 Char"/>
    <w:basedOn w:val="1"/>
    <w:qFormat/>
    <w:uiPriority w:val="0"/>
    <w:pPr>
      <w:widowControl/>
      <w:spacing w:before="312" w:beforeLines="100" w:after="160" w:afterLines="0" w:line="240" w:lineRule="exact"/>
      <w:jc w:val="left"/>
    </w:pPr>
    <w:rPr>
      <w:rFonts w:ascii="Verdana" w:hAnsi="Verdana"/>
      <w:kern w:val="0"/>
      <w:sz w:val="20"/>
      <w:szCs w:val="20"/>
      <w:lang w:eastAsia="en-US"/>
    </w:rPr>
  </w:style>
  <w:style w:type="paragraph" w:customStyle="1" w:styleId="57">
    <w:name w:val=" Char1"/>
    <w:basedOn w:val="1"/>
    <w:qFormat/>
    <w:uiPriority w:val="0"/>
    <w:pPr>
      <w:numPr>
        <w:ilvl w:val="0"/>
        <w:numId w:val="0"/>
      </w:numPr>
      <w:overflowPunct w:val="0"/>
      <w:spacing w:line="360" w:lineRule="auto"/>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1.png"/><Relationship Id="rId71" Type="http://schemas.openxmlformats.org/officeDocument/2006/relationships/image" Target="media/image30.png"/><Relationship Id="rId70" Type="http://schemas.openxmlformats.org/officeDocument/2006/relationships/image" Target="media/image29.wmf"/><Relationship Id="rId7" Type="http://schemas.openxmlformats.org/officeDocument/2006/relationships/header" Target="header1.xml"/><Relationship Id="rId69" Type="http://schemas.openxmlformats.org/officeDocument/2006/relationships/oleObject" Target="embeddings/oleObject30.bin"/><Relationship Id="rId68" Type="http://schemas.openxmlformats.org/officeDocument/2006/relationships/image" Target="media/image28.wmf"/><Relationship Id="rId67" Type="http://schemas.openxmlformats.org/officeDocument/2006/relationships/oleObject" Target="embeddings/oleObject29.bin"/><Relationship Id="rId66" Type="http://schemas.openxmlformats.org/officeDocument/2006/relationships/image" Target="media/image27.wmf"/><Relationship Id="rId65" Type="http://schemas.openxmlformats.org/officeDocument/2006/relationships/oleObject" Target="embeddings/oleObject28.bin"/><Relationship Id="rId64" Type="http://schemas.openxmlformats.org/officeDocument/2006/relationships/image" Target="media/image26.wmf"/><Relationship Id="rId63" Type="http://schemas.openxmlformats.org/officeDocument/2006/relationships/oleObject" Target="embeddings/oleObject27.bin"/><Relationship Id="rId62" Type="http://schemas.openxmlformats.org/officeDocument/2006/relationships/image" Target="media/image25.wmf"/><Relationship Id="rId61" Type="http://schemas.openxmlformats.org/officeDocument/2006/relationships/oleObject" Target="embeddings/oleObject26.bin"/><Relationship Id="rId60" Type="http://schemas.openxmlformats.org/officeDocument/2006/relationships/image" Target="media/image24.wmf"/><Relationship Id="rId6" Type="http://schemas.openxmlformats.org/officeDocument/2006/relationships/footer" Target="footer4.xml"/><Relationship Id="rId59" Type="http://schemas.openxmlformats.org/officeDocument/2006/relationships/oleObject" Target="embeddings/oleObject25.bin"/><Relationship Id="rId58" Type="http://schemas.openxmlformats.org/officeDocument/2006/relationships/image" Target="media/image23.wmf"/><Relationship Id="rId57" Type="http://schemas.openxmlformats.org/officeDocument/2006/relationships/oleObject" Target="embeddings/oleObject24.bin"/><Relationship Id="rId56" Type="http://schemas.openxmlformats.org/officeDocument/2006/relationships/image" Target="media/image22.wmf"/><Relationship Id="rId55" Type="http://schemas.openxmlformats.org/officeDocument/2006/relationships/oleObject" Target="embeddings/oleObject23.bin"/><Relationship Id="rId54" Type="http://schemas.openxmlformats.org/officeDocument/2006/relationships/image" Target="media/image21.wmf"/><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image" Target="media/image20.wmf"/><Relationship Id="rId50" Type="http://schemas.openxmlformats.org/officeDocument/2006/relationships/oleObject" Target="embeddings/oleObject20.bin"/><Relationship Id="rId5" Type="http://schemas.openxmlformats.org/officeDocument/2006/relationships/footer" Target="footer3.xml"/><Relationship Id="rId49" Type="http://schemas.openxmlformats.org/officeDocument/2006/relationships/image" Target="media/image19.wmf"/><Relationship Id="rId48" Type="http://schemas.openxmlformats.org/officeDocument/2006/relationships/oleObject" Target="embeddings/oleObject19.bin"/><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footer" Target="footer2.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er" Target="footer1.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6" textRotate="1"/>
    <customShpInfo spid="_x0000_s4097" textRotate="1"/>
    <customShpInfo spid="_x0000_s4098"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663</Words>
  <Characters>955</Characters>
  <Lines>100</Lines>
  <Paragraphs>28</Paragraphs>
  <TotalTime>9</TotalTime>
  <ScaleCrop>false</ScaleCrop>
  <LinksUpToDate>false</LinksUpToDate>
  <CharactersWithSpaces>1002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2026-03-16T00:39:00Z</cp:lastPrinted>
  <dcterms:modified xsi:type="dcterms:W3CDTF">2026-04-22T07:12:40Z</dcterms:modified>
  <dc:title>福州市闽侯县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383D345AD2B74B358F92366238567AAA_13</vt:lpwstr>
  </property>
  <property fmtid="{D5CDD505-2E9C-101B-9397-08002B2CF9AE}" pid="5" name="KSOTemplateDocerSaveRecord">
    <vt:lpwstr>eyJoZGlkIjoiY2QwNmY0NDU1M2MwM2Y4M2JmOTFjYzQzZjIzMGQ0NmIiLCJ1c2VySWQiOiIyNDE4OTgzMTYifQ==</vt:lpwstr>
  </property>
</Properties>
</file>