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5AD8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eastAsia="黑体" w:cs="黑体"/>
          <w:kern w:val="0"/>
          <w:sz w:val="32"/>
          <w:szCs w:val="32"/>
          <w:lang w:val="en-US" w:eastAsia="zh-CN"/>
        </w:rPr>
      </w:pPr>
      <w:r>
        <w:rPr>
          <w:rFonts w:hint="eastAsia" w:ascii="黑体" w:eastAsia="黑体" w:cs="黑体"/>
          <w:kern w:val="0"/>
          <w:sz w:val="32"/>
          <w:szCs w:val="32"/>
          <w:lang w:val="en-US" w:eastAsia="zh-CN"/>
        </w:rPr>
        <w:t>附件4</w:t>
      </w:r>
    </w:p>
    <w:p w14:paraId="7E1EDEDD">
      <w:pPr>
        <w:autoSpaceDE w:val="0"/>
        <w:autoSpaceDN w:val="0"/>
        <w:adjustRightInd w:val="0"/>
        <w:jc w:val="both"/>
        <w:rPr>
          <w:rFonts w:hint="default" w:ascii="黑体" w:hAnsi="黑体" w:eastAsia="黑体" w:cs="黑体"/>
          <w:b w:val="0"/>
          <w:bCs w:val="0"/>
          <w:sz w:val="32"/>
          <w:szCs w:val="32"/>
          <w:lang w:val="en-US" w:eastAsia="zh-CN"/>
        </w:rPr>
      </w:pPr>
    </w:p>
    <w:p w14:paraId="69C82C41">
      <w:pPr>
        <w:spacing w:line="360" w:lineRule="auto"/>
        <w:jc w:val="center"/>
        <w:rPr>
          <w:rFonts w:eastAsia="楷体"/>
          <w:b/>
          <w:color w:val="auto"/>
          <w:kern w:val="0"/>
          <w:sz w:val="52"/>
          <w:szCs w:val="52"/>
          <w:highlight w:val="none"/>
        </w:rPr>
      </w:pPr>
      <w:r>
        <w:rPr>
          <w:rFonts w:hint="eastAsia" w:eastAsia="楷体" w:cs="Times New Roman"/>
          <w:b/>
          <w:kern w:val="0"/>
          <w:sz w:val="52"/>
          <w:szCs w:val="52"/>
          <w:lang w:val="en-US" w:eastAsia="zh-CN"/>
        </w:rPr>
        <w:t xml:space="preserve"> 前黄镇</w:t>
      </w:r>
      <w:r>
        <w:rPr>
          <w:rFonts w:eastAsia="楷体"/>
          <w:b/>
          <w:color w:val="auto"/>
          <w:kern w:val="0"/>
          <w:sz w:val="52"/>
          <w:szCs w:val="52"/>
          <w:highlight w:val="none"/>
        </w:rPr>
        <w:t>丰收水库</w:t>
      </w:r>
    </w:p>
    <w:p w14:paraId="05AF0243">
      <w:pPr>
        <w:jc w:val="center"/>
        <w:rPr>
          <w:rFonts w:eastAsia="楷体"/>
          <w:b/>
          <w:color w:val="auto"/>
          <w:sz w:val="52"/>
          <w:szCs w:val="52"/>
          <w:highlight w:val="none"/>
        </w:rPr>
      </w:pPr>
      <w:r>
        <w:rPr>
          <w:rFonts w:eastAsia="楷体"/>
          <w:b/>
          <w:color w:val="auto"/>
          <w:sz w:val="52"/>
          <w:szCs w:val="52"/>
          <w:highlight w:val="none"/>
        </w:rPr>
        <w:t>20</w:t>
      </w:r>
      <w:r>
        <w:rPr>
          <w:rFonts w:hint="eastAsia" w:eastAsia="楷体"/>
          <w:b/>
          <w:color w:val="auto"/>
          <w:sz w:val="52"/>
          <w:szCs w:val="52"/>
          <w:highlight w:val="none"/>
          <w:lang w:val="en-US" w:eastAsia="zh-CN"/>
        </w:rPr>
        <w:t>22</w:t>
      </w:r>
      <w:r>
        <w:rPr>
          <w:rFonts w:eastAsia="楷体"/>
          <w:b/>
          <w:color w:val="auto"/>
          <w:sz w:val="52"/>
          <w:szCs w:val="52"/>
          <w:highlight w:val="none"/>
        </w:rPr>
        <w:t>年汛期防洪调度运用计划</w:t>
      </w:r>
    </w:p>
    <w:p w14:paraId="214AD23D">
      <w:pPr>
        <w:spacing w:line="360" w:lineRule="auto"/>
        <w:jc w:val="center"/>
        <w:rPr>
          <w:rFonts w:eastAsia="楷体"/>
          <w:b/>
          <w:color w:val="auto"/>
          <w:kern w:val="0"/>
          <w:sz w:val="44"/>
          <w:szCs w:val="44"/>
          <w:highlight w:val="none"/>
        </w:rPr>
      </w:pPr>
    </w:p>
    <w:p w14:paraId="6BFFF6A3">
      <w:pPr>
        <w:spacing w:line="360" w:lineRule="auto"/>
        <w:jc w:val="center"/>
        <w:rPr>
          <w:rFonts w:eastAsia="楷体"/>
          <w:b/>
          <w:color w:val="auto"/>
          <w:kern w:val="0"/>
          <w:sz w:val="52"/>
          <w:szCs w:val="52"/>
          <w:highlight w:val="none"/>
        </w:rPr>
      </w:pPr>
    </w:p>
    <w:p w14:paraId="02652305">
      <w:pPr>
        <w:spacing w:line="360" w:lineRule="auto"/>
        <w:jc w:val="center"/>
        <w:rPr>
          <w:rFonts w:eastAsia="楷体"/>
          <w:b/>
          <w:color w:val="auto"/>
          <w:kern w:val="0"/>
          <w:sz w:val="52"/>
          <w:szCs w:val="52"/>
          <w:highlight w:val="none"/>
        </w:rPr>
      </w:pPr>
    </w:p>
    <w:p w14:paraId="69CA1BD3">
      <w:pPr>
        <w:spacing w:line="360" w:lineRule="auto"/>
        <w:jc w:val="center"/>
        <w:rPr>
          <w:rFonts w:eastAsia="楷体"/>
          <w:b/>
          <w:color w:val="auto"/>
          <w:kern w:val="0"/>
          <w:sz w:val="52"/>
          <w:szCs w:val="52"/>
          <w:highlight w:val="none"/>
        </w:rPr>
      </w:pPr>
    </w:p>
    <w:p w14:paraId="688D6033">
      <w:pPr>
        <w:spacing w:line="360" w:lineRule="auto"/>
        <w:jc w:val="center"/>
        <w:rPr>
          <w:rFonts w:eastAsia="楷体"/>
          <w:b/>
          <w:color w:val="auto"/>
          <w:kern w:val="0"/>
          <w:sz w:val="52"/>
          <w:szCs w:val="52"/>
          <w:highlight w:val="none"/>
        </w:rPr>
      </w:pPr>
    </w:p>
    <w:p w14:paraId="797D21A4">
      <w:pPr>
        <w:spacing w:line="360" w:lineRule="auto"/>
        <w:jc w:val="center"/>
        <w:rPr>
          <w:rFonts w:eastAsia="楷体"/>
          <w:b/>
          <w:color w:val="auto"/>
          <w:kern w:val="0"/>
          <w:sz w:val="52"/>
          <w:szCs w:val="52"/>
          <w:highlight w:val="none"/>
        </w:rPr>
      </w:pPr>
    </w:p>
    <w:p w14:paraId="529B90A7">
      <w:pPr>
        <w:spacing w:line="360" w:lineRule="auto"/>
        <w:jc w:val="center"/>
        <w:rPr>
          <w:rFonts w:eastAsia="楷体"/>
          <w:b/>
          <w:color w:val="auto"/>
          <w:kern w:val="0"/>
          <w:sz w:val="52"/>
          <w:szCs w:val="52"/>
          <w:highlight w:val="none"/>
        </w:rPr>
      </w:pPr>
    </w:p>
    <w:p w14:paraId="5D2B4753">
      <w:pPr>
        <w:spacing w:line="360" w:lineRule="auto"/>
        <w:jc w:val="center"/>
        <w:rPr>
          <w:rFonts w:eastAsia="楷体"/>
          <w:b/>
          <w:color w:val="auto"/>
          <w:kern w:val="0"/>
          <w:sz w:val="52"/>
          <w:szCs w:val="52"/>
          <w:highlight w:val="none"/>
        </w:rPr>
      </w:pPr>
    </w:p>
    <w:p w14:paraId="1AF6099B">
      <w:pPr>
        <w:spacing w:line="360" w:lineRule="auto"/>
        <w:jc w:val="center"/>
        <w:rPr>
          <w:rFonts w:eastAsia="楷体"/>
          <w:b/>
          <w:color w:val="auto"/>
          <w:kern w:val="0"/>
          <w:sz w:val="52"/>
          <w:szCs w:val="52"/>
          <w:highlight w:val="none"/>
        </w:rPr>
      </w:pPr>
    </w:p>
    <w:p w14:paraId="5D0F76E4">
      <w:pPr>
        <w:spacing w:line="360" w:lineRule="auto"/>
        <w:jc w:val="center"/>
        <w:rPr>
          <w:rFonts w:eastAsia="楷体"/>
          <w:b/>
          <w:color w:val="auto"/>
          <w:kern w:val="0"/>
          <w:sz w:val="52"/>
          <w:szCs w:val="52"/>
          <w:highlight w:val="none"/>
        </w:rPr>
      </w:pPr>
    </w:p>
    <w:p w14:paraId="085B2877">
      <w:pPr>
        <w:spacing w:line="360" w:lineRule="auto"/>
        <w:jc w:val="center"/>
        <w:rPr>
          <w:rFonts w:eastAsia="楷体"/>
          <w:b/>
          <w:color w:val="auto"/>
          <w:kern w:val="0"/>
          <w:sz w:val="52"/>
          <w:szCs w:val="52"/>
          <w:highlight w:val="none"/>
        </w:rPr>
      </w:pPr>
    </w:p>
    <w:p w14:paraId="0E8363C3">
      <w:pPr>
        <w:spacing w:line="360" w:lineRule="auto"/>
        <w:jc w:val="center"/>
        <w:rPr>
          <w:rFonts w:eastAsia="楷体"/>
          <w:b/>
          <w:color w:val="auto"/>
          <w:kern w:val="0"/>
          <w:sz w:val="52"/>
          <w:szCs w:val="52"/>
          <w:highlight w:val="none"/>
        </w:rPr>
      </w:pPr>
    </w:p>
    <w:p w14:paraId="00026C26">
      <w:pPr>
        <w:spacing w:line="360" w:lineRule="auto"/>
        <w:jc w:val="center"/>
        <w:rPr>
          <w:rFonts w:eastAsia="楷体"/>
          <w:b/>
          <w:color w:val="auto"/>
          <w:kern w:val="0"/>
          <w:sz w:val="52"/>
          <w:szCs w:val="52"/>
          <w:highlight w:val="none"/>
        </w:rPr>
      </w:pPr>
    </w:p>
    <w:p w14:paraId="2AEA2197">
      <w:pPr>
        <w:ind w:firstLine="960"/>
        <w:jc w:val="center"/>
        <w:rPr>
          <w:rFonts w:eastAsia="楷体"/>
          <w:color w:val="auto"/>
          <w:sz w:val="48"/>
          <w:szCs w:val="48"/>
          <w:highlight w:val="none"/>
        </w:rPr>
      </w:pPr>
    </w:p>
    <w:p w14:paraId="591ED007">
      <w:pPr>
        <w:spacing w:line="360" w:lineRule="auto"/>
        <w:jc w:val="center"/>
        <w:rPr>
          <w:rFonts w:hint="eastAsia" w:eastAsia="楷体"/>
          <w:b/>
          <w:color w:val="auto"/>
          <w:sz w:val="36"/>
          <w:szCs w:val="36"/>
          <w:highlight w:val="none"/>
          <w:lang w:eastAsia="zh-CN"/>
        </w:rPr>
      </w:pPr>
      <w:r>
        <w:rPr>
          <w:rFonts w:hint="eastAsia" w:eastAsia="楷体"/>
          <w:b/>
          <w:color w:val="auto"/>
          <w:sz w:val="36"/>
          <w:szCs w:val="36"/>
          <w:highlight w:val="none"/>
          <w:lang w:eastAsia="zh-CN"/>
        </w:rPr>
        <w:t>前黄镇人民政府</w:t>
      </w:r>
    </w:p>
    <w:p w14:paraId="0E4FE46F">
      <w:pPr>
        <w:spacing w:line="360" w:lineRule="auto"/>
        <w:jc w:val="center"/>
        <w:rPr>
          <w:rFonts w:eastAsia="楷体"/>
          <w:b/>
          <w:color w:val="auto"/>
          <w:sz w:val="36"/>
          <w:szCs w:val="36"/>
          <w:highlight w:val="none"/>
        </w:rPr>
      </w:pPr>
      <w:r>
        <w:rPr>
          <w:rFonts w:eastAsia="楷体"/>
          <w:b/>
          <w:color w:val="auto"/>
          <w:sz w:val="36"/>
          <w:szCs w:val="36"/>
          <w:highlight w:val="none"/>
        </w:rPr>
        <w:t>20</w:t>
      </w:r>
      <w:r>
        <w:rPr>
          <w:rFonts w:hint="eastAsia" w:eastAsia="楷体"/>
          <w:b/>
          <w:color w:val="auto"/>
          <w:sz w:val="36"/>
          <w:szCs w:val="36"/>
          <w:highlight w:val="none"/>
          <w:lang w:val="en-US" w:eastAsia="zh-CN"/>
        </w:rPr>
        <w:t>22</w:t>
      </w:r>
      <w:r>
        <w:rPr>
          <w:rFonts w:eastAsia="楷体"/>
          <w:b/>
          <w:color w:val="auto"/>
          <w:sz w:val="36"/>
          <w:szCs w:val="36"/>
          <w:highlight w:val="none"/>
        </w:rPr>
        <w:t>年</w:t>
      </w:r>
      <w:r>
        <w:rPr>
          <w:rFonts w:hint="eastAsia" w:eastAsia="楷体"/>
          <w:b/>
          <w:color w:val="auto"/>
          <w:sz w:val="36"/>
          <w:szCs w:val="36"/>
          <w:highlight w:val="none"/>
          <w:lang w:val="en-US" w:eastAsia="zh-CN"/>
        </w:rPr>
        <w:t>5</w:t>
      </w:r>
      <w:r>
        <w:rPr>
          <w:rFonts w:eastAsia="楷体"/>
          <w:b/>
          <w:color w:val="auto"/>
          <w:sz w:val="36"/>
          <w:szCs w:val="36"/>
          <w:highlight w:val="none"/>
        </w:rPr>
        <w:t>月</w:t>
      </w:r>
    </w:p>
    <w:p w14:paraId="0DC2F737">
      <w:pPr>
        <w:spacing w:line="360" w:lineRule="auto"/>
        <w:jc w:val="center"/>
        <w:rPr>
          <w:rFonts w:eastAsia="楷体"/>
          <w:b/>
          <w:color w:val="auto"/>
          <w:kern w:val="0"/>
          <w:sz w:val="32"/>
          <w:szCs w:val="32"/>
          <w:highlight w:val="none"/>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169"/>
          <w:cols w:space="720" w:num="1"/>
          <w:docGrid w:type="lines" w:linePitch="312" w:charSpace="0"/>
        </w:sectPr>
      </w:pPr>
    </w:p>
    <w:p w14:paraId="13D45C80">
      <w:pPr>
        <w:jc w:val="center"/>
        <w:rPr>
          <w:rFonts w:eastAsia="楷体"/>
          <w:b/>
          <w:color w:val="auto"/>
          <w:kern w:val="0"/>
          <w:sz w:val="28"/>
          <w:szCs w:val="28"/>
          <w:highlight w:val="none"/>
        </w:rPr>
      </w:pPr>
      <w:r>
        <w:rPr>
          <w:rFonts w:eastAsia="楷体"/>
          <w:b/>
          <w:color w:val="auto"/>
          <w:kern w:val="0"/>
          <w:sz w:val="28"/>
          <w:szCs w:val="28"/>
          <w:highlight w:val="none"/>
        </w:rPr>
        <w:t>目  录</w:t>
      </w:r>
    </w:p>
    <w:p w14:paraId="3638C5E1">
      <w:pPr>
        <w:pStyle w:val="13"/>
        <w:tabs>
          <w:tab w:val="right" w:leader="dot" w:pos="8306"/>
          <w:tab w:val="clear" w:pos="8296"/>
        </w:tabs>
        <w:spacing w:line="520" w:lineRule="exact"/>
        <w:rPr>
          <w:rFonts w:ascii="Times New Roman" w:eastAsia="楷体"/>
          <w:color w:val="auto"/>
          <w:highlight w:val="none"/>
        </w:rPr>
      </w:pPr>
      <w:r>
        <w:rPr>
          <w:rFonts w:ascii="Times New Roman" w:eastAsia="楷体"/>
          <w:b w:val="0"/>
          <w:bCs/>
          <w:color w:val="auto"/>
          <w:kern w:val="0"/>
          <w:highlight w:val="none"/>
        </w:rPr>
        <w:fldChar w:fldCharType="begin"/>
      </w:r>
      <w:r>
        <w:rPr>
          <w:rFonts w:ascii="Times New Roman" w:eastAsia="楷体"/>
          <w:b w:val="0"/>
          <w:bCs/>
          <w:color w:val="auto"/>
          <w:kern w:val="0"/>
          <w:highlight w:val="none"/>
        </w:rPr>
        <w:instrText xml:space="preserve"> TOC \o "1-2" \h \z \u </w:instrText>
      </w:r>
      <w:r>
        <w:rPr>
          <w:rFonts w:ascii="Times New Roman" w:eastAsia="楷体"/>
          <w:b w:val="0"/>
          <w:bCs/>
          <w:color w:val="auto"/>
          <w:kern w:val="0"/>
          <w:highlight w:val="none"/>
        </w:rPr>
        <w:fldChar w:fldCharType="separate"/>
      </w:r>
      <w:r>
        <w:rPr>
          <w:color w:val="auto"/>
          <w:highlight w:val="none"/>
        </w:rPr>
        <w:fldChar w:fldCharType="begin"/>
      </w:r>
      <w:r>
        <w:rPr>
          <w:color w:val="auto"/>
          <w:highlight w:val="none"/>
        </w:rPr>
        <w:instrText xml:space="preserve"> HYPERLINK \l "_Toc11427" </w:instrText>
      </w:r>
      <w:r>
        <w:rPr>
          <w:color w:val="auto"/>
          <w:highlight w:val="none"/>
        </w:rPr>
        <w:fldChar w:fldCharType="separate"/>
      </w:r>
      <w:r>
        <w:rPr>
          <w:rFonts w:ascii="Times New Roman" w:eastAsia="楷体"/>
          <w:color w:val="auto"/>
          <w:kern w:val="0"/>
          <w:highlight w:val="none"/>
        </w:rPr>
        <w:t>1  水库基本情况</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_Toc11427 </w:instrText>
      </w:r>
      <w:r>
        <w:rPr>
          <w:rFonts w:ascii="Times New Roman" w:eastAsia="楷体"/>
          <w:color w:val="auto"/>
          <w:highlight w:val="none"/>
        </w:rPr>
        <w:fldChar w:fldCharType="separate"/>
      </w:r>
      <w:r>
        <w:rPr>
          <w:rFonts w:ascii="Times New Roman" w:eastAsia="楷体"/>
          <w:color w:val="auto"/>
          <w:highlight w:val="none"/>
        </w:rPr>
        <w:t>- 171 -</w:t>
      </w:r>
      <w:r>
        <w:rPr>
          <w:rFonts w:ascii="Times New Roman" w:eastAsia="楷体"/>
          <w:color w:val="auto"/>
          <w:highlight w:val="none"/>
        </w:rPr>
        <w:fldChar w:fldCharType="end"/>
      </w:r>
      <w:r>
        <w:rPr>
          <w:rFonts w:ascii="Times New Roman" w:eastAsia="楷体"/>
          <w:color w:val="auto"/>
          <w:highlight w:val="none"/>
        </w:rPr>
        <w:fldChar w:fldCharType="end"/>
      </w:r>
    </w:p>
    <w:p w14:paraId="7AA1B92C">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"_Toc18976" </w:instrText>
      </w:r>
      <w:r>
        <w:rPr>
          <w:color w:val="auto"/>
          <w:highlight w:val="none"/>
        </w:rPr>
        <w:fldChar w:fldCharType="separate"/>
      </w:r>
      <w:r>
        <w:rPr>
          <w:rFonts w:eastAsia="楷体"/>
          <w:color w:val="auto"/>
          <w:kern w:val="0"/>
          <w:sz w:val="28"/>
          <w:szCs w:val="28"/>
          <w:highlight w:val="none"/>
        </w:rPr>
        <w:t>1.1 工程概况</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_Toc18976 </w:instrText>
      </w:r>
      <w:r>
        <w:rPr>
          <w:rFonts w:eastAsia="楷体"/>
          <w:color w:val="auto"/>
          <w:sz w:val="28"/>
          <w:szCs w:val="28"/>
          <w:highlight w:val="none"/>
        </w:rPr>
        <w:fldChar w:fldCharType="separate"/>
      </w:r>
      <w:r>
        <w:rPr>
          <w:rFonts w:eastAsia="楷体"/>
          <w:color w:val="auto"/>
          <w:sz w:val="28"/>
          <w:szCs w:val="28"/>
          <w:highlight w:val="none"/>
        </w:rPr>
        <w:t>- 172 -</w:t>
      </w:r>
      <w:r>
        <w:rPr>
          <w:rFonts w:eastAsia="楷体"/>
          <w:color w:val="auto"/>
          <w:sz w:val="28"/>
          <w:szCs w:val="28"/>
          <w:highlight w:val="none"/>
        </w:rPr>
        <w:fldChar w:fldCharType="end"/>
      </w:r>
      <w:r>
        <w:rPr>
          <w:rFonts w:eastAsia="楷体"/>
          <w:color w:val="auto"/>
          <w:sz w:val="28"/>
          <w:szCs w:val="28"/>
          <w:highlight w:val="none"/>
        </w:rPr>
        <w:fldChar w:fldCharType="end"/>
      </w:r>
    </w:p>
    <w:p w14:paraId="4F7EC477">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"_Toc13357" </w:instrText>
      </w:r>
      <w:r>
        <w:rPr>
          <w:color w:val="auto"/>
          <w:highlight w:val="none"/>
        </w:rPr>
        <w:fldChar w:fldCharType="separate"/>
      </w:r>
      <w:r>
        <w:rPr>
          <w:rFonts w:eastAsia="楷体"/>
          <w:color w:val="auto"/>
          <w:kern w:val="0"/>
          <w:sz w:val="28"/>
          <w:szCs w:val="28"/>
          <w:highlight w:val="none"/>
        </w:rPr>
        <w:t>1.2 水文气象</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_Toc13357 </w:instrText>
      </w:r>
      <w:r>
        <w:rPr>
          <w:rFonts w:eastAsia="楷体"/>
          <w:color w:val="auto"/>
          <w:sz w:val="28"/>
          <w:szCs w:val="28"/>
          <w:highlight w:val="none"/>
        </w:rPr>
        <w:fldChar w:fldCharType="separate"/>
      </w:r>
      <w:r>
        <w:rPr>
          <w:rFonts w:eastAsia="楷体"/>
          <w:color w:val="auto"/>
          <w:sz w:val="28"/>
          <w:szCs w:val="28"/>
          <w:highlight w:val="none"/>
        </w:rPr>
        <w:t>- 173 -</w:t>
      </w:r>
      <w:r>
        <w:rPr>
          <w:rFonts w:eastAsia="楷体"/>
          <w:color w:val="auto"/>
          <w:sz w:val="28"/>
          <w:szCs w:val="28"/>
          <w:highlight w:val="none"/>
        </w:rPr>
        <w:fldChar w:fldCharType="end"/>
      </w:r>
      <w:r>
        <w:rPr>
          <w:rFonts w:eastAsia="楷体"/>
          <w:color w:val="auto"/>
          <w:sz w:val="28"/>
          <w:szCs w:val="28"/>
          <w:highlight w:val="none"/>
        </w:rPr>
        <w:fldChar w:fldCharType="end"/>
      </w:r>
    </w:p>
    <w:p w14:paraId="6A7310EA">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"_Toc2603" </w:instrText>
      </w:r>
      <w:r>
        <w:rPr>
          <w:color w:val="auto"/>
          <w:highlight w:val="none"/>
        </w:rPr>
        <w:fldChar w:fldCharType="separate"/>
      </w:r>
      <w:r>
        <w:rPr>
          <w:rFonts w:eastAsia="楷体"/>
          <w:color w:val="auto"/>
          <w:kern w:val="0"/>
          <w:sz w:val="28"/>
          <w:szCs w:val="28"/>
          <w:highlight w:val="none"/>
        </w:rPr>
        <w:t>1.3 流域特性</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_Toc2603 </w:instrText>
      </w:r>
      <w:r>
        <w:rPr>
          <w:rFonts w:eastAsia="楷体"/>
          <w:color w:val="auto"/>
          <w:sz w:val="28"/>
          <w:szCs w:val="28"/>
          <w:highlight w:val="none"/>
        </w:rPr>
        <w:fldChar w:fldCharType="separate"/>
      </w:r>
      <w:r>
        <w:rPr>
          <w:rFonts w:eastAsia="楷体"/>
          <w:color w:val="auto"/>
          <w:sz w:val="28"/>
          <w:szCs w:val="28"/>
          <w:highlight w:val="none"/>
        </w:rPr>
        <w:t>- 173 -</w:t>
      </w:r>
      <w:r>
        <w:rPr>
          <w:rFonts w:eastAsia="楷体"/>
          <w:color w:val="auto"/>
          <w:sz w:val="28"/>
          <w:szCs w:val="28"/>
          <w:highlight w:val="none"/>
        </w:rPr>
        <w:fldChar w:fldCharType="end"/>
      </w:r>
      <w:r>
        <w:rPr>
          <w:rFonts w:eastAsia="楷体"/>
          <w:color w:val="auto"/>
          <w:sz w:val="28"/>
          <w:szCs w:val="28"/>
          <w:highlight w:val="none"/>
        </w:rPr>
        <w:fldChar w:fldCharType="end"/>
      </w:r>
    </w:p>
    <w:p w14:paraId="2B387A05">
      <w:pPr>
        <w:pStyle w:val="13"/>
        <w:tabs>
          <w:tab w:val="right" w:leader="dot" w:pos="8306"/>
          <w:tab w:val="clear" w:pos="8296"/>
        </w:tabs>
        <w:spacing w:line="520" w:lineRule="exact"/>
        <w:rPr>
          <w:rFonts w:ascii="Times New Roman" w:eastAsia="楷体"/>
          <w:color w:val="auto"/>
          <w:highlight w:val="none"/>
        </w:rPr>
      </w:pPr>
      <w:r>
        <w:rPr>
          <w:color w:val="auto"/>
          <w:highlight w:val="none"/>
        </w:rPr>
        <w:fldChar w:fldCharType="begin"/>
      </w:r>
      <w:r>
        <w:rPr>
          <w:color w:val="auto"/>
          <w:highlight w:val="none"/>
        </w:rPr>
        <w:instrText xml:space="preserve"> HYPERLINK \l "_Toc30894" </w:instrText>
      </w:r>
      <w:r>
        <w:rPr>
          <w:color w:val="auto"/>
          <w:highlight w:val="none"/>
        </w:rPr>
        <w:fldChar w:fldCharType="separate"/>
      </w:r>
      <w:r>
        <w:rPr>
          <w:rFonts w:ascii="Times New Roman" w:eastAsia="楷体"/>
          <w:color w:val="auto"/>
          <w:kern w:val="0"/>
          <w:highlight w:val="none"/>
        </w:rPr>
        <w:t>2  水库大坝安全运行状况</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_Toc30894 </w:instrText>
      </w:r>
      <w:r>
        <w:rPr>
          <w:rFonts w:ascii="Times New Roman" w:eastAsia="楷体"/>
          <w:color w:val="auto"/>
          <w:highlight w:val="none"/>
        </w:rPr>
        <w:fldChar w:fldCharType="separate"/>
      </w:r>
      <w:r>
        <w:rPr>
          <w:rFonts w:ascii="Times New Roman" w:eastAsia="楷体"/>
          <w:color w:val="auto"/>
          <w:highlight w:val="none"/>
        </w:rPr>
        <w:t>- 175 -</w:t>
      </w:r>
      <w:r>
        <w:rPr>
          <w:rFonts w:ascii="Times New Roman" w:eastAsia="楷体"/>
          <w:color w:val="auto"/>
          <w:highlight w:val="none"/>
        </w:rPr>
        <w:fldChar w:fldCharType="end"/>
      </w:r>
      <w:r>
        <w:rPr>
          <w:rFonts w:ascii="Times New Roman" w:eastAsia="楷体"/>
          <w:color w:val="auto"/>
          <w:highlight w:val="none"/>
        </w:rPr>
        <w:fldChar w:fldCharType="end"/>
      </w:r>
    </w:p>
    <w:p w14:paraId="28380E43">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"_Toc5344" </w:instrText>
      </w:r>
      <w:r>
        <w:rPr>
          <w:color w:val="auto"/>
          <w:highlight w:val="none"/>
        </w:rPr>
        <w:fldChar w:fldCharType="separate"/>
      </w:r>
      <w:r>
        <w:rPr>
          <w:rFonts w:eastAsia="楷体"/>
          <w:color w:val="auto"/>
          <w:kern w:val="0"/>
          <w:sz w:val="28"/>
          <w:szCs w:val="28"/>
          <w:highlight w:val="none"/>
        </w:rPr>
        <w:t>2.1 工程运行管理</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_Toc5344 </w:instrText>
      </w:r>
      <w:r>
        <w:rPr>
          <w:rFonts w:eastAsia="楷体"/>
          <w:color w:val="auto"/>
          <w:sz w:val="28"/>
          <w:szCs w:val="28"/>
          <w:highlight w:val="none"/>
        </w:rPr>
        <w:fldChar w:fldCharType="separate"/>
      </w:r>
      <w:r>
        <w:rPr>
          <w:rFonts w:eastAsia="楷体"/>
          <w:color w:val="auto"/>
          <w:sz w:val="28"/>
          <w:szCs w:val="28"/>
          <w:highlight w:val="none"/>
        </w:rPr>
        <w:t>- 175 -</w:t>
      </w:r>
      <w:r>
        <w:rPr>
          <w:rFonts w:eastAsia="楷体"/>
          <w:color w:val="auto"/>
          <w:sz w:val="28"/>
          <w:szCs w:val="28"/>
          <w:highlight w:val="none"/>
        </w:rPr>
        <w:fldChar w:fldCharType="end"/>
      </w:r>
      <w:r>
        <w:rPr>
          <w:rFonts w:eastAsia="楷体"/>
          <w:color w:val="auto"/>
          <w:sz w:val="28"/>
          <w:szCs w:val="28"/>
          <w:highlight w:val="none"/>
        </w:rPr>
        <w:fldChar w:fldCharType="end"/>
      </w:r>
    </w:p>
    <w:p w14:paraId="3AFD91C9">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"_Toc7561" </w:instrText>
      </w:r>
      <w:r>
        <w:rPr>
          <w:color w:val="auto"/>
          <w:highlight w:val="none"/>
        </w:rPr>
        <w:fldChar w:fldCharType="separate"/>
      </w:r>
      <w:r>
        <w:rPr>
          <w:rFonts w:eastAsia="楷体"/>
          <w:color w:val="auto"/>
          <w:kern w:val="0"/>
          <w:sz w:val="28"/>
          <w:szCs w:val="28"/>
          <w:highlight w:val="none"/>
        </w:rPr>
        <w:t>2.2 工程安全状况分析评价</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_Toc7561 </w:instrText>
      </w:r>
      <w:r>
        <w:rPr>
          <w:rFonts w:eastAsia="楷体"/>
          <w:color w:val="auto"/>
          <w:sz w:val="28"/>
          <w:szCs w:val="28"/>
          <w:highlight w:val="none"/>
        </w:rPr>
        <w:fldChar w:fldCharType="separate"/>
      </w:r>
      <w:r>
        <w:rPr>
          <w:rFonts w:eastAsia="楷体"/>
          <w:color w:val="auto"/>
          <w:sz w:val="28"/>
          <w:szCs w:val="28"/>
          <w:highlight w:val="none"/>
        </w:rPr>
        <w:t>- 176 -</w:t>
      </w:r>
      <w:r>
        <w:rPr>
          <w:rFonts w:eastAsia="楷体"/>
          <w:color w:val="auto"/>
          <w:sz w:val="28"/>
          <w:szCs w:val="28"/>
          <w:highlight w:val="none"/>
        </w:rPr>
        <w:fldChar w:fldCharType="end"/>
      </w:r>
      <w:r>
        <w:rPr>
          <w:rFonts w:eastAsia="楷体"/>
          <w:color w:val="auto"/>
          <w:sz w:val="28"/>
          <w:szCs w:val="28"/>
          <w:highlight w:val="none"/>
        </w:rPr>
        <w:fldChar w:fldCharType="end"/>
      </w:r>
    </w:p>
    <w:p w14:paraId="0D5761BC">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"_Toc28284" </w:instrText>
      </w:r>
      <w:r>
        <w:rPr>
          <w:color w:val="auto"/>
          <w:highlight w:val="none"/>
        </w:rPr>
        <w:fldChar w:fldCharType="separate"/>
      </w:r>
      <w:r>
        <w:rPr>
          <w:rFonts w:eastAsia="楷体"/>
          <w:color w:val="auto"/>
          <w:kern w:val="0"/>
          <w:sz w:val="28"/>
          <w:szCs w:val="28"/>
          <w:highlight w:val="none"/>
        </w:rPr>
        <w:t>2.3</w:t>
      </w:r>
      <w:r>
        <w:rPr>
          <w:rFonts w:eastAsia="楷体"/>
          <w:color w:val="auto"/>
          <w:sz w:val="28"/>
          <w:szCs w:val="28"/>
          <w:highlight w:val="none"/>
        </w:rPr>
        <w:t>水情工情测报系统及观测资料整理</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_Toc28284 </w:instrText>
      </w:r>
      <w:r>
        <w:rPr>
          <w:rFonts w:eastAsia="楷体"/>
          <w:color w:val="auto"/>
          <w:sz w:val="28"/>
          <w:szCs w:val="28"/>
          <w:highlight w:val="none"/>
        </w:rPr>
        <w:fldChar w:fldCharType="separate"/>
      </w:r>
      <w:r>
        <w:rPr>
          <w:rFonts w:eastAsia="楷体"/>
          <w:color w:val="auto"/>
          <w:sz w:val="28"/>
          <w:szCs w:val="28"/>
          <w:highlight w:val="none"/>
        </w:rPr>
        <w:t>- 179 -</w:t>
      </w:r>
      <w:r>
        <w:rPr>
          <w:rFonts w:eastAsia="楷体"/>
          <w:color w:val="auto"/>
          <w:sz w:val="28"/>
          <w:szCs w:val="28"/>
          <w:highlight w:val="none"/>
        </w:rPr>
        <w:fldChar w:fldCharType="end"/>
      </w:r>
      <w:r>
        <w:rPr>
          <w:rFonts w:eastAsia="楷体"/>
          <w:color w:val="auto"/>
          <w:sz w:val="28"/>
          <w:szCs w:val="28"/>
          <w:highlight w:val="none"/>
        </w:rPr>
        <w:fldChar w:fldCharType="end"/>
      </w:r>
    </w:p>
    <w:p w14:paraId="64FC662E">
      <w:pPr>
        <w:pStyle w:val="13"/>
        <w:tabs>
          <w:tab w:val="right" w:leader="dot" w:pos="8306"/>
          <w:tab w:val="clear" w:pos="8296"/>
        </w:tabs>
        <w:spacing w:line="520" w:lineRule="exact"/>
        <w:rPr>
          <w:rFonts w:ascii="Times New Roman" w:eastAsia="楷体"/>
          <w:color w:val="auto"/>
          <w:highlight w:val="none"/>
        </w:rPr>
      </w:pPr>
      <w:r>
        <w:rPr>
          <w:color w:val="auto"/>
          <w:highlight w:val="none"/>
        </w:rPr>
        <w:fldChar w:fldCharType="begin"/>
      </w:r>
      <w:r>
        <w:rPr>
          <w:color w:val="auto"/>
          <w:highlight w:val="none"/>
        </w:rPr>
        <w:instrText xml:space="preserve"> HYPERLINK \l "_Toc29389" </w:instrText>
      </w:r>
      <w:r>
        <w:rPr>
          <w:color w:val="auto"/>
          <w:highlight w:val="none"/>
        </w:rPr>
        <w:fldChar w:fldCharType="separate"/>
      </w:r>
      <w:r>
        <w:rPr>
          <w:rFonts w:ascii="Times New Roman" w:eastAsia="楷体"/>
          <w:color w:val="auto"/>
          <w:kern w:val="0"/>
          <w:highlight w:val="none"/>
        </w:rPr>
        <w:t>3  水库大坝防洪情况</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_Toc29389 </w:instrText>
      </w:r>
      <w:r>
        <w:rPr>
          <w:rFonts w:ascii="Times New Roman" w:eastAsia="楷体"/>
          <w:color w:val="auto"/>
          <w:highlight w:val="none"/>
        </w:rPr>
        <w:fldChar w:fldCharType="separate"/>
      </w:r>
      <w:r>
        <w:rPr>
          <w:rFonts w:ascii="Times New Roman" w:eastAsia="楷体"/>
          <w:color w:val="auto"/>
          <w:highlight w:val="none"/>
        </w:rPr>
        <w:t>- 180 -</w:t>
      </w:r>
      <w:r>
        <w:rPr>
          <w:rFonts w:ascii="Times New Roman" w:eastAsia="楷体"/>
          <w:color w:val="auto"/>
          <w:highlight w:val="none"/>
        </w:rPr>
        <w:fldChar w:fldCharType="end"/>
      </w:r>
      <w:r>
        <w:rPr>
          <w:rFonts w:ascii="Times New Roman" w:eastAsia="楷体"/>
          <w:color w:val="auto"/>
          <w:highlight w:val="none"/>
        </w:rPr>
        <w:fldChar w:fldCharType="end"/>
      </w:r>
    </w:p>
    <w:p w14:paraId="77912693">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"_Toc6287" </w:instrText>
      </w:r>
      <w:r>
        <w:rPr>
          <w:color w:val="auto"/>
          <w:highlight w:val="none"/>
        </w:rPr>
        <w:fldChar w:fldCharType="separate"/>
      </w:r>
      <w:r>
        <w:rPr>
          <w:rFonts w:eastAsia="楷体"/>
          <w:color w:val="auto"/>
          <w:kern w:val="0"/>
          <w:sz w:val="28"/>
          <w:szCs w:val="28"/>
          <w:highlight w:val="none"/>
        </w:rPr>
        <w:t>3.1 水库防洪标准</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_Toc6287 </w:instrText>
      </w:r>
      <w:r>
        <w:rPr>
          <w:rFonts w:eastAsia="楷体"/>
          <w:color w:val="auto"/>
          <w:sz w:val="28"/>
          <w:szCs w:val="28"/>
          <w:highlight w:val="none"/>
        </w:rPr>
        <w:fldChar w:fldCharType="separate"/>
      </w:r>
      <w:r>
        <w:rPr>
          <w:rFonts w:eastAsia="楷体"/>
          <w:color w:val="auto"/>
          <w:sz w:val="28"/>
          <w:szCs w:val="28"/>
          <w:highlight w:val="none"/>
        </w:rPr>
        <w:t>- 180 -</w:t>
      </w:r>
      <w:r>
        <w:rPr>
          <w:rFonts w:eastAsia="楷体"/>
          <w:color w:val="auto"/>
          <w:sz w:val="28"/>
          <w:szCs w:val="28"/>
          <w:highlight w:val="none"/>
        </w:rPr>
        <w:fldChar w:fldCharType="end"/>
      </w:r>
      <w:r>
        <w:rPr>
          <w:rFonts w:eastAsia="楷体"/>
          <w:color w:val="auto"/>
          <w:sz w:val="28"/>
          <w:szCs w:val="28"/>
          <w:highlight w:val="none"/>
        </w:rPr>
        <w:fldChar w:fldCharType="end"/>
      </w:r>
    </w:p>
    <w:p w14:paraId="48FFA6CC">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"_Toc1684" </w:instrText>
      </w:r>
      <w:r>
        <w:rPr>
          <w:color w:val="auto"/>
          <w:highlight w:val="none"/>
        </w:rPr>
        <w:fldChar w:fldCharType="separate"/>
      </w:r>
      <w:r>
        <w:rPr>
          <w:rFonts w:eastAsia="楷体"/>
          <w:color w:val="auto"/>
          <w:kern w:val="0"/>
          <w:sz w:val="28"/>
          <w:szCs w:val="28"/>
          <w:highlight w:val="none"/>
        </w:rPr>
        <w:t>3.2 水库特征曲线</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_Toc1684 </w:instrText>
      </w:r>
      <w:r>
        <w:rPr>
          <w:rFonts w:eastAsia="楷体"/>
          <w:color w:val="auto"/>
          <w:sz w:val="28"/>
          <w:szCs w:val="28"/>
          <w:highlight w:val="none"/>
        </w:rPr>
        <w:fldChar w:fldCharType="separate"/>
      </w:r>
      <w:r>
        <w:rPr>
          <w:rFonts w:eastAsia="楷体"/>
          <w:color w:val="auto"/>
          <w:sz w:val="28"/>
          <w:szCs w:val="28"/>
          <w:highlight w:val="none"/>
        </w:rPr>
        <w:t>- 180 -</w:t>
      </w:r>
      <w:r>
        <w:rPr>
          <w:rFonts w:eastAsia="楷体"/>
          <w:color w:val="auto"/>
          <w:sz w:val="28"/>
          <w:szCs w:val="28"/>
          <w:highlight w:val="none"/>
        </w:rPr>
        <w:fldChar w:fldCharType="end"/>
      </w:r>
      <w:r>
        <w:rPr>
          <w:rFonts w:eastAsia="楷体"/>
          <w:color w:val="auto"/>
          <w:sz w:val="28"/>
          <w:szCs w:val="28"/>
          <w:highlight w:val="none"/>
        </w:rPr>
        <w:fldChar w:fldCharType="end"/>
      </w:r>
    </w:p>
    <w:p w14:paraId="6EE11C51">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"_Toc30807" </w:instrText>
      </w:r>
      <w:r>
        <w:rPr>
          <w:color w:val="auto"/>
          <w:highlight w:val="none"/>
        </w:rPr>
        <w:fldChar w:fldCharType="separate"/>
      </w:r>
      <w:r>
        <w:rPr>
          <w:rFonts w:eastAsia="楷体"/>
          <w:color w:val="auto"/>
          <w:kern w:val="0"/>
          <w:sz w:val="28"/>
          <w:szCs w:val="28"/>
          <w:highlight w:val="none"/>
        </w:rPr>
        <w:t>3.3 水库上、下游情况</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_Toc30807 </w:instrText>
      </w:r>
      <w:r>
        <w:rPr>
          <w:rFonts w:eastAsia="楷体"/>
          <w:color w:val="auto"/>
          <w:sz w:val="28"/>
          <w:szCs w:val="28"/>
          <w:highlight w:val="none"/>
        </w:rPr>
        <w:fldChar w:fldCharType="separate"/>
      </w:r>
      <w:r>
        <w:rPr>
          <w:rFonts w:eastAsia="楷体"/>
          <w:color w:val="auto"/>
          <w:sz w:val="28"/>
          <w:szCs w:val="28"/>
          <w:highlight w:val="none"/>
        </w:rPr>
        <w:t>- 182 -</w:t>
      </w:r>
      <w:r>
        <w:rPr>
          <w:rFonts w:eastAsia="楷体"/>
          <w:color w:val="auto"/>
          <w:sz w:val="28"/>
          <w:szCs w:val="28"/>
          <w:highlight w:val="none"/>
        </w:rPr>
        <w:fldChar w:fldCharType="end"/>
      </w:r>
      <w:r>
        <w:rPr>
          <w:rFonts w:eastAsia="楷体"/>
          <w:color w:val="auto"/>
          <w:sz w:val="28"/>
          <w:szCs w:val="28"/>
          <w:highlight w:val="none"/>
        </w:rPr>
        <w:fldChar w:fldCharType="end"/>
      </w:r>
    </w:p>
    <w:p w14:paraId="5A7B6CFD">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"_Toc8846" </w:instrText>
      </w:r>
      <w:r>
        <w:rPr>
          <w:color w:val="auto"/>
          <w:highlight w:val="none"/>
        </w:rPr>
        <w:fldChar w:fldCharType="separate"/>
      </w:r>
      <w:r>
        <w:rPr>
          <w:rFonts w:eastAsia="楷体"/>
          <w:color w:val="auto"/>
          <w:kern w:val="0"/>
          <w:sz w:val="28"/>
          <w:szCs w:val="28"/>
          <w:highlight w:val="none"/>
        </w:rPr>
        <w:t>3.4 上年度控制运用情况</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_Toc8846 </w:instrText>
      </w:r>
      <w:r>
        <w:rPr>
          <w:rFonts w:eastAsia="楷体"/>
          <w:color w:val="auto"/>
          <w:sz w:val="28"/>
          <w:szCs w:val="28"/>
          <w:highlight w:val="none"/>
        </w:rPr>
        <w:fldChar w:fldCharType="separate"/>
      </w:r>
      <w:r>
        <w:rPr>
          <w:rFonts w:eastAsia="楷体"/>
          <w:color w:val="auto"/>
          <w:sz w:val="28"/>
          <w:szCs w:val="28"/>
          <w:highlight w:val="none"/>
        </w:rPr>
        <w:t>- 182 -</w:t>
      </w:r>
      <w:r>
        <w:rPr>
          <w:rFonts w:eastAsia="楷体"/>
          <w:color w:val="auto"/>
          <w:sz w:val="28"/>
          <w:szCs w:val="28"/>
          <w:highlight w:val="none"/>
        </w:rPr>
        <w:fldChar w:fldCharType="end"/>
      </w:r>
      <w:r>
        <w:rPr>
          <w:rFonts w:eastAsia="楷体"/>
          <w:color w:val="auto"/>
          <w:sz w:val="28"/>
          <w:szCs w:val="28"/>
          <w:highlight w:val="none"/>
        </w:rPr>
        <w:fldChar w:fldCharType="end"/>
      </w:r>
    </w:p>
    <w:p w14:paraId="3637D144">
      <w:pPr>
        <w:pStyle w:val="13"/>
        <w:tabs>
          <w:tab w:val="right" w:leader="dot" w:pos="8306"/>
          <w:tab w:val="clear" w:pos="8296"/>
        </w:tabs>
        <w:spacing w:line="520" w:lineRule="exact"/>
        <w:rPr>
          <w:rFonts w:ascii="Times New Roman" w:eastAsia="楷体"/>
          <w:color w:val="auto"/>
          <w:highlight w:val="none"/>
        </w:rPr>
      </w:pPr>
      <w:r>
        <w:rPr>
          <w:color w:val="auto"/>
          <w:highlight w:val="none"/>
        </w:rPr>
        <w:fldChar w:fldCharType="begin"/>
      </w:r>
      <w:r>
        <w:rPr>
          <w:color w:val="auto"/>
          <w:highlight w:val="none"/>
        </w:rPr>
        <w:instrText xml:space="preserve"> HYPERLINK \l "_Toc19608" </w:instrText>
      </w:r>
      <w:r>
        <w:rPr>
          <w:color w:val="auto"/>
          <w:highlight w:val="none"/>
        </w:rPr>
        <w:fldChar w:fldCharType="separate"/>
      </w:r>
      <w:r>
        <w:rPr>
          <w:rFonts w:ascii="Times New Roman" w:eastAsia="楷体"/>
          <w:color w:val="auto"/>
          <w:kern w:val="0"/>
          <w:highlight w:val="none"/>
        </w:rPr>
        <w:t>4  洪水调度原则</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_Toc19608 </w:instrText>
      </w:r>
      <w:r>
        <w:rPr>
          <w:rFonts w:ascii="Times New Roman" w:eastAsia="楷体"/>
          <w:color w:val="auto"/>
          <w:highlight w:val="none"/>
        </w:rPr>
        <w:fldChar w:fldCharType="separate"/>
      </w:r>
      <w:r>
        <w:rPr>
          <w:rFonts w:ascii="Times New Roman" w:eastAsia="楷体"/>
          <w:color w:val="auto"/>
          <w:highlight w:val="none"/>
        </w:rPr>
        <w:t>- 183 -</w:t>
      </w:r>
      <w:r>
        <w:rPr>
          <w:rFonts w:ascii="Times New Roman" w:eastAsia="楷体"/>
          <w:color w:val="auto"/>
          <w:highlight w:val="none"/>
        </w:rPr>
        <w:fldChar w:fldCharType="end"/>
      </w:r>
      <w:r>
        <w:rPr>
          <w:rFonts w:ascii="Times New Roman" w:eastAsia="楷体"/>
          <w:color w:val="auto"/>
          <w:highlight w:val="none"/>
        </w:rPr>
        <w:fldChar w:fldCharType="end"/>
      </w:r>
    </w:p>
    <w:p w14:paraId="5BDDA96E">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"_Toc7899" </w:instrText>
      </w:r>
      <w:r>
        <w:rPr>
          <w:color w:val="auto"/>
          <w:highlight w:val="none"/>
        </w:rPr>
        <w:fldChar w:fldCharType="separate"/>
      </w:r>
      <w:r>
        <w:rPr>
          <w:rFonts w:eastAsia="楷体"/>
          <w:color w:val="auto"/>
          <w:kern w:val="0"/>
          <w:sz w:val="28"/>
          <w:szCs w:val="28"/>
          <w:highlight w:val="none"/>
        </w:rPr>
        <w:t>4.1 汛期划分</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_Toc7899 </w:instrText>
      </w:r>
      <w:r>
        <w:rPr>
          <w:rFonts w:eastAsia="楷体"/>
          <w:color w:val="auto"/>
          <w:sz w:val="28"/>
          <w:szCs w:val="28"/>
          <w:highlight w:val="none"/>
        </w:rPr>
        <w:fldChar w:fldCharType="separate"/>
      </w:r>
      <w:r>
        <w:rPr>
          <w:rFonts w:eastAsia="楷体"/>
          <w:color w:val="auto"/>
          <w:sz w:val="28"/>
          <w:szCs w:val="28"/>
          <w:highlight w:val="none"/>
        </w:rPr>
        <w:t>- 183 -</w:t>
      </w:r>
      <w:r>
        <w:rPr>
          <w:rFonts w:eastAsia="楷体"/>
          <w:color w:val="auto"/>
          <w:sz w:val="28"/>
          <w:szCs w:val="28"/>
          <w:highlight w:val="none"/>
        </w:rPr>
        <w:fldChar w:fldCharType="end"/>
      </w:r>
      <w:r>
        <w:rPr>
          <w:rFonts w:eastAsia="楷体"/>
          <w:color w:val="auto"/>
          <w:sz w:val="28"/>
          <w:szCs w:val="28"/>
          <w:highlight w:val="none"/>
        </w:rPr>
        <w:fldChar w:fldCharType="end"/>
      </w:r>
    </w:p>
    <w:p w14:paraId="268D85AC">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"_Toc6049" </w:instrText>
      </w:r>
      <w:r>
        <w:rPr>
          <w:color w:val="auto"/>
          <w:highlight w:val="none"/>
        </w:rPr>
        <w:fldChar w:fldCharType="separate"/>
      </w:r>
      <w:r>
        <w:rPr>
          <w:rFonts w:eastAsia="楷体"/>
          <w:color w:val="auto"/>
          <w:kern w:val="0"/>
          <w:sz w:val="28"/>
          <w:szCs w:val="28"/>
          <w:highlight w:val="none"/>
        </w:rPr>
        <w:t>4.2 洪水调度原则</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_Toc6049 </w:instrText>
      </w:r>
      <w:r>
        <w:rPr>
          <w:rFonts w:eastAsia="楷体"/>
          <w:color w:val="auto"/>
          <w:sz w:val="28"/>
          <w:szCs w:val="28"/>
          <w:highlight w:val="none"/>
        </w:rPr>
        <w:fldChar w:fldCharType="separate"/>
      </w:r>
      <w:r>
        <w:rPr>
          <w:rFonts w:eastAsia="楷体"/>
          <w:color w:val="auto"/>
          <w:sz w:val="28"/>
          <w:szCs w:val="28"/>
          <w:highlight w:val="none"/>
        </w:rPr>
        <w:t>- 183 -</w:t>
      </w:r>
      <w:r>
        <w:rPr>
          <w:rFonts w:eastAsia="楷体"/>
          <w:color w:val="auto"/>
          <w:sz w:val="28"/>
          <w:szCs w:val="28"/>
          <w:highlight w:val="none"/>
        </w:rPr>
        <w:fldChar w:fldCharType="end"/>
      </w:r>
      <w:r>
        <w:rPr>
          <w:rFonts w:eastAsia="楷体"/>
          <w:color w:val="auto"/>
          <w:sz w:val="28"/>
          <w:szCs w:val="28"/>
          <w:highlight w:val="none"/>
        </w:rPr>
        <w:fldChar w:fldCharType="end"/>
      </w:r>
    </w:p>
    <w:p w14:paraId="330E19D2">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"_Toc31889" </w:instrText>
      </w:r>
      <w:r>
        <w:rPr>
          <w:color w:val="auto"/>
          <w:highlight w:val="none"/>
        </w:rPr>
        <w:fldChar w:fldCharType="separate"/>
      </w:r>
      <w:r>
        <w:rPr>
          <w:rFonts w:eastAsia="楷体"/>
          <w:color w:val="auto"/>
          <w:kern w:val="0"/>
          <w:sz w:val="28"/>
          <w:szCs w:val="28"/>
          <w:highlight w:val="none"/>
        </w:rPr>
        <w:t>4.3 汛限水位确定</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_Toc31889 </w:instrText>
      </w:r>
      <w:r>
        <w:rPr>
          <w:rFonts w:eastAsia="楷体"/>
          <w:color w:val="auto"/>
          <w:sz w:val="28"/>
          <w:szCs w:val="28"/>
          <w:highlight w:val="none"/>
        </w:rPr>
        <w:fldChar w:fldCharType="separate"/>
      </w:r>
      <w:r>
        <w:rPr>
          <w:rFonts w:eastAsia="楷体"/>
          <w:color w:val="auto"/>
          <w:sz w:val="28"/>
          <w:szCs w:val="28"/>
          <w:highlight w:val="none"/>
        </w:rPr>
        <w:t>- 184 -</w:t>
      </w:r>
      <w:r>
        <w:rPr>
          <w:rFonts w:eastAsia="楷体"/>
          <w:color w:val="auto"/>
          <w:sz w:val="28"/>
          <w:szCs w:val="28"/>
          <w:highlight w:val="none"/>
        </w:rPr>
        <w:fldChar w:fldCharType="end"/>
      </w:r>
      <w:r>
        <w:rPr>
          <w:rFonts w:eastAsia="楷体"/>
          <w:color w:val="auto"/>
          <w:sz w:val="28"/>
          <w:szCs w:val="28"/>
          <w:highlight w:val="none"/>
        </w:rPr>
        <w:fldChar w:fldCharType="end"/>
      </w:r>
    </w:p>
    <w:p w14:paraId="2A1017B3">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"_Toc17957" </w:instrText>
      </w:r>
      <w:r>
        <w:rPr>
          <w:color w:val="auto"/>
          <w:highlight w:val="none"/>
        </w:rPr>
        <w:fldChar w:fldCharType="separate"/>
      </w:r>
      <w:r>
        <w:rPr>
          <w:rFonts w:eastAsia="楷体"/>
          <w:color w:val="auto"/>
          <w:kern w:val="0"/>
          <w:sz w:val="28"/>
          <w:szCs w:val="28"/>
          <w:highlight w:val="none"/>
        </w:rPr>
        <w:t>4.4 汛期防洪调度方式</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_Toc17957 </w:instrText>
      </w:r>
      <w:r>
        <w:rPr>
          <w:rFonts w:eastAsia="楷体"/>
          <w:color w:val="auto"/>
          <w:sz w:val="28"/>
          <w:szCs w:val="28"/>
          <w:highlight w:val="none"/>
        </w:rPr>
        <w:fldChar w:fldCharType="separate"/>
      </w:r>
      <w:r>
        <w:rPr>
          <w:rFonts w:eastAsia="楷体"/>
          <w:color w:val="auto"/>
          <w:sz w:val="28"/>
          <w:szCs w:val="28"/>
          <w:highlight w:val="none"/>
        </w:rPr>
        <w:t>- 184 -</w:t>
      </w:r>
      <w:r>
        <w:rPr>
          <w:rFonts w:eastAsia="楷体"/>
          <w:color w:val="auto"/>
          <w:sz w:val="28"/>
          <w:szCs w:val="28"/>
          <w:highlight w:val="none"/>
        </w:rPr>
        <w:fldChar w:fldCharType="end"/>
      </w:r>
      <w:r>
        <w:rPr>
          <w:rFonts w:eastAsia="楷体"/>
          <w:color w:val="auto"/>
          <w:sz w:val="28"/>
          <w:szCs w:val="28"/>
          <w:highlight w:val="none"/>
        </w:rPr>
        <w:fldChar w:fldCharType="end"/>
      </w:r>
    </w:p>
    <w:p w14:paraId="6FF7AB4C">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"_Toc3500" </w:instrText>
      </w:r>
      <w:r>
        <w:rPr>
          <w:color w:val="auto"/>
          <w:highlight w:val="none"/>
        </w:rPr>
        <w:fldChar w:fldCharType="separate"/>
      </w:r>
      <w:r>
        <w:rPr>
          <w:rFonts w:eastAsia="楷体"/>
          <w:color w:val="auto"/>
          <w:sz w:val="28"/>
          <w:szCs w:val="28"/>
          <w:highlight w:val="none"/>
        </w:rPr>
        <w:t>4.5汛期水库的管理工作</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_Toc3500 </w:instrText>
      </w:r>
      <w:r>
        <w:rPr>
          <w:rFonts w:eastAsia="楷体"/>
          <w:color w:val="auto"/>
          <w:sz w:val="28"/>
          <w:szCs w:val="28"/>
          <w:highlight w:val="none"/>
        </w:rPr>
        <w:fldChar w:fldCharType="separate"/>
      </w:r>
      <w:r>
        <w:rPr>
          <w:rFonts w:eastAsia="楷体"/>
          <w:color w:val="auto"/>
          <w:sz w:val="28"/>
          <w:szCs w:val="28"/>
          <w:highlight w:val="none"/>
        </w:rPr>
        <w:t>- 188 -</w:t>
      </w:r>
      <w:r>
        <w:rPr>
          <w:rFonts w:eastAsia="楷体"/>
          <w:color w:val="auto"/>
          <w:sz w:val="28"/>
          <w:szCs w:val="28"/>
          <w:highlight w:val="none"/>
        </w:rPr>
        <w:fldChar w:fldCharType="end"/>
      </w:r>
      <w:r>
        <w:rPr>
          <w:rFonts w:eastAsia="楷体"/>
          <w:color w:val="auto"/>
          <w:sz w:val="28"/>
          <w:szCs w:val="28"/>
          <w:highlight w:val="none"/>
        </w:rPr>
        <w:fldChar w:fldCharType="end"/>
      </w:r>
    </w:p>
    <w:p w14:paraId="479E1698">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"_Toc25090" </w:instrText>
      </w:r>
      <w:r>
        <w:rPr>
          <w:color w:val="auto"/>
          <w:highlight w:val="none"/>
        </w:rPr>
        <w:fldChar w:fldCharType="separate"/>
      </w:r>
      <w:r>
        <w:rPr>
          <w:rFonts w:eastAsia="楷体"/>
          <w:color w:val="auto"/>
          <w:kern w:val="0"/>
          <w:sz w:val="28"/>
          <w:szCs w:val="28"/>
          <w:highlight w:val="none"/>
        </w:rPr>
        <w:t>4.6 典型洪水调度情况</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_Toc25090 </w:instrText>
      </w:r>
      <w:r>
        <w:rPr>
          <w:rFonts w:eastAsia="楷体"/>
          <w:color w:val="auto"/>
          <w:sz w:val="28"/>
          <w:szCs w:val="28"/>
          <w:highlight w:val="none"/>
        </w:rPr>
        <w:fldChar w:fldCharType="separate"/>
      </w:r>
      <w:r>
        <w:rPr>
          <w:b/>
        </w:rPr>
        <w:t>错误！未定义书签。</w:t>
      </w:r>
      <w:r>
        <w:rPr>
          <w:rFonts w:eastAsia="楷体"/>
          <w:color w:val="auto"/>
          <w:sz w:val="28"/>
          <w:szCs w:val="28"/>
          <w:highlight w:val="none"/>
        </w:rPr>
        <w:fldChar w:fldCharType="end"/>
      </w:r>
      <w:r>
        <w:rPr>
          <w:rFonts w:eastAsia="楷体"/>
          <w:color w:val="auto"/>
          <w:sz w:val="28"/>
          <w:szCs w:val="28"/>
          <w:highlight w:val="none"/>
        </w:rPr>
        <w:fldChar w:fldCharType="end"/>
      </w:r>
    </w:p>
    <w:p w14:paraId="0A276F0D">
      <w:pPr>
        <w:spacing w:line="520" w:lineRule="exact"/>
        <w:ind w:firstLine="137" w:firstLineChars="49"/>
        <w:rPr>
          <w:rFonts w:eastAsia="楷体"/>
          <w:b/>
          <w:color w:val="auto"/>
          <w:kern w:val="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eastAsia="楷体"/>
          <w:bCs/>
          <w:color w:val="auto"/>
          <w:kern w:val="0"/>
          <w:sz w:val="28"/>
          <w:szCs w:val="28"/>
          <w:highlight w:val="none"/>
        </w:rPr>
        <w:fldChar w:fldCharType="end"/>
      </w:r>
    </w:p>
    <w:p w14:paraId="31463A61">
      <w:pPr>
        <w:spacing w:line="520" w:lineRule="exact"/>
        <w:jc w:val="center"/>
        <w:rPr>
          <w:rFonts w:eastAsia="楷体"/>
          <w:b/>
          <w:color w:val="auto"/>
          <w:sz w:val="28"/>
          <w:szCs w:val="28"/>
          <w:highlight w:val="none"/>
        </w:rPr>
      </w:pPr>
      <w:r>
        <w:rPr>
          <w:rFonts w:eastAsia="楷体"/>
          <w:b/>
          <w:color w:val="auto"/>
          <w:sz w:val="28"/>
          <w:szCs w:val="28"/>
          <w:highlight w:val="none"/>
        </w:rPr>
        <w:t>丰收水库工程特性表</w:t>
      </w:r>
    </w:p>
    <w:tbl>
      <w:tblPr>
        <w:tblStyle w:val="18"/>
        <w:tblW w:w="8518" w:type="dxa"/>
        <w:tblInd w:w="0" w:type="dxa"/>
        <w:tblLayout w:type="fixed"/>
        <w:tblCellMar>
          <w:top w:w="15" w:type="dxa"/>
          <w:left w:w="15" w:type="dxa"/>
          <w:bottom w:w="15" w:type="dxa"/>
          <w:right w:w="15" w:type="dxa"/>
        </w:tblCellMar>
      </w:tblPr>
      <w:tblGrid>
        <w:gridCol w:w="763"/>
        <w:gridCol w:w="344"/>
        <w:gridCol w:w="974"/>
        <w:gridCol w:w="1549"/>
        <w:gridCol w:w="809"/>
        <w:gridCol w:w="1772"/>
        <w:gridCol w:w="578"/>
        <w:gridCol w:w="409"/>
        <w:gridCol w:w="1320"/>
      </w:tblGrid>
      <w:tr w14:paraId="6F3C12E9">
        <w:tblPrEx>
          <w:tblCellMar>
            <w:top w:w="15" w:type="dxa"/>
            <w:left w:w="15" w:type="dxa"/>
            <w:bottom w:w="15" w:type="dxa"/>
            <w:right w:w="15" w:type="dxa"/>
          </w:tblCellMar>
        </w:tblPrEx>
        <w:trPr>
          <w:trHeight w:val="286" w:hRule="atLeast"/>
        </w:trPr>
        <w:tc>
          <w:tcPr>
            <w:tcW w:w="2081" w:type="dxa"/>
            <w:gridSpan w:val="3"/>
            <w:tcBorders>
              <w:top w:val="single" w:color="000000" w:sz="12" w:space="0"/>
              <w:left w:val="single" w:color="000000" w:sz="12" w:space="0"/>
              <w:bottom w:val="single" w:color="000000" w:sz="4" w:space="0"/>
              <w:right w:val="single" w:color="000000" w:sz="4" w:space="0"/>
            </w:tcBorders>
            <w:vAlign w:val="center"/>
          </w:tcPr>
          <w:p w14:paraId="56C05287">
            <w:pPr>
              <w:widowControl/>
              <w:jc w:val="center"/>
              <w:textAlignment w:val="center"/>
              <w:rPr>
                <w:rFonts w:eastAsia="楷体"/>
                <w:color w:val="auto"/>
                <w:sz w:val="18"/>
                <w:szCs w:val="18"/>
                <w:highlight w:val="none"/>
              </w:rPr>
            </w:pPr>
            <w:bookmarkStart w:id="0" w:name="_Toc11427"/>
            <w:r>
              <w:rPr>
                <w:rFonts w:eastAsia="楷体"/>
                <w:color w:val="auto"/>
                <w:kern w:val="0"/>
                <w:sz w:val="18"/>
                <w:szCs w:val="18"/>
                <w:highlight w:val="none"/>
              </w:rPr>
              <w:t>水库名称</w:t>
            </w:r>
          </w:p>
        </w:tc>
        <w:tc>
          <w:tcPr>
            <w:tcW w:w="1549" w:type="dxa"/>
            <w:tcBorders>
              <w:top w:val="single" w:color="000000" w:sz="12" w:space="0"/>
              <w:left w:val="single" w:color="000000" w:sz="4" w:space="0"/>
              <w:bottom w:val="single" w:color="000000" w:sz="4" w:space="0"/>
              <w:right w:val="single" w:color="000000" w:sz="4" w:space="0"/>
            </w:tcBorders>
            <w:vAlign w:val="center"/>
          </w:tcPr>
          <w:p w14:paraId="70ED9555">
            <w:pPr>
              <w:widowControl/>
              <w:jc w:val="center"/>
              <w:textAlignment w:val="center"/>
              <w:rPr>
                <w:rFonts w:eastAsia="楷体"/>
                <w:color w:val="auto"/>
                <w:sz w:val="18"/>
                <w:szCs w:val="18"/>
                <w:highlight w:val="none"/>
              </w:rPr>
            </w:pPr>
            <w:r>
              <w:rPr>
                <w:rFonts w:eastAsia="楷体"/>
                <w:color w:val="auto"/>
                <w:kern w:val="0"/>
                <w:sz w:val="18"/>
                <w:szCs w:val="18"/>
                <w:highlight w:val="none"/>
              </w:rPr>
              <w:t>丰收水库</w:t>
            </w:r>
          </w:p>
        </w:tc>
        <w:tc>
          <w:tcPr>
            <w:tcW w:w="3159" w:type="dxa"/>
            <w:gridSpan w:val="3"/>
            <w:tcBorders>
              <w:top w:val="single" w:color="000000" w:sz="12" w:space="0"/>
              <w:left w:val="single" w:color="000000" w:sz="4" w:space="0"/>
              <w:bottom w:val="single" w:color="000000" w:sz="4" w:space="0"/>
              <w:right w:val="single" w:color="000000" w:sz="4" w:space="0"/>
            </w:tcBorders>
            <w:vAlign w:val="center"/>
          </w:tcPr>
          <w:p w14:paraId="4B2ECA06">
            <w:pPr>
              <w:widowControl/>
              <w:jc w:val="center"/>
              <w:textAlignment w:val="center"/>
              <w:rPr>
                <w:rFonts w:eastAsia="楷体"/>
                <w:color w:val="auto"/>
                <w:sz w:val="18"/>
                <w:szCs w:val="18"/>
                <w:highlight w:val="none"/>
              </w:rPr>
            </w:pPr>
            <w:r>
              <w:rPr>
                <w:rFonts w:eastAsia="楷体"/>
                <w:color w:val="auto"/>
                <w:kern w:val="0"/>
                <w:sz w:val="18"/>
                <w:szCs w:val="18"/>
                <w:highlight w:val="none"/>
              </w:rPr>
              <w:t>主管部门</w:t>
            </w:r>
          </w:p>
        </w:tc>
        <w:tc>
          <w:tcPr>
            <w:tcW w:w="1729" w:type="dxa"/>
            <w:gridSpan w:val="2"/>
            <w:tcBorders>
              <w:top w:val="single" w:color="000000" w:sz="12" w:space="0"/>
              <w:left w:val="single" w:color="000000" w:sz="4" w:space="0"/>
              <w:bottom w:val="single" w:color="000000" w:sz="4" w:space="0"/>
              <w:right w:val="single" w:color="000000" w:sz="12" w:space="0"/>
            </w:tcBorders>
            <w:vAlign w:val="center"/>
          </w:tcPr>
          <w:p w14:paraId="7DD48C4E">
            <w:pPr>
              <w:widowControl/>
              <w:jc w:val="center"/>
              <w:textAlignment w:val="center"/>
              <w:rPr>
                <w:rFonts w:hint="default" w:eastAsia="楷体"/>
                <w:color w:val="auto"/>
                <w:sz w:val="18"/>
                <w:szCs w:val="18"/>
                <w:highlight w:val="none"/>
                <w:lang w:val="en-US" w:eastAsia="zh-CN"/>
              </w:rPr>
            </w:pPr>
            <w:r>
              <w:rPr>
                <w:rFonts w:hint="eastAsia" w:eastAsia="楷体"/>
                <w:color w:val="auto"/>
                <w:kern w:val="0"/>
                <w:sz w:val="18"/>
                <w:szCs w:val="18"/>
                <w:highlight w:val="none"/>
                <w:lang w:val="en-US" w:eastAsia="zh-CN"/>
              </w:rPr>
              <w:t>前黄镇人民政府</w:t>
            </w:r>
          </w:p>
        </w:tc>
      </w:tr>
      <w:tr w14:paraId="57032428">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62BFBB65">
            <w:pPr>
              <w:widowControl/>
              <w:jc w:val="center"/>
              <w:textAlignment w:val="center"/>
              <w:rPr>
                <w:rFonts w:eastAsia="楷体"/>
                <w:color w:val="auto"/>
                <w:sz w:val="18"/>
                <w:szCs w:val="18"/>
                <w:highlight w:val="none"/>
              </w:rPr>
            </w:pPr>
            <w:r>
              <w:rPr>
                <w:rFonts w:eastAsia="楷体"/>
                <w:color w:val="auto"/>
                <w:kern w:val="0"/>
                <w:sz w:val="18"/>
                <w:szCs w:val="18"/>
                <w:highlight w:val="none"/>
              </w:rPr>
              <w:t>管理机构名称</w:t>
            </w:r>
          </w:p>
        </w:tc>
        <w:tc>
          <w:tcPr>
            <w:tcW w:w="1549" w:type="dxa"/>
            <w:tcBorders>
              <w:top w:val="single" w:color="000000" w:sz="4" w:space="0"/>
              <w:left w:val="single" w:color="000000" w:sz="4" w:space="0"/>
              <w:bottom w:val="single" w:color="000000" w:sz="4" w:space="0"/>
              <w:right w:val="single" w:color="000000" w:sz="4" w:space="0"/>
            </w:tcBorders>
            <w:vAlign w:val="center"/>
          </w:tcPr>
          <w:p w14:paraId="6784FE45">
            <w:pPr>
              <w:widowControl/>
              <w:jc w:val="center"/>
              <w:textAlignment w:val="center"/>
              <w:rPr>
                <w:rFonts w:eastAsia="楷体"/>
                <w:color w:val="auto"/>
                <w:sz w:val="18"/>
                <w:szCs w:val="18"/>
                <w:highlight w:val="none"/>
              </w:rPr>
            </w:pPr>
            <w:r>
              <w:rPr>
                <w:rFonts w:eastAsia="楷体"/>
                <w:color w:val="auto"/>
                <w:kern w:val="0"/>
                <w:sz w:val="18"/>
                <w:szCs w:val="18"/>
                <w:highlight w:val="none"/>
              </w:rPr>
              <w:t>前黄镇古县村委会</w:t>
            </w:r>
          </w:p>
        </w:tc>
        <w:tc>
          <w:tcPr>
            <w:tcW w:w="3159" w:type="dxa"/>
            <w:gridSpan w:val="3"/>
            <w:tcBorders>
              <w:top w:val="single" w:color="000000" w:sz="4" w:space="0"/>
              <w:left w:val="single" w:color="000000" w:sz="4" w:space="0"/>
              <w:bottom w:val="single" w:color="000000" w:sz="4" w:space="0"/>
              <w:right w:val="single" w:color="000000" w:sz="4" w:space="0"/>
            </w:tcBorders>
            <w:vAlign w:val="center"/>
          </w:tcPr>
          <w:p w14:paraId="663E979B">
            <w:pPr>
              <w:widowControl/>
              <w:jc w:val="center"/>
              <w:textAlignment w:val="center"/>
              <w:rPr>
                <w:rFonts w:eastAsia="楷体"/>
                <w:color w:val="auto"/>
                <w:sz w:val="18"/>
                <w:szCs w:val="18"/>
                <w:highlight w:val="none"/>
              </w:rPr>
            </w:pPr>
            <w:r>
              <w:rPr>
                <w:rFonts w:eastAsia="楷体"/>
                <w:color w:val="auto"/>
                <w:kern w:val="0"/>
                <w:sz w:val="18"/>
                <w:szCs w:val="18"/>
                <w:highlight w:val="none"/>
              </w:rPr>
              <w:t>所在地点</w:t>
            </w:r>
          </w:p>
        </w:tc>
        <w:tc>
          <w:tcPr>
            <w:tcW w:w="1729" w:type="dxa"/>
            <w:gridSpan w:val="2"/>
            <w:tcBorders>
              <w:top w:val="single" w:color="000000" w:sz="4" w:space="0"/>
              <w:left w:val="single" w:color="000000" w:sz="4" w:space="0"/>
              <w:bottom w:val="single" w:color="000000" w:sz="4" w:space="0"/>
              <w:right w:val="single" w:color="000000" w:sz="12" w:space="0"/>
            </w:tcBorders>
            <w:vAlign w:val="center"/>
          </w:tcPr>
          <w:p w14:paraId="16548121">
            <w:pPr>
              <w:widowControl/>
              <w:jc w:val="center"/>
              <w:textAlignment w:val="center"/>
              <w:rPr>
                <w:rFonts w:eastAsia="楷体"/>
                <w:color w:val="auto"/>
                <w:sz w:val="18"/>
                <w:szCs w:val="18"/>
                <w:highlight w:val="none"/>
              </w:rPr>
            </w:pPr>
            <w:r>
              <w:rPr>
                <w:rFonts w:eastAsia="楷体"/>
                <w:color w:val="auto"/>
                <w:kern w:val="0"/>
                <w:sz w:val="18"/>
                <w:szCs w:val="18"/>
                <w:highlight w:val="none"/>
              </w:rPr>
              <w:t>前黄镇古县村</w:t>
            </w:r>
          </w:p>
        </w:tc>
      </w:tr>
      <w:tr w14:paraId="1AE82D38">
        <w:tblPrEx>
          <w:tblCellMar>
            <w:top w:w="15" w:type="dxa"/>
            <w:left w:w="15" w:type="dxa"/>
            <w:bottom w:w="15" w:type="dxa"/>
            <w:right w:w="15" w:type="dxa"/>
          </w:tblCellMar>
        </w:tblPrEx>
        <w:trPr>
          <w:trHeight w:val="286" w:hRule="atLeast"/>
        </w:trPr>
        <w:tc>
          <w:tcPr>
            <w:tcW w:w="1107" w:type="dxa"/>
            <w:gridSpan w:val="2"/>
            <w:tcBorders>
              <w:top w:val="single" w:color="000000" w:sz="4" w:space="0"/>
              <w:left w:val="single" w:color="000000" w:sz="12" w:space="0"/>
              <w:bottom w:val="single" w:color="000000" w:sz="4" w:space="0"/>
              <w:right w:val="single" w:color="000000" w:sz="4" w:space="0"/>
            </w:tcBorders>
            <w:vAlign w:val="center"/>
          </w:tcPr>
          <w:p w14:paraId="0EC291F1">
            <w:pPr>
              <w:widowControl/>
              <w:jc w:val="center"/>
              <w:textAlignment w:val="center"/>
              <w:rPr>
                <w:rFonts w:eastAsia="楷体"/>
                <w:color w:val="auto"/>
                <w:sz w:val="18"/>
                <w:szCs w:val="18"/>
                <w:highlight w:val="none"/>
              </w:rPr>
            </w:pPr>
            <w:r>
              <w:rPr>
                <w:rFonts w:eastAsia="楷体"/>
                <w:color w:val="auto"/>
                <w:kern w:val="0"/>
                <w:sz w:val="18"/>
                <w:szCs w:val="18"/>
                <w:highlight w:val="none"/>
              </w:rPr>
              <w:t>地理</w:t>
            </w:r>
          </w:p>
        </w:tc>
        <w:tc>
          <w:tcPr>
            <w:tcW w:w="974" w:type="dxa"/>
            <w:tcBorders>
              <w:top w:val="single" w:color="000000" w:sz="4" w:space="0"/>
              <w:left w:val="single" w:color="000000" w:sz="4" w:space="0"/>
              <w:bottom w:val="single" w:color="000000" w:sz="4" w:space="0"/>
              <w:right w:val="single" w:color="000000" w:sz="4" w:space="0"/>
            </w:tcBorders>
            <w:vAlign w:val="center"/>
          </w:tcPr>
          <w:p w14:paraId="413D3006">
            <w:pPr>
              <w:widowControl/>
              <w:jc w:val="center"/>
              <w:textAlignment w:val="center"/>
              <w:rPr>
                <w:rFonts w:eastAsia="楷体"/>
                <w:color w:val="auto"/>
                <w:sz w:val="18"/>
                <w:szCs w:val="18"/>
                <w:highlight w:val="none"/>
              </w:rPr>
            </w:pPr>
            <w:r>
              <w:rPr>
                <w:rFonts w:eastAsia="楷体"/>
                <w:color w:val="auto"/>
                <w:kern w:val="0"/>
                <w:sz w:val="18"/>
                <w:szCs w:val="18"/>
                <w:highlight w:val="none"/>
              </w:rPr>
              <w:t>东经</w:t>
            </w:r>
          </w:p>
        </w:tc>
        <w:tc>
          <w:tcPr>
            <w:tcW w:w="1549" w:type="dxa"/>
            <w:tcBorders>
              <w:top w:val="single" w:color="000000" w:sz="4" w:space="0"/>
              <w:left w:val="single" w:color="000000" w:sz="4" w:space="0"/>
              <w:bottom w:val="single" w:color="000000" w:sz="4" w:space="0"/>
              <w:right w:val="single" w:color="000000" w:sz="4" w:space="0"/>
            </w:tcBorders>
            <w:vAlign w:val="center"/>
          </w:tcPr>
          <w:p w14:paraId="03752BA2">
            <w:pPr>
              <w:widowControl/>
              <w:jc w:val="center"/>
              <w:textAlignment w:val="center"/>
              <w:rPr>
                <w:rFonts w:eastAsia="楷体"/>
                <w:color w:val="auto"/>
                <w:sz w:val="18"/>
                <w:szCs w:val="18"/>
                <w:highlight w:val="none"/>
              </w:rPr>
            </w:pPr>
            <w:r>
              <w:rPr>
                <w:rFonts w:eastAsia="楷体"/>
                <w:color w:val="auto"/>
                <w:kern w:val="0"/>
                <w:sz w:val="18"/>
                <w:szCs w:val="18"/>
                <w:highlight w:val="none"/>
              </w:rPr>
              <w:t>118°51′22″</w:t>
            </w:r>
          </w:p>
        </w:tc>
        <w:tc>
          <w:tcPr>
            <w:tcW w:w="809" w:type="dxa"/>
            <w:tcBorders>
              <w:top w:val="single" w:color="000000" w:sz="4" w:space="0"/>
              <w:left w:val="single" w:color="000000" w:sz="4" w:space="0"/>
              <w:bottom w:val="single" w:color="000000" w:sz="4" w:space="0"/>
              <w:right w:val="single" w:color="000000" w:sz="4" w:space="0"/>
            </w:tcBorders>
            <w:vAlign w:val="center"/>
          </w:tcPr>
          <w:p w14:paraId="1294691F">
            <w:pPr>
              <w:widowControl/>
              <w:jc w:val="center"/>
              <w:textAlignment w:val="center"/>
              <w:rPr>
                <w:rFonts w:eastAsia="楷体"/>
                <w:color w:val="auto"/>
                <w:sz w:val="18"/>
                <w:szCs w:val="18"/>
                <w:highlight w:val="none"/>
              </w:rPr>
            </w:pPr>
            <w:r>
              <w:rPr>
                <w:rFonts w:eastAsia="楷体"/>
                <w:color w:val="auto"/>
                <w:kern w:val="0"/>
                <w:sz w:val="18"/>
                <w:szCs w:val="18"/>
                <w:highlight w:val="none"/>
              </w:rPr>
              <w:t>开工日期</w:t>
            </w:r>
          </w:p>
        </w:tc>
        <w:tc>
          <w:tcPr>
            <w:tcW w:w="1772" w:type="dxa"/>
            <w:tcBorders>
              <w:top w:val="single" w:color="000000" w:sz="4" w:space="0"/>
              <w:left w:val="single" w:color="000000" w:sz="4" w:space="0"/>
              <w:bottom w:val="single" w:color="000000" w:sz="4" w:space="0"/>
              <w:right w:val="single" w:color="000000" w:sz="4" w:space="0"/>
            </w:tcBorders>
            <w:vAlign w:val="center"/>
          </w:tcPr>
          <w:p w14:paraId="03010537">
            <w:pPr>
              <w:widowControl/>
              <w:jc w:val="center"/>
              <w:textAlignment w:val="center"/>
              <w:rPr>
                <w:rFonts w:eastAsia="楷体"/>
                <w:color w:val="auto"/>
                <w:sz w:val="18"/>
                <w:szCs w:val="18"/>
                <w:highlight w:val="none"/>
              </w:rPr>
            </w:pPr>
            <w:r>
              <w:rPr>
                <w:rFonts w:eastAsia="楷体"/>
                <w:color w:val="auto"/>
                <w:kern w:val="0"/>
                <w:sz w:val="18"/>
                <w:szCs w:val="18"/>
                <w:highlight w:val="none"/>
              </w:rPr>
              <w:t>1966年5月</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14:paraId="398C4360">
            <w:pPr>
              <w:widowControl/>
              <w:jc w:val="center"/>
              <w:textAlignment w:val="center"/>
              <w:rPr>
                <w:rFonts w:eastAsia="楷体"/>
                <w:color w:val="auto"/>
                <w:sz w:val="18"/>
                <w:szCs w:val="18"/>
                <w:highlight w:val="none"/>
              </w:rPr>
            </w:pPr>
            <w:r>
              <w:rPr>
                <w:rFonts w:eastAsia="楷体"/>
                <w:color w:val="auto"/>
                <w:kern w:val="0"/>
                <w:sz w:val="18"/>
                <w:szCs w:val="18"/>
                <w:highlight w:val="none"/>
              </w:rPr>
              <w:t>所在河流</w:t>
            </w:r>
          </w:p>
        </w:tc>
        <w:tc>
          <w:tcPr>
            <w:tcW w:w="1320" w:type="dxa"/>
            <w:tcBorders>
              <w:top w:val="single" w:color="000000" w:sz="4" w:space="0"/>
              <w:left w:val="single" w:color="000000" w:sz="4" w:space="0"/>
              <w:bottom w:val="single" w:color="000000" w:sz="4" w:space="0"/>
              <w:right w:val="single" w:color="000000" w:sz="12" w:space="0"/>
            </w:tcBorders>
            <w:vAlign w:val="center"/>
          </w:tcPr>
          <w:p w14:paraId="2EFEA209">
            <w:pPr>
              <w:widowControl/>
              <w:jc w:val="center"/>
              <w:textAlignment w:val="center"/>
              <w:rPr>
                <w:rFonts w:eastAsia="楷体"/>
                <w:color w:val="auto"/>
                <w:sz w:val="18"/>
                <w:szCs w:val="18"/>
                <w:highlight w:val="none"/>
              </w:rPr>
            </w:pPr>
            <w:r>
              <w:rPr>
                <w:rFonts w:eastAsia="楷体"/>
                <w:color w:val="auto"/>
                <w:kern w:val="0"/>
                <w:sz w:val="18"/>
                <w:szCs w:val="18"/>
                <w:highlight w:val="none"/>
              </w:rPr>
              <w:t>坝头溪支流</w:t>
            </w:r>
          </w:p>
        </w:tc>
      </w:tr>
      <w:tr w14:paraId="29B36A1D">
        <w:tblPrEx>
          <w:tblCellMar>
            <w:top w:w="15" w:type="dxa"/>
            <w:left w:w="15" w:type="dxa"/>
            <w:bottom w:w="15" w:type="dxa"/>
            <w:right w:w="15" w:type="dxa"/>
          </w:tblCellMar>
        </w:tblPrEx>
        <w:trPr>
          <w:trHeight w:val="286" w:hRule="atLeast"/>
        </w:trPr>
        <w:tc>
          <w:tcPr>
            <w:tcW w:w="1107" w:type="dxa"/>
            <w:gridSpan w:val="2"/>
            <w:tcBorders>
              <w:top w:val="single" w:color="000000" w:sz="4" w:space="0"/>
              <w:left w:val="single" w:color="000000" w:sz="12" w:space="0"/>
              <w:bottom w:val="single" w:color="000000" w:sz="4" w:space="0"/>
              <w:right w:val="single" w:color="000000" w:sz="4" w:space="0"/>
            </w:tcBorders>
            <w:vAlign w:val="center"/>
          </w:tcPr>
          <w:p w14:paraId="0D7182FB">
            <w:pPr>
              <w:widowControl/>
              <w:jc w:val="center"/>
              <w:textAlignment w:val="center"/>
              <w:rPr>
                <w:rFonts w:eastAsia="楷体"/>
                <w:color w:val="auto"/>
                <w:sz w:val="18"/>
                <w:szCs w:val="18"/>
                <w:highlight w:val="none"/>
              </w:rPr>
            </w:pPr>
            <w:r>
              <w:rPr>
                <w:rFonts w:eastAsia="楷体"/>
                <w:color w:val="auto"/>
                <w:kern w:val="0"/>
                <w:sz w:val="18"/>
                <w:szCs w:val="18"/>
                <w:highlight w:val="none"/>
              </w:rPr>
              <w:t>位置</w:t>
            </w:r>
          </w:p>
        </w:tc>
        <w:tc>
          <w:tcPr>
            <w:tcW w:w="974" w:type="dxa"/>
            <w:tcBorders>
              <w:top w:val="single" w:color="000000" w:sz="4" w:space="0"/>
              <w:left w:val="single" w:color="000000" w:sz="4" w:space="0"/>
              <w:bottom w:val="single" w:color="000000" w:sz="4" w:space="0"/>
              <w:right w:val="single" w:color="000000" w:sz="4" w:space="0"/>
            </w:tcBorders>
            <w:vAlign w:val="center"/>
          </w:tcPr>
          <w:p w14:paraId="7DF4A90B">
            <w:pPr>
              <w:widowControl/>
              <w:jc w:val="center"/>
              <w:textAlignment w:val="center"/>
              <w:rPr>
                <w:rFonts w:eastAsia="楷体"/>
                <w:color w:val="auto"/>
                <w:sz w:val="18"/>
                <w:szCs w:val="18"/>
                <w:highlight w:val="none"/>
              </w:rPr>
            </w:pPr>
            <w:r>
              <w:rPr>
                <w:rFonts w:eastAsia="楷体"/>
                <w:color w:val="auto"/>
                <w:kern w:val="0"/>
                <w:sz w:val="18"/>
                <w:szCs w:val="18"/>
                <w:highlight w:val="none"/>
              </w:rPr>
              <w:t>北纬</w:t>
            </w:r>
          </w:p>
        </w:tc>
        <w:tc>
          <w:tcPr>
            <w:tcW w:w="1549" w:type="dxa"/>
            <w:tcBorders>
              <w:top w:val="single" w:color="000000" w:sz="4" w:space="0"/>
              <w:left w:val="single" w:color="000000" w:sz="4" w:space="0"/>
              <w:bottom w:val="single" w:color="000000" w:sz="4" w:space="0"/>
              <w:right w:val="single" w:color="000000" w:sz="4" w:space="0"/>
            </w:tcBorders>
            <w:vAlign w:val="center"/>
          </w:tcPr>
          <w:p w14:paraId="179AD17E">
            <w:pPr>
              <w:widowControl/>
              <w:jc w:val="center"/>
              <w:textAlignment w:val="center"/>
              <w:rPr>
                <w:rFonts w:eastAsia="楷体"/>
                <w:color w:val="auto"/>
                <w:sz w:val="18"/>
                <w:szCs w:val="18"/>
                <w:highlight w:val="none"/>
              </w:rPr>
            </w:pPr>
            <w:r>
              <w:rPr>
                <w:rFonts w:eastAsia="楷体"/>
                <w:color w:val="auto"/>
                <w:kern w:val="0"/>
                <w:sz w:val="18"/>
                <w:szCs w:val="18"/>
                <w:highlight w:val="none"/>
              </w:rPr>
              <w:t>25°10′03″</w:t>
            </w:r>
          </w:p>
        </w:tc>
        <w:tc>
          <w:tcPr>
            <w:tcW w:w="809" w:type="dxa"/>
            <w:tcBorders>
              <w:top w:val="single" w:color="000000" w:sz="4" w:space="0"/>
              <w:left w:val="single" w:color="000000" w:sz="4" w:space="0"/>
              <w:bottom w:val="single" w:color="000000" w:sz="4" w:space="0"/>
              <w:right w:val="single" w:color="000000" w:sz="4" w:space="0"/>
            </w:tcBorders>
            <w:vAlign w:val="center"/>
          </w:tcPr>
          <w:p w14:paraId="7C022BBF">
            <w:pPr>
              <w:widowControl/>
              <w:jc w:val="center"/>
              <w:textAlignment w:val="center"/>
              <w:rPr>
                <w:rFonts w:eastAsia="楷体"/>
                <w:color w:val="auto"/>
                <w:sz w:val="18"/>
                <w:szCs w:val="18"/>
                <w:highlight w:val="none"/>
              </w:rPr>
            </w:pPr>
            <w:r>
              <w:rPr>
                <w:rFonts w:eastAsia="楷体"/>
                <w:color w:val="auto"/>
                <w:kern w:val="0"/>
                <w:sz w:val="18"/>
                <w:szCs w:val="18"/>
                <w:highlight w:val="none"/>
              </w:rPr>
              <w:t>竣工日期</w:t>
            </w:r>
          </w:p>
        </w:tc>
        <w:tc>
          <w:tcPr>
            <w:tcW w:w="1772" w:type="dxa"/>
            <w:tcBorders>
              <w:top w:val="single" w:color="000000" w:sz="4" w:space="0"/>
              <w:left w:val="single" w:color="000000" w:sz="4" w:space="0"/>
              <w:bottom w:val="single" w:color="000000" w:sz="4" w:space="0"/>
              <w:right w:val="single" w:color="000000" w:sz="4" w:space="0"/>
            </w:tcBorders>
            <w:vAlign w:val="center"/>
          </w:tcPr>
          <w:p w14:paraId="795D1D71">
            <w:pPr>
              <w:widowControl/>
              <w:jc w:val="center"/>
              <w:textAlignment w:val="center"/>
              <w:rPr>
                <w:rFonts w:eastAsia="楷体"/>
                <w:color w:val="auto"/>
                <w:sz w:val="18"/>
                <w:szCs w:val="18"/>
                <w:highlight w:val="none"/>
              </w:rPr>
            </w:pPr>
            <w:r>
              <w:rPr>
                <w:rFonts w:eastAsia="楷体"/>
                <w:color w:val="auto"/>
                <w:kern w:val="0"/>
                <w:sz w:val="18"/>
                <w:szCs w:val="18"/>
                <w:highlight w:val="none"/>
              </w:rPr>
              <w:t>1971年2月</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14:paraId="3FDE1409">
            <w:pPr>
              <w:widowControl/>
              <w:jc w:val="center"/>
              <w:textAlignment w:val="center"/>
              <w:rPr>
                <w:rFonts w:eastAsia="楷体"/>
                <w:color w:val="auto"/>
                <w:sz w:val="18"/>
                <w:szCs w:val="18"/>
                <w:highlight w:val="none"/>
              </w:rPr>
            </w:pPr>
            <w:r>
              <w:rPr>
                <w:rFonts w:eastAsia="楷体"/>
                <w:color w:val="auto"/>
                <w:kern w:val="0"/>
                <w:sz w:val="18"/>
                <w:szCs w:val="18"/>
                <w:highlight w:val="none"/>
              </w:rPr>
              <w:t>高程基准</w:t>
            </w:r>
          </w:p>
        </w:tc>
        <w:tc>
          <w:tcPr>
            <w:tcW w:w="1320" w:type="dxa"/>
            <w:tcBorders>
              <w:top w:val="single" w:color="000000" w:sz="4" w:space="0"/>
              <w:left w:val="single" w:color="000000" w:sz="4" w:space="0"/>
              <w:bottom w:val="single" w:color="000000" w:sz="4" w:space="0"/>
              <w:right w:val="single" w:color="000000" w:sz="12" w:space="0"/>
            </w:tcBorders>
            <w:vAlign w:val="center"/>
          </w:tcPr>
          <w:p w14:paraId="5EE1DF03">
            <w:pPr>
              <w:widowControl/>
              <w:jc w:val="center"/>
              <w:textAlignment w:val="center"/>
              <w:rPr>
                <w:rFonts w:eastAsia="楷体"/>
                <w:color w:val="auto"/>
                <w:sz w:val="18"/>
                <w:szCs w:val="18"/>
                <w:highlight w:val="none"/>
              </w:rPr>
            </w:pPr>
            <w:r>
              <w:rPr>
                <w:rFonts w:eastAsia="楷体"/>
                <w:color w:val="auto"/>
                <w:kern w:val="0"/>
                <w:sz w:val="18"/>
                <w:szCs w:val="18"/>
                <w:highlight w:val="none"/>
              </w:rPr>
              <w:t>黄海高程</w:t>
            </w:r>
          </w:p>
        </w:tc>
      </w:tr>
      <w:tr w14:paraId="627530A8">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1DBFD94">
            <w:pPr>
              <w:widowControl/>
              <w:jc w:val="center"/>
              <w:textAlignment w:val="center"/>
              <w:rPr>
                <w:rFonts w:eastAsia="楷体"/>
                <w:color w:val="auto"/>
                <w:sz w:val="18"/>
                <w:szCs w:val="18"/>
                <w:highlight w:val="none"/>
              </w:rPr>
            </w:pPr>
            <w:r>
              <w:rPr>
                <w:rFonts w:eastAsia="楷体"/>
                <w:color w:val="auto"/>
                <w:kern w:val="0"/>
                <w:sz w:val="18"/>
                <w:szCs w:val="18"/>
                <w:highlight w:val="none"/>
              </w:rPr>
              <w:t>集雨面积(km</w:t>
            </w:r>
            <w:r>
              <w:rPr>
                <w:rStyle w:val="30"/>
                <w:rFonts w:hint="default" w:ascii="Times New Roman" w:hAnsi="Times New Roman" w:eastAsia="楷体" w:cs="Times New Roman"/>
                <w:color w:val="auto"/>
                <w:sz w:val="18"/>
                <w:szCs w:val="18"/>
                <w:highlight w:val="none"/>
                <w:vertAlign w:val="superscript"/>
              </w:rPr>
              <w:t>2</w:t>
            </w:r>
            <w:r>
              <w:rPr>
                <w:rStyle w:val="35"/>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1FCF0B4B">
            <w:pPr>
              <w:widowControl/>
              <w:jc w:val="center"/>
              <w:textAlignment w:val="center"/>
              <w:rPr>
                <w:rFonts w:eastAsia="楷体"/>
                <w:color w:val="auto"/>
                <w:sz w:val="18"/>
                <w:szCs w:val="18"/>
                <w:highlight w:val="none"/>
              </w:rPr>
            </w:pPr>
            <w:r>
              <w:rPr>
                <w:rFonts w:eastAsia="楷体"/>
                <w:color w:val="auto"/>
                <w:kern w:val="0"/>
                <w:sz w:val="18"/>
                <w:szCs w:val="18"/>
                <w:highlight w:val="none"/>
              </w:rPr>
              <w:t>0.28</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04A8FE21">
            <w:pPr>
              <w:widowControl/>
              <w:jc w:val="center"/>
              <w:textAlignment w:val="center"/>
              <w:rPr>
                <w:rFonts w:eastAsia="楷体"/>
                <w:color w:val="auto"/>
                <w:sz w:val="18"/>
                <w:szCs w:val="18"/>
                <w:highlight w:val="none"/>
              </w:rPr>
            </w:pPr>
            <w:r>
              <w:rPr>
                <w:rFonts w:eastAsia="楷体"/>
                <w:color w:val="auto"/>
                <w:kern w:val="0"/>
                <w:sz w:val="18"/>
                <w:szCs w:val="18"/>
                <w:highlight w:val="none"/>
              </w:rPr>
              <w:t>主坝</w:t>
            </w:r>
          </w:p>
        </w:tc>
        <w:tc>
          <w:tcPr>
            <w:tcW w:w="1772" w:type="dxa"/>
            <w:tcBorders>
              <w:top w:val="single" w:color="000000" w:sz="4" w:space="0"/>
              <w:left w:val="single" w:color="000000" w:sz="4" w:space="0"/>
              <w:bottom w:val="single" w:color="000000" w:sz="4" w:space="0"/>
              <w:right w:val="single" w:color="000000" w:sz="4" w:space="0"/>
            </w:tcBorders>
            <w:vAlign w:val="center"/>
          </w:tcPr>
          <w:p w14:paraId="2DC204E6">
            <w:pPr>
              <w:widowControl/>
              <w:jc w:val="center"/>
              <w:textAlignment w:val="center"/>
              <w:rPr>
                <w:rFonts w:eastAsia="楷体"/>
                <w:color w:val="auto"/>
                <w:sz w:val="18"/>
                <w:szCs w:val="18"/>
                <w:highlight w:val="none"/>
              </w:rPr>
            </w:pPr>
            <w:r>
              <w:rPr>
                <w:rFonts w:eastAsia="楷体"/>
                <w:color w:val="auto"/>
                <w:kern w:val="0"/>
                <w:sz w:val="18"/>
                <w:szCs w:val="18"/>
                <w:highlight w:val="none"/>
              </w:rPr>
              <w:t>坝型</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67D45E3E">
            <w:pPr>
              <w:widowControl/>
              <w:jc w:val="center"/>
              <w:textAlignment w:val="center"/>
              <w:rPr>
                <w:rFonts w:eastAsia="楷体"/>
                <w:color w:val="auto"/>
                <w:sz w:val="18"/>
                <w:szCs w:val="18"/>
                <w:highlight w:val="none"/>
              </w:rPr>
            </w:pPr>
            <w:r>
              <w:rPr>
                <w:rFonts w:eastAsia="楷体"/>
                <w:color w:val="auto"/>
                <w:kern w:val="0"/>
                <w:sz w:val="18"/>
                <w:szCs w:val="18"/>
                <w:highlight w:val="none"/>
              </w:rPr>
              <w:t>均质土坝</w:t>
            </w:r>
          </w:p>
        </w:tc>
      </w:tr>
      <w:tr w14:paraId="092D45BC">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C1F5D7F">
            <w:pPr>
              <w:widowControl/>
              <w:jc w:val="center"/>
              <w:textAlignment w:val="center"/>
              <w:rPr>
                <w:rFonts w:eastAsia="楷体"/>
                <w:color w:val="auto"/>
                <w:sz w:val="18"/>
                <w:szCs w:val="18"/>
                <w:highlight w:val="none"/>
              </w:rPr>
            </w:pPr>
            <w:r>
              <w:rPr>
                <w:rFonts w:eastAsia="楷体"/>
                <w:color w:val="auto"/>
                <w:kern w:val="0"/>
                <w:sz w:val="18"/>
                <w:szCs w:val="18"/>
                <w:highlight w:val="none"/>
              </w:rPr>
              <w:t>河流比降(‰)</w:t>
            </w:r>
          </w:p>
        </w:tc>
        <w:tc>
          <w:tcPr>
            <w:tcW w:w="1549" w:type="dxa"/>
            <w:tcBorders>
              <w:top w:val="single" w:color="000000" w:sz="4" w:space="0"/>
              <w:left w:val="single" w:color="000000" w:sz="4" w:space="0"/>
              <w:bottom w:val="single" w:color="000000" w:sz="4" w:space="0"/>
              <w:right w:val="single" w:color="000000" w:sz="4" w:space="0"/>
            </w:tcBorders>
            <w:vAlign w:val="center"/>
          </w:tcPr>
          <w:p w14:paraId="271F5BE0">
            <w:pPr>
              <w:widowControl/>
              <w:jc w:val="center"/>
              <w:textAlignment w:val="center"/>
              <w:rPr>
                <w:rFonts w:eastAsia="楷体"/>
                <w:color w:val="auto"/>
                <w:sz w:val="18"/>
                <w:szCs w:val="18"/>
                <w:highlight w:val="none"/>
              </w:rPr>
            </w:pPr>
            <w:r>
              <w:rPr>
                <w:rFonts w:eastAsia="楷体"/>
                <w:color w:val="auto"/>
                <w:kern w:val="0"/>
                <w:sz w:val="18"/>
                <w:szCs w:val="18"/>
                <w:highlight w:val="none"/>
              </w:rPr>
              <w:t>36.2</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5A8932EC">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C5ABAD1">
            <w:pPr>
              <w:widowControl/>
              <w:jc w:val="center"/>
              <w:textAlignment w:val="center"/>
              <w:rPr>
                <w:rFonts w:eastAsia="楷体"/>
                <w:color w:val="auto"/>
                <w:sz w:val="18"/>
                <w:szCs w:val="18"/>
                <w:highlight w:val="none"/>
              </w:rPr>
            </w:pPr>
            <w:r>
              <w:rPr>
                <w:rFonts w:eastAsia="楷体"/>
                <w:color w:val="auto"/>
                <w:kern w:val="0"/>
                <w:sz w:val="18"/>
                <w:szCs w:val="18"/>
                <w:highlight w:val="none"/>
              </w:rPr>
              <w:t>坝顶高程(m)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6755FBA5">
            <w:pPr>
              <w:widowControl/>
              <w:jc w:val="center"/>
              <w:textAlignment w:val="center"/>
              <w:rPr>
                <w:rFonts w:eastAsia="楷体"/>
                <w:color w:val="auto"/>
                <w:sz w:val="18"/>
                <w:szCs w:val="18"/>
                <w:highlight w:val="none"/>
              </w:rPr>
            </w:pPr>
            <w:r>
              <w:rPr>
                <w:rFonts w:eastAsia="楷体"/>
                <w:color w:val="auto"/>
                <w:kern w:val="0"/>
                <w:sz w:val="18"/>
                <w:szCs w:val="18"/>
                <w:highlight w:val="none"/>
              </w:rPr>
              <w:t>38.30</w:t>
            </w:r>
          </w:p>
        </w:tc>
      </w:tr>
      <w:tr w14:paraId="6AC72528">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8A473F6">
            <w:pPr>
              <w:widowControl/>
              <w:jc w:val="center"/>
              <w:textAlignment w:val="center"/>
              <w:rPr>
                <w:rFonts w:eastAsia="楷体"/>
                <w:color w:val="auto"/>
                <w:sz w:val="18"/>
                <w:szCs w:val="18"/>
                <w:highlight w:val="none"/>
              </w:rPr>
            </w:pPr>
            <w:r>
              <w:rPr>
                <w:rFonts w:eastAsia="楷体"/>
                <w:color w:val="auto"/>
                <w:kern w:val="0"/>
                <w:sz w:val="18"/>
                <w:szCs w:val="18"/>
                <w:highlight w:val="none"/>
              </w:rPr>
              <w:t>主河道长度(km)</w:t>
            </w:r>
          </w:p>
        </w:tc>
        <w:tc>
          <w:tcPr>
            <w:tcW w:w="1549" w:type="dxa"/>
            <w:tcBorders>
              <w:top w:val="single" w:color="000000" w:sz="4" w:space="0"/>
              <w:left w:val="single" w:color="000000" w:sz="4" w:space="0"/>
              <w:bottom w:val="single" w:color="000000" w:sz="4" w:space="0"/>
              <w:right w:val="single" w:color="000000" w:sz="4" w:space="0"/>
            </w:tcBorders>
            <w:vAlign w:val="center"/>
          </w:tcPr>
          <w:p w14:paraId="31B62532">
            <w:pPr>
              <w:widowControl/>
              <w:jc w:val="center"/>
              <w:textAlignment w:val="center"/>
              <w:rPr>
                <w:rFonts w:eastAsia="楷体"/>
                <w:color w:val="auto"/>
                <w:sz w:val="18"/>
                <w:szCs w:val="18"/>
                <w:highlight w:val="none"/>
              </w:rPr>
            </w:pPr>
            <w:r>
              <w:rPr>
                <w:rFonts w:eastAsia="楷体"/>
                <w:color w:val="auto"/>
                <w:kern w:val="0"/>
                <w:sz w:val="18"/>
                <w:szCs w:val="18"/>
                <w:highlight w:val="none"/>
              </w:rPr>
              <w:t>1.255</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283DCCDA">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3FB56F1">
            <w:pPr>
              <w:widowControl/>
              <w:jc w:val="center"/>
              <w:textAlignment w:val="center"/>
              <w:rPr>
                <w:rFonts w:eastAsia="楷体"/>
                <w:color w:val="auto"/>
                <w:sz w:val="18"/>
                <w:szCs w:val="18"/>
                <w:highlight w:val="none"/>
              </w:rPr>
            </w:pPr>
            <w:r>
              <w:rPr>
                <w:rFonts w:eastAsia="楷体"/>
                <w:color w:val="auto"/>
                <w:kern w:val="0"/>
                <w:sz w:val="18"/>
                <w:szCs w:val="18"/>
                <w:highlight w:val="none"/>
              </w:rPr>
              <w:t>墙顶高程(m)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4BD117C6">
            <w:pPr>
              <w:widowControl/>
              <w:jc w:val="center"/>
              <w:textAlignment w:val="center"/>
              <w:rPr>
                <w:rFonts w:eastAsia="楷体"/>
                <w:color w:val="auto"/>
                <w:sz w:val="18"/>
                <w:szCs w:val="18"/>
                <w:highlight w:val="none"/>
              </w:rPr>
            </w:pPr>
            <w:r>
              <w:rPr>
                <w:rFonts w:eastAsia="楷体"/>
                <w:color w:val="auto"/>
                <w:kern w:val="0"/>
                <w:sz w:val="18"/>
                <w:szCs w:val="18"/>
                <w:highlight w:val="none"/>
              </w:rPr>
              <w:t>/</w:t>
            </w:r>
          </w:p>
        </w:tc>
      </w:tr>
      <w:tr w14:paraId="73060741">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BABC307">
            <w:pPr>
              <w:widowControl/>
              <w:jc w:val="center"/>
              <w:textAlignment w:val="center"/>
              <w:rPr>
                <w:rFonts w:eastAsia="楷体"/>
                <w:color w:val="auto"/>
                <w:sz w:val="18"/>
                <w:szCs w:val="18"/>
                <w:highlight w:val="none"/>
              </w:rPr>
            </w:pPr>
            <w:r>
              <w:rPr>
                <w:rFonts w:eastAsia="楷体"/>
                <w:color w:val="auto"/>
                <w:kern w:val="0"/>
                <w:sz w:val="18"/>
                <w:szCs w:val="18"/>
                <w:highlight w:val="none"/>
              </w:rPr>
              <w:t>多年平均降水量(mm)</w:t>
            </w:r>
          </w:p>
        </w:tc>
        <w:tc>
          <w:tcPr>
            <w:tcW w:w="1549" w:type="dxa"/>
            <w:tcBorders>
              <w:top w:val="single" w:color="000000" w:sz="4" w:space="0"/>
              <w:left w:val="single" w:color="000000" w:sz="4" w:space="0"/>
              <w:bottom w:val="single" w:color="000000" w:sz="4" w:space="0"/>
              <w:right w:val="single" w:color="000000" w:sz="4" w:space="0"/>
            </w:tcBorders>
            <w:vAlign w:val="center"/>
          </w:tcPr>
          <w:p w14:paraId="26B1C288">
            <w:pPr>
              <w:widowControl/>
              <w:jc w:val="center"/>
              <w:textAlignment w:val="center"/>
              <w:rPr>
                <w:rFonts w:eastAsia="楷体"/>
                <w:color w:val="auto"/>
                <w:sz w:val="18"/>
                <w:szCs w:val="18"/>
                <w:highlight w:val="none"/>
              </w:rPr>
            </w:pPr>
            <w:r>
              <w:rPr>
                <w:rFonts w:eastAsia="楷体"/>
                <w:color w:val="auto"/>
                <w:kern w:val="0"/>
                <w:sz w:val="18"/>
                <w:szCs w:val="18"/>
                <w:highlight w:val="none"/>
              </w:rPr>
              <w:t>1325</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2E8383F">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6DBC38E">
            <w:pPr>
              <w:widowControl/>
              <w:jc w:val="center"/>
              <w:textAlignment w:val="center"/>
              <w:rPr>
                <w:rFonts w:eastAsia="楷体"/>
                <w:color w:val="auto"/>
                <w:sz w:val="18"/>
                <w:szCs w:val="18"/>
                <w:highlight w:val="none"/>
              </w:rPr>
            </w:pPr>
            <w:r>
              <w:rPr>
                <w:rFonts w:eastAsia="楷体"/>
                <w:color w:val="auto"/>
                <w:kern w:val="0"/>
                <w:sz w:val="18"/>
                <w:szCs w:val="18"/>
                <w:highlight w:val="none"/>
              </w:rPr>
              <w:t>最大坝高(m)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C28D755">
            <w:pPr>
              <w:widowControl/>
              <w:jc w:val="center"/>
              <w:textAlignment w:val="center"/>
              <w:rPr>
                <w:rFonts w:eastAsia="楷体"/>
                <w:color w:val="auto"/>
                <w:sz w:val="18"/>
                <w:szCs w:val="18"/>
                <w:highlight w:val="none"/>
              </w:rPr>
            </w:pPr>
            <w:r>
              <w:rPr>
                <w:rFonts w:eastAsia="楷体"/>
                <w:color w:val="auto"/>
                <w:kern w:val="0"/>
                <w:sz w:val="18"/>
                <w:szCs w:val="18"/>
                <w:highlight w:val="none"/>
              </w:rPr>
              <w:t>14.3</w:t>
            </w:r>
          </w:p>
        </w:tc>
      </w:tr>
      <w:tr w14:paraId="0C2FA402">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1DBF18B">
            <w:pPr>
              <w:widowControl/>
              <w:jc w:val="center"/>
              <w:textAlignment w:val="center"/>
              <w:rPr>
                <w:rFonts w:eastAsia="楷体"/>
                <w:color w:val="auto"/>
                <w:sz w:val="18"/>
                <w:szCs w:val="18"/>
                <w:highlight w:val="none"/>
              </w:rPr>
            </w:pPr>
            <w:r>
              <w:rPr>
                <w:rFonts w:eastAsia="楷体"/>
                <w:color w:val="auto"/>
                <w:kern w:val="0"/>
                <w:sz w:val="18"/>
                <w:szCs w:val="18"/>
                <w:highlight w:val="none"/>
              </w:rPr>
              <w:t>多年平均径流量(万m</w:t>
            </w:r>
            <w:r>
              <w:rPr>
                <w:rStyle w:val="30"/>
                <w:rFonts w:hint="default" w:ascii="Times New Roman" w:hAnsi="Times New Roman" w:eastAsia="楷体" w:cs="Times New Roman"/>
                <w:color w:val="auto"/>
                <w:sz w:val="18"/>
                <w:szCs w:val="18"/>
                <w:highlight w:val="none"/>
              </w:rPr>
              <w:t>3</w:t>
            </w:r>
            <w:r>
              <w:rPr>
                <w:rStyle w:val="35"/>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6E30BD12">
            <w:pPr>
              <w:widowControl/>
              <w:jc w:val="center"/>
              <w:textAlignment w:val="center"/>
              <w:rPr>
                <w:rFonts w:eastAsia="楷体"/>
                <w:color w:val="auto"/>
                <w:sz w:val="18"/>
                <w:szCs w:val="18"/>
                <w:highlight w:val="none"/>
              </w:rPr>
            </w:pPr>
            <w:r>
              <w:rPr>
                <w:rFonts w:eastAsia="楷体"/>
                <w:color w:val="auto"/>
                <w:kern w:val="0"/>
                <w:sz w:val="18"/>
                <w:szCs w:val="18"/>
                <w:highlight w:val="none"/>
              </w:rPr>
              <w:t>/</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43085B0C">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FD1F5D1">
            <w:pPr>
              <w:widowControl/>
              <w:jc w:val="center"/>
              <w:textAlignment w:val="center"/>
              <w:rPr>
                <w:rFonts w:eastAsia="楷体"/>
                <w:color w:val="auto"/>
                <w:sz w:val="18"/>
                <w:szCs w:val="18"/>
                <w:highlight w:val="none"/>
              </w:rPr>
            </w:pPr>
            <w:r>
              <w:rPr>
                <w:rFonts w:eastAsia="楷体"/>
                <w:color w:val="auto"/>
                <w:kern w:val="0"/>
                <w:sz w:val="18"/>
                <w:szCs w:val="18"/>
                <w:highlight w:val="none"/>
              </w:rPr>
              <w:t>坝顶长度(m)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8A81A7C">
            <w:pPr>
              <w:widowControl/>
              <w:jc w:val="center"/>
              <w:textAlignment w:val="center"/>
              <w:rPr>
                <w:rFonts w:eastAsia="楷体"/>
                <w:color w:val="auto"/>
                <w:sz w:val="18"/>
                <w:szCs w:val="18"/>
                <w:highlight w:val="none"/>
              </w:rPr>
            </w:pPr>
            <w:r>
              <w:rPr>
                <w:rFonts w:eastAsia="楷体"/>
                <w:color w:val="auto"/>
                <w:kern w:val="0"/>
                <w:sz w:val="18"/>
                <w:szCs w:val="18"/>
                <w:highlight w:val="none"/>
              </w:rPr>
              <w:t>181.9</w:t>
            </w:r>
          </w:p>
        </w:tc>
      </w:tr>
      <w:tr w14:paraId="65787EAD">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421B98FE">
            <w:pPr>
              <w:widowControl/>
              <w:jc w:val="center"/>
              <w:textAlignment w:val="center"/>
              <w:rPr>
                <w:rFonts w:eastAsia="楷体"/>
                <w:color w:val="auto"/>
                <w:sz w:val="18"/>
                <w:szCs w:val="18"/>
                <w:highlight w:val="none"/>
              </w:rPr>
            </w:pPr>
            <w:r>
              <w:rPr>
                <w:rFonts w:eastAsia="楷体"/>
                <w:color w:val="auto"/>
                <w:kern w:val="0"/>
                <w:sz w:val="18"/>
                <w:szCs w:val="18"/>
                <w:highlight w:val="none"/>
              </w:rPr>
              <w:t>正常蓄水位(m)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5F71659B">
            <w:pPr>
              <w:widowControl/>
              <w:jc w:val="center"/>
              <w:textAlignment w:val="center"/>
              <w:rPr>
                <w:rFonts w:eastAsia="楷体"/>
                <w:color w:val="auto"/>
                <w:sz w:val="18"/>
                <w:szCs w:val="18"/>
                <w:highlight w:val="none"/>
              </w:rPr>
            </w:pPr>
            <w:r>
              <w:rPr>
                <w:rFonts w:eastAsia="楷体"/>
                <w:color w:val="auto"/>
                <w:kern w:val="0"/>
                <w:sz w:val="18"/>
                <w:szCs w:val="18"/>
                <w:highlight w:val="none"/>
              </w:rPr>
              <w:t>36.37</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60EA297">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ABD6990">
            <w:pPr>
              <w:widowControl/>
              <w:jc w:val="center"/>
              <w:textAlignment w:val="center"/>
              <w:rPr>
                <w:rFonts w:eastAsia="楷体"/>
                <w:color w:val="auto"/>
                <w:sz w:val="18"/>
                <w:szCs w:val="18"/>
                <w:highlight w:val="none"/>
              </w:rPr>
            </w:pPr>
            <w:r>
              <w:rPr>
                <w:rFonts w:eastAsia="楷体"/>
                <w:color w:val="auto"/>
                <w:kern w:val="0"/>
                <w:sz w:val="18"/>
                <w:szCs w:val="18"/>
                <w:highlight w:val="none"/>
              </w:rPr>
              <w:t>坝顶宽度(m)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0E47AF0B">
            <w:pPr>
              <w:widowControl/>
              <w:jc w:val="center"/>
              <w:textAlignment w:val="center"/>
              <w:rPr>
                <w:rFonts w:eastAsia="楷体"/>
                <w:color w:val="auto"/>
                <w:sz w:val="18"/>
                <w:szCs w:val="18"/>
                <w:highlight w:val="none"/>
              </w:rPr>
            </w:pPr>
            <w:r>
              <w:rPr>
                <w:rFonts w:eastAsia="楷体"/>
                <w:color w:val="auto"/>
                <w:kern w:val="0"/>
                <w:sz w:val="18"/>
                <w:szCs w:val="18"/>
                <w:highlight w:val="none"/>
              </w:rPr>
              <w:t>6.8</w:t>
            </w:r>
          </w:p>
        </w:tc>
      </w:tr>
      <w:tr w14:paraId="5C5B3DC5">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76D1EDC">
            <w:pPr>
              <w:widowControl/>
              <w:jc w:val="center"/>
              <w:textAlignment w:val="center"/>
              <w:rPr>
                <w:rFonts w:eastAsia="楷体"/>
                <w:color w:val="auto"/>
                <w:sz w:val="18"/>
                <w:szCs w:val="18"/>
                <w:highlight w:val="none"/>
              </w:rPr>
            </w:pPr>
            <w:r>
              <w:rPr>
                <w:rFonts w:eastAsia="楷体"/>
                <w:color w:val="auto"/>
                <w:kern w:val="0"/>
                <w:sz w:val="18"/>
                <w:szCs w:val="18"/>
                <w:highlight w:val="none"/>
              </w:rPr>
              <w:t>死水位(m)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2D32269B">
            <w:pPr>
              <w:widowControl/>
              <w:jc w:val="center"/>
              <w:textAlignment w:val="center"/>
              <w:rPr>
                <w:rFonts w:eastAsia="楷体"/>
                <w:color w:val="auto"/>
                <w:sz w:val="18"/>
                <w:szCs w:val="18"/>
                <w:highlight w:val="none"/>
              </w:rPr>
            </w:pPr>
            <w:r>
              <w:rPr>
                <w:rFonts w:eastAsia="楷体"/>
                <w:color w:val="auto"/>
                <w:kern w:val="0"/>
                <w:sz w:val="18"/>
                <w:szCs w:val="18"/>
                <w:highlight w:val="none"/>
              </w:rPr>
              <w:t>29.34</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76F473CC">
            <w:pPr>
              <w:widowControl/>
              <w:jc w:val="center"/>
              <w:textAlignment w:val="center"/>
              <w:rPr>
                <w:rFonts w:eastAsia="楷体"/>
                <w:color w:val="auto"/>
                <w:sz w:val="18"/>
                <w:szCs w:val="18"/>
                <w:highlight w:val="none"/>
              </w:rPr>
            </w:pPr>
            <w:r>
              <w:rPr>
                <w:rFonts w:eastAsia="楷体"/>
                <w:color w:val="auto"/>
                <w:kern w:val="0"/>
                <w:sz w:val="18"/>
                <w:szCs w:val="18"/>
                <w:highlight w:val="none"/>
              </w:rPr>
              <w:t>副坝</w:t>
            </w:r>
          </w:p>
        </w:tc>
        <w:tc>
          <w:tcPr>
            <w:tcW w:w="1772" w:type="dxa"/>
            <w:tcBorders>
              <w:top w:val="single" w:color="000000" w:sz="4" w:space="0"/>
              <w:left w:val="single" w:color="000000" w:sz="4" w:space="0"/>
              <w:bottom w:val="single" w:color="000000" w:sz="4" w:space="0"/>
              <w:right w:val="single" w:color="000000" w:sz="4" w:space="0"/>
            </w:tcBorders>
            <w:vAlign w:val="center"/>
          </w:tcPr>
          <w:p w14:paraId="7876DE9A">
            <w:pPr>
              <w:widowControl/>
              <w:jc w:val="center"/>
              <w:textAlignment w:val="center"/>
              <w:rPr>
                <w:rFonts w:eastAsia="楷体"/>
                <w:color w:val="auto"/>
                <w:sz w:val="18"/>
                <w:szCs w:val="18"/>
                <w:highlight w:val="none"/>
              </w:rPr>
            </w:pPr>
            <w:r>
              <w:rPr>
                <w:rFonts w:eastAsia="楷体"/>
                <w:color w:val="auto"/>
                <w:kern w:val="0"/>
                <w:sz w:val="18"/>
                <w:szCs w:val="18"/>
                <w:highlight w:val="none"/>
              </w:rPr>
              <w:t>坝型</w:t>
            </w:r>
          </w:p>
        </w:tc>
        <w:tc>
          <w:tcPr>
            <w:tcW w:w="2307" w:type="dxa"/>
            <w:gridSpan w:val="3"/>
            <w:vMerge w:val="restart"/>
            <w:tcBorders>
              <w:top w:val="single" w:color="000000" w:sz="4" w:space="0"/>
              <w:left w:val="single" w:color="000000" w:sz="4" w:space="0"/>
              <w:bottom w:val="single" w:color="000000" w:sz="4" w:space="0"/>
              <w:right w:val="single" w:color="000000" w:sz="12" w:space="0"/>
            </w:tcBorders>
            <w:vAlign w:val="center"/>
          </w:tcPr>
          <w:p w14:paraId="373F27CB">
            <w:pPr>
              <w:widowControl/>
              <w:jc w:val="center"/>
              <w:textAlignment w:val="center"/>
              <w:rPr>
                <w:rFonts w:eastAsia="楷体"/>
                <w:color w:val="auto"/>
                <w:sz w:val="18"/>
                <w:szCs w:val="18"/>
                <w:highlight w:val="none"/>
              </w:rPr>
            </w:pPr>
            <w:r>
              <w:rPr>
                <w:rFonts w:eastAsia="楷体"/>
                <w:color w:val="auto"/>
                <w:kern w:val="0"/>
                <w:sz w:val="18"/>
                <w:szCs w:val="18"/>
                <w:highlight w:val="none"/>
              </w:rPr>
              <w:t>无</w:t>
            </w:r>
          </w:p>
        </w:tc>
      </w:tr>
      <w:tr w14:paraId="5287171A">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0C736C6">
            <w:pPr>
              <w:widowControl/>
              <w:jc w:val="center"/>
              <w:textAlignment w:val="center"/>
              <w:rPr>
                <w:rFonts w:eastAsia="楷体"/>
                <w:color w:val="auto"/>
                <w:sz w:val="18"/>
                <w:szCs w:val="18"/>
                <w:highlight w:val="none"/>
              </w:rPr>
            </w:pPr>
            <w:r>
              <w:rPr>
                <w:rFonts w:eastAsia="楷体"/>
                <w:color w:val="auto"/>
                <w:kern w:val="0"/>
                <w:sz w:val="18"/>
                <w:szCs w:val="18"/>
                <w:highlight w:val="none"/>
              </w:rPr>
              <w:t>设计重现期(年)</w:t>
            </w:r>
          </w:p>
        </w:tc>
        <w:tc>
          <w:tcPr>
            <w:tcW w:w="1549" w:type="dxa"/>
            <w:tcBorders>
              <w:top w:val="single" w:color="000000" w:sz="4" w:space="0"/>
              <w:left w:val="single" w:color="000000" w:sz="4" w:space="0"/>
              <w:bottom w:val="single" w:color="000000" w:sz="4" w:space="0"/>
              <w:right w:val="single" w:color="000000" w:sz="4" w:space="0"/>
            </w:tcBorders>
            <w:vAlign w:val="center"/>
          </w:tcPr>
          <w:p w14:paraId="78EF724E">
            <w:pPr>
              <w:widowControl/>
              <w:jc w:val="center"/>
              <w:textAlignment w:val="center"/>
              <w:rPr>
                <w:rFonts w:eastAsia="楷体"/>
                <w:color w:val="auto"/>
                <w:sz w:val="18"/>
                <w:szCs w:val="18"/>
                <w:highlight w:val="none"/>
              </w:rPr>
            </w:pPr>
            <w:r>
              <w:rPr>
                <w:rFonts w:eastAsia="楷体"/>
                <w:color w:val="auto"/>
                <w:kern w:val="0"/>
                <w:sz w:val="18"/>
                <w:szCs w:val="18"/>
                <w:highlight w:val="none"/>
              </w:rPr>
              <w:t>20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41088E64">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2205BB19">
            <w:pPr>
              <w:widowControl/>
              <w:jc w:val="center"/>
              <w:textAlignment w:val="center"/>
              <w:rPr>
                <w:rFonts w:eastAsia="楷体"/>
                <w:color w:val="auto"/>
                <w:sz w:val="18"/>
                <w:szCs w:val="18"/>
                <w:highlight w:val="none"/>
              </w:rPr>
            </w:pPr>
            <w:r>
              <w:rPr>
                <w:rFonts w:eastAsia="楷体"/>
                <w:color w:val="auto"/>
                <w:kern w:val="0"/>
                <w:sz w:val="18"/>
                <w:szCs w:val="18"/>
                <w:highlight w:val="none"/>
              </w:rPr>
              <w:t>坝顶高程(m)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5E54A472">
            <w:pPr>
              <w:jc w:val="center"/>
              <w:rPr>
                <w:rFonts w:eastAsia="楷体"/>
                <w:color w:val="auto"/>
                <w:sz w:val="18"/>
                <w:szCs w:val="18"/>
                <w:highlight w:val="none"/>
              </w:rPr>
            </w:pPr>
          </w:p>
        </w:tc>
      </w:tr>
      <w:tr w14:paraId="6910D4B2">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9BF0965">
            <w:pPr>
              <w:widowControl/>
              <w:jc w:val="center"/>
              <w:textAlignment w:val="center"/>
              <w:rPr>
                <w:rFonts w:eastAsia="楷体"/>
                <w:color w:val="auto"/>
                <w:sz w:val="18"/>
                <w:szCs w:val="18"/>
                <w:highlight w:val="none"/>
              </w:rPr>
            </w:pPr>
            <w:r>
              <w:rPr>
                <w:rFonts w:eastAsia="楷体"/>
                <w:color w:val="auto"/>
                <w:kern w:val="0"/>
                <w:sz w:val="18"/>
                <w:szCs w:val="18"/>
                <w:highlight w:val="none"/>
              </w:rPr>
              <w:t>校核重现期(年)</w:t>
            </w:r>
          </w:p>
        </w:tc>
        <w:tc>
          <w:tcPr>
            <w:tcW w:w="1549" w:type="dxa"/>
            <w:tcBorders>
              <w:top w:val="single" w:color="000000" w:sz="4" w:space="0"/>
              <w:left w:val="single" w:color="000000" w:sz="4" w:space="0"/>
              <w:bottom w:val="single" w:color="000000" w:sz="4" w:space="0"/>
              <w:right w:val="single" w:color="000000" w:sz="4" w:space="0"/>
            </w:tcBorders>
            <w:vAlign w:val="center"/>
          </w:tcPr>
          <w:p w14:paraId="122EFFC6">
            <w:pPr>
              <w:widowControl/>
              <w:jc w:val="center"/>
              <w:textAlignment w:val="center"/>
              <w:rPr>
                <w:rFonts w:eastAsia="楷体"/>
                <w:color w:val="auto"/>
                <w:sz w:val="18"/>
                <w:szCs w:val="18"/>
                <w:highlight w:val="none"/>
              </w:rPr>
            </w:pPr>
            <w:r>
              <w:rPr>
                <w:rFonts w:eastAsia="楷体"/>
                <w:color w:val="auto"/>
                <w:kern w:val="0"/>
                <w:sz w:val="18"/>
                <w:szCs w:val="18"/>
                <w:highlight w:val="none"/>
              </w:rPr>
              <w:t>300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9D875B0">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9D4817B">
            <w:pPr>
              <w:widowControl/>
              <w:jc w:val="center"/>
              <w:textAlignment w:val="center"/>
              <w:rPr>
                <w:rFonts w:eastAsia="楷体"/>
                <w:color w:val="auto"/>
                <w:sz w:val="18"/>
                <w:szCs w:val="18"/>
                <w:highlight w:val="none"/>
              </w:rPr>
            </w:pPr>
            <w:r>
              <w:rPr>
                <w:rFonts w:eastAsia="楷体"/>
                <w:color w:val="auto"/>
                <w:kern w:val="0"/>
                <w:sz w:val="18"/>
                <w:szCs w:val="18"/>
                <w:highlight w:val="none"/>
              </w:rPr>
              <w:t>墙顶高程(m)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1B6700CE">
            <w:pPr>
              <w:jc w:val="center"/>
              <w:rPr>
                <w:rFonts w:eastAsia="楷体"/>
                <w:color w:val="auto"/>
                <w:sz w:val="18"/>
                <w:szCs w:val="18"/>
                <w:highlight w:val="none"/>
              </w:rPr>
            </w:pPr>
          </w:p>
        </w:tc>
      </w:tr>
      <w:tr w14:paraId="5DE342BA">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E2B03C5">
            <w:pPr>
              <w:widowControl/>
              <w:jc w:val="center"/>
              <w:textAlignment w:val="center"/>
              <w:rPr>
                <w:rFonts w:eastAsia="楷体"/>
                <w:color w:val="auto"/>
                <w:sz w:val="18"/>
                <w:szCs w:val="18"/>
                <w:highlight w:val="none"/>
              </w:rPr>
            </w:pPr>
            <w:r>
              <w:rPr>
                <w:rFonts w:eastAsia="楷体"/>
                <w:color w:val="auto"/>
                <w:kern w:val="0"/>
                <w:sz w:val="18"/>
                <w:szCs w:val="18"/>
                <w:highlight w:val="none"/>
              </w:rPr>
              <w:t>设计洪水位(m)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1109C37B">
            <w:pPr>
              <w:widowControl/>
              <w:jc w:val="center"/>
              <w:textAlignment w:val="center"/>
              <w:rPr>
                <w:rFonts w:eastAsia="楷体"/>
                <w:color w:val="auto"/>
                <w:sz w:val="18"/>
                <w:szCs w:val="18"/>
                <w:highlight w:val="none"/>
              </w:rPr>
            </w:pPr>
            <w:r>
              <w:rPr>
                <w:rFonts w:eastAsia="楷体"/>
                <w:color w:val="auto"/>
                <w:kern w:val="0"/>
                <w:sz w:val="18"/>
                <w:szCs w:val="18"/>
                <w:highlight w:val="none"/>
              </w:rPr>
              <w:t>36.94</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7B0F0BF5">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1DE401C0">
            <w:pPr>
              <w:widowControl/>
              <w:jc w:val="center"/>
              <w:textAlignment w:val="center"/>
              <w:rPr>
                <w:rFonts w:eastAsia="楷体"/>
                <w:color w:val="auto"/>
                <w:sz w:val="18"/>
                <w:szCs w:val="18"/>
                <w:highlight w:val="none"/>
              </w:rPr>
            </w:pPr>
            <w:r>
              <w:rPr>
                <w:rFonts w:eastAsia="楷体"/>
                <w:color w:val="auto"/>
                <w:kern w:val="0"/>
                <w:sz w:val="18"/>
                <w:szCs w:val="18"/>
                <w:highlight w:val="none"/>
              </w:rPr>
              <w:t>最大坝高(m)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2EF82EFD">
            <w:pPr>
              <w:jc w:val="center"/>
              <w:rPr>
                <w:rFonts w:eastAsia="楷体"/>
                <w:color w:val="auto"/>
                <w:sz w:val="18"/>
                <w:szCs w:val="18"/>
                <w:highlight w:val="none"/>
              </w:rPr>
            </w:pPr>
          </w:p>
        </w:tc>
      </w:tr>
      <w:tr w14:paraId="15D87D5B">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738D38AE">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相应洪峰流量(m</w:t>
            </w:r>
            <w:r>
              <w:rPr>
                <w:rStyle w:val="30"/>
                <w:rFonts w:hint="default" w:ascii="Times New Roman" w:hAnsi="Times New Roman" w:eastAsia="楷体" w:cs="Times New Roman"/>
                <w:color w:val="auto"/>
                <w:sz w:val="18"/>
                <w:szCs w:val="18"/>
                <w:highlight w:val="none"/>
              </w:rPr>
              <w:t>3</w:t>
            </w:r>
            <w:r>
              <w:rPr>
                <w:rStyle w:val="35"/>
                <w:rFonts w:eastAsia="楷体"/>
                <w:color w:val="auto"/>
                <w:sz w:val="18"/>
                <w:szCs w:val="18"/>
                <w:highlight w:val="none"/>
              </w:rPr>
              <w:t>/s)</w:t>
            </w:r>
          </w:p>
        </w:tc>
        <w:tc>
          <w:tcPr>
            <w:tcW w:w="1549" w:type="dxa"/>
            <w:tcBorders>
              <w:top w:val="single" w:color="000000" w:sz="4" w:space="0"/>
              <w:left w:val="single" w:color="000000" w:sz="4" w:space="0"/>
              <w:bottom w:val="single" w:color="000000" w:sz="4" w:space="0"/>
              <w:right w:val="single" w:color="000000" w:sz="4" w:space="0"/>
            </w:tcBorders>
            <w:vAlign w:val="center"/>
          </w:tcPr>
          <w:p w14:paraId="16134E89">
            <w:pPr>
              <w:widowControl/>
              <w:jc w:val="center"/>
              <w:textAlignment w:val="center"/>
              <w:rPr>
                <w:rFonts w:eastAsia="楷体"/>
                <w:color w:val="auto"/>
                <w:sz w:val="18"/>
                <w:szCs w:val="18"/>
                <w:highlight w:val="none"/>
              </w:rPr>
            </w:pPr>
            <w:r>
              <w:rPr>
                <w:rFonts w:eastAsia="楷体"/>
                <w:color w:val="auto"/>
                <w:kern w:val="0"/>
                <w:sz w:val="18"/>
                <w:szCs w:val="18"/>
                <w:highlight w:val="none"/>
              </w:rPr>
              <w:t>6.35</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77080479">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1772FDE">
            <w:pPr>
              <w:widowControl/>
              <w:jc w:val="center"/>
              <w:textAlignment w:val="center"/>
              <w:rPr>
                <w:rFonts w:eastAsia="楷体"/>
                <w:color w:val="auto"/>
                <w:sz w:val="18"/>
                <w:szCs w:val="18"/>
                <w:highlight w:val="none"/>
              </w:rPr>
            </w:pPr>
            <w:r>
              <w:rPr>
                <w:rFonts w:eastAsia="楷体"/>
                <w:color w:val="auto"/>
                <w:kern w:val="0"/>
                <w:sz w:val="18"/>
                <w:szCs w:val="18"/>
                <w:highlight w:val="none"/>
              </w:rPr>
              <w:t>坝顶长度(m)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77248E7B">
            <w:pPr>
              <w:jc w:val="center"/>
              <w:rPr>
                <w:rFonts w:eastAsia="楷体"/>
                <w:color w:val="auto"/>
                <w:sz w:val="18"/>
                <w:szCs w:val="18"/>
                <w:highlight w:val="none"/>
              </w:rPr>
            </w:pPr>
          </w:p>
        </w:tc>
      </w:tr>
      <w:tr w14:paraId="09EADF77">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7ACA72ED">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相应洪水总量(万m</w:t>
            </w:r>
            <w:r>
              <w:rPr>
                <w:rStyle w:val="30"/>
                <w:rFonts w:hint="default" w:ascii="Times New Roman" w:hAnsi="Times New Roman" w:eastAsia="楷体" w:cs="Times New Roman"/>
                <w:color w:val="auto"/>
                <w:sz w:val="18"/>
                <w:szCs w:val="18"/>
                <w:highlight w:val="none"/>
              </w:rPr>
              <w:t>3</w:t>
            </w:r>
            <w:r>
              <w:rPr>
                <w:rStyle w:val="35"/>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0A3CB27C">
            <w:pPr>
              <w:widowControl/>
              <w:jc w:val="center"/>
              <w:textAlignment w:val="center"/>
              <w:rPr>
                <w:rFonts w:eastAsia="楷体"/>
                <w:color w:val="auto"/>
                <w:sz w:val="18"/>
                <w:szCs w:val="18"/>
                <w:highlight w:val="none"/>
              </w:rPr>
            </w:pPr>
            <w:r>
              <w:rPr>
                <w:rFonts w:eastAsia="楷体"/>
                <w:color w:val="auto"/>
                <w:kern w:val="0"/>
                <w:sz w:val="18"/>
                <w:szCs w:val="18"/>
                <w:highlight w:val="none"/>
              </w:rPr>
              <w:t>7.46</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3B956F6A">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020912D">
            <w:pPr>
              <w:widowControl/>
              <w:jc w:val="center"/>
              <w:textAlignment w:val="center"/>
              <w:rPr>
                <w:rFonts w:eastAsia="楷体"/>
                <w:color w:val="auto"/>
                <w:sz w:val="18"/>
                <w:szCs w:val="18"/>
                <w:highlight w:val="none"/>
              </w:rPr>
            </w:pPr>
            <w:r>
              <w:rPr>
                <w:rFonts w:eastAsia="楷体"/>
                <w:color w:val="auto"/>
                <w:kern w:val="0"/>
                <w:sz w:val="18"/>
                <w:szCs w:val="18"/>
                <w:highlight w:val="none"/>
              </w:rPr>
              <w:t>坝顶宽度(m)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5CB36C8D">
            <w:pPr>
              <w:jc w:val="center"/>
              <w:rPr>
                <w:rFonts w:eastAsia="楷体"/>
                <w:color w:val="auto"/>
                <w:sz w:val="18"/>
                <w:szCs w:val="18"/>
                <w:highlight w:val="none"/>
              </w:rPr>
            </w:pPr>
          </w:p>
        </w:tc>
      </w:tr>
      <w:tr w14:paraId="1B46F0EB">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6A3E5A1">
            <w:pPr>
              <w:widowControl/>
              <w:jc w:val="center"/>
              <w:textAlignment w:val="center"/>
              <w:rPr>
                <w:rFonts w:eastAsia="楷体"/>
                <w:color w:val="auto"/>
                <w:sz w:val="18"/>
                <w:szCs w:val="18"/>
                <w:highlight w:val="none"/>
              </w:rPr>
            </w:pPr>
            <w:r>
              <w:rPr>
                <w:rFonts w:eastAsia="楷体"/>
                <w:color w:val="auto"/>
                <w:kern w:val="0"/>
                <w:sz w:val="18"/>
                <w:szCs w:val="18"/>
                <w:highlight w:val="none"/>
              </w:rPr>
              <w:t>校核洪水位(m)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139A64D7">
            <w:pPr>
              <w:widowControl/>
              <w:jc w:val="center"/>
              <w:textAlignment w:val="center"/>
              <w:rPr>
                <w:rFonts w:eastAsia="楷体"/>
                <w:color w:val="auto"/>
                <w:sz w:val="18"/>
                <w:szCs w:val="18"/>
                <w:highlight w:val="none"/>
              </w:rPr>
            </w:pPr>
            <w:r>
              <w:rPr>
                <w:rFonts w:eastAsia="楷体"/>
                <w:color w:val="auto"/>
                <w:kern w:val="0"/>
                <w:sz w:val="18"/>
                <w:szCs w:val="18"/>
                <w:highlight w:val="none"/>
              </w:rPr>
              <w:t>37.21</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5F330F63">
            <w:pPr>
              <w:widowControl/>
              <w:jc w:val="center"/>
              <w:textAlignment w:val="center"/>
              <w:rPr>
                <w:rFonts w:eastAsia="楷体"/>
                <w:color w:val="auto"/>
                <w:sz w:val="18"/>
                <w:szCs w:val="18"/>
                <w:highlight w:val="none"/>
              </w:rPr>
            </w:pPr>
            <w:r>
              <w:rPr>
                <w:rFonts w:eastAsia="楷体"/>
                <w:color w:val="auto"/>
                <w:kern w:val="0"/>
                <w:sz w:val="18"/>
                <w:szCs w:val="18"/>
                <w:highlight w:val="none"/>
              </w:rPr>
              <w:t>溢洪道</w:t>
            </w:r>
          </w:p>
        </w:tc>
        <w:tc>
          <w:tcPr>
            <w:tcW w:w="1772" w:type="dxa"/>
            <w:tcBorders>
              <w:top w:val="single" w:color="000000" w:sz="4" w:space="0"/>
              <w:left w:val="single" w:color="000000" w:sz="4" w:space="0"/>
              <w:bottom w:val="single" w:color="000000" w:sz="4" w:space="0"/>
              <w:right w:val="single" w:color="000000" w:sz="4" w:space="0"/>
            </w:tcBorders>
            <w:vAlign w:val="center"/>
          </w:tcPr>
          <w:p w14:paraId="295BB025">
            <w:pPr>
              <w:widowControl/>
              <w:jc w:val="center"/>
              <w:textAlignment w:val="center"/>
              <w:rPr>
                <w:rFonts w:eastAsia="楷体"/>
                <w:color w:val="auto"/>
                <w:sz w:val="18"/>
                <w:szCs w:val="18"/>
                <w:highlight w:val="none"/>
              </w:rPr>
            </w:pPr>
            <w:r>
              <w:rPr>
                <w:rFonts w:eastAsia="楷体"/>
                <w:color w:val="auto"/>
                <w:kern w:val="0"/>
                <w:sz w:val="18"/>
                <w:szCs w:val="18"/>
                <w:highlight w:val="none"/>
              </w:rPr>
              <w:t>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05645B6">
            <w:pPr>
              <w:widowControl/>
              <w:jc w:val="center"/>
              <w:textAlignment w:val="center"/>
              <w:rPr>
                <w:rFonts w:eastAsia="楷体"/>
                <w:color w:val="auto"/>
                <w:sz w:val="18"/>
                <w:szCs w:val="18"/>
                <w:highlight w:val="none"/>
              </w:rPr>
            </w:pPr>
            <w:r>
              <w:rPr>
                <w:rFonts w:eastAsia="楷体"/>
                <w:color w:val="auto"/>
                <w:kern w:val="0"/>
                <w:sz w:val="18"/>
                <w:szCs w:val="18"/>
                <w:highlight w:val="none"/>
              </w:rPr>
              <w:t>宽顶</w:t>
            </w:r>
            <w:r>
              <w:rPr>
                <w:rStyle w:val="35"/>
                <w:rFonts w:eastAsia="楷体"/>
                <w:color w:val="auto"/>
                <w:sz w:val="18"/>
                <w:szCs w:val="18"/>
                <w:highlight w:val="none"/>
              </w:rPr>
              <w:t>堰</w:t>
            </w:r>
          </w:p>
        </w:tc>
      </w:tr>
      <w:tr w14:paraId="7122C0FC">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2D76A089">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相应洪峰流量(m</w:t>
            </w:r>
            <w:r>
              <w:rPr>
                <w:rStyle w:val="30"/>
                <w:rFonts w:hint="default" w:ascii="Times New Roman" w:hAnsi="Times New Roman" w:eastAsia="楷体" w:cs="Times New Roman"/>
                <w:color w:val="auto"/>
                <w:sz w:val="18"/>
                <w:szCs w:val="18"/>
                <w:highlight w:val="none"/>
              </w:rPr>
              <w:t>3</w:t>
            </w:r>
            <w:r>
              <w:rPr>
                <w:rStyle w:val="35"/>
                <w:rFonts w:eastAsia="楷体"/>
                <w:color w:val="auto"/>
                <w:sz w:val="18"/>
                <w:szCs w:val="18"/>
                <w:highlight w:val="none"/>
              </w:rPr>
              <w:t>/s)</w:t>
            </w:r>
          </w:p>
        </w:tc>
        <w:tc>
          <w:tcPr>
            <w:tcW w:w="1549" w:type="dxa"/>
            <w:tcBorders>
              <w:top w:val="single" w:color="000000" w:sz="4" w:space="0"/>
              <w:left w:val="single" w:color="000000" w:sz="4" w:space="0"/>
              <w:bottom w:val="single" w:color="000000" w:sz="4" w:space="0"/>
              <w:right w:val="single" w:color="000000" w:sz="4" w:space="0"/>
            </w:tcBorders>
            <w:vAlign w:val="center"/>
          </w:tcPr>
          <w:p w14:paraId="660E1E55">
            <w:pPr>
              <w:widowControl/>
              <w:jc w:val="center"/>
              <w:textAlignment w:val="center"/>
              <w:rPr>
                <w:rFonts w:eastAsia="楷体"/>
                <w:color w:val="auto"/>
                <w:sz w:val="18"/>
                <w:szCs w:val="18"/>
                <w:highlight w:val="none"/>
              </w:rPr>
            </w:pPr>
            <w:r>
              <w:rPr>
                <w:rFonts w:eastAsia="楷体"/>
                <w:color w:val="auto"/>
                <w:kern w:val="0"/>
                <w:sz w:val="18"/>
                <w:szCs w:val="18"/>
                <w:highlight w:val="none"/>
              </w:rPr>
              <w:t>10.10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ECC4F81">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381B97F">
            <w:pPr>
              <w:widowControl/>
              <w:jc w:val="center"/>
              <w:textAlignment w:val="center"/>
              <w:rPr>
                <w:rFonts w:eastAsia="楷体"/>
                <w:color w:val="auto"/>
                <w:sz w:val="18"/>
                <w:szCs w:val="18"/>
                <w:highlight w:val="none"/>
              </w:rPr>
            </w:pPr>
            <w:r>
              <w:rPr>
                <w:rFonts w:eastAsia="楷体"/>
                <w:color w:val="auto"/>
                <w:kern w:val="0"/>
                <w:sz w:val="18"/>
                <w:szCs w:val="18"/>
                <w:highlight w:val="none"/>
              </w:rPr>
              <w:t>堰顶高程(m)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6BB645A4">
            <w:pPr>
              <w:widowControl/>
              <w:jc w:val="center"/>
              <w:textAlignment w:val="center"/>
              <w:rPr>
                <w:rFonts w:eastAsia="楷体"/>
                <w:color w:val="auto"/>
                <w:sz w:val="18"/>
                <w:szCs w:val="18"/>
                <w:highlight w:val="none"/>
              </w:rPr>
            </w:pPr>
            <w:r>
              <w:rPr>
                <w:rFonts w:eastAsia="楷体"/>
                <w:color w:val="auto"/>
                <w:kern w:val="0"/>
                <w:sz w:val="18"/>
                <w:szCs w:val="18"/>
                <w:highlight w:val="none"/>
              </w:rPr>
              <w:t>36.37</w:t>
            </w:r>
          </w:p>
        </w:tc>
      </w:tr>
      <w:tr w14:paraId="2F2252B4">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8B06821">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相应洪水总量(万m</w:t>
            </w:r>
            <w:r>
              <w:rPr>
                <w:rStyle w:val="30"/>
                <w:rFonts w:hint="default" w:ascii="Times New Roman" w:hAnsi="Times New Roman" w:eastAsia="楷体" w:cs="Times New Roman"/>
                <w:color w:val="auto"/>
                <w:sz w:val="18"/>
                <w:szCs w:val="18"/>
                <w:highlight w:val="none"/>
              </w:rPr>
              <w:t>3</w:t>
            </w:r>
            <w:r>
              <w:rPr>
                <w:rStyle w:val="35"/>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1759C7C1">
            <w:pPr>
              <w:widowControl/>
              <w:jc w:val="center"/>
              <w:textAlignment w:val="center"/>
              <w:rPr>
                <w:rFonts w:eastAsia="楷体"/>
                <w:color w:val="auto"/>
                <w:sz w:val="18"/>
                <w:szCs w:val="18"/>
                <w:highlight w:val="none"/>
              </w:rPr>
            </w:pPr>
            <w:r>
              <w:rPr>
                <w:rFonts w:eastAsia="楷体"/>
                <w:color w:val="auto"/>
                <w:kern w:val="0"/>
                <w:sz w:val="18"/>
                <w:szCs w:val="18"/>
                <w:highlight w:val="none"/>
              </w:rPr>
              <w:t>12.23</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6F25B42">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6F9E913">
            <w:pPr>
              <w:widowControl/>
              <w:jc w:val="center"/>
              <w:textAlignment w:val="center"/>
              <w:rPr>
                <w:rFonts w:eastAsia="楷体"/>
                <w:color w:val="auto"/>
                <w:sz w:val="18"/>
                <w:szCs w:val="18"/>
                <w:highlight w:val="none"/>
              </w:rPr>
            </w:pPr>
            <w:r>
              <w:rPr>
                <w:rFonts w:eastAsia="楷体"/>
                <w:color w:val="auto"/>
                <w:kern w:val="0"/>
                <w:sz w:val="18"/>
                <w:szCs w:val="18"/>
                <w:highlight w:val="none"/>
              </w:rPr>
              <w:t>净宽(m)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E28606A">
            <w:pPr>
              <w:widowControl/>
              <w:jc w:val="center"/>
              <w:textAlignment w:val="center"/>
              <w:rPr>
                <w:rFonts w:eastAsia="楷体"/>
                <w:color w:val="auto"/>
                <w:sz w:val="18"/>
                <w:szCs w:val="18"/>
                <w:highlight w:val="none"/>
              </w:rPr>
            </w:pPr>
            <w:r>
              <w:rPr>
                <w:rFonts w:eastAsia="楷体"/>
                <w:color w:val="auto"/>
                <w:kern w:val="0"/>
                <w:sz w:val="18"/>
                <w:szCs w:val="18"/>
                <w:highlight w:val="none"/>
              </w:rPr>
              <w:t>5.0</w:t>
            </w:r>
          </w:p>
        </w:tc>
      </w:tr>
      <w:tr w14:paraId="4A2E6B96">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2AE7DE47">
            <w:pPr>
              <w:widowControl/>
              <w:jc w:val="center"/>
              <w:textAlignment w:val="center"/>
              <w:rPr>
                <w:rFonts w:eastAsia="楷体"/>
                <w:color w:val="auto"/>
                <w:sz w:val="18"/>
                <w:szCs w:val="18"/>
                <w:highlight w:val="none"/>
              </w:rPr>
            </w:pPr>
            <w:r>
              <w:rPr>
                <w:rFonts w:eastAsia="楷体"/>
                <w:color w:val="auto"/>
                <w:kern w:val="0"/>
                <w:sz w:val="18"/>
                <w:szCs w:val="18"/>
                <w:highlight w:val="none"/>
              </w:rPr>
              <w:t>地震基本烈度</w:t>
            </w:r>
          </w:p>
        </w:tc>
        <w:tc>
          <w:tcPr>
            <w:tcW w:w="1549" w:type="dxa"/>
            <w:tcBorders>
              <w:top w:val="single" w:color="000000" w:sz="4" w:space="0"/>
              <w:left w:val="single" w:color="000000" w:sz="4" w:space="0"/>
              <w:bottom w:val="single" w:color="000000" w:sz="4" w:space="0"/>
              <w:right w:val="single" w:color="000000" w:sz="4" w:space="0"/>
            </w:tcBorders>
            <w:vAlign w:val="center"/>
          </w:tcPr>
          <w:p w14:paraId="12F09D5D">
            <w:pPr>
              <w:widowControl/>
              <w:jc w:val="center"/>
              <w:textAlignment w:val="center"/>
              <w:rPr>
                <w:rFonts w:eastAsia="楷体"/>
                <w:color w:val="auto"/>
                <w:sz w:val="18"/>
                <w:szCs w:val="18"/>
                <w:highlight w:val="none"/>
              </w:rPr>
            </w:pPr>
            <w:r>
              <w:rPr>
                <w:rFonts w:eastAsia="楷体"/>
                <w:color w:val="auto"/>
                <w:kern w:val="0"/>
                <w:sz w:val="18"/>
                <w:szCs w:val="18"/>
                <w:highlight w:val="none"/>
              </w:rPr>
              <w:t>VII</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4C4F8D77">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2ECD6B43">
            <w:pPr>
              <w:widowControl/>
              <w:jc w:val="center"/>
              <w:textAlignment w:val="center"/>
              <w:rPr>
                <w:rFonts w:eastAsia="楷体"/>
                <w:color w:val="auto"/>
                <w:sz w:val="18"/>
                <w:szCs w:val="18"/>
                <w:highlight w:val="none"/>
              </w:rPr>
            </w:pPr>
            <w:r>
              <w:rPr>
                <w:rFonts w:eastAsia="楷体"/>
                <w:color w:val="auto"/>
                <w:kern w:val="0"/>
                <w:sz w:val="18"/>
                <w:szCs w:val="18"/>
                <w:highlight w:val="none"/>
              </w:rPr>
              <w:t>最大下泄流量(m</w:t>
            </w:r>
            <w:r>
              <w:rPr>
                <w:rStyle w:val="30"/>
                <w:rFonts w:hint="default" w:ascii="Times New Roman" w:hAnsi="Times New Roman" w:eastAsia="楷体" w:cs="Times New Roman"/>
                <w:color w:val="auto"/>
                <w:sz w:val="18"/>
                <w:szCs w:val="18"/>
                <w:highlight w:val="none"/>
                <w:vertAlign w:val="superscript"/>
              </w:rPr>
              <w:t>3</w:t>
            </w:r>
            <w:r>
              <w:rPr>
                <w:rStyle w:val="35"/>
                <w:rFonts w:eastAsia="楷体"/>
                <w:color w:val="auto"/>
                <w:sz w:val="18"/>
                <w:szCs w:val="18"/>
                <w:highlight w:val="none"/>
                <w:vertAlign w:val="baseline"/>
              </w:rPr>
              <w:t>/s)</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1143F89">
            <w:pPr>
              <w:widowControl/>
              <w:jc w:val="center"/>
              <w:textAlignment w:val="center"/>
              <w:rPr>
                <w:rFonts w:eastAsia="楷体"/>
                <w:color w:val="auto"/>
                <w:sz w:val="18"/>
                <w:szCs w:val="18"/>
                <w:highlight w:val="none"/>
              </w:rPr>
            </w:pPr>
            <w:r>
              <w:rPr>
                <w:rFonts w:eastAsia="楷体"/>
                <w:color w:val="auto"/>
                <w:kern w:val="0"/>
                <w:sz w:val="18"/>
                <w:szCs w:val="18"/>
                <w:highlight w:val="none"/>
              </w:rPr>
              <w:t>4.74</w:t>
            </w:r>
          </w:p>
        </w:tc>
      </w:tr>
      <w:tr w14:paraId="392E8274">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9576354">
            <w:pPr>
              <w:widowControl/>
              <w:jc w:val="center"/>
              <w:textAlignment w:val="center"/>
              <w:rPr>
                <w:rFonts w:eastAsia="楷体"/>
                <w:color w:val="auto"/>
                <w:sz w:val="18"/>
                <w:szCs w:val="18"/>
                <w:highlight w:val="none"/>
              </w:rPr>
            </w:pPr>
            <w:r>
              <w:rPr>
                <w:rFonts w:eastAsia="楷体"/>
                <w:color w:val="auto"/>
                <w:kern w:val="0"/>
                <w:sz w:val="18"/>
                <w:szCs w:val="18"/>
                <w:highlight w:val="none"/>
              </w:rPr>
              <w:t>设计抗震烈度</w:t>
            </w:r>
          </w:p>
        </w:tc>
        <w:tc>
          <w:tcPr>
            <w:tcW w:w="1549" w:type="dxa"/>
            <w:tcBorders>
              <w:top w:val="single" w:color="000000" w:sz="4" w:space="0"/>
              <w:left w:val="single" w:color="000000" w:sz="4" w:space="0"/>
              <w:bottom w:val="single" w:color="000000" w:sz="4" w:space="0"/>
              <w:right w:val="single" w:color="000000" w:sz="4" w:space="0"/>
            </w:tcBorders>
            <w:vAlign w:val="center"/>
          </w:tcPr>
          <w:p w14:paraId="16E687AD">
            <w:pPr>
              <w:widowControl/>
              <w:jc w:val="center"/>
              <w:textAlignment w:val="center"/>
              <w:rPr>
                <w:rFonts w:eastAsia="楷体"/>
                <w:color w:val="auto"/>
                <w:sz w:val="18"/>
                <w:szCs w:val="18"/>
                <w:highlight w:val="none"/>
              </w:rPr>
            </w:pPr>
            <w:r>
              <w:rPr>
                <w:rFonts w:eastAsia="楷体"/>
                <w:color w:val="auto"/>
                <w:kern w:val="0"/>
                <w:sz w:val="18"/>
                <w:szCs w:val="18"/>
                <w:highlight w:val="none"/>
              </w:rPr>
              <w:t>VII</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33891585">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F8D2084">
            <w:pPr>
              <w:widowControl/>
              <w:jc w:val="center"/>
              <w:textAlignment w:val="center"/>
              <w:rPr>
                <w:rFonts w:eastAsia="楷体"/>
                <w:color w:val="auto"/>
                <w:sz w:val="18"/>
                <w:szCs w:val="18"/>
                <w:highlight w:val="none"/>
              </w:rPr>
            </w:pPr>
            <w:r>
              <w:rPr>
                <w:rFonts w:eastAsia="楷体"/>
                <w:color w:val="auto"/>
                <w:kern w:val="0"/>
                <w:sz w:val="18"/>
                <w:szCs w:val="18"/>
                <w:highlight w:val="none"/>
              </w:rPr>
              <w:t>最大单宽流量(m</w:t>
            </w:r>
            <w:r>
              <w:rPr>
                <w:rStyle w:val="30"/>
                <w:rFonts w:hint="default" w:ascii="Times New Roman" w:hAnsi="Times New Roman" w:eastAsia="楷体" w:cs="Times New Roman"/>
                <w:color w:val="auto"/>
                <w:sz w:val="18"/>
                <w:szCs w:val="18"/>
                <w:highlight w:val="none"/>
                <w:vertAlign w:val="superscript"/>
              </w:rPr>
              <w:t>3</w:t>
            </w:r>
            <w:r>
              <w:rPr>
                <w:rStyle w:val="35"/>
                <w:rFonts w:eastAsia="楷体"/>
                <w:color w:val="auto"/>
                <w:sz w:val="18"/>
                <w:szCs w:val="18"/>
                <w:highlight w:val="none"/>
                <w:vertAlign w:val="baseline"/>
              </w:rPr>
              <w:t>/s.m)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7E615E8">
            <w:pPr>
              <w:widowControl/>
              <w:jc w:val="center"/>
              <w:textAlignment w:val="center"/>
              <w:rPr>
                <w:rFonts w:eastAsia="楷体"/>
                <w:color w:val="auto"/>
                <w:sz w:val="18"/>
                <w:szCs w:val="18"/>
                <w:highlight w:val="none"/>
              </w:rPr>
            </w:pPr>
            <w:r>
              <w:rPr>
                <w:rFonts w:eastAsia="楷体"/>
                <w:color w:val="auto"/>
                <w:kern w:val="0"/>
                <w:sz w:val="18"/>
                <w:szCs w:val="18"/>
                <w:highlight w:val="none"/>
              </w:rPr>
              <w:t>0.95</w:t>
            </w:r>
          </w:p>
        </w:tc>
      </w:tr>
      <w:tr w14:paraId="05259DC4">
        <w:tblPrEx>
          <w:tblCellMar>
            <w:top w:w="15" w:type="dxa"/>
            <w:left w:w="15" w:type="dxa"/>
            <w:bottom w:w="15" w:type="dxa"/>
            <w:right w:w="15" w:type="dxa"/>
          </w:tblCellMar>
        </w:tblPrEx>
        <w:trPr>
          <w:trHeight w:val="286" w:hRule="atLeast"/>
        </w:trPr>
        <w:tc>
          <w:tcPr>
            <w:tcW w:w="763" w:type="dxa"/>
            <w:vMerge w:val="restart"/>
            <w:tcBorders>
              <w:top w:val="single" w:color="000000" w:sz="4" w:space="0"/>
              <w:left w:val="single" w:color="000000" w:sz="12" w:space="0"/>
              <w:bottom w:val="single" w:color="000000" w:sz="4" w:space="0"/>
              <w:right w:val="single" w:color="000000" w:sz="4" w:space="0"/>
            </w:tcBorders>
            <w:vAlign w:val="center"/>
          </w:tcPr>
          <w:p w14:paraId="08469CFC">
            <w:pPr>
              <w:widowControl/>
              <w:jc w:val="center"/>
              <w:textAlignment w:val="center"/>
              <w:rPr>
                <w:rFonts w:eastAsia="楷体"/>
                <w:color w:val="auto"/>
                <w:sz w:val="18"/>
                <w:szCs w:val="18"/>
                <w:highlight w:val="none"/>
              </w:rPr>
            </w:pPr>
            <w:r>
              <w:rPr>
                <w:rFonts w:eastAsia="楷体"/>
                <w:color w:val="auto"/>
                <w:kern w:val="0"/>
                <w:sz w:val="18"/>
                <w:szCs w:val="18"/>
                <w:highlight w:val="none"/>
              </w:rPr>
              <w:t>库容特性</w:t>
            </w: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044EACE4">
            <w:pPr>
              <w:widowControl/>
              <w:jc w:val="center"/>
              <w:textAlignment w:val="center"/>
              <w:rPr>
                <w:rFonts w:eastAsia="楷体"/>
                <w:color w:val="auto"/>
                <w:sz w:val="18"/>
                <w:szCs w:val="18"/>
                <w:highlight w:val="none"/>
              </w:rPr>
            </w:pPr>
            <w:r>
              <w:rPr>
                <w:rFonts w:eastAsia="楷体"/>
                <w:color w:val="auto"/>
                <w:kern w:val="0"/>
                <w:sz w:val="18"/>
                <w:szCs w:val="18"/>
                <w:highlight w:val="none"/>
              </w:rPr>
              <w:t>总库容(万m</w:t>
            </w:r>
            <w:r>
              <w:rPr>
                <w:rStyle w:val="30"/>
                <w:rFonts w:hint="default" w:ascii="Times New Roman" w:hAnsi="Times New Roman" w:eastAsia="楷体" w:cs="Times New Roman"/>
                <w:color w:val="auto"/>
                <w:sz w:val="18"/>
                <w:szCs w:val="18"/>
                <w:highlight w:val="none"/>
              </w:rPr>
              <w:t>3</w:t>
            </w:r>
            <w:r>
              <w:rPr>
                <w:rStyle w:val="35"/>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2775B7B8">
            <w:pPr>
              <w:widowControl/>
              <w:jc w:val="center"/>
              <w:textAlignment w:val="center"/>
              <w:rPr>
                <w:rFonts w:eastAsia="楷体"/>
                <w:color w:val="auto"/>
                <w:sz w:val="18"/>
                <w:szCs w:val="18"/>
                <w:highlight w:val="none"/>
              </w:rPr>
            </w:pPr>
            <w:r>
              <w:rPr>
                <w:rFonts w:eastAsia="楷体"/>
                <w:color w:val="auto"/>
                <w:kern w:val="0"/>
                <w:sz w:val="18"/>
                <w:szCs w:val="18"/>
                <w:highlight w:val="none"/>
              </w:rPr>
              <w:t>21.60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7E3CF528">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28C73D06">
            <w:pPr>
              <w:widowControl/>
              <w:jc w:val="center"/>
              <w:textAlignment w:val="center"/>
              <w:rPr>
                <w:rFonts w:eastAsia="楷体"/>
                <w:color w:val="auto"/>
                <w:sz w:val="18"/>
                <w:szCs w:val="18"/>
                <w:highlight w:val="none"/>
              </w:rPr>
            </w:pPr>
            <w:r>
              <w:rPr>
                <w:rFonts w:eastAsia="楷体"/>
                <w:color w:val="auto"/>
                <w:kern w:val="0"/>
                <w:sz w:val="18"/>
                <w:szCs w:val="18"/>
                <w:highlight w:val="none"/>
              </w:rPr>
              <w:t>消能型式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745D542B">
            <w:pPr>
              <w:widowControl/>
              <w:jc w:val="center"/>
              <w:textAlignment w:val="center"/>
              <w:rPr>
                <w:rFonts w:eastAsia="楷体"/>
                <w:color w:val="auto"/>
                <w:sz w:val="18"/>
                <w:szCs w:val="18"/>
                <w:highlight w:val="none"/>
              </w:rPr>
            </w:pPr>
            <w:r>
              <w:rPr>
                <w:rFonts w:eastAsia="楷体"/>
                <w:color w:val="auto"/>
                <w:kern w:val="0"/>
                <w:sz w:val="18"/>
                <w:szCs w:val="18"/>
                <w:highlight w:val="none"/>
              </w:rPr>
              <w:t>跌水消能</w:t>
            </w:r>
          </w:p>
        </w:tc>
      </w:tr>
      <w:tr w14:paraId="3CB94740">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5513351D">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291C2C04">
            <w:pPr>
              <w:widowControl/>
              <w:jc w:val="center"/>
              <w:textAlignment w:val="center"/>
              <w:rPr>
                <w:rFonts w:eastAsia="楷体"/>
                <w:color w:val="auto"/>
                <w:sz w:val="18"/>
                <w:szCs w:val="18"/>
                <w:highlight w:val="none"/>
              </w:rPr>
            </w:pPr>
            <w:r>
              <w:rPr>
                <w:rFonts w:eastAsia="楷体"/>
                <w:color w:val="auto"/>
                <w:kern w:val="0"/>
                <w:sz w:val="18"/>
                <w:szCs w:val="18"/>
                <w:highlight w:val="none"/>
              </w:rPr>
              <w:t>调洪库容(万m</w:t>
            </w:r>
            <w:r>
              <w:rPr>
                <w:rStyle w:val="30"/>
                <w:rFonts w:hint="default" w:ascii="Times New Roman" w:hAnsi="Times New Roman" w:eastAsia="楷体" w:cs="Times New Roman"/>
                <w:color w:val="auto"/>
                <w:sz w:val="18"/>
                <w:szCs w:val="18"/>
                <w:highlight w:val="none"/>
              </w:rPr>
              <w:t>3</w:t>
            </w:r>
            <w:r>
              <w:rPr>
                <w:rStyle w:val="35"/>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519DA313">
            <w:pPr>
              <w:widowControl/>
              <w:jc w:val="center"/>
              <w:textAlignment w:val="center"/>
              <w:rPr>
                <w:rFonts w:eastAsia="楷体"/>
                <w:color w:val="auto"/>
                <w:sz w:val="18"/>
                <w:szCs w:val="18"/>
                <w:highlight w:val="none"/>
              </w:rPr>
            </w:pPr>
            <w:r>
              <w:rPr>
                <w:rFonts w:eastAsia="楷体"/>
                <w:color w:val="auto"/>
                <w:kern w:val="0"/>
                <w:sz w:val="18"/>
                <w:szCs w:val="18"/>
                <w:highlight w:val="none"/>
              </w:rPr>
              <w:t>3.30</w:t>
            </w:r>
          </w:p>
        </w:tc>
        <w:tc>
          <w:tcPr>
            <w:tcW w:w="809" w:type="dxa"/>
            <w:vMerge w:val="restart"/>
            <w:tcBorders>
              <w:top w:val="single" w:color="000000" w:sz="4" w:space="0"/>
              <w:left w:val="single" w:color="000000" w:sz="4" w:space="0"/>
              <w:bottom w:val="single" w:color="000000" w:sz="12" w:space="0"/>
              <w:right w:val="single" w:color="000000" w:sz="4" w:space="0"/>
            </w:tcBorders>
            <w:vAlign w:val="center"/>
          </w:tcPr>
          <w:p w14:paraId="2A95612F">
            <w:pPr>
              <w:widowControl/>
              <w:jc w:val="center"/>
              <w:textAlignment w:val="center"/>
              <w:rPr>
                <w:rFonts w:eastAsia="楷体"/>
                <w:color w:val="auto"/>
                <w:sz w:val="18"/>
                <w:szCs w:val="18"/>
                <w:highlight w:val="none"/>
              </w:rPr>
            </w:pPr>
            <w:r>
              <w:rPr>
                <w:rFonts w:eastAsia="楷体"/>
                <w:color w:val="auto"/>
                <w:kern w:val="0"/>
                <w:sz w:val="18"/>
                <w:szCs w:val="18"/>
                <w:highlight w:val="none"/>
              </w:rPr>
              <w:t>取水建筑物</w:t>
            </w:r>
          </w:p>
        </w:tc>
        <w:tc>
          <w:tcPr>
            <w:tcW w:w="1772" w:type="dxa"/>
            <w:tcBorders>
              <w:top w:val="single" w:color="000000" w:sz="4" w:space="0"/>
              <w:left w:val="single" w:color="000000" w:sz="4" w:space="0"/>
              <w:bottom w:val="single" w:color="000000" w:sz="4" w:space="0"/>
              <w:right w:val="single" w:color="000000" w:sz="4" w:space="0"/>
            </w:tcBorders>
            <w:vAlign w:val="center"/>
          </w:tcPr>
          <w:p w14:paraId="6FC485C4">
            <w:pPr>
              <w:widowControl/>
              <w:jc w:val="center"/>
              <w:textAlignment w:val="center"/>
              <w:rPr>
                <w:rFonts w:eastAsia="楷体"/>
                <w:color w:val="auto"/>
                <w:sz w:val="18"/>
                <w:szCs w:val="18"/>
                <w:highlight w:val="none"/>
              </w:rPr>
            </w:pPr>
            <w:r>
              <w:rPr>
                <w:rFonts w:eastAsia="楷体"/>
                <w:color w:val="auto"/>
                <w:kern w:val="0"/>
                <w:sz w:val="18"/>
                <w:szCs w:val="18"/>
                <w:highlight w:val="none"/>
              </w:rPr>
              <w:t>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322ADF6">
            <w:pPr>
              <w:widowControl/>
              <w:jc w:val="center"/>
              <w:textAlignment w:val="center"/>
              <w:rPr>
                <w:rFonts w:eastAsia="楷体"/>
                <w:color w:val="auto"/>
                <w:sz w:val="18"/>
                <w:szCs w:val="18"/>
                <w:highlight w:val="none"/>
              </w:rPr>
            </w:pPr>
            <w:r>
              <w:rPr>
                <w:rFonts w:eastAsia="楷体"/>
                <w:color w:val="auto"/>
                <w:kern w:val="0"/>
                <w:sz w:val="18"/>
                <w:szCs w:val="18"/>
                <w:highlight w:val="none"/>
              </w:rPr>
              <w:t>圬工无压箱涵套PE管</w:t>
            </w:r>
          </w:p>
        </w:tc>
      </w:tr>
      <w:tr w14:paraId="668FD0E6">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0B835011">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008AB50D">
            <w:pPr>
              <w:widowControl/>
              <w:jc w:val="center"/>
              <w:textAlignment w:val="center"/>
              <w:rPr>
                <w:rFonts w:eastAsia="楷体"/>
                <w:color w:val="auto"/>
                <w:sz w:val="18"/>
                <w:szCs w:val="18"/>
                <w:highlight w:val="none"/>
              </w:rPr>
            </w:pPr>
            <w:r>
              <w:rPr>
                <w:rFonts w:eastAsia="楷体"/>
                <w:color w:val="auto"/>
                <w:kern w:val="0"/>
                <w:sz w:val="18"/>
                <w:szCs w:val="18"/>
                <w:highlight w:val="none"/>
              </w:rPr>
              <w:t>兴利库容(万m</w:t>
            </w:r>
            <w:r>
              <w:rPr>
                <w:rStyle w:val="30"/>
                <w:rFonts w:hint="default" w:ascii="Times New Roman" w:hAnsi="Times New Roman" w:eastAsia="楷体" w:cs="Times New Roman"/>
                <w:color w:val="auto"/>
                <w:sz w:val="18"/>
                <w:szCs w:val="18"/>
                <w:highlight w:val="none"/>
              </w:rPr>
              <w:t>3</w:t>
            </w:r>
            <w:r>
              <w:rPr>
                <w:rStyle w:val="35"/>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142ADD7B">
            <w:pPr>
              <w:widowControl/>
              <w:jc w:val="center"/>
              <w:textAlignment w:val="center"/>
              <w:rPr>
                <w:rFonts w:eastAsia="楷体"/>
                <w:color w:val="auto"/>
                <w:sz w:val="18"/>
                <w:szCs w:val="18"/>
                <w:highlight w:val="none"/>
              </w:rPr>
            </w:pPr>
            <w:r>
              <w:rPr>
                <w:rFonts w:eastAsia="楷体"/>
                <w:color w:val="auto"/>
                <w:kern w:val="0"/>
                <w:sz w:val="18"/>
                <w:szCs w:val="18"/>
                <w:highlight w:val="none"/>
              </w:rPr>
              <w:t>16.60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0BC65A8E">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47FA9986">
            <w:pPr>
              <w:widowControl/>
              <w:jc w:val="center"/>
              <w:textAlignment w:val="center"/>
              <w:rPr>
                <w:rFonts w:eastAsia="楷体"/>
                <w:color w:val="auto"/>
                <w:sz w:val="18"/>
                <w:szCs w:val="18"/>
                <w:highlight w:val="none"/>
              </w:rPr>
            </w:pPr>
            <w:r>
              <w:rPr>
                <w:rFonts w:eastAsia="楷体"/>
                <w:color w:val="auto"/>
                <w:kern w:val="0"/>
                <w:sz w:val="18"/>
                <w:szCs w:val="18"/>
                <w:highlight w:val="none"/>
              </w:rPr>
              <w:t>长度(m)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68318C9">
            <w:pPr>
              <w:widowControl/>
              <w:jc w:val="center"/>
              <w:textAlignment w:val="center"/>
              <w:rPr>
                <w:rFonts w:eastAsia="楷体"/>
                <w:color w:val="auto"/>
                <w:sz w:val="18"/>
                <w:szCs w:val="18"/>
                <w:highlight w:val="none"/>
              </w:rPr>
            </w:pPr>
            <w:r>
              <w:rPr>
                <w:rFonts w:eastAsia="楷体"/>
                <w:color w:val="auto"/>
                <w:kern w:val="0"/>
                <w:sz w:val="18"/>
                <w:szCs w:val="18"/>
                <w:highlight w:val="none"/>
              </w:rPr>
              <w:t>70.5</w:t>
            </w:r>
          </w:p>
        </w:tc>
      </w:tr>
      <w:tr w14:paraId="782008DE">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68EDFA9C">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6B807015">
            <w:pPr>
              <w:widowControl/>
              <w:jc w:val="center"/>
              <w:textAlignment w:val="center"/>
              <w:rPr>
                <w:rFonts w:eastAsia="楷体"/>
                <w:color w:val="auto"/>
                <w:sz w:val="18"/>
                <w:szCs w:val="18"/>
                <w:highlight w:val="none"/>
              </w:rPr>
            </w:pPr>
            <w:r>
              <w:rPr>
                <w:rFonts w:eastAsia="楷体"/>
                <w:color w:val="auto"/>
                <w:kern w:val="0"/>
                <w:sz w:val="18"/>
                <w:szCs w:val="18"/>
                <w:highlight w:val="none"/>
              </w:rPr>
              <w:t>死库容(万m</w:t>
            </w:r>
            <w:r>
              <w:rPr>
                <w:rStyle w:val="30"/>
                <w:rFonts w:hint="default" w:ascii="Times New Roman" w:hAnsi="Times New Roman" w:eastAsia="楷体" w:cs="Times New Roman"/>
                <w:color w:val="auto"/>
                <w:sz w:val="18"/>
                <w:szCs w:val="18"/>
                <w:highlight w:val="none"/>
              </w:rPr>
              <w:t>3</w:t>
            </w:r>
            <w:r>
              <w:rPr>
                <w:rStyle w:val="35"/>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04DE1C3E">
            <w:pPr>
              <w:widowControl/>
              <w:jc w:val="center"/>
              <w:textAlignment w:val="center"/>
              <w:rPr>
                <w:rFonts w:eastAsia="楷体"/>
                <w:color w:val="auto"/>
                <w:sz w:val="18"/>
                <w:szCs w:val="18"/>
                <w:highlight w:val="none"/>
              </w:rPr>
            </w:pPr>
            <w:r>
              <w:rPr>
                <w:rFonts w:eastAsia="楷体"/>
                <w:color w:val="auto"/>
                <w:kern w:val="0"/>
                <w:sz w:val="18"/>
                <w:szCs w:val="18"/>
                <w:highlight w:val="none"/>
              </w:rPr>
              <w:t>1.70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25EA2E63">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73F244E">
            <w:pPr>
              <w:widowControl/>
              <w:jc w:val="center"/>
              <w:textAlignment w:val="center"/>
              <w:rPr>
                <w:rFonts w:eastAsia="楷体"/>
                <w:color w:val="auto"/>
                <w:sz w:val="18"/>
                <w:szCs w:val="18"/>
                <w:highlight w:val="none"/>
              </w:rPr>
            </w:pPr>
            <w:r>
              <w:rPr>
                <w:rFonts w:eastAsia="楷体"/>
                <w:color w:val="auto"/>
                <w:kern w:val="0"/>
                <w:sz w:val="18"/>
                <w:szCs w:val="18"/>
                <w:highlight w:val="none"/>
              </w:rPr>
              <w:t>断面尺寸(m)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1BFD358D">
            <w:pPr>
              <w:widowControl/>
              <w:jc w:val="center"/>
              <w:textAlignment w:val="center"/>
              <w:rPr>
                <w:rFonts w:eastAsia="楷体"/>
                <w:color w:val="auto"/>
                <w:sz w:val="18"/>
                <w:szCs w:val="18"/>
                <w:highlight w:val="none"/>
              </w:rPr>
            </w:pPr>
            <w:r>
              <w:rPr>
                <w:rFonts w:eastAsia="楷体"/>
                <w:color w:val="auto"/>
                <w:kern w:val="0"/>
                <w:sz w:val="18"/>
                <w:szCs w:val="18"/>
                <w:highlight w:val="none"/>
              </w:rPr>
              <w:t>φ0.5</w:t>
            </w:r>
          </w:p>
        </w:tc>
      </w:tr>
      <w:tr w14:paraId="321A6D9E">
        <w:tblPrEx>
          <w:tblCellMar>
            <w:top w:w="15" w:type="dxa"/>
            <w:left w:w="15" w:type="dxa"/>
            <w:bottom w:w="15" w:type="dxa"/>
            <w:right w:w="15" w:type="dxa"/>
          </w:tblCellMar>
        </w:tblPrEx>
        <w:trPr>
          <w:trHeight w:val="286" w:hRule="atLeast"/>
        </w:trPr>
        <w:tc>
          <w:tcPr>
            <w:tcW w:w="763" w:type="dxa"/>
            <w:vMerge w:val="restart"/>
            <w:tcBorders>
              <w:top w:val="single" w:color="000000" w:sz="4" w:space="0"/>
              <w:left w:val="single" w:color="000000" w:sz="12" w:space="0"/>
              <w:bottom w:val="single" w:color="000000" w:sz="12" w:space="0"/>
              <w:right w:val="single" w:color="000000" w:sz="4" w:space="0"/>
            </w:tcBorders>
            <w:vAlign w:val="center"/>
          </w:tcPr>
          <w:p w14:paraId="23D5DDFF">
            <w:pPr>
              <w:widowControl/>
              <w:jc w:val="center"/>
              <w:textAlignment w:val="center"/>
              <w:rPr>
                <w:rFonts w:eastAsia="楷体"/>
                <w:color w:val="auto"/>
                <w:sz w:val="18"/>
                <w:szCs w:val="18"/>
                <w:highlight w:val="none"/>
              </w:rPr>
            </w:pPr>
            <w:r>
              <w:rPr>
                <w:rFonts w:eastAsia="楷体"/>
                <w:color w:val="auto"/>
                <w:kern w:val="0"/>
                <w:sz w:val="18"/>
                <w:szCs w:val="18"/>
                <w:highlight w:val="none"/>
              </w:rPr>
              <w:t>工程效益</w:t>
            </w: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231FC931">
            <w:pPr>
              <w:widowControl/>
              <w:jc w:val="center"/>
              <w:textAlignment w:val="center"/>
              <w:rPr>
                <w:rFonts w:eastAsia="楷体"/>
                <w:color w:val="auto"/>
                <w:sz w:val="18"/>
                <w:szCs w:val="18"/>
                <w:highlight w:val="none"/>
              </w:rPr>
            </w:pPr>
            <w:r>
              <w:rPr>
                <w:rFonts w:eastAsia="楷体"/>
                <w:color w:val="auto"/>
                <w:kern w:val="0"/>
                <w:sz w:val="18"/>
                <w:szCs w:val="18"/>
                <w:highlight w:val="none"/>
              </w:rPr>
              <w:t>有效灌溉面积（亩）</w:t>
            </w:r>
          </w:p>
        </w:tc>
        <w:tc>
          <w:tcPr>
            <w:tcW w:w="1549" w:type="dxa"/>
            <w:tcBorders>
              <w:top w:val="single" w:color="000000" w:sz="4" w:space="0"/>
              <w:left w:val="single" w:color="000000" w:sz="4" w:space="0"/>
              <w:bottom w:val="single" w:color="000000" w:sz="4" w:space="0"/>
              <w:right w:val="single" w:color="000000" w:sz="4" w:space="0"/>
            </w:tcBorders>
            <w:vAlign w:val="center"/>
          </w:tcPr>
          <w:p w14:paraId="6C212352">
            <w:pPr>
              <w:widowControl/>
              <w:jc w:val="center"/>
              <w:textAlignment w:val="center"/>
              <w:rPr>
                <w:rFonts w:eastAsia="楷体"/>
                <w:color w:val="auto"/>
                <w:sz w:val="18"/>
                <w:szCs w:val="18"/>
                <w:highlight w:val="none"/>
              </w:rPr>
            </w:pPr>
            <w:r>
              <w:rPr>
                <w:rFonts w:eastAsia="楷体"/>
                <w:color w:val="auto"/>
                <w:kern w:val="0"/>
                <w:sz w:val="18"/>
                <w:szCs w:val="18"/>
                <w:highlight w:val="none"/>
              </w:rPr>
              <w:t>300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3BD381B2">
            <w:pPr>
              <w:jc w:val="center"/>
              <w:rPr>
                <w:rFonts w:eastAsia="楷体"/>
                <w:color w:val="auto"/>
                <w:sz w:val="18"/>
                <w:szCs w:val="18"/>
                <w:highlight w:val="none"/>
              </w:rPr>
            </w:pPr>
          </w:p>
        </w:tc>
        <w:tc>
          <w:tcPr>
            <w:tcW w:w="1772" w:type="dxa"/>
            <w:tcBorders>
              <w:top w:val="single" w:color="000000" w:sz="4" w:space="0"/>
              <w:left w:val="single" w:color="000000" w:sz="4" w:space="0"/>
              <w:bottom w:val="single" w:color="auto" w:sz="4" w:space="0"/>
              <w:right w:val="single" w:color="000000" w:sz="4" w:space="0"/>
            </w:tcBorders>
            <w:vAlign w:val="center"/>
          </w:tcPr>
          <w:p w14:paraId="4A80AA1C">
            <w:pPr>
              <w:widowControl/>
              <w:jc w:val="center"/>
              <w:textAlignment w:val="center"/>
              <w:rPr>
                <w:rFonts w:eastAsia="楷体"/>
                <w:color w:val="auto"/>
                <w:sz w:val="18"/>
                <w:szCs w:val="18"/>
                <w:highlight w:val="none"/>
              </w:rPr>
            </w:pPr>
            <w:r>
              <w:rPr>
                <w:rFonts w:eastAsia="楷体"/>
                <w:color w:val="auto"/>
                <w:sz w:val="18"/>
                <w:szCs w:val="18"/>
                <w:highlight w:val="none"/>
              </w:rPr>
              <w:t>进口底高程(m)</w:t>
            </w:r>
          </w:p>
        </w:tc>
        <w:tc>
          <w:tcPr>
            <w:tcW w:w="2307" w:type="dxa"/>
            <w:gridSpan w:val="3"/>
            <w:tcBorders>
              <w:top w:val="single" w:color="000000" w:sz="4" w:space="0"/>
              <w:left w:val="single" w:color="000000" w:sz="4" w:space="0"/>
              <w:bottom w:val="single" w:color="auto" w:sz="4" w:space="0"/>
              <w:right w:val="single" w:color="000000" w:sz="12" w:space="0"/>
            </w:tcBorders>
            <w:vAlign w:val="center"/>
          </w:tcPr>
          <w:p w14:paraId="7F9860F1">
            <w:pPr>
              <w:widowControl/>
              <w:jc w:val="center"/>
              <w:textAlignment w:val="center"/>
              <w:rPr>
                <w:rFonts w:eastAsia="楷体"/>
                <w:color w:val="auto"/>
                <w:sz w:val="18"/>
                <w:szCs w:val="18"/>
                <w:highlight w:val="none"/>
              </w:rPr>
            </w:pPr>
            <w:r>
              <w:rPr>
                <w:rFonts w:eastAsia="楷体"/>
                <w:color w:val="auto"/>
                <w:kern w:val="0"/>
                <w:sz w:val="18"/>
                <w:szCs w:val="18"/>
                <w:highlight w:val="none"/>
              </w:rPr>
              <w:t>29.34</w:t>
            </w:r>
          </w:p>
        </w:tc>
      </w:tr>
      <w:tr w14:paraId="1207FEAB">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4694256B">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7337557B">
            <w:pPr>
              <w:widowControl/>
              <w:jc w:val="center"/>
              <w:textAlignment w:val="center"/>
              <w:rPr>
                <w:rFonts w:eastAsia="楷体"/>
                <w:color w:val="auto"/>
                <w:sz w:val="18"/>
                <w:szCs w:val="18"/>
                <w:highlight w:val="none"/>
              </w:rPr>
            </w:pPr>
            <w:r>
              <w:rPr>
                <w:rFonts w:eastAsia="楷体"/>
                <w:color w:val="auto"/>
                <w:kern w:val="0"/>
                <w:sz w:val="18"/>
                <w:szCs w:val="18"/>
                <w:highlight w:val="none"/>
              </w:rPr>
              <w:t>设计灌溉面积（亩）</w:t>
            </w:r>
          </w:p>
        </w:tc>
        <w:tc>
          <w:tcPr>
            <w:tcW w:w="1549" w:type="dxa"/>
            <w:tcBorders>
              <w:top w:val="single" w:color="000000" w:sz="4" w:space="0"/>
              <w:left w:val="single" w:color="000000" w:sz="4" w:space="0"/>
              <w:bottom w:val="single" w:color="000000" w:sz="4" w:space="0"/>
              <w:right w:val="single" w:color="000000" w:sz="4" w:space="0"/>
            </w:tcBorders>
            <w:vAlign w:val="center"/>
          </w:tcPr>
          <w:p w14:paraId="179AD899">
            <w:pPr>
              <w:widowControl/>
              <w:jc w:val="center"/>
              <w:textAlignment w:val="center"/>
              <w:rPr>
                <w:rFonts w:eastAsia="楷体"/>
                <w:color w:val="auto"/>
                <w:sz w:val="18"/>
                <w:szCs w:val="18"/>
                <w:highlight w:val="none"/>
              </w:rPr>
            </w:pPr>
            <w:r>
              <w:rPr>
                <w:rFonts w:eastAsia="楷体"/>
                <w:color w:val="auto"/>
                <w:kern w:val="0"/>
                <w:sz w:val="18"/>
                <w:szCs w:val="18"/>
                <w:highlight w:val="none"/>
              </w:rPr>
              <w:t>300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5874E385">
            <w:pPr>
              <w:jc w:val="center"/>
              <w:rPr>
                <w:rFonts w:eastAsia="楷体"/>
                <w:color w:val="auto"/>
                <w:sz w:val="18"/>
                <w:szCs w:val="18"/>
                <w:highlight w:val="none"/>
              </w:rPr>
            </w:pPr>
          </w:p>
        </w:tc>
        <w:tc>
          <w:tcPr>
            <w:tcW w:w="1772" w:type="dxa"/>
            <w:tcBorders>
              <w:top w:val="single" w:color="auto" w:sz="4" w:space="0"/>
              <w:left w:val="single" w:color="000000" w:sz="4" w:space="0"/>
              <w:bottom w:val="single" w:color="auto" w:sz="4" w:space="0"/>
              <w:right w:val="single" w:color="000000" w:sz="4" w:space="0"/>
            </w:tcBorders>
            <w:vAlign w:val="center"/>
          </w:tcPr>
          <w:p w14:paraId="4E090095">
            <w:pPr>
              <w:jc w:val="center"/>
              <w:rPr>
                <w:rFonts w:eastAsia="楷体"/>
                <w:color w:val="auto"/>
                <w:sz w:val="18"/>
                <w:szCs w:val="18"/>
                <w:highlight w:val="none"/>
              </w:rPr>
            </w:pPr>
            <w:r>
              <w:rPr>
                <w:rFonts w:eastAsia="楷体"/>
                <w:color w:val="auto"/>
                <w:sz w:val="18"/>
                <w:szCs w:val="18"/>
                <w:highlight w:val="none"/>
              </w:rPr>
              <w:t>出口底高程(m)</w:t>
            </w:r>
          </w:p>
        </w:tc>
        <w:tc>
          <w:tcPr>
            <w:tcW w:w="2307" w:type="dxa"/>
            <w:gridSpan w:val="3"/>
            <w:tcBorders>
              <w:top w:val="single" w:color="auto" w:sz="4" w:space="0"/>
              <w:left w:val="single" w:color="000000" w:sz="4" w:space="0"/>
              <w:bottom w:val="single" w:color="auto" w:sz="4" w:space="0"/>
              <w:right w:val="single" w:color="000000" w:sz="12" w:space="0"/>
            </w:tcBorders>
            <w:vAlign w:val="center"/>
          </w:tcPr>
          <w:p w14:paraId="10863312">
            <w:pPr>
              <w:widowControl/>
              <w:jc w:val="center"/>
              <w:textAlignment w:val="center"/>
              <w:rPr>
                <w:rFonts w:eastAsia="楷体"/>
                <w:color w:val="auto"/>
                <w:sz w:val="18"/>
                <w:szCs w:val="18"/>
                <w:highlight w:val="none"/>
              </w:rPr>
            </w:pPr>
            <w:r>
              <w:rPr>
                <w:rFonts w:eastAsia="楷体"/>
                <w:color w:val="auto"/>
                <w:kern w:val="0"/>
                <w:sz w:val="18"/>
                <w:szCs w:val="18"/>
                <w:highlight w:val="none"/>
              </w:rPr>
              <w:t>26.50</w:t>
            </w:r>
          </w:p>
        </w:tc>
      </w:tr>
      <w:tr w14:paraId="39227FB4">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7CBE1D7D">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0627AD47">
            <w:pPr>
              <w:widowControl/>
              <w:jc w:val="center"/>
              <w:textAlignment w:val="center"/>
              <w:rPr>
                <w:rFonts w:eastAsia="楷体"/>
                <w:color w:val="auto"/>
                <w:sz w:val="18"/>
                <w:szCs w:val="18"/>
                <w:highlight w:val="none"/>
              </w:rPr>
            </w:pPr>
            <w:r>
              <w:rPr>
                <w:rFonts w:eastAsia="楷体"/>
                <w:color w:val="auto"/>
                <w:kern w:val="0"/>
                <w:sz w:val="18"/>
                <w:szCs w:val="18"/>
                <w:highlight w:val="none"/>
              </w:rPr>
              <w:t>保护人口（人）</w:t>
            </w:r>
          </w:p>
        </w:tc>
        <w:tc>
          <w:tcPr>
            <w:tcW w:w="1549" w:type="dxa"/>
            <w:tcBorders>
              <w:top w:val="single" w:color="000000" w:sz="4" w:space="0"/>
              <w:left w:val="single" w:color="000000" w:sz="4" w:space="0"/>
              <w:bottom w:val="single" w:color="000000" w:sz="4" w:space="0"/>
              <w:right w:val="single" w:color="000000" w:sz="4" w:space="0"/>
            </w:tcBorders>
            <w:vAlign w:val="center"/>
          </w:tcPr>
          <w:p w14:paraId="7384D8F4">
            <w:pPr>
              <w:widowControl/>
              <w:jc w:val="center"/>
              <w:textAlignment w:val="center"/>
              <w:rPr>
                <w:rFonts w:eastAsia="楷体"/>
                <w:color w:val="auto"/>
                <w:sz w:val="18"/>
                <w:szCs w:val="18"/>
                <w:highlight w:val="none"/>
              </w:rPr>
            </w:pPr>
            <w:r>
              <w:rPr>
                <w:rFonts w:eastAsia="楷体"/>
                <w:color w:val="auto"/>
                <w:kern w:val="0"/>
                <w:sz w:val="18"/>
                <w:szCs w:val="18"/>
                <w:highlight w:val="none"/>
              </w:rPr>
              <w:t>2000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2FE3A654">
            <w:pPr>
              <w:jc w:val="center"/>
              <w:rPr>
                <w:rFonts w:eastAsia="楷体"/>
                <w:color w:val="auto"/>
                <w:sz w:val="18"/>
                <w:szCs w:val="18"/>
                <w:highlight w:val="none"/>
              </w:rPr>
            </w:pPr>
          </w:p>
        </w:tc>
        <w:tc>
          <w:tcPr>
            <w:tcW w:w="1772" w:type="dxa"/>
            <w:tcBorders>
              <w:top w:val="single" w:color="auto" w:sz="4" w:space="0"/>
              <w:left w:val="single" w:color="000000" w:sz="4" w:space="0"/>
              <w:bottom w:val="single" w:color="000000" w:sz="4" w:space="0"/>
              <w:right w:val="single" w:color="000000" w:sz="4" w:space="0"/>
            </w:tcBorders>
            <w:vAlign w:val="center"/>
          </w:tcPr>
          <w:p w14:paraId="1AE0DE56">
            <w:pPr>
              <w:jc w:val="center"/>
              <w:rPr>
                <w:rFonts w:eastAsia="楷体"/>
                <w:color w:val="auto"/>
                <w:sz w:val="18"/>
                <w:szCs w:val="18"/>
                <w:highlight w:val="none"/>
              </w:rPr>
            </w:pPr>
            <w:r>
              <w:rPr>
                <w:rFonts w:eastAsia="楷体"/>
                <w:color w:val="auto"/>
                <w:sz w:val="18"/>
                <w:szCs w:val="18"/>
                <w:highlight w:val="none"/>
              </w:rPr>
              <w:t>最大输水流量（m</w:t>
            </w:r>
            <w:r>
              <w:rPr>
                <w:rFonts w:eastAsia="楷体"/>
                <w:color w:val="auto"/>
                <w:sz w:val="18"/>
                <w:szCs w:val="18"/>
                <w:highlight w:val="none"/>
                <w:vertAlign w:val="superscript"/>
              </w:rPr>
              <w:t>3</w:t>
            </w:r>
            <w:r>
              <w:rPr>
                <w:rFonts w:eastAsia="楷体"/>
                <w:color w:val="auto"/>
                <w:sz w:val="18"/>
                <w:szCs w:val="18"/>
                <w:highlight w:val="none"/>
              </w:rPr>
              <w:t>/s）</w:t>
            </w:r>
          </w:p>
        </w:tc>
        <w:tc>
          <w:tcPr>
            <w:tcW w:w="2307" w:type="dxa"/>
            <w:gridSpan w:val="3"/>
            <w:tcBorders>
              <w:top w:val="single" w:color="auto" w:sz="4" w:space="0"/>
              <w:left w:val="single" w:color="000000" w:sz="4" w:space="0"/>
              <w:bottom w:val="single" w:color="000000" w:sz="4" w:space="0"/>
              <w:right w:val="single" w:color="000000" w:sz="12" w:space="0"/>
            </w:tcBorders>
            <w:vAlign w:val="center"/>
          </w:tcPr>
          <w:p w14:paraId="3009C269">
            <w:pPr>
              <w:widowControl/>
              <w:jc w:val="center"/>
              <w:textAlignment w:val="center"/>
              <w:rPr>
                <w:rFonts w:eastAsia="楷体"/>
                <w:color w:val="auto"/>
                <w:sz w:val="18"/>
                <w:szCs w:val="18"/>
                <w:highlight w:val="none"/>
              </w:rPr>
            </w:pPr>
            <w:r>
              <w:rPr>
                <w:rFonts w:eastAsia="楷体"/>
                <w:color w:val="auto"/>
                <w:kern w:val="0"/>
                <w:sz w:val="18"/>
                <w:szCs w:val="18"/>
                <w:highlight w:val="none"/>
              </w:rPr>
              <w:t>0.43</w:t>
            </w:r>
          </w:p>
        </w:tc>
      </w:tr>
      <w:tr w14:paraId="5876D2CC">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67C0A8E6">
            <w:pPr>
              <w:jc w:val="center"/>
              <w:rPr>
                <w:rFonts w:eastAsia="楷体"/>
                <w:color w:val="auto"/>
                <w:sz w:val="18"/>
                <w:szCs w:val="18"/>
                <w:highlight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E00E5F7">
            <w:pPr>
              <w:widowControl/>
              <w:jc w:val="center"/>
              <w:textAlignment w:val="center"/>
              <w:rPr>
                <w:rFonts w:eastAsia="楷体"/>
                <w:color w:val="auto"/>
                <w:sz w:val="18"/>
                <w:szCs w:val="18"/>
                <w:highlight w:val="none"/>
              </w:rPr>
            </w:pPr>
            <w:r>
              <w:rPr>
                <w:rFonts w:eastAsia="楷体"/>
                <w:color w:val="auto"/>
                <w:kern w:val="0"/>
                <w:sz w:val="18"/>
                <w:szCs w:val="18"/>
                <w:highlight w:val="none"/>
              </w:rPr>
              <w:t>保护耕地（亩）</w:t>
            </w:r>
          </w:p>
        </w:tc>
        <w:tc>
          <w:tcPr>
            <w:tcW w:w="1549" w:type="dxa"/>
            <w:vMerge w:val="restart"/>
            <w:tcBorders>
              <w:top w:val="single" w:color="000000" w:sz="4" w:space="0"/>
              <w:left w:val="single" w:color="000000" w:sz="4" w:space="0"/>
              <w:bottom w:val="single" w:color="000000" w:sz="4" w:space="0"/>
              <w:right w:val="single" w:color="000000" w:sz="4" w:space="0"/>
            </w:tcBorders>
            <w:vAlign w:val="center"/>
          </w:tcPr>
          <w:p w14:paraId="067D7565">
            <w:pPr>
              <w:widowControl/>
              <w:jc w:val="center"/>
              <w:textAlignment w:val="center"/>
              <w:rPr>
                <w:rFonts w:eastAsia="楷体"/>
                <w:color w:val="auto"/>
                <w:sz w:val="18"/>
                <w:szCs w:val="18"/>
                <w:highlight w:val="none"/>
              </w:rPr>
            </w:pPr>
            <w:r>
              <w:rPr>
                <w:rFonts w:eastAsia="楷体"/>
                <w:color w:val="auto"/>
                <w:kern w:val="0"/>
                <w:sz w:val="18"/>
                <w:szCs w:val="18"/>
                <w:highlight w:val="none"/>
              </w:rPr>
              <w:t>3500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00E65B35">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9254433">
            <w:pPr>
              <w:widowControl/>
              <w:jc w:val="center"/>
              <w:textAlignment w:val="center"/>
              <w:rPr>
                <w:rFonts w:eastAsia="楷体"/>
                <w:color w:val="auto"/>
                <w:sz w:val="18"/>
                <w:szCs w:val="18"/>
                <w:highlight w:val="none"/>
              </w:rPr>
            </w:pPr>
            <w:r>
              <w:rPr>
                <w:rFonts w:eastAsia="楷体"/>
                <w:color w:val="auto"/>
                <w:kern w:val="0"/>
                <w:sz w:val="18"/>
                <w:szCs w:val="18"/>
                <w:highlight w:val="none"/>
              </w:rPr>
              <w:t>放水型式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06A261EA">
            <w:pPr>
              <w:widowControl/>
              <w:jc w:val="center"/>
              <w:textAlignment w:val="center"/>
              <w:rPr>
                <w:rFonts w:eastAsia="楷体"/>
                <w:color w:val="auto"/>
                <w:sz w:val="18"/>
                <w:szCs w:val="18"/>
                <w:highlight w:val="none"/>
              </w:rPr>
            </w:pPr>
            <w:r>
              <w:rPr>
                <w:rFonts w:eastAsia="楷体"/>
                <w:color w:val="auto"/>
                <w:kern w:val="0"/>
                <w:sz w:val="18"/>
                <w:szCs w:val="18"/>
                <w:highlight w:val="none"/>
              </w:rPr>
              <w:t>转动门盖</w:t>
            </w:r>
          </w:p>
        </w:tc>
      </w:tr>
      <w:tr w14:paraId="1874E0FD">
        <w:tblPrEx>
          <w:tblCellMar>
            <w:top w:w="15" w:type="dxa"/>
            <w:left w:w="15" w:type="dxa"/>
            <w:bottom w:w="15" w:type="dxa"/>
            <w:right w:w="15" w:type="dxa"/>
          </w:tblCellMar>
        </w:tblPrEx>
        <w:trPr>
          <w:trHeight w:val="312"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25841D6E">
            <w:pPr>
              <w:jc w:val="center"/>
              <w:rPr>
                <w:rFonts w:eastAsia="楷体"/>
                <w:color w:val="auto"/>
                <w:sz w:val="18"/>
                <w:szCs w:val="18"/>
                <w:highlight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83D5D6">
            <w:pPr>
              <w:jc w:val="center"/>
              <w:rPr>
                <w:rFonts w:eastAsia="楷体"/>
                <w:color w:val="auto"/>
                <w:sz w:val="18"/>
                <w:szCs w:val="18"/>
                <w:highlight w:val="none"/>
              </w:rPr>
            </w:pPr>
          </w:p>
        </w:tc>
        <w:tc>
          <w:tcPr>
            <w:tcW w:w="1549" w:type="dxa"/>
            <w:vMerge w:val="continue"/>
            <w:tcBorders>
              <w:top w:val="single" w:color="000000" w:sz="4" w:space="0"/>
              <w:left w:val="single" w:color="000000" w:sz="4" w:space="0"/>
              <w:bottom w:val="single" w:color="000000" w:sz="4" w:space="0"/>
              <w:right w:val="single" w:color="000000" w:sz="4" w:space="0"/>
            </w:tcBorders>
            <w:vAlign w:val="center"/>
          </w:tcPr>
          <w:p w14:paraId="2279C367">
            <w:pPr>
              <w:jc w:val="center"/>
              <w:rPr>
                <w:rFonts w:eastAsia="楷体"/>
                <w:color w:val="auto"/>
                <w:sz w:val="18"/>
                <w:szCs w:val="18"/>
                <w:highlight w:val="none"/>
              </w:rPr>
            </w:pP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6A3FA6B7">
            <w:pPr>
              <w:jc w:val="center"/>
              <w:rPr>
                <w:rFonts w:eastAsia="楷体"/>
                <w:color w:val="auto"/>
                <w:sz w:val="18"/>
                <w:szCs w:val="18"/>
                <w:highlight w:val="none"/>
              </w:rPr>
            </w:pPr>
          </w:p>
        </w:tc>
        <w:tc>
          <w:tcPr>
            <w:tcW w:w="1772" w:type="dxa"/>
            <w:vMerge w:val="restart"/>
            <w:tcBorders>
              <w:top w:val="single" w:color="000000" w:sz="4" w:space="0"/>
              <w:left w:val="single" w:color="000000" w:sz="4" w:space="0"/>
              <w:bottom w:val="single" w:color="000000" w:sz="12" w:space="0"/>
              <w:right w:val="single" w:color="000000" w:sz="4" w:space="0"/>
            </w:tcBorders>
            <w:vAlign w:val="center"/>
          </w:tcPr>
          <w:p w14:paraId="57E09F33">
            <w:pPr>
              <w:widowControl/>
              <w:jc w:val="center"/>
              <w:textAlignment w:val="center"/>
              <w:rPr>
                <w:rFonts w:eastAsia="楷体"/>
                <w:color w:val="auto"/>
                <w:sz w:val="18"/>
                <w:szCs w:val="18"/>
                <w:highlight w:val="none"/>
              </w:rPr>
            </w:pPr>
            <w:r>
              <w:rPr>
                <w:rFonts w:eastAsia="楷体"/>
                <w:color w:val="auto"/>
                <w:kern w:val="0"/>
                <w:sz w:val="18"/>
                <w:szCs w:val="18"/>
                <w:highlight w:val="none"/>
              </w:rPr>
              <w:t>启闭设备</w:t>
            </w:r>
          </w:p>
        </w:tc>
        <w:tc>
          <w:tcPr>
            <w:tcW w:w="2307" w:type="dxa"/>
            <w:gridSpan w:val="3"/>
            <w:vMerge w:val="restart"/>
            <w:tcBorders>
              <w:top w:val="single" w:color="000000" w:sz="4" w:space="0"/>
              <w:left w:val="single" w:color="000000" w:sz="4" w:space="0"/>
              <w:bottom w:val="single" w:color="000000" w:sz="12" w:space="0"/>
              <w:right w:val="single" w:color="000000" w:sz="12" w:space="0"/>
            </w:tcBorders>
            <w:vAlign w:val="center"/>
          </w:tcPr>
          <w:p w14:paraId="37807D49">
            <w:pPr>
              <w:widowControl/>
              <w:jc w:val="center"/>
              <w:textAlignment w:val="center"/>
              <w:rPr>
                <w:rFonts w:eastAsia="楷体"/>
                <w:color w:val="auto"/>
                <w:sz w:val="18"/>
                <w:szCs w:val="18"/>
                <w:highlight w:val="none"/>
              </w:rPr>
            </w:pPr>
            <w:r>
              <w:rPr>
                <w:rFonts w:eastAsia="楷体"/>
                <w:color w:val="auto"/>
                <w:kern w:val="0"/>
                <w:sz w:val="18"/>
                <w:szCs w:val="18"/>
                <w:highlight w:val="none"/>
              </w:rPr>
              <w:t>1台3t卷扬式启闭机</w:t>
            </w:r>
          </w:p>
        </w:tc>
      </w:tr>
      <w:tr w14:paraId="18466F97">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5468AEC5">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12" w:space="0"/>
              <w:right w:val="single" w:color="000000" w:sz="4" w:space="0"/>
            </w:tcBorders>
            <w:vAlign w:val="center"/>
          </w:tcPr>
          <w:p w14:paraId="6A947B91">
            <w:pPr>
              <w:widowControl/>
              <w:jc w:val="center"/>
              <w:textAlignment w:val="center"/>
              <w:rPr>
                <w:rFonts w:eastAsia="楷体"/>
                <w:color w:val="auto"/>
                <w:sz w:val="18"/>
                <w:szCs w:val="18"/>
                <w:highlight w:val="none"/>
              </w:rPr>
            </w:pPr>
            <w:r>
              <w:rPr>
                <w:rFonts w:eastAsia="楷体"/>
                <w:color w:val="auto"/>
                <w:kern w:val="0"/>
                <w:sz w:val="18"/>
                <w:szCs w:val="18"/>
                <w:highlight w:val="none"/>
              </w:rPr>
              <w:t>总装机功率（kw）</w:t>
            </w:r>
          </w:p>
        </w:tc>
        <w:tc>
          <w:tcPr>
            <w:tcW w:w="1549" w:type="dxa"/>
            <w:tcBorders>
              <w:top w:val="single" w:color="000000" w:sz="4" w:space="0"/>
              <w:left w:val="single" w:color="000000" w:sz="4" w:space="0"/>
              <w:bottom w:val="single" w:color="000000" w:sz="12" w:space="0"/>
              <w:right w:val="single" w:color="000000" w:sz="4" w:space="0"/>
            </w:tcBorders>
            <w:vAlign w:val="center"/>
          </w:tcPr>
          <w:p w14:paraId="39A66C89">
            <w:pPr>
              <w:widowControl/>
              <w:jc w:val="center"/>
              <w:textAlignment w:val="center"/>
              <w:rPr>
                <w:rFonts w:eastAsia="楷体"/>
                <w:color w:val="auto"/>
                <w:sz w:val="18"/>
                <w:szCs w:val="18"/>
                <w:highlight w:val="none"/>
              </w:rPr>
            </w:pPr>
            <w:r>
              <w:rPr>
                <w:rFonts w:eastAsia="楷体"/>
                <w:color w:val="auto"/>
                <w:kern w:val="0"/>
                <w:sz w:val="18"/>
                <w:szCs w:val="18"/>
                <w:highlight w:val="none"/>
              </w:rPr>
              <w:t>/</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5687259F">
            <w:pPr>
              <w:jc w:val="center"/>
              <w:rPr>
                <w:rFonts w:eastAsia="楷体"/>
                <w:color w:val="auto"/>
                <w:sz w:val="18"/>
                <w:szCs w:val="18"/>
                <w:highlight w:val="none"/>
              </w:rPr>
            </w:pPr>
          </w:p>
        </w:tc>
        <w:tc>
          <w:tcPr>
            <w:tcW w:w="1772" w:type="dxa"/>
            <w:vMerge w:val="continue"/>
            <w:tcBorders>
              <w:top w:val="single" w:color="000000" w:sz="4" w:space="0"/>
              <w:left w:val="single" w:color="000000" w:sz="4" w:space="0"/>
              <w:bottom w:val="single" w:color="000000" w:sz="12" w:space="0"/>
              <w:right w:val="single" w:color="000000" w:sz="4" w:space="0"/>
            </w:tcBorders>
            <w:vAlign w:val="center"/>
          </w:tcPr>
          <w:p w14:paraId="0D0FF80D">
            <w:pPr>
              <w:jc w:val="center"/>
              <w:rPr>
                <w:rFonts w:eastAsia="楷体"/>
                <w:color w:val="auto"/>
                <w:sz w:val="18"/>
                <w:szCs w:val="18"/>
                <w:highlight w:val="none"/>
              </w:rPr>
            </w:pPr>
          </w:p>
        </w:tc>
        <w:tc>
          <w:tcPr>
            <w:tcW w:w="2307" w:type="dxa"/>
            <w:gridSpan w:val="3"/>
            <w:vMerge w:val="continue"/>
            <w:tcBorders>
              <w:top w:val="single" w:color="000000" w:sz="4" w:space="0"/>
              <w:left w:val="single" w:color="000000" w:sz="4" w:space="0"/>
              <w:bottom w:val="single" w:color="000000" w:sz="12" w:space="0"/>
              <w:right w:val="single" w:color="000000" w:sz="12" w:space="0"/>
            </w:tcBorders>
            <w:vAlign w:val="center"/>
          </w:tcPr>
          <w:p w14:paraId="4B93A545">
            <w:pPr>
              <w:jc w:val="center"/>
              <w:rPr>
                <w:rFonts w:eastAsia="楷体"/>
                <w:color w:val="auto"/>
                <w:sz w:val="18"/>
                <w:szCs w:val="18"/>
                <w:highlight w:val="none"/>
              </w:rPr>
            </w:pPr>
          </w:p>
        </w:tc>
      </w:tr>
    </w:tbl>
    <w:p w14:paraId="6F63FA18">
      <w:pPr>
        <w:pStyle w:val="16"/>
        <w:keepNext w:val="0"/>
        <w:keepLines w:val="0"/>
        <w:pageBreakBefore w:val="0"/>
        <w:widowControl w:val="0"/>
        <w:kinsoku/>
        <w:wordWrap/>
        <w:overflowPunct/>
        <w:topLinePunct w:val="0"/>
        <w:autoSpaceDE/>
        <w:autoSpaceDN/>
        <w:bidi w:val="0"/>
        <w:adjustRightInd/>
        <w:snapToGrid/>
        <w:ind w:firstLine="641"/>
        <w:textAlignment w:val="auto"/>
        <w:outlineLvl w:val="9"/>
        <w:rPr>
          <w:rFonts w:hint="default" w:ascii="Times New Roman" w:hAnsi="Times New Roman" w:eastAsia="楷体" w:cs="Times New Roman"/>
          <w:color w:val="auto"/>
          <w:sz w:val="21"/>
          <w:szCs w:val="21"/>
          <w:highlight w:val="none"/>
          <w:lang w:val="en-US" w:eastAsia="zh-CN"/>
        </w:rPr>
      </w:pPr>
      <w:r>
        <w:rPr>
          <w:rFonts w:hint="eastAsia" w:ascii="Times New Roman" w:hAnsi="Times New Roman" w:eastAsia="楷体" w:cs="Times New Roman"/>
          <w:color w:val="auto"/>
          <w:sz w:val="21"/>
          <w:szCs w:val="21"/>
          <w:highlight w:val="none"/>
          <w:lang w:val="en-US" w:eastAsia="zh-CN"/>
        </w:rPr>
        <w:t>备注：引用《泉港区前黄镇丰收水库除险加固工程初步设计报告（报批稿）》（泉州市水利水电勘测设计院，2012年4月）资料</w:t>
      </w:r>
    </w:p>
    <w:p w14:paraId="2F334A8D">
      <w:pPr>
        <w:pStyle w:val="3"/>
        <w:spacing w:beforeLines="100" w:afterLines="100" w:line="360" w:lineRule="auto"/>
        <w:jc w:val="center"/>
        <w:rPr>
          <w:rFonts w:eastAsia="楷体"/>
          <w:color w:val="auto"/>
          <w:kern w:val="0"/>
          <w:sz w:val="32"/>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C52DDF0">
      <w:pPr>
        <w:pStyle w:val="3"/>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t>1  水库基本情况</w:t>
      </w:r>
      <w:bookmarkEnd w:id="0"/>
    </w:p>
    <w:p w14:paraId="231771C8">
      <w:pPr>
        <w:pStyle w:val="4"/>
        <w:spacing w:beforeLines="50" w:afterLines="50" w:line="360" w:lineRule="auto"/>
        <w:contextualSpacing/>
        <w:rPr>
          <w:rFonts w:ascii="Times New Roman" w:hAnsi="Times New Roman" w:eastAsia="楷体"/>
          <w:color w:val="auto"/>
          <w:kern w:val="0"/>
          <w:sz w:val="28"/>
          <w:szCs w:val="28"/>
          <w:highlight w:val="none"/>
        </w:rPr>
      </w:pPr>
      <w:bookmarkStart w:id="1" w:name="_Toc18976"/>
      <w:r>
        <w:rPr>
          <w:rFonts w:ascii="Times New Roman" w:hAnsi="Times New Roman" w:eastAsia="楷体"/>
          <w:color w:val="auto"/>
          <w:kern w:val="0"/>
          <w:sz w:val="28"/>
          <w:szCs w:val="28"/>
          <w:highlight w:val="none"/>
        </w:rPr>
        <w:t>1.1 工程概况</w:t>
      </w:r>
      <w:bookmarkEnd w:id="1"/>
    </w:p>
    <w:p w14:paraId="0C6D8FBD">
      <w:pPr>
        <w:spacing w:line="520" w:lineRule="exact"/>
        <w:ind w:firstLine="560" w:firstLineChars="200"/>
        <w:rPr>
          <w:rFonts w:eastAsia="楷体"/>
          <w:color w:val="auto"/>
          <w:sz w:val="28"/>
          <w:szCs w:val="28"/>
          <w:highlight w:val="none"/>
        </w:rPr>
      </w:pPr>
      <w:bookmarkStart w:id="2" w:name="OLE_LINK9"/>
      <w:r>
        <w:rPr>
          <w:rFonts w:eastAsia="楷体"/>
          <w:color w:val="auto"/>
          <w:sz w:val="28"/>
          <w:szCs w:val="28"/>
          <w:highlight w:val="none"/>
        </w:rPr>
        <w:t>丰收水库位于泉港区前黄镇古县村，系属坝头溪支流，是一座以农业灌溉为主，结合防洪、养殖等综合利用的小（2）型水库。丰收水库始建于1966年5月，1971年2月竣工并投入运行。坝址以上控制流域面积为0.28km</w:t>
      </w:r>
      <w:r>
        <w:rPr>
          <w:rFonts w:eastAsia="楷体"/>
          <w:color w:val="auto"/>
          <w:sz w:val="28"/>
          <w:szCs w:val="28"/>
          <w:highlight w:val="none"/>
          <w:vertAlign w:val="superscript"/>
        </w:rPr>
        <w:t>2</w:t>
      </w:r>
      <w:r>
        <w:rPr>
          <w:rFonts w:eastAsia="楷体"/>
          <w:color w:val="auto"/>
          <w:sz w:val="28"/>
          <w:szCs w:val="28"/>
          <w:highlight w:val="none"/>
        </w:rPr>
        <w:t>，主河道长0.8km，河道比降36.2‰，设计洪水位（P=5%）36.94m（黄零，下同），校核洪水位（P=0.33%）37.21m，水库总库容21.60万m</w:t>
      </w:r>
      <w:r>
        <w:rPr>
          <w:rFonts w:eastAsia="楷体"/>
          <w:color w:val="auto"/>
          <w:sz w:val="28"/>
          <w:szCs w:val="28"/>
          <w:highlight w:val="none"/>
          <w:vertAlign w:val="superscript"/>
        </w:rPr>
        <w:t>3</w:t>
      </w:r>
      <w:r>
        <w:rPr>
          <w:rFonts w:eastAsia="楷体"/>
          <w:color w:val="auto"/>
          <w:sz w:val="28"/>
          <w:szCs w:val="28"/>
          <w:highlight w:val="none"/>
        </w:rPr>
        <w:t>，正常蓄水位36.37m。</w:t>
      </w:r>
    </w:p>
    <w:bookmarkEnd w:id="2"/>
    <w:p w14:paraId="5BCC0451">
      <w:pPr>
        <w:adjustRightInd w:val="0"/>
        <w:spacing w:line="520" w:lineRule="exact"/>
        <w:ind w:firstLine="560" w:firstLineChars="200"/>
        <w:rPr>
          <w:rFonts w:eastAsia="楷体"/>
          <w:color w:val="auto"/>
          <w:sz w:val="28"/>
          <w:szCs w:val="28"/>
          <w:highlight w:val="none"/>
        </w:rPr>
      </w:pPr>
      <w:r>
        <w:rPr>
          <w:rFonts w:eastAsia="楷体"/>
          <w:color w:val="auto"/>
          <w:sz w:val="28"/>
          <w:szCs w:val="28"/>
          <w:highlight w:val="none"/>
        </w:rPr>
        <w:t>水库枢纽工程主要由大坝、溢洪道、放水涵洞组成。工程等别</w:t>
      </w:r>
      <w:r>
        <w:rPr>
          <w:rFonts w:ascii="楷体" w:hAnsi="楷体" w:eastAsia="楷体"/>
          <w:color w:val="auto"/>
          <w:sz w:val="28"/>
          <w:szCs w:val="28"/>
          <w:highlight w:val="none"/>
        </w:rPr>
        <w:t>Ⅴ</w:t>
      </w:r>
      <w:r>
        <w:rPr>
          <w:rFonts w:eastAsia="楷体"/>
          <w:color w:val="auto"/>
          <w:sz w:val="28"/>
          <w:szCs w:val="28"/>
          <w:highlight w:val="none"/>
        </w:rPr>
        <w:t>等，主要建筑物级别5级。</w:t>
      </w:r>
    </w:p>
    <w:p w14:paraId="6145870E">
      <w:pPr>
        <w:spacing w:line="520" w:lineRule="exact"/>
        <w:ind w:firstLine="560" w:firstLineChars="200"/>
        <w:rPr>
          <w:rFonts w:eastAsia="楷体"/>
          <w:color w:val="auto"/>
          <w:sz w:val="28"/>
          <w:szCs w:val="28"/>
          <w:highlight w:val="none"/>
        </w:rPr>
      </w:pPr>
      <w:bookmarkStart w:id="3" w:name="_Toc242687867"/>
      <w:bookmarkStart w:id="4" w:name="_Toc251151422"/>
      <w:r>
        <w:rPr>
          <w:rFonts w:eastAsia="楷体"/>
          <w:color w:val="auto"/>
          <w:sz w:val="28"/>
          <w:szCs w:val="28"/>
          <w:highlight w:val="none"/>
        </w:rPr>
        <w:t>现状大坝为均质土坝，最大坝高14.3m，坝顶长181.9m，坝顶高程38.30m，坝顶宽6.8m。大坝迎水坡采用干砌石护坡，坡比自上而下分别为1:1.5、1:1.8，在高程34.20m处设有一道平台，平台宽14.0m；大坝背水坡采用草皮护坡，坡比自上而下分别为1:1.5、1:1.8，在高程33.50m处设有一道平台，平台宽度6.9m；背水坡坝脚设有排水棱体，排水棱体顶部高程28.00m，顶宽1.5m，排水棱体外坡设有浆砌条石渠道，渠道断面净尺寸0.8m×1.0m（宽×高），排水棱体内、外坡坡比分别为1:1.25、1:1.5。</w:t>
      </w:r>
    </w:p>
    <w:bookmarkEnd w:id="3"/>
    <w:bookmarkEnd w:id="4"/>
    <w:p w14:paraId="2A3CF3DE">
      <w:pPr>
        <w:spacing w:line="520" w:lineRule="exact"/>
        <w:ind w:firstLine="560" w:firstLineChars="200"/>
        <w:rPr>
          <w:rFonts w:eastAsia="楷体"/>
          <w:color w:val="auto"/>
          <w:sz w:val="28"/>
          <w:szCs w:val="28"/>
          <w:highlight w:val="none"/>
        </w:rPr>
      </w:pPr>
      <w:bookmarkStart w:id="5" w:name="_Toc242687868"/>
      <w:bookmarkStart w:id="6" w:name="_Toc251151423"/>
      <w:r>
        <w:rPr>
          <w:rFonts w:eastAsia="楷体"/>
          <w:color w:val="auto"/>
          <w:sz w:val="28"/>
          <w:szCs w:val="28"/>
          <w:highlight w:val="none"/>
        </w:rPr>
        <w:t>溢洪道位于大坝右侧，基础位于坡残积土上，</w:t>
      </w:r>
      <w:r>
        <w:rPr>
          <w:rFonts w:eastAsia="楷体"/>
          <w:color w:val="auto"/>
          <w:kern w:val="0"/>
          <w:sz w:val="28"/>
          <w:szCs w:val="28"/>
          <w:highlight w:val="none"/>
        </w:rPr>
        <w:t>型式为开敞式宽顶堰。</w:t>
      </w:r>
      <w:r>
        <w:rPr>
          <w:rFonts w:eastAsia="楷体"/>
          <w:color w:val="auto"/>
          <w:sz w:val="28"/>
          <w:szCs w:val="28"/>
          <w:highlight w:val="none"/>
        </w:rPr>
        <w:t>现状实测</w:t>
      </w:r>
      <w:r>
        <w:rPr>
          <w:rFonts w:eastAsia="楷体"/>
          <w:color w:val="auto"/>
          <w:kern w:val="0"/>
          <w:sz w:val="28"/>
          <w:szCs w:val="28"/>
          <w:highlight w:val="none"/>
        </w:rPr>
        <w:t>溢洪道堰顶高程为36.37m，</w:t>
      </w:r>
      <w:r>
        <w:rPr>
          <w:rFonts w:eastAsia="楷体"/>
          <w:color w:val="auto"/>
          <w:sz w:val="28"/>
          <w:szCs w:val="28"/>
          <w:highlight w:val="none"/>
        </w:rPr>
        <w:t>堰顶净宽5.0m</w:t>
      </w:r>
      <w:r>
        <w:rPr>
          <w:rFonts w:eastAsia="楷体"/>
          <w:color w:val="auto"/>
          <w:kern w:val="0"/>
          <w:sz w:val="28"/>
          <w:szCs w:val="28"/>
          <w:highlight w:val="none"/>
        </w:rPr>
        <w:t>。溢洪道全长94.3m</w:t>
      </w:r>
      <w:r>
        <w:rPr>
          <w:rFonts w:eastAsia="楷体"/>
          <w:color w:val="auto"/>
          <w:sz w:val="28"/>
          <w:szCs w:val="28"/>
          <w:highlight w:val="none"/>
        </w:rPr>
        <w:t>，由进口段、平流控制段、渐变段、泄槽段及消力池组成。溢洪道进口段（溢0+000.0～溢0+006.0）长6.0m，宽5.0m；平流控制段（溢0+006.0～溢0+029.0）长23.0m，净宽5.0m；渐变段（溢0+029.0～溢0+060.0）长31.0m，宽度由5.0m渐变至3.0m，平均坡降i=0.090；泄槽段（溢0+060.0～溢0+086.0）全长26.0m，净宽3.0m，平均坡降i=0.27；消力池（溢0+086.0～溢0+094.3）长8.3m，净宽3.0m，池深0.9m，底坡i=0。溢洪道全段底板与侧墙采用浆砌条石砌筑，侧墙高度1.7m～0.5m。</w:t>
      </w:r>
    </w:p>
    <w:bookmarkEnd w:id="5"/>
    <w:bookmarkEnd w:id="6"/>
    <w:p w14:paraId="747DBCD4">
      <w:pPr>
        <w:spacing w:line="520" w:lineRule="exact"/>
        <w:ind w:firstLine="560" w:firstLineChars="200"/>
        <w:rPr>
          <w:rFonts w:eastAsia="楷体"/>
          <w:color w:val="auto"/>
          <w:sz w:val="28"/>
          <w:szCs w:val="28"/>
          <w:highlight w:val="none"/>
        </w:rPr>
      </w:pPr>
      <w:r>
        <w:rPr>
          <w:rFonts w:eastAsia="楷体"/>
          <w:color w:val="auto"/>
          <w:sz w:val="28"/>
          <w:szCs w:val="28"/>
          <w:highlight w:val="none"/>
        </w:rPr>
        <w:t>丰收水库的放水涵洞位于大坝左侧，为圬工无压箱涵套φ500PE管，进口底高程29.34m，出口底高程为26.50m，全长70.5m。放水涵洞进水设施转动门盖，采用1台3t卷扬式启闭机启闭。放水涵洞最大放水流量0.43m</w:t>
      </w:r>
      <w:r>
        <w:rPr>
          <w:rFonts w:eastAsia="楷体"/>
          <w:color w:val="auto"/>
          <w:sz w:val="28"/>
          <w:szCs w:val="28"/>
          <w:highlight w:val="none"/>
          <w:vertAlign w:val="superscript"/>
        </w:rPr>
        <w:t>3</w:t>
      </w:r>
      <w:r>
        <w:rPr>
          <w:rFonts w:eastAsia="楷体"/>
          <w:color w:val="auto"/>
          <w:sz w:val="28"/>
          <w:szCs w:val="28"/>
          <w:highlight w:val="none"/>
        </w:rPr>
        <w:t>/s。</w:t>
      </w:r>
    </w:p>
    <w:p w14:paraId="31BF4613">
      <w:pPr>
        <w:spacing w:line="520" w:lineRule="exact"/>
        <w:ind w:firstLine="601"/>
        <w:rPr>
          <w:rFonts w:eastAsia="楷体"/>
          <w:color w:val="auto"/>
          <w:sz w:val="28"/>
          <w:szCs w:val="28"/>
          <w:highlight w:val="none"/>
        </w:rPr>
      </w:pPr>
      <w:r>
        <w:rPr>
          <w:rFonts w:eastAsia="楷体"/>
          <w:color w:val="auto"/>
          <w:sz w:val="28"/>
          <w:szCs w:val="28"/>
          <w:highlight w:val="none"/>
        </w:rPr>
        <w:t>该工程自建成投效以来，以农业灌溉为主，结合防洪、养殖等多方面中充分发挥了本工程的效益。水库设计灌溉面积300亩；水库下游涉及保护人口2000人，耕地3500亩，为当地农业生产和保证人民生命财产安全发挥了重要的作用。</w:t>
      </w:r>
    </w:p>
    <w:p w14:paraId="4AF2DE4D">
      <w:pPr>
        <w:pStyle w:val="4"/>
        <w:spacing w:beforeLines="50" w:afterLines="50" w:line="360" w:lineRule="auto"/>
        <w:contextualSpacing/>
        <w:rPr>
          <w:rFonts w:ascii="Times New Roman" w:hAnsi="Times New Roman" w:eastAsia="楷体"/>
          <w:color w:val="auto"/>
          <w:kern w:val="0"/>
          <w:sz w:val="28"/>
          <w:szCs w:val="28"/>
          <w:highlight w:val="none"/>
        </w:rPr>
      </w:pPr>
      <w:bookmarkStart w:id="7" w:name="_Toc13357"/>
      <w:r>
        <w:rPr>
          <w:rFonts w:ascii="Times New Roman" w:hAnsi="Times New Roman" w:eastAsia="楷体"/>
          <w:color w:val="auto"/>
          <w:kern w:val="0"/>
          <w:sz w:val="28"/>
          <w:szCs w:val="28"/>
          <w:highlight w:val="none"/>
        </w:rPr>
        <w:t>1.2 水文气象</w:t>
      </w:r>
      <w:bookmarkEnd w:id="7"/>
    </w:p>
    <w:p w14:paraId="20D419F3">
      <w:pPr>
        <w:spacing w:line="520" w:lineRule="exact"/>
        <w:ind w:firstLine="560" w:firstLineChars="200"/>
        <w:rPr>
          <w:rFonts w:eastAsia="楷体"/>
          <w:color w:val="auto"/>
          <w:sz w:val="28"/>
          <w:szCs w:val="28"/>
          <w:highlight w:val="none"/>
        </w:rPr>
      </w:pPr>
      <w:bookmarkStart w:id="8" w:name="_Toc2603"/>
      <w:r>
        <w:rPr>
          <w:rFonts w:eastAsia="楷体"/>
          <w:color w:val="auto"/>
          <w:sz w:val="28"/>
          <w:szCs w:val="28"/>
          <w:highlight w:val="none"/>
        </w:rPr>
        <w:t>丰收水库所在的坝头溪流域属属南亚热带海洋性温暖温润和中亚热带温热潮湿的两个过渡性气候区。气候温热，温度日差较小，降雨量集中，季风明显，日照充足，蒸发量大，台风活动频繁。流域年平均气温20.2℃，最热七月平均气温   27.2℃，最冷一月份平均气温11.4℃，极端最高气温37℃，极端最低气温  -0.3℃，全年基本无霜；年平均相对湿度76％，平均水气压19.9hPa；日照时数2150hr，日照率48％；雾多发生于春季和秋季月份的下半夜到清晨，年平均雾日数约为6～7天。</w:t>
      </w:r>
    </w:p>
    <w:p w14:paraId="3862D8CF">
      <w:pPr>
        <w:spacing w:line="520" w:lineRule="exact"/>
        <w:ind w:firstLine="560" w:firstLineChars="200"/>
        <w:rPr>
          <w:rFonts w:eastAsia="楷体"/>
          <w:color w:val="auto"/>
          <w:sz w:val="28"/>
          <w:szCs w:val="28"/>
          <w:highlight w:val="none"/>
        </w:rPr>
      </w:pPr>
      <w:r>
        <w:rPr>
          <w:rFonts w:eastAsia="楷体"/>
          <w:color w:val="auto"/>
          <w:sz w:val="28"/>
          <w:szCs w:val="28"/>
          <w:highlight w:val="none"/>
        </w:rPr>
        <w:t>该流域地处东南沿海，属亚热带海洋性季风气候，季风明显，气候温热，气温日差小，蒸发量大，降雨量集中在夏秋之间，台风影响频繁。本流域受热带季风影响，降水充沛，但存在明显的季风性变化。</w:t>
      </w:r>
      <w:r>
        <w:rPr>
          <w:rFonts w:hint="eastAsia" w:ascii="仿宋_GB2312" w:hAnsi="仿宋_GB2312" w:eastAsia="仿宋_GB2312" w:cs="仿宋_GB2312"/>
          <w:color w:val="auto"/>
          <w:sz w:val="28"/>
          <w:szCs w:val="28"/>
          <w:highlight w:val="none"/>
        </w:rPr>
        <w:t>降水年际及年内变化大，最丰年份和最枯年份之比各站均在3倍左</w:t>
      </w:r>
      <w:r>
        <w:rPr>
          <w:rFonts w:eastAsia="楷体"/>
          <w:color w:val="auto"/>
          <w:sz w:val="28"/>
          <w:szCs w:val="28"/>
          <w:highlight w:val="none"/>
        </w:rPr>
        <w:t>右。主要降水为3～4月的春雨、5～6月的锋面雨和8～9月的台风雨，平均每年有3～5此台风登陆或影响本流域，流域年平均降水量1325mm，5～8月4各月的降水量约占全年的60%，最大一日降雨量152.14mm。</w:t>
      </w:r>
    </w:p>
    <w:p w14:paraId="099CB7C6">
      <w:pPr>
        <w:pStyle w:val="4"/>
        <w:spacing w:beforeLines="50" w:afterLines="50" w:line="360" w:lineRule="auto"/>
        <w:contextualSpacing/>
        <w:rPr>
          <w:rFonts w:ascii="Times New Roman" w:hAnsi="Times New Roman" w:eastAsia="楷体"/>
          <w:color w:val="auto"/>
          <w:kern w:val="0"/>
          <w:sz w:val="28"/>
          <w:szCs w:val="28"/>
          <w:highlight w:val="none"/>
        </w:rPr>
      </w:pPr>
      <w:r>
        <w:rPr>
          <w:rFonts w:ascii="Times New Roman" w:hAnsi="Times New Roman" w:eastAsia="楷体"/>
          <w:color w:val="auto"/>
          <w:kern w:val="0"/>
          <w:sz w:val="28"/>
          <w:szCs w:val="28"/>
          <w:highlight w:val="none"/>
        </w:rPr>
        <w:t>1.3 流域特性</w:t>
      </w:r>
      <w:bookmarkEnd w:id="8"/>
    </w:p>
    <w:p w14:paraId="6E0B3776">
      <w:pPr>
        <w:spacing w:line="520" w:lineRule="exact"/>
        <w:ind w:firstLine="601"/>
        <w:rPr>
          <w:rFonts w:eastAsia="楷体"/>
          <w:color w:val="auto"/>
          <w:sz w:val="28"/>
          <w:szCs w:val="28"/>
          <w:highlight w:val="none"/>
        </w:rPr>
      </w:pPr>
      <w:r>
        <w:rPr>
          <w:rFonts w:hAnsi="楷体" w:eastAsia="楷体"/>
          <w:color w:val="auto"/>
          <w:sz w:val="28"/>
          <w:szCs w:val="28"/>
          <w:highlight w:val="none"/>
        </w:rPr>
        <w:t>坝头溪流域处于福建省中部沿海的湄洲湾南岸泉州市泉港区境内，与惠安、仙游、莆田接壤，并与台湾隔海相望，是泉港区主要河流。坝头溪发源于泉港区涂岭镇的吊船山，总流域面积</w:t>
      </w:r>
      <w:r>
        <w:rPr>
          <w:rFonts w:eastAsia="楷体"/>
          <w:color w:val="auto"/>
          <w:sz w:val="28"/>
          <w:szCs w:val="28"/>
          <w:highlight w:val="none"/>
        </w:rPr>
        <w:t>97.8km</w:t>
      </w:r>
      <w:r>
        <w:rPr>
          <w:rFonts w:eastAsia="楷体"/>
          <w:color w:val="auto"/>
          <w:sz w:val="28"/>
          <w:szCs w:val="28"/>
          <w:highlight w:val="none"/>
          <w:vertAlign w:val="superscript"/>
        </w:rPr>
        <w:t>2</w:t>
      </w:r>
      <w:r>
        <w:rPr>
          <w:rFonts w:hAnsi="楷体" w:eastAsia="楷体"/>
          <w:color w:val="auto"/>
          <w:sz w:val="28"/>
          <w:szCs w:val="28"/>
          <w:highlight w:val="none"/>
        </w:rPr>
        <w:t>，河道长度</w:t>
      </w:r>
      <w:r>
        <w:rPr>
          <w:rFonts w:eastAsia="楷体"/>
          <w:color w:val="auto"/>
          <w:sz w:val="28"/>
          <w:szCs w:val="28"/>
          <w:highlight w:val="none"/>
        </w:rPr>
        <w:t>23.7km</w:t>
      </w:r>
      <w:r>
        <w:rPr>
          <w:rFonts w:hAnsi="楷体" w:eastAsia="楷体"/>
          <w:color w:val="auto"/>
          <w:sz w:val="28"/>
          <w:szCs w:val="28"/>
          <w:highlight w:val="none"/>
        </w:rPr>
        <w:t>，平均坡降</w:t>
      </w:r>
      <w:r>
        <w:rPr>
          <w:rFonts w:eastAsia="楷体"/>
          <w:color w:val="auto"/>
          <w:sz w:val="28"/>
          <w:szCs w:val="28"/>
          <w:highlight w:val="none"/>
        </w:rPr>
        <w:t>1.30‰</w:t>
      </w:r>
      <w:r>
        <w:rPr>
          <w:rFonts w:hAnsi="楷体" w:eastAsia="楷体"/>
          <w:color w:val="auto"/>
          <w:sz w:val="28"/>
          <w:szCs w:val="28"/>
          <w:highlight w:val="none"/>
        </w:rPr>
        <w:t>。流域上游属山地，中下游地势低洼平坦，沟渠纵横交错，地势呈西北向海面倾斜，地形以盆地、丘陵为主。中上游有泗州水库，集雨面积</w:t>
      </w:r>
      <w:r>
        <w:rPr>
          <w:rFonts w:eastAsia="楷体"/>
          <w:color w:val="auto"/>
          <w:sz w:val="28"/>
          <w:szCs w:val="28"/>
          <w:highlight w:val="none"/>
        </w:rPr>
        <w:t>21.4km</w:t>
      </w:r>
      <w:r>
        <w:rPr>
          <w:rFonts w:eastAsia="楷体"/>
          <w:color w:val="auto"/>
          <w:sz w:val="28"/>
          <w:szCs w:val="28"/>
          <w:highlight w:val="none"/>
          <w:vertAlign w:val="superscript"/>
        </w:rPr>
        <w:t>2</w:t>
      </w:r>
      <w:r>
        <w:rPr>
          <w:rFonts w:hAnsi="楷体" w:eastAsia="楷体"/>
          <w:color w:val="auto"/>
          <w:sz w:val="28"/>
          <w:szCs w:val="28"/>
          <w:highlight w:val="none"/>
        </w:rPr>
        <w:t>，总库容</w:t>
      </w:r>
      <w:r>
        <w:rPr>
          <w:rFonts w:eastAsia="楷体"/>
          <w:color w:val="auto"/>
          <w:sz w:val="28"/>
          <w:szCs w:val="28"/>
          <w:highlight w:val="none"/>
        </w:rPr>
        <w:t>1957</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，兴利库容</w:t>
      </w:r>
      <w:r>
        <w:rPr>
          <w:rFonts w:eastAsia="楷体"/>
          <w:color w:val="auto"/>
          <w:sz w:val="28"/>
          <w:szCs w:val="28"/>
          <w:highlight w:val="none"/>
        </w:rPr>
        <w:t>1232</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w:t>
      </w:r>
    </w:p>
    <w:p w14:paraId="316906FF">
      <w:pPr>
        <w:spacing w:line="520" w:lineRule="exact"/>
        <w:ind w:firstLine="601"/>
        <w:rPr>
          <w:rFonts w:eastAsia="楷体"/>
          <w:color w:val="auto"/>
          <w:sz w:val="28"/>
          <w:szCs w:val="28"/>
          <w:highlight w:val="none"/>
        </w:rPr>
      </w:pPr>
      <w:r>
        <w:rPr>
          <w:rFonts w:eastAsia="楷体"/>
          <w:color w:val="auto"/>
          <w:sz w:val="28"/>
          <w:szCs w:val="28"/>
          <w:highlight w:val="none"/>
        </w:rPr>
        <w:t>丰收水库位于泉港区前黄镇古县村，系属坝头溪支流，是一座以农业灌溉为主，结合防洪、养殖等综合利用的小（2）型水库。丰收水库始建于1966年5月，1971年2月竣工并投入运行。坝址以上控制流域面积为0.28km</w:t>
      </w:r>
      <w:r>
        <w:rPr>
          <w:rFonts w:eastAsia="楷体"/>
          <w:color w:val="auto"/>
          <w:sz w:val="28"/>
          <w:szCs w:val="28"/>
          <w:highlight w:val="none"/>
          <w:vertAlign w:val="superscript"/>
        </w:rPr>
        <w:t>2</w:t>
      </w:r>
      <w:r>
        <w:rPr>
          <w:rFonts w:eastAsia="楷体"/>
          <w:color w:val="auto"/>
          <w:sz w:val="28"/>
          <w:szCs w:val="28"/>
          <w:highlight w:val="none"/>
        </w:rPr>
        <w:t>，主河道长0.8km，河道比降36.2‰，设计洪水位（P=5%）36.94m，校核洪水位（P=0.33%）37.21m，水库总库容21.60万m</w:t>
      </w:r>
      <w:r>
        <w:rPr>
          <w:rFonts w:eastAsia="楷体"/>
          <w:color w:val="auto"/>
          <w:sz w:val="28"/>
          <w:szCs w:val="28"/>
          <w:highlight w:val="none"/>
          <w:vertAlign w:val="superscript"/>
        </w:rPr>
        <w:t>3</w:t>
      </w:r>
      <w:r>
        <w:rPr>
          <w:rFonts w:eastAsia="楷体"/>
          <w:color w:val="auto"/>
          <w:sz w:val="28"/>
          <w:szCs w:val="28"/>
          <w:highlight w:val="none"/>
        </w:rPr>
        <w:t>，正常蓄水位36.37m。</w:t>
      </w:r>
    </w:p>
    <w:p w14:paraId="1BCBE9E9">
      <w:pPr>
        <w:pStyle w:val="3"/>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br w:type="page"/>
      </w:r>
      <w:bookmarkStart w:id="9" w:name="_Toc30894"/>
      <w:r>
        <w:rPr>
          <w:rFonts w:eastAsia="楷体"/>
          <w:color w:val="auto"/>
          <w:kern w:val="0"/>
          <w:sz w:val="32"/>
          <w:szCs w:val="32"/>
          <w:highlight w:val="none"/>
        </w:rPr>
        <w:t>2  水库大坝安全运行状况</w:t>
      </w:r>
      <w:bookmarkEnd w:id="9"/>
    </w:p>
    <w:p w14:paraId="1697F381">
      <w:pPr>
        <w:pStyle w:val="4"/>
        <w:spacing w:beforeLines="50" w:afterLines="50" w:line="360" w:lineRule="auto"/>
        <w:contextualSpacing/>
        <w:rPr>
          <w:rFonts w:ascii="Times New Roman" w:hAnsi="Times New Roman" w:eastAsia="楷体"/>
          <w:color w:val="auto"/>
          <w:kern w:val="0"/>
          <w:sz w:val="28"/>
          <w:szCs w:val="28"/>
          <w:highlight w:val="none"/>
        </w:rPr>
      </w:pPr>
      <w:bookmarkStart w:id="10" w:name="_Toc5344"/>
      <w:r>
        <w:rPr>
          <w:rFonts w:ascii="Times New Roman" w:hAnsi="Times New Roman" w:eastAsia="楷体"/>
          <w:color w:val="auto"/>
          <w:kern w:val="0"/>
          <w:sz w:val="28"/>
          <w:szCs w:val="28"/>
          <w:highlight w:val="none"/>
        </w:rPr>
        <w:t>2.1 工程运行管理</w:t>
      </w:r>
      <w:bookmarkEnd w:id="10"/>
    </w:p>
    <w:p w14:paraId="3222F288">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2.1.1 水库的管理机构</w:t>
      </w:r>
    </w:p>
    <w:p w14:paraId="0A09BB1F">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丰收水库的主管部门为</w:t>
      </w:r>
      <w:r>
        <w:rPr>
          <w:rFonts w:hint="eastAsia" w:eastAsia="楷体"/>
          <w:color w:val="auto"/>
          <w:kern w:val="0"/>
          <w:sz w:val="28"/>
          <w:szCs w:val="28"/>
          <w:highlight w:val="none"/>
          <w:lang w:eastAsia="zh-CN"/>
        </w:rPr>
        <w:t>前黄镇人民政府</w:t>
      </w:r>
      <w:r>
        <w:rPr>
          <w:rFonts w:eastAsia="楷体"/>
          <w:color w:val="auto"/>
          <w:kern w:val="0"/>
          <w:sz w:val="28"/>
          <w:szCs w:val="28"/>
          <w:highlight w:val="none"/>
        </w:rPr>
        <w:t>，管理机构为前黄镇古县村委会。</w:t>
      </w:r>
    </w:p>
    <w:p w14:paraId="31E192ED">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2.1.2 水库大坝管理规章制度</w:t>
      </w:r>
    </w:p>
    <w:p w14:paraId="57BDDC0A">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丰收水库管理处根据《中华人民共和国水法》、《水库大坝安全管理条例》、《水库工程管理通则》、《福建省防洪条例》、《福建省水法实施办法》、《土石坝安全监测技术规范》、《土石坝安全监测资料整编规程》等管理法规，结合本水库的具体情况，制度了大坝运行管理工作的各项相应的规章制度。</w:t>
      </w:r>
    </w:p>
    <w:p w14:paraId="34BEB16F">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2.1.3 大坝运行管理</w:t>
      </w:r>
    </w:p>
    <w:p w14:paraId="61A143CE">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工程运行管理的重点对象有6项：（1）枢纽工程范围内的3大建筑物（大坝、溢洪道和输水涵洞）；（2）各类监测设施和观测标志；（3）各类型防洪报汛的设施和设备；（4）坝区的防汛公路；（5）灌区农业灌溉、乡镇生活、工业供水等水量调度运用；（6）水雨情观测和防洪调度。</w:t>
      </w:r>
    </w:p>
    <w:p w14:paraId="78682BED">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工程运行管理的工作内容主要有：（1）遵照水利各项方针、政策、法律、法规和有关上级部门的指示，严格执行，认真完成各项任务；（2）按规范进行巡视检查，位移、渗流观测，大坝维修养护等，随时掌握工程运行动态，及时消除工程一般性和特殊性缺陷；（3）认真做好水文（特别是洪水期）预报，及时掌握水情、雨情、旱情，了解气象预报。做好水库调度运用和度汛计划，上报审批后严格执行。每场大洪水后，水库都能及时分析雨情、水情、调度方案等，总结经验，找出不足，不断提高调度水平。</w:t>
      </w:r>
    </w:p>
    <w:p w14:paraId="37A3B485">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从大坝近几年的运行情况看，丰收水库管理处基本能按照根据《中华人民共和国水法》、《水库大坝安全管理条例》、《水库工程管理通则》等水管理法规，结合水库自身具体情况，制定大坝运行管理工作的各项规章制度，开展大坝安全检查与维护制度，防汛值班制度，严格执行工程运行管理制度，对水库进行运行调度，整体运行管理状况良好。</w:t>
      </w:r>
    </w:p>
    <w:p w14:paraId="79AAFF3F">
      <w:pPr>
        <w:pStyle w:val="4"/>
        <w:spacing w:beforeLines="50" w:afterLines="50" w:line="360" w:lineRule="auto"/>
        <w:contextualSpacing/>
        <w:rPr>
          <w:rFonts w:ascii="Times New Roman" w:hAnsi="Times New Roman" w:eastAsia="楷体"/>
          <w:color w:val="auto"/>
          <w:kern w:val="0"/>
          <w:sz w:val="28"/>
          <w:szCs w:val="28"/>
          <w:highlight w:val="none"/>
        </w:rPr>
      </w:pPr>
      <w:bookmarkStart w:id="11" w:name="_Toc7561"/>
      <w:r>
        <w:rPr>
          <w:rFonts w:ascii="Times New Roman" w:hAnsi="Times New Roman" w:eastAsia="楷体"/>
          <w:color w:val="auto"/>
          <w:kern w:val="0"/>
          <w:sz w:val="28"/>
          <w:szCs w:val="28"/>
          <w:highlight w:val="none"/>
        </w:rPr>
        <w:t>2.2 工程安全状况分析评价</w:t>
      </w:r>
      <w:bookmarkEnd w:id="11"/>
    </w:p>
    <w:p w14:paraId="1594CD6C">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2.2.1 安全鉴定情况</w:t>
      </w:r>
    </w:p>
    <w:p w14:paraId="6D2A9AEE">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201</w:t>
      </w:r>
      <w:r>
        <w:rPr>
          <w:rFonts w:hint="eastAsia" w:eastAsia="楷体"/>
          <w:color w:val="auto"/>
          <w:kern w:val="0"/>
          <w:sz w:val="28"/>
          <w:szCs w:val="28"/>
          <w:highlight w:val="none"/>
          <w:lang w:val="en-US" w:eastAsia="zh-CN"/>
        </w:rPr>
        <w:t>8</w:t>
      </w:r>
      <w:r>
        <w:rPr>
          <w:rFonts w:eastAsia="楷体"/>
          <w:color w:val="auto"/>
          <w:kern w:val="0"/>
          <w:sz w:val="28"/>
          <w:szCs w:val="28"/>
          <w:highlight w:val="none"/>
        </w:rPr>
        <w:t>年</w:t>
      </w:r>
      <w:r>
        <w:rPr>
          <w:rFonts w:hint="eastAsia" w:eastAsia="楷体"/>
          <w:color w:val="auto"/>
          <w:kern w:val="0"/>
          <w:sz w:val="28"/>
          <w:szCs w:val="28"/>
          <w:highlight w:val="none"/>
          <w:lang w:val="en-US" w:eastAsia="zh-CN"/>
        </w:rPr>
        <w:t>9</w:t>
      </w:r>
      <w:r>
        <w:rPr>
          <w:rFonts w:eastAsia="楷体"/>
          <w:color w:val="auto"/>
          <w:kern w:val="0"/>
          <w:sz w:val="28"/>
          <w:szCs w:val="28"/>
          <w:highlight w:val="none"/>
        </w:rPr>
        <w:t>月，</w:t>
      </w:r>
      <w:r>
        <w:rPr>
          <w:rFonts w:hint="eastAsia" w:eastAsia="楷体"/>
          <w:color w:val="auto"/>
          <w:sz w:val="28"/>
          <w:szCs w:val="28"/>
          <w:highlight w:val="none"/>
          <w:lang w:eastAsia="zh-CN"/>
        </w:rPr>
        <w:t>前黄镇人民政府</w:t>
      </w:r>
      <w:r>
        <w:rPr>
          <w:rFonts w:hint="eastAsia" w:eastAsia="楷体"/>
          <w:color w:val="auto"/>
          <w:sz w:val="28"/>
          <w:szCs w:val="28"/>
          <w:highlight w:val="none"/>
        </w:rPr>
        <w:t>组织对丰收水库进行安全鉴定</w:t>
      </w:r>
      <w:r>
        <w:rPr>
          <w:rFonts w:eastAsia="楷体"/>
          <w:color w:val="auto"/>
          <w:kern w:val="0"/>
          <w:sz w:val="28"/>
          <w:szCs w:val="28"/>
          <w:highlight w:val="none"/>
        </w:rPr>
        <w:t>。同年</w:t>
      </w:r>
      <w:r>
        <w:rPr>
          <w:rFonts w:hint="eastAsia" w:eastAsia="楷体"/>
          <w:color w:val="auto"/>
          <w:kern w:val="0"/>
          <w:sz w:val="28"/>
          <w:szCs w:val="28"/>
          <w:highlight w:val="none"/>
          <w:lang w:val="en-US" w:eastAsia="zh-CN"/>
        </w:rPr>
        <w:t>9</w:t>
      </w:r>
      <w:r>
        <w:rPr>
          <w:rFonts w:eastAsia="楷体"/>
          <w:color w:val="auto"/>
          <w:kern w:val="0"/>
          <w:sz w:val="28"/>
          <w:szCs w:val="28"/>
          <w:highlight w:val="none"/>
        </w:rPr>
        <w:t>月</w:t>
      </w:r>
      <w:r>
        <w:rPr>
          <w:rFonts w:hint="eastAsia" w:eastAsia="楷体"/>
          <w:color w:val="auto"/>
          <w:kern w:val="0"/>
          <w:sz w:val="28"/>
          <w:szCs w:val="28"/>
          <w:highlight w:val="none"/>
          <w:lang w:val="en-US" w:eastAsia="zh-CN"/>
        </w:rPr>
        <w:t>30</w:t>
      </w:r>
      <w:r>
        <w:rPr>
          <w:rFonts w:eastAsia="楷体"/>
          <w:color w:val="auto"/>
          <w:kern w:val="0"/>
          <w:sz w:val="28"/>
          <w:szCs w:val="28"/>
          <w:highlight w:val="none"/>
        </w:rPr>
        <w:t>日，</w:t>
      </w:r>
      <w:r>
        <w:rPr>
          <w:rFonts w:hint="eastAsia" w:eastAsia="楷体"/>
          <w:color w:val="auto"/>
          <w:kern w:val="0"/>
          <w:sz w:val="28"/>
          <w:szCs w:val="28"/>
          <w:highlight w:val="none"/>
        </w:rPr>
        <w:t>泉港区农林水局</w:t>
      </w:r>
      <w:r>
        <w:rPr>
          <w:rFonts w:eastAsia="楷体"/>
          <w:color w:val="auto"/>
          <w:kern w:val="0"/>
          <w:sz w:val="28"/>
          <w:szCs w:val="28"/>
          <w:highlight w:val="none"/>
        </w:rPr>
        <w:t>组织审查通过了该大坝安全评价报告，安全鉴定主要结论如下：</w:t>
      </w:r>
    </w:p>
    <w:p w14:paraId="0D17004B">
      <w:pPr>
        <w:spacing w:line="520" w:lineRule="exact"/>
        <w:ind w:firstLine="560" w:firstLineChars="200"/>
        <w:rPr>
          <w:rFonts w:eastAsia="楷体"/>
          <w:color w:val="auto"/>
          <w:sz w:val="28"/>
          <w:szCs w:val="28"/>
          <w:highlight w:val="none"/>
        </w:rPr>
      </w:pPr>
      <w:r>
        <w:rPr>
          <w:rFonts w:eastAsia="楷体"/>
          <w:color w:val="auto"/>
          <w:sz w:val="28"/>
          <w:szCs w:val="28"/>
          <w:highlight w:val="none"/>
        </w:rPr>
        <w:t>（1）</w:t>
      </w:r>
      <w:r>
        <w:rPr>
          <w:rFonts w:hint="eastAsia" w:eastAsia="楷体"/>
          <w:color w:val="auto"/>
          <w:sz w:val="28"/>
          <w:szCs w:val="28"/>
          <w:highlight w:val="none"/>
        </w:rPr>
        <w:t>工程存在的主要问题：</w:t>
      </w:r>
    </w:p>
    <w:p w14:paraId="343E5879">
      <w:pPr>
        <w:spacing w:line="520" w:lineRule="exact"/>
        <w:ind w:firstLine="560" w:firstLineChars="200"/>
        <w:rPr>
          <w:rFonts w:hint="eastAsia" w:eastAsia="楷体"/>
          <w:color w:val="auto"/>
          <w:sz w:val="28"/>
          <w:szCs w:val="28"/>
          <w:highlight w:val="none"/>
          <w:lang w:eastAsia="zh-CN"/>
        </w:rPr>
      </w:pPr>
      <w:r>
        <w:rPr>
          <w:rFonts w:hint="eastAsia" w:eastAsia="楷体"/>
          <w:color w:val="auto"/>
          <w:sz w:val="28"/>
          <w:szCs w:val="28"/>
          <w:highlight w:val="none"/>
          <w:lang w:val="en-US" w:eastAsia="zh-CN"/>
        </w:rPr>
        <w:t>1</w:t>
      </w:r>
      <w:r>
        <w:rPr>
          <w:rFonts w:hint="eastAsia" w:eastAsia="楷体"/>
          <w:color w:val="auto"/>
          <w:sz w:val="28"/>
          <w:szCs w:val="28"/>
          <w:highlight w:val="none"/>
          <w:lang w:eastAsia="zh-CN"/>
        </w:rPr>
        <w:t>）大坝和放水涵洞出口段局部长有杂草。</w:t>
      </w:r>
    </w:p>
    <w:p w14:paraId="06835F3D">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2）溢洪道的控制段内有较大的块石，局部长有杂草和灌木，影响正常泄洪。溢洪道末端存在渗漏现象。</w:t>
      </w:r>
    </w:p>
    <w:p w14:paraId="0EACFFE8">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3）水库目前无位移、渗漏等观测设施。</w:t>
      </w:r>
    </w:p>
    <w:p w14:paraId="704A4BFC">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4）水库暂无管理房。</w:t>
      </w:r>
    </w:p>
    <w:p w14:paraId="238D8F8D">
      <w:pPr>
        <w:spacing w:line="520" w:lineRule="exact"/>
        <w:ind w:firstLine="560" w:firstLineChars="200"/>
        <w:rPr>
          <w:rFonts w:hint="eastAsia" w:eastAsia="楷体"/>
          <w:color w:val="auto"/>
          <w:sz w:val="28"/>
          <w:szCs w:val="28"/>
          <w:highlight w:val="none"/>
          <w:lang w:eastAsia="zh-CN"/>
        </w:rPr>
      </w:pPr>
      <w:r>
        <w:rPr>
          <w:rFonts w:hint="eastAsia" w:eastAsia="楷体"/>
          <w:color w:val="auto"/>
          <w:sz w:val="28"/>
          <w:szCs w:val="28"/>
          <w:highlight w:val="none"/>
          <w:lang w:val="en-US" w:eastAsia="zh-CN"/>
        </w:rPr>
        <w:t>5）水库淤积现象较为严重。</w:t>
      </w:r>
    </w:p>
    <w:p w14:paraId="0C25A53A">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（2）对运行管理或除险加固的意见和建议：</w:t>
      </w:r>
    </w:p>
    <w:p w14:paraId="37D26DFC">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1)对水库库区进行清淤。</w:t>
      </w:r>
    </w:p>
    <w:p w14:paraId="58343205">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2)增设位移观测、渗流观测、渗漏量监测等大坝安全监测设施。</w:t>
      </w:r>
    </w:p>
    <w:p w14:paraId="3E30E58D">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3)清除坝顶、坝坡及溢洪道等部位的杂草、杂物及块石，加固并修复溢洪道未端漏水部位，并应定期做好</w:t>
      </w:r>
      <w:r>
        <w:rPr>
          <w:rFonts w:hint="eastAsia" w:eastAsia="楷体"/>
          <w:color w:val="auto"/>
          <w:sz w:val="28"/>
          <w:szCs w:val="28"/>
          <w:highlight w:val="none"/>
          <w:lang w:eastAsia="zh-CN"/>
        </w:rPr>
        <w:t>日</w:t>
      </w:r>
      <w:r>
        <w:rPr>
          <w:rFonts w:hint="eastAsia" w:eastAsia="楷体"/>
          <w:color w:val="auto"/>
          <w:sz w:val="28"/>
          <w:szCs w:val="28"/>
          <w:highlight w:val="none"/>
        </w:rPr>
        <w:t>常维护工作。</w:t>
      </w:r>
    </w:p>
    <w:p w14:paraId="735DF624">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4)新建管理房。</w:t>
      </w:r>
    </w:p>
    <w:p w14:paraId="4A2434B4">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5)加强水库日常的巡视，发现问题，及时处理，确保水库的正常运作。</w:t>
      </w:r>
    </w:p>
    <w:p w14:paraId="2795B659">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6)对金属结构应定期进行维护。</w:t>
      </w:r>
    </w:p>
    <w:p w14:paraId="798A2261">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7)认真做好大坝资料的整编分析及归档工作，发现异常及时上报主管部门。</w:t>
      </w:r>
    </w:p>
    <w:p w14:paraId="7CFB046E">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（3）安全鉴定结论：</w:t>
      </w:r>
    </w:p>
    <w:p w14:paraId="4C944B5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丰收水库大坝经各专项分析评价，结论如下：</w:t>
      </w:r>
    </w:p>
    <w:p w14:paraId="4DFD84F3">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1）工程质量评价为</w:t>
      </w:r>
      <w:r>
        <w:rPr>
          <w:rFonts w:hint="eastAsia" w:eastAsia="楷体"/>
          <w:color w:val="auto"/>
          <w:sz w:val="28"/>
          <w:szCs w:val="28"/>
          <w:highlight w:val="none"/>
          <w:lang w:eastAsia="zh-CN"/>
        </w:rPr>
        <w:t>基本</w:t>
      </w:r>
      <w:r>
        <w:rPr>
          <w:rFonts w:hint="eastAsia" w:eastAsia="楷体"/>
          <w:color w:val="auto"/>
          <w:sz w:val="28"/>
          <w:szCs w:val="28"/>
          <w:highlight w:val="none"/>
        </w:rPr>
        <w:t>合格。</w:t>
      </w:r>
    </w:p>
    <w:p w14:paraId="1E3749EA">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2）大坝运行管理方面评价为较</w:t>
      </w:r>
      <w:r>
        <w:rPr>
          <w:rFonts w:hint="eastAsia" w:eastAsia="楷体"/>
          <w:color w:val="auto"/>
          <w:sz w:val="28"/>
          <w:szCs w:val="28"/>
          <w:highlight w:val="none"/>
          <w:lang w:eastAsia="zh-CN"/>
        </w:rPr>
        <w:t>规范</w:t>
      </w:r>
      <w:r>
        <w:rPr>
          <w:rFonts w:hint="eastAsia" w:eastAsia="楷体"/>
          <w:color w:val="auto"/>
          <w:sz w:val="28"/>
          <w:szCs w:val="28"/>
          <w:highlight w:val="none"/>
        </w:rPr>
        <w:t>。</w:t>
      </w:r>
    </w:p>
    <w:p w14:paraId="02BB2950">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3）防洪安全性评价为</w:t>
      </w:r>
      <w:r>
        <w:rPr>
          <w:rFonts w:hint="eastAsia" w:eastAsia="楷体"/>
          <w:color w:val="auto"/>
          <w:sz w:val="28"/>
          <w:szCs w:val="28"/>
          <w:highlight w:val="none"/>
          <w:lang w:val="en-US" w:eastAsia="zh-CN"/>
        </w:rPr>
        <w:t>B</w:t>
      </w:r>
      <w:r>
        <w:rPr>
          <w:rFonts w:hint="eastAsia" w:eastAsia="楷体"/>
          <w:color w:val="auto"/>
          <w:sz w:val="28"/>
          <w:szCs w:val="28"/>
          <w:highlight w:val="none"/>
        </w:rPr>
        <w:t>级。</w:t>
      </w:r>
    </w:p>
    <w:p w14:paraId="2923AB00">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4）</w:t>
      </w:r>
      <w:r>
        <w:rPr>
          <w:rFonts w:hint="eastAsia" w:eastAsia="楷体"/>
          <w:color w:val="auto"/>
          <w:sz w:val="28"/>
          <w:szCs w:val="28"/>
          <w:highlight w:val="none"/>
          <w:lang w:eastAsia="zh-CN"/>
        </w:rPr>
        <w:t>结构</w:t>
      </w:r>
      <w:r>
        <w:rPr>
          <w:rFonts w:hint="eastAsia" w:eastAsia="楷体"/>
          <w:color w:val="auto"/>
          <w:sz w:val="28"/>
          <w:szCs w:val="28"/>
          <w:highlight w:val="none"/>
        </w:rPr>
        <w:t>安全评价为B级。</w:t>
      </w:r>
    </w:p>
    <w:p w14:paraId="6FFE775F">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5）</w:t>
      </w:r>
      <w:r>
        <w:rPr>
          <w:rFonts w:hint="eastAsia" w:eastAsia="楷体"/>
          <w:color w:val="auto"/>
          <w:sz w:val="28"/>
          <w:szCs w:val="28"/>
          <w:highlight w:val="none"/>
          <w:lang w:eastAsia="zh-CN"/>
        </w:rPr>
        <w:t>渗流</w:t>
      </w:r>
      <w:r>
        <w:rPr>
          <w:rFonts w:hint="eastAsia" w:eastAsia="楷体"/>
          <w:color w:val="auto"/>
          <w:sz w:val="28"/>
          <w:szCs w:val="28"/>
          <w:highlight w:val="none"/>
        </w:rPr>
        <w:t>安全评价为B级。</w:t>
      </w:r>
    </w:p>
    <w:p w14:paraId="4DF7BD8A">
      <w:pPr>
        <w:spacing w:line="520" w:lineRule="exact"/>
        <w:ind w:firstLine="560" w:firstLineChars="200"/>
        <w:rPr>
          <w:rFonts w:hint="default" w:eastAsia="楷体"/>
          <w:color w:val="auto"/>
          <w:sz w:val="28"/>
          <w:szCs w:val="28"/>
          <w:highlight w:val="none"/>
          <w:lang w:val="en-US" w:eastAsia="zh-CN"/>
        </w:rPr>
      </w:pPr>
      <w:r>
        <w:rPr>
          <w:rFonts w:hint="eastAsia" w:eastAsia="楷体"/>
          <w:color w:val="auto"/>
          <w:sz w:val="28"/>
          <w:szCs w:val="28"/>
          <w:highlight w:val="none"/>
          <w:lang w:val="en-US" w:eastAsia="zh-CN"/>
        </w:rPr>
        <w:t>6）抗震安全评价为A级。</w:t>
      </w:r>
    </w:p>
    <w:p w14:paraId="4DCE4770">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val="en-US" w:eastAsia="zh-CN"/>
        </w:rPr>
        <w:t>7</w:t>
      </w:r>
      <w:r>
        <w:rPr>
          <w:rFonts w:hint="eastAsia" w:eastAsia="楷体"/>
          <w:color w:val="auto"/>
          <w:sz w:val="28"/>
          <w:szCs w:val="28"/>
          <w:highlight w:val="none"/>
        </w:rPr>
        <w:t>）金属安全评价为B级。</w:t>
      </w:r>
    </w:p>
    <w:p w14:paraId="18F2C6F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综合大坝工程各专项安全性分析结果，评定丰收水库大坝为</w:t>
      </w:r>
      <w:r>
        <w:rPr>
          <w:rFonts w:hint="eastAsia" w:eastAsia="楷体"/>
          <w:color w:val="auto"/>
          <w:sz w:val="28"/>
          <w:szCs w:val="28"/>
          <w:highlight w:val="none"/>
          <w:lang w:eastAsia="zh-CN"/>
        </w:rPr>
        <w:t>二</w:t>
      </w:r>
      <w:r>
        <w:rPr>
          <w:rFonts w:hint="eastAsia" w:eastAsia="楷体"/>
          <w:color w:val="auto"/>
          <w:sz w:val="28"/>
          <w:szCs w:val="28"/>
          <w:highlight w:val="none"/>
        </w:rPr>
        <w:t>类坝。</w:t>
      </w:r>
    </w:p>
    <w:p w14:paraId="6D8CF0EF">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2.2.2 水库除险加固情况</w:t>
      </w:r>
    </w:p>
    <w:p w14:paraId="48FFFA1A">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2012年3月，泉港区农林水局委托设计单位进行水库大坝除险加固工程设计</w:t>
      </w:r>
      <w:r>
        <w:rPr>
          <w:rFonts w:eastAsia="楷体"/>
          <w:color w:val="auto"/>
          <w:sz w:val="28"/>
          <w:szCs w:val="28"/>
          <w:highlight w:val="none"/>
        </w:rPr>
        <w:t>；</w:t>
      </w:r>
      <w:r>
        <w:rPr>
          <w:rFonts w:hint="eastAsia" w:eastAsia="楷体"/>
          <w:color w:val="auto"/>
          <w:sz w:val="28"/>
          <w:szCs w:val="28"/>
          <w:highlight w:val="none"/>
        </w:rPr>
        <w:t>2012年12月～2013年10月进行水库除险加固施工，主要工程措施：</w:t>
      </w:r>
    </w:p>
    <w:p w14:paraId="0577D60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（1）大坝加固工程</w:t>
      </w:r>
    </w:p>
    <w:p w14:paraId="6003547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1）坝坡加固工程</w:t>
      </w:r>
    </w:p>
    <w:p w14:paraId="0103ABF5">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坝坡加固工程包括以下项目：</w:t>
      </w:r>
    </w:p>
    <w:p w14:paraId="1148794E">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①迎水坡：对29.34m高程以上的大坝迎水坡进行全面的翻砌，对平台以上坝坡按1:2进行削坡。然后在死水位即高程29.34m处设M7.5浆砌条石基础，从死水位开始从下往上依次铺设100mm厚的砂垫层、100mm厚的碎石垫层和250mm厚的干砌块石护坡（利旧率65%），迎水坡平台外侧设M7.5浆砌条石压顶，内侧设M7.5浆砌条石基础，再对正常蓄水位以上的干砌块石护坡采用M10水泥砂浆勾缝；在迎水坡桩号B0+074.5设M7.5浆砌条石下坝台阶，台阶设置高程范围38.30m～29.34m，台阶净宽1.0m，每级高0.18m，采用M7.5浆砌条石砌筑，浆砌片石填充。</w:t>
      </w:r>
    </w:p>
    <w:p w14:paraId="13424F1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②背水坡：对背水坡进行除草、整平并植草皮护坡，草种选用蜈蚣草。</w:t>
      </w:r>
    </w:p>
    <w:p w14:paraId="4EC4EEF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为方便管理人员上下坝，在背水坡桩号B0+074.5设置下坝台阶，台阶设置高程范围38.30m～28.00m，台阶宽1.0m，每级高0.18m，采用M7.5浆砌条石砌筑，浆砌片石填充。</w:t>
      </w:r>
    </w:p>
    <w:p w14:paraId="373A5A83">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③排水棱体：对排水棱体破损处进行修复，排水棱体顶高程28.00m，下游坡坡度1:1.5；对排水棱体上的过坝渠道进行清淤。</w:t>
      </w:r>
    </w:p>
    <w:p w14:paraId="787E0029">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2）大坝坝顶加固工程</w:t>
      </w:r>
    </w:p>
    <w:p w14:paraId="578D6BA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本次加固先拆除坝顶的违建房，清除建筑垃圾，再利用迎水坡削坡所得土方加高坝顶，并进行平整、夯实，统一坝顶高程为38.30m，坝顶路面铺设50mm厚广场砖，下设100mm厚5%水泥碎石稳定层，路面向下游侧按2%放坡。坝顶两侧设置M7.5浆砌条石路肩，断面尺寸（宽×高）0.45m×0.45m。路肩每隔10m设一条20mm宽的沉降缝，采用沥青杉木板填缝，深度20cm。</w:t>
      </w:r>
    </w:p>
    <w:p w14:paraId="423D096A">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3）坝坡排水</w:t>
      </w:r>
    </w:p>
    <w:p w14:paraId="1891396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根据背水坡排水的需要，对左右岸坡与背水坡结合处进行修整，设置岸坡排水沟，汇集排除岸坡的部分洪水，岸坡排水沟沿着结合处布置，断面为梯形，底宽0.3m、深0.4m、边坡为1:0.3，采用M7.5浆砌块石砌筑。 排水沟每隔10m设一条20mm宽的沉降缝，采用沥青杉木板填缝，深度20cm。</w:t>
      </w:r>
    </w:p>
    <w:p w14:paraId="1643ED66">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4）其他</w:t>
      </w:r>
    </w:p>
    <w:p w14:paraId="54C2D21A">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拆除原水位尺，在新建迎水坡台阶的右侧边框上设置搪瓷水位尺，水位尺间高差间距1.0m，设置高程范围为29.00m～37.00m，共5根；丰收水库大坝存在白蚁危害，本次加固设计采取坝端预防、坝面诱杀、坝面施药三种方法相结合彻底消灭蚁患。</w:t>
      </w:r>
    </w:p>
    <w:p w14:paraId="0CD5A4F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（2）溢洪道加固工程</w:t>
      </w:r>
    </w:p>
    <w:p w14:paraId="5696DE2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清除杂草与灌木；Y0+000.0～Y0+058.8护砌部分采用M7.5水泥砂浆勾缝；Y0+058.8～Y0+086.0的底板与侧墙增设C25钢筋混凝土板衬砌；对Y0+058.8～Y0+086.0两侧侧墙顶加高，采用断面尺寸为0.25m×0.25m的M7.5浆砌条石砌筑；对消力池底部进行抛块石防冲处理。</w:t>
      </w:r>
    </w:p>
    <w:p w14:paraId="79EC4BED">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（3）输水设施工程</w:t>
      </w:r>
    </w:p>
    <w:p w14:paraId="5BB510E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将放水建筑物原进口消力井与转动门盖及相应启闭设备拆除，重建进口消力井，洞身套管，配套转动门盖、启闭钢筋、支墩、3t启闭机并新建启闭机房1座。</w:t>
      </w:r>
    </w:p>
    <w:p w14:paraId="2C6692F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泉港区前黄镇</w:t>
      </w:r>
      <w:r>
        <w:rPr>
          <w:rFonts w:eastAsia="楷体"/>
          <w:color w:val="auto"/>
          <w:sz w:val="28"/>
          <w:szCs w:val="28"/>
          <w:highlight w:val="none"/>
        </w:rPr>
        <w:t>丰收水库</w:t>
      </w:r>
      <w:r>
        <w:rPr>
          <w:rFonts w:hint="eastAsia" w:eastAsia="楷体"/>
          <w:color w:val="auto"/>
          <w:sz w:val="28"/>
          <w:szCs w:val="28"/>
          <w:highlight w:val="none"/>
        </w:rPr>
        <w:t>除险加固</w:t>
      </w:r>
      <w:r>
        <w:rPr>
          <w:rFonts w:eastAsia="楷体"/>
          <w:color w:val="auto"/>
          <w:sz w:val="28"/>
          <w:szCs w:val="28"/>
          <w:highlight w:val="none"/>
        </w:rPr>
        <w:t>工程于201</w:t>
      </w:r>
      <w:r>
        <w:rPr>
          <w:rFonts w:hint="eastAsia" w:eastAsia="楷体"/>
          <w:color w:val="auto"/>
          <w:sz w:val="28"/>
          <w:szCs w:val="28"/>
          <w:highlight w:val="none"/>
        </w:rPr>
        <w:t>3</w:t>
      </w:r>
      <w:r>
        <w:rPr>
          <w:rFonts w:eastAsia="楷体"/>
          <w:color w:val="auto"/>
          <w:sz w:val="28"/>
          <w:szCs w:val="28"/>
          <w:highlight w:val="none"/>
        </w:rPr>
        <w:t>年</w:t>
      </w:r>
      <w:r>
        <w:rPr>
          <w:rFonts w:hint="eastAsia" w:eastAsia="楷体"/>
          <w:color w:val="auto"/>
          <w:sz w:val="28"/>
          <w:szCs w:val="28"/>
          <w:highlight w:val="none"/>
        </w:rPr>
        <w:t>12</w:t>
      </w:r>
      <w:r>
        <w:rPr>
          <w:rFonts w:eastAsia="楷体"/>
          <w:color w:val="auto"/>
          <w:sz w:val="28"/>
          <w:szCs w:val="28"/>
          <w:highlight w:val="none"/>
        </w:rPr>
        <w:t>月通过了法人主持的完工验收。</w:t>
      </w:r>
    </w:p>
    <w:p w14:paraId="527923F3">
      <w:pPr>
        <w:spacing w:line="520" w:lineRule="exact"/>
        <w:ind w:firstLine="560" w:firstLineChars="200"/>
        <w:rPr>
          <w:rFonts w:eastAsia="楷体"/>
          <w:color w:val="auto"/>
          <w:sz w:val="28"/>
          <w:szCs w:val="28"/>
          <w:highlight w:val="none"/>
        </w:rPr>
      </w:pPr>
      <w:r>
        <w:rPr>
          <w:rFonts w:eastAsia="楷体"/>
          <w:color w:val="auto"/>
          <w:sz w:val="28"/>
          <w:szCs w:val="28"/>
          <w:highlight w:val="none"/>
        </w:rPr>
        <w:t>2.2.3 水库安全运行状况评价</w:t>
      </w:r>
    </w:p>
    <w:p w14:paraId="3E38E004">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rPr>
        <w:t>丰收水库大坝安全鉴定报告书</w:t>
      </w:r>
      <w:r>
        <w:rPr>
          <w:rFonts w:eastAsia="楷体"/>
          <w:color w:val="auto"/>
          <w:sz w:val="28"/>
          <w:szCs w:val="28"/>
          <w:highlight w:val="none"/>
        </w:rPr>
        <w:t>》（</w:t>
      </w:r>
      <w:r>
        <w:rPr>
          <w:rFonts w:hint="eastAsia" w:eastAsia="楷体"/>
          <w:color w:val="auto"/>
          <w:sz w:val="28"/>
          <w:szCs w:val="28"/>
          <w:highlight w:val="none"/>
        </w:rPr>
        <w:t>泉港区农水局，2012年3月15日</w:t>
      </w:r>
      <w:r>
        <w:rPr>
          <w:rFonts w:eastAsia="楷体"/>
          <w:color w:val="auto"/>
          <w:sz w:val="28"/>
          <w:szCs w:val="28"/>
          <w:highlight w:val="none"/>
        </w:rPr>
        <w:t>）中的设计内容可知，对于水库安全运行状况主要有以下建议：</w:t>
      </w:r>
    </w:p>
    <w:p w14:paraId="785D35C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加强水库大坝安全检测巡查工作，遇到异常情况及时通报主管部门，并及时积极采取相应的加固措施，确保大坝运行安全。</w:t>
      </w:r>
    </w:p>
    <w:p w14:paraId="6412EF4F">
      <w:pPr>
        <w:pStyle w:val="4"/>
        <w:rPr>
          <w:rFonts w:ascii="Times New Roman" w:hAnsi="Times New Roman" w:eastAsia="楷体"/>
          <w:color w:val="auto"/>
          <w:highlight w:val="none"/>
        </w:rPr>
      </w:pPr>
      <w:bookmarkStart w:id="12" w:name="_Toc28284"/>
      <w:r>
        <w:rPr>
          <w:rFonts w:ascii="Times New Roman" w:hAnsi="Times New Roman" w:eastAsia="楷体"/>
          <w:color w:val="auto"/>
          <w:kern w:val="0"/>
          <w:sz w:val="28"/>
          <w:szCs w:val="28"/>
          <w:highlight w:val="none"/>
        </w:rPr>
        <w:t>2.3</w:t>
      </w:r>
      <w:r>
        <w:rPr>
          <w:rFonts w:ascii="Times New Roman" w:hAnsi="Times New Roman" w:eastAsia="楷体"/>
          <w:color w:val="auto"/>
          <w:highlight w:val="none"/>
        </w:rPr>
        <w:t>水情工情测报系统及观测资料整理</w:t>
      </w:r>
      <w:bookmarkEnd w:id="12"/>
    </w:p>
    <w:p w14:paraId="0BA6E2A6">
      <w:pPr>
        <w:autoSpaceDN w:val="0"/>
        <w:spacing w:line="520" w:lineRule="exact"/>
        <w:ind w:firstLine="560" w:firstLineChars="200"/>
        <w:rPr>
          <w:rFonts w:eastAsia="楷体"/>
          <w:color w:val="auto"/>
          <w:sz w:val="28"/>
          <w:szCs w:val="28"/>
          <w:highlight w:val="none"/>
        </w:rPr>
      </w:pPr>
      <w:r>
        <w:rPr>
          <w:rFonts w:eastAsia="楷体"/>
          <w:color w:val="auto"/>
          <w:sz w:val="28"/>
          <w:szCs w:val="28"/>
          <w:highlight w:val="none"/>
        </w:rPr>
        <w:t>丰收水库</w:t>
      </w:r>
      <w:r>
        <w:rPr>
          <w:rFonts w:hint="eastAsia" w:eastAsia="楷体"/>
          <w:color w:val="auto"/>
          <w:sz w:val="28"/>
          <w:szCs w:val="28"/>
          <w:highlight w:val="none"/>
          <w:lang w:val="en-US" w:eastAsia="zh-CN"/>
        </w:rPr>
        <w:t>已设置自动监测雨量水位站</w:t>
      </w:r>
      <w:r>
        <w:rPr>
          <w:rFonts w:eastAsia="楷体"/>
          <w:color w:val="auto"/>
          <w:sz w:val="28"/>
          <w:szCs w:val="28"/>
          <w:highlight w:val="none"/>
        </w:rPr>
        <w:t>。</w:t>
      </w:r>
    </w:p>
    <w:p w14:paraId="40896F2B">
      <w:pPr>
        <w:pStyle w:val="3"/>
        <w:spacing w:beforeLines="100" w:afterLines="100" w:line="360" w:lineRule="auto"/>
        <w:jc w:val="both"/>
        <w:rPr>
          <w:rFonts w:eastAsia="楷体"/>
          <w:color w:val="auto"/>
          <w:kern w:val="0"/>
          <w:sz w:val="32"/>
          <w:szCs w:val="32"/>
          <w:highlight w:val="none"/>
        </w:rPr>
        <w:sectPr>
          <w:footerReference r:id="rId6"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docGrid w:type="lines" w:linePitch="319" w:charSpace="0"/>
        </w:sectPr>
      </w:pPr>
      <w:bookmarkStart w:id="13" w:name="_Toc29389"/>
    </w:p>
    <w:p w14:paraId="1019EC7B">
      <w:pPr>
        <w:pStyle w:val="3"/>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t>3  水库大坝防洪情况</w:t>
      </w:r>
      <w:bookmarkEnd w:id="13"/>
    </w:p>
    <w:p w14:paraId="52EA162F">
      <w:pPr>
        <w:pStyle w:val="4"/>
        <w:spacing w:beforeLines="50" w:afterLines="50" w:line="360" w:lineRule="auto"/>
        <w:contextualSpacing/>
        <w:rPr>
          <w:rFonts w:ascii="Times New Roman" w:hAnsi="Times New Roman" w:eastAsia="楷体"/>
          <w:color w:val="auto"/>
          <w:kern w:val="0"/>
          <w:sz w:val="28"/>
          <w:szCs w:val="28"/>
          <w:highlight w:val="none"/>
        </w:rPr>
      </w:pPr>
      <w:bookmarkStart w:id="14" w:name="_Toc6287"/>
      <w:r>
        <w:rPr>
          <w:rFonts w:ascii="Times New Roman" w:hAnsi="Times New Roman" w:eastAsia="楷体"/>
          <w:color w:val="auto"/>
          <w:kern w:val="0"/>
          <w:sz w:val="28"/>
          <w:szCs w:val="28"/>
          <w:highlight w:val="none"/>
        </w:rPr>
        <w:t>3.1 水库防洪标准</w:t>
      </w:r>
      <w:bookmarkEnd w:id="14"/>
    </w:p>
    <w:p w14:paraId="0B1234D6">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根据水利部发布的《水利水电工程等级划分及洪水标准》(SL252-2017)，丰收水库为小（2）型水库，属</w:t>
      </w:r>
      <w:r>
        <w:rPr>
          <w:color w:val="auto"/>
          <w:sz w:val="28"/>
          <w:szCs w:val="28"/>
          <w:highlight w:val="none"/>
        </w:rPr>
        <w:t>Ⅴ</w:t>
      </w:r>
      <w:r>
        <w:rPr>
          <w:rFonts w:eastAsia="楷体"/>
          <w:color w:val="auto"/>
          <w:sz w:val="28"/>
          <w:szCs w:val="28"/>
          <w:highlight w:val="none"/>
        </w:rPr>
        <w:t>等工程，主要建筑物为5级，次要建筑物为5级，临时建筑物为5级，设计洪水标准为20年一遇，校核洪水标准为300年一遇。</w:t>
      </w:r>
    </w:p>
    <w:p w14:paraId="608B05A0">
      <w:pPr>
        <w:pStyle w:val="4"/>
        <w:spacing w:beforeLines="50" w:afterLines="50" w:line="360" w:lineRule="auto"/>
        <w:contextualSpacing/>
        <w:rPr>
          <w:rFonts w:ascii="Times New Roman" w:hAnsi="Times New Roman" w:eastAsia="楷体"/>
          <w:color w:val="auto"/>
          <w:kern w:val="0"/>
          <w:sz w:val="28"/>
          <w:szCs w:val="28"/>
          <w:highlight w:val="none"/>
        </w:rPr>
      </w:pPr>
      <w:bookmarkStart w:id="15" w:name="_Toc1684"/>
      <w:r>
        <w:rPr>
          <w:rFonts w:ascii="Times New Roman" w:hAnsi="Times New Roman" w:eastAsia="楷体"/>
          <w:color w:val="auto"/>
          <w:kern w:val="0"/>
          <w:sz w:val="28"/>
          <w:szCs w:val="28"/>
          <w:highlight w:val="none"/>
        </w:rPr>
        <w:t>3.2 水库特征曲线</w:t>
      </w:r>
      <w:bookmarkEnd w:id="15"/>
    </w:p>
    <w:p w14:paraId="32E69DFE">
      <w:pPr>
        <w:autoSpaceDE w:val="0"/>
        <w:autoSpaceDN w:val="0"/>
        <w:snapToGrid w:val="0"/>
        <w:spacing w:line="520" w:lineRule="exact"/>
        <w:ind w:firstLine="560" w:firstLineChars="200"/>
        <w:rPr>
          <w:rFonts w:eastAsia="楷体"/>
          <w:color w:val="auto"/>
          <w:sz w:val="28"/>
          <w:szCs w:val="28"/>
          <w:highlight w:val="none"/>
        </w:rPr>
      </w:pPr>
      <w:bookmarkStart w:id="16" w:name="OLE_LINK4"/>
      <w:r>
        <w:rPr>
          <w:rFonts w:eastAsia="楷体"/>
          <w:color w:val="auto"/>
          <w:sz w:val="28"/>
          <w:szCs w:val="28"/>
          <w:highlight w:val="none"/>
        </w:rPr>
        <w:t>（1）丰收水库库容曲线</w:t>
      </w:r>
    </w:p>
    <w:p w14:paraId="02EE5CDA">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根据《泉港区前黄镇丰收水库除险加固工程初步设计报告（报批稿）》（泉州市水利水电勘测设计院，2012年4月），丰收水库坝址水位库容关系曲线见表3-1。</w:t>
      </w:r>
    </w:p>
    <w:p w14:paraId="0BA15899">
      <w:pPr>
        <w:pStyle w:val="45"/>
        <w:jc w:val="both"/>
        <w:rPr>
          <w:rFonts w:eastAsia="楷体"/>
          <w:b/>
          <w:bCs/>
          <w:color w:val="auto"/>
          <w:sz w:val="28"/>
          <w:szCs w:val="28"/>
          <w:highlight w:val="none"/>
        </w:rPr>
      </w:pPr>
      <w:r>
        <w:rPr>
          <w:rFonts w:eastAsia="楷体"/>
          <w:b/>
          <w:bCs/>
          <w:color w:val="auto"/>
          <w:sz w:val="28"/>
          <w:szCs w:val="28"/>
          <w:highlight w:val="none"/>
        </w:rPr>
        <w:t>表3-1              坝址水位库容关系曲线表</w:t>
      </w:r>
    </w:p>
    <w:tbl>
      <w:tblPr>
        <w:tblStyle w:val="18"/>
        <w:tblW w:w="833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0" w:type="dxa"/>
          <w:bottom w:w="0" w:type="dxa"/>
          <w:right w:w="0" w:type="dxa"/>
        </w:tblCellMar>
      </w:tblPr>
      <w:tblGrid>
        <w:gridCol w:w="2083"/>
        <w:gridCol w:w="2082"/>
        <w:gridCol w:w="2083"/>
        <w:gridCol w:w="2082"/>
      </w:tblGrid>
      <w:tr w14:paraId="0002D2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720" w:hRule="atLeast"/>
        </w:trPr>
        <w:tc>
          <w:tcPr>
            <w:tcW w:w="2083" w:type="dxa"/>
            <w:tcBorders>
              <w:tl2br w:val="nil"/>
              <w:tr2bl w:val="nil"/>
            </w:tcBorders>
            <w:shd w:val="clear" w:color="auto" w:fill="auto"/>
            <w:tcMar>
              <w:top w:w="15" w:type="dxa"/>
              <w:left w:w="15" w:type="dxa"/>
              <w:right w:w="15" w:type="dxa"/>
            </w:tcMar>
            <w:vAlign w:val="center"/>
          </w:tcPr>
          <w:p w14:paraId="4945BF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高程</w:t>
            </w:r>
            <w:r>
              <w:rPr>
                <w:rFonts w:hint="default" w:ascii="Times New Roman" w:hAnsi="Times New Roman" w:eastAsia="宋体" w:cs="Times New Roman"/>
                <w:i w:val="0"/>
                <w:color w:val="000000"/>
                <w:kern w:val="0"/>
                <w:sz w:val="24"/>
                <w:szCs w:val="24"/>
                <w:u w:val="none"/>
                <w:lang w:val="en-US" w:eastAsia="zh-CN" w:bidi="ar"/>
              </w:rPr>
              <w:t>(m)</w:t>
            </w:r>
          </w:p>
        </w:tc>
        <w:tc>
          <w:tcPr>
            <w:tcW w:w="2082" w:type="dxa"/>
            <w:tcBorders>
              <w:tl2br w:val="nil"/>
              <w:tr2bl w:val="nil"/>
            </w:tcBorders>
            <w:shd w:val="clear" w:color="auto" w:fill="auto"/>
            <w:tcMar>
              <w:top w:w="15" w:type="dxa"/>
              <w:left w:w="15" w:type="dxa"/>
              <w:right w:w="15" w:type="dxa"/>
            </w:tcMar>
            <w:vAlign w:val="center"/>
          </w:tcPr>
          <w:p w14:paraId="6878B5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库容</w:t>
            </w:r>
            <w:r>
              <w:rPr>
                <w:rFonts w:hint="default" w:ascii="Times New Roman" w:hAnsi="Times New Roman" w:eastAsia="宋体" w:cs="Times New Roman"/>
                <w:i w:val="0"/>
                <w:color w:val="000000"/>
                <w:kern w:val="0"/>
                <w:sz w:val="24"/>
                <w:szCs w:val="24"/>
                <w:u w:val="none"/>
                <w:lang w:val="en-US" w:eastAsia="zh-CN" w:bidi="ar"/>
              </w:rPr>
              <w:t>(</w:t>
            </w:r>
            <w:r>
              <w:rPr>
                <w:rFonts w:ascii="楷体" w:hAnsi="楷体" w:eastAsia="楷体" w:cs="楷体"/>
                <w:i w:val="0"/>
                <w:color w:val="000000"/>
                <w:kern w:val="0"/>
                <w:sz w:val="24"/>
                <w:szCs w:val="24"/>
                <w:u w:val="none"/>
                <w:lang w:val="en-US" w:eastAsia="zh-CN" w:bidi="ar"/>
              </w:rPr>
              <w:t>万</w:t>
            </w:r>
            <w:r>
              <w:rPr>
                <w:rFonts w:hint="default" w:ascii="Times New Roman" w:hAnsi="Times New Roman" w:eastAsia="宋体" w:cs="Times New Roman"/>
                <w:i w:val="0"/>
                <w:color w:val="000000"/>
                <w:kern w:val="0"/>
                <w:sz w:val="24"/>
                <w:szCs w:val="24"/>
                <w:u w:val="none"/>
                <w:lang w:val="en-US" w:eastAsia="zh-CN" w:bidi="ar"/>
              </w:rPr>
              <w:t>m</w:t>
            </w:r>
            <w:r>
              <w:rPr>
                <w:rFonts w:hint="default" w:ascii="Times New Roman" w:hAnsi="Times New Roman" w:eastAsia="宋体" w:cs="Times New Roman"/>
                <w:i w:val="0"/>
                <w:color w:val="000000"/>
                <w:kern w:val="0"/>
                <w:sz w:val="24"/>
                <w:szCs w:val="24"/>
                <w:u w:val="none"/>
                <w:vertAlign w:val="superscript"/>
                <w:lang w:val="en-US" w:eastAsia="zh-CN" w:bidi="ar"/>
              </w:rPr>
              <w:t>3</w:t>
            </w:r>
            <w:r>
              <w:rPr>
                <w:rFonts w:hint="default" w:ascii="Times New Roman" w:hAnsi="Times New Roman" w:eastAsia="宋体" w:cs="Times New Roman"/>
                <w:i w:val="0"/>
                <w:color w:val="000000"/>
                <w:kern w:val="0"/>
                <w:sz w:val="24"/>
                <w:szCs w:val="24"/>
                <w:u w:val="none"/>
                <w:lang w:val="en-US" w:eastAsia="zh-CN" w:bidi="ar"/>
              </w:rPr>
              <w:t>)</w:t>
            </w:r>
          </w:p>
        </w:tc>
        <w:tc>
          <w:tcPr>
            <w:tcW w:w="2083" w:type="dxa"/>
            <w:tcBorders>
              <w:tl2br w:val="nil"/>
              <w:tr2bl w:val="nil"/>
            </w:tcBorders>
            <w:shd w:val="clear" w:color="auto" w:fill="auto"/>
            <w:tcMar>
              <w:top w:w="15" w:type="dxa"/>
              <w:left w:w="15" w:type="dxa"/>
              <w:right w:w="15" w:type="dxa"/>
            </w:tcMar>
            <w:vAlign w:val="center"/>
          </w:tcPr>
          <w:p w14:paraId="0650D6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高程</w:t>
            </w:r>
            <w:r>
              <w:rPr>
                <w:rFonts w:hint="default" w:ascii="Times New Roman" w:hAnsi="Times New Roman" w:eastAsia="宋体" w:cs="Times New Roman"/>
                <w:i w:val="0"/>
                <w:color w:val="000000"/>
                <w:kern w:val="0"/>
                <w:sz w:val="24"/>
                <w:szCs w:val="24"/>
                <w:u w:val="none"/>
                <w:lang w:val="en-US" w:eastAsia="zh-CN" w:bidi="ar"/>
              </w:rPr>
              <w:t>(m)</w:t>
            </w:r>
          </w:p>
        </w:tc>
        <w:tc>
          <w:tcPr>
            <w:tcW w:w="2082" w:type="dxa"/>
            <w:tcBorders>
              <w:tl2br w:val="nil"/>
              <w:tr2bl w:val="nil"/>
            </w:tcBorders>
            <w:shd w:val="clear" w:color="auto" w:fill="auto"/>
            <w:tcMar>
              <w:top w:w="15" w:type="dxa"/>
              <w:left w:w="15" w:type="dxa"/>
              <w:right w:w="15" w:type="dxa"/>
            </w:tcMar>
            <w:vAlign w:val="center"/>
          </w:tcPr>
          <w:p w14:paraId="0AB4F9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库容</w:t>
            </w:r>
            <w:r>
              <w:rPr>
                <w:rFonts w:hint="default" w:ascii="Times New Roman" w:hAnsi="Times New Roman" w:eastAsia="宋体" w:cs="Times New Roman"/>
                <w:i w:val="0"/>
                <w:color w:val="000000"/>
                <w:kern w:val="0"/>
                <w:sz w:val="24"/>
                <w:szCs w:val="24"/>
                <w:u w:val="none"/>
                <w:lang w:val="en-US" w:eastAsia="zh-CN" w:bidi="ar"/>
              </w:rPr>
              <w:t>(</w:t>
            </w:r>
            <w:r>
              <w:rPr>
                <w:rFonts w:ascii="楷体" w:hAnsi="楷体" w:eastAsia="楷体" w:cs="楷体"/>
                <w:i w:val="0"/>
                <w:color w:val="000000"/>
                <w:kern w:val="0"/>
                <w:sz w:val="24"/>
                <w:szCs w:val="24"/>
                <w:u w:val="none"/>
                <w:lang w:val="en-US" w:eastAsia="zh-CN" w:bidi="ar"/>
              </w:rPr>
              <w:t>万</w:t>
            </w:r>
            <w:r>
              <w:rPr>
                <w:rFonts w:hint="default" w:ascii="Times New Roman" w:hAnsi="Times New Roman" w:eastAsia="宋体" w:cs="Times New Roman"/>
                <w:i w:val="0"/>
                <w:color w:val="000000"/>
                <w:kern w:val="0"/>
                <w:sz w:val="24"/>
                <w:szCs w:val="24"/>
                <w:u w:val="none"/>
                <w:lang w:val="en-US" w:eastAsia="zh-CN" w:bidi="ar"/>
              </w:rPr>
              <w:t>m</w:t>
            </w:r>
            <w:r>
              <w:rPr>
                <w:rFonts w:hint="default" w:ascii="Times New Roman" w:hAnsi="Times New Roman" w:eastAsia="宋体" w:cs="Times New Roman"/>
                <w:i w:val="0"/>
                <w:color w:val="000000"/>
                <w:kern w:val="0"/>
                <w:sz w:val="24"/>
                <w:szCs w:val="24"/>
                <w:u w:val="none"/>
                <w:vertAlign w:val="superscript"/>
                <w:lang w:val="en-US" w:eastAsia="zh-CN" w:bidi="ar"/>
              </w:rPr>
              <w:t>3</w:t>
            </w:r>
            <w:r>
              <w:rPr>
                <w:rFonts w:hint="default" w:ascii="Times New Roman" w:hAnsi="Times New Roman" w:eastAsia="宋体" w:cs="Times New Roman"/>
                <w:i w:val="0"/>
                <w:color w:val="000000"/>
                <w:kern w:val="0"/>
                <w:sz w:val="24"/>
                <w:szCs w:val="24"/>
                <w:u w:val="none"/>
                <w:lang w:val="en-US" w:eastAsia="zh-CN" w:bidi="ar"/>
              </w:rPr>
              <w:t>)</w:t>
            </w:r>
          </w:p>
        </w:tc>
      </w:tr>
      <w:tr w14:paraId="610572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3365BA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82" w:type="dxa"/>
            <w:tcBorders>
              <w:tl2br w:val="nil"/>
              <w:tr2bl w:val="nil"/>
            </w:tcBorders>
            <w:shd w:val="clear" w:color="auto" w:fill="auto"/>
            <w:tcMar>
              <w:top w:w="15" w:type="dxa"/>
              <w:left w:w="15" w:type="dxa"/>
              <w:right w:w="15" w:type="dxa"/>
            </w:tcMar>
            <w:vAlign w:val="center"/>
          </w:tcPr>
          <w:p w14:paraId="46D82E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2083" w:type="dxa"/>
            <w:tcBorders>
              <w:tl2br w:val="nil"/>
              <w:tr2bl w:val="nil"/>
            </w:tcBorders>
            <w:shd w:val="clear" w:color="auto" w:fill="auto"/>
            <w:tcMar>
              <w:top w:w="15" w:type="dxa"/>
              <w:left w:w="15" w:type="dxa"/>
              <w:right w:w="15" w:type="dxa"/>
            </w:tcMar>
            <w:vAlign w:val="center"/>
          </w:tcPr>
          <w:p w14:paraId="59B08E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2082" w:type="dxa"/>
            <w:tcBorders>
              <w:tl2br w:val="nil"/>
              <w:tr2bl w:val="nil"/>
            </w:tcBorders>
            <w:shd w:val="clear" w:color="auto" w:fill="auto"/>
            <w:tcMar>
              <w:top w:w="15" w:type="dxa"/>
              <w:left w:w="15" w:type="dxa"/>
              <w:right w:w="15" w:type="dxa"/>
            </w:tcMar>
            <w:vAlign w:val="center"/>
          </w:tcPr>
          <w:p w14:paraId="6DAF51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16.16</w:t>
            </w:r>
          </w:p>
        </w:tc>
      </w:tr>
      <w:tr w14:paraId="240CC4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6FA5DD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82" w:type="dxa"/>
            <w:tcBorders>
              <w:tl2br w:val="nil"/>
              <w:tr2bl w:val="nil"/>
            </w:tcBorders>
            <w:shd w:val="clear" w:color="auto" w:fill="auto"/>
            <w:tcMar>
              <w:top w:w="15" w:type="dxa"/>
              <w:left w:w="15" w:type="dxa"/>
              <w:right w:w="15" w:type="dxa"/>
            </w:tcMar>
            <w:vAlign w:val="center"/>
          </w:tcPr>
          <w:p w14:paraId="65E562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0.01</w:t>
            </w:r>
          </w:p>
        </w:tc>
        <w:tc>
          <w:tcPr>
            <w:tcW w:w="2083" w:type="dxa"/>
            <w:tcBorders>
              <w:tl2br w:val="nil"/>
              <w:tr2bl w:val="nil"/>
            </w:tcBorders>
            <w:shd w:val="clear" w:color="auto" w:fill="auto"/>
            <w:tcMar>
              <w:top w:w="15" w:type="dxa"/>
              <w:left w:w="15" w:type="dxa"/>
              <w:right w:w="15" w:type="dxa"/>
            </w:tcMar>
            <w:vAlign w:val="center"/>
          </w:tcPr>
          <w:p w14:paraId="0B6C8B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35.9</w:t>
            </w:r>
          </w:p>
        </w:tc>
        <w:tc>
          <w:tcPr>
            <w:tcW w:w="2082" w:type="dxa"/>
            <w:tcBorders>
              <w:tl2br w:val="nil"/>
              <w:tr2bl w:val="nil"/>
            </w:tcBorders>
            <w:shd w:val="clear" w:color="auto" w:fill="auto"/>
            <w:tcMar>
              <w:top w:w="15" w:type="dxa"/>
              <w:left w:w="15" w:type="dxa"/>
              <w:right w:w="15" w:type="dxa"/>
            </w:tcMar>
            <w:vAlign w:val="center"/>
          </w:tcPr>
          <w:p w14:paraId="031829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16.52</w:t>
            </w:r>
          </w:p>
        </w:tc>
      </w:tr>
      <w:tr w14:paraId="1AB0E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51297C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82" w:type="dxa"/>
            <w:tcBorders>
              <w:tl2br w:val="nil"/>
              <w:tr2bl w:val="nil"/>
            </w:tcBorders>
            <w:shd w:val="clear" w:color="auto" w:fill="auto"/>
            <w:tcMar>
              <w:top w:w="15" w:type="dxa"/>
              <w:left w:w="15" w:type="dxa"/>
              <w:right w:w="15" w:type="dxa"/>
            </w:tcMar>
            <w:vAlign w:val="center"/>
          </w:tcPr>
          <w:p w14:paraId="140323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0.09</w:t>
            </w:r>
          </w:p>
        </w:tc>
        <w:tc>
          <w:tcPr>
            <w:tcW w:w="2083" w:type="dxa"/>
            <w:tcBorders>
              <w:tl2br w:val="nil"/>
              <w:tr2bl w:val="nil"/>
            </w:tcBorders>
            <w:shd w:val="clear" w:color="auto" w:fill="auto"/>
            <w:tcMar>
              <w:top w:w="15" w:type="dxa"/>
              <w:left w:w="15" w:type="dxa"/>
              <w:right w:w="15" w:type="dxa"/>
            </w:tcMar>
            <w:vAlign w:val="center"/>
          </w:tcPr>
          <w:p w14:paraId="3AFD1D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2082" w:type="dxa"/>
            <w:tcBorders>
              <w:tl2br w:val="nil"/>
              <w:tr2bl w:val="nil"/>
            </w:tcBorders>
            <w:shd w:val="clear" w:color="auto" w:fill="auto"/>
            <w:tcMar>
              <w:top w:w="15" w:type="dxa"/>
              <w:left w:w="15" w:type="dxa"/>
              <w:right w:w="15" w:type="dxa"/>
            </w:tcMar>
            <w:vAlign w:val="center"/>
          </w:tcPr>
          <w:p w14:paraId="43E6CE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16.88</w:t>
            </w:r>
          </w:p>
        </w:tc>
      </w:tr>
      <w:tr w14:paraId="44140B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54C672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2082" w:type="dxa"/>
            <w:tcBorders>
              <w:tl2br w:val="nil"/>
              <w:tr2bl w:val="nil"/>
            </w:tcBorders>
            <w:shd w:val="clear" w:color="auto" w:fill="auto"/>
            <w:tcMar>
              <w:top w:w="15" w:type="dxa"/>
              <w:left w:w="15" w:type="dxa"/>
              <w:right w:w="15" w:type="dxa"/>
            </w:tcMar>
            <w:vAlign w:val="center"/>
          </w:tcPr>
          <w:p w14:paraId="0CB932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0.28</w:t>
            </w:r>
          </w:p>
        </w:tc>
        <w:tc>
          <w:tcPr>
            <w:tcW w:w="2083" w:type="dxa"/>
            <w:tcBorders>
              <w:tl2br w:val="nil"/>
              <w:tr2bl w:val="nil"/>
            </w:tcBorders>
            <w:shd w:val="clear" w:color="auto" w:fill="auto"/>
            <w:tcMar>
              <w:top w:w="15" w:type="dxa"/>
              <w:left w:w="15" w:type="dxa"/>
              <w:right w:w="15" w:type="dxa"/>
            </w:tcMar>
            <w:vAlign w:val="center"/>
          </w:tcPr>
          <w:p w14:paraId="55C119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36.1</w:t>
            </w:r>
          </w:p>
        </w:tc>
        <w:tc>
          <w:tcPr>
            <w:tcW w:w="2082" w:type="dxa"/>
            <w:tcBorders>
              <w:tl2br w:val="nil"/>
              <w:tr2bl w:val="nil"/>
            </w:tcBorders>
            <w:shd w:val="clear" w:color="auto" w:fill="auto"/>
            <w:tcMar>
              <w:top w:w="15" w:type="dxa"/>
              <w:left w:w="15" w:type="dxa"/>
              <w:right w:w="15" w:type="dxa"/>
            </w:tcMar>
            <w:vAlign w:val="center"/>
          </w:tcPr>
          <w:p w14:paraId="0B7AF0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17.25</w:t>
            </w:r>
          </w:p>
        </w:tc>
      </w:tr>
      <w:tr w14:paraId="2A0642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208071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2082" w:type="dxa"/>
            <w:tcBorders>
              <w:tl2br w:val="nil"/>
              <w:tr2bl w:val="nil"/>
            </w:tcBorders>
            <w:shd w:val="clear" w:color="auto" w:fill="auto"/>
            <w:tcMar>
              <w:top w:w="15" w:type="dxa"/>
              <w:left w:w="15" w:type="dxa"/>
              <w:right w:w="15" w:type="dxa"/>
            </w:tcMar>
            <w:vAlign w:val="center"/>
          </w:tcPr>
          <w:p w14:paraId="72BEB1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0.68</w:t>
            </w:r>
          </w:p>
        </w:tc>
        <w:tc>
          <w:tcPr>
            <w:tcW w:w="2083" w:type="dxa"/>
            <w:tcBorders>
              <w:tl2br w:val="nil"/>
              <w:tr2bl w:val="nil"/>
            </w:tcBorders>
            <w:shd w:val="clear" w:color="auto" w:fill="auto"/>
            <w:tcMar>
              <w:top w:w="15" w:type="dxa"/>
              <w:left w:w="15" w:type="dxa"/>
              <w:right w:w="15" w:type="dxa"/>
            </w:tcMar>
            <w:vAlign w:val="center"/>
          </w:tcPr>
          <w:p w14:paraId="5D3C6B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36.2</w:t>
            </w:r>
          </w:p>
        </w:tc>
        <w:tc>
          <w:tcPr>
            <w:tcW w:w="2082" w:type="dxa"/>
            <w:tcBorders>
              <w:tl2br w:val="nil"/>
              <w:tr2bl w:val="nil"/>
            </w:tcBorders>
            <w:shd w:val="clear" w:color="auto" w:fill="auto"/>
            <w:tcMar>
              <w:top w:w="15" w:type="dxa"/>
              <w:left w:w="15" w:type="dxa"/>
              <w:right w:w="15" w:type="dxa"/>
            </w:tcMar>
            <w:vAlign w:val="center"/>
          </w:tcPr>
          <w:p w14:paraId="6619C1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17.62</w:t>
            </w:r>
          </w:p>
        </w:tc>
      </w:tr>
      <w:tr w14:paraId="31A5D6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214797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82" w:type="dxa"/>
            <w:tcBorders>
              <w:tl2br w:val="nil"/>
              <w:tr2bl w:val="nil"/>
            </w:tcBorders>
            <w:shd w:val="clear" w:color="auto" w:fill="auto"/>
            <w:tcMar>
              <w:top w:w="15" w:type="dxa"/>
              <w:left w:w="15" w:type="dxa"/>
              <w:right w:w="15" w:type="dxa"/>
            </w:tcMar>
            <w:vAlign w:val="center"/>
          </w:tcPr>
          <w:p w14:paraId="498FD9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2.35</w:t>
            </w:r>
          </w:p>
        </w:tc>
        <w:tc>
          <w:tcPr>
            <w:tcW w:w="2083" w:type="dxa"/>
            <w:tcBorders>
              <w:tl2br w:val="nil"/>
              <w:tr2bl w:val="nil"/>
            </w:tcBorders>
            <w:shd w:val="clear" w:color="auto" w:fill="auto"/>
            <w:tcMar>
              <w:top w:w="15" w:type="dxa"/>
              <w:left w:w="15" w:type="dxa"/>
              <w:right w:w="15" w:type="dxa"/>
            </w:tcMar>
            <w:vAlign w:val="center"/>
          </w:tcPr>
          <w:p w14:paraId="492E59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36.3</w:t>
            </w:r>
          </w:p>
        </w:tc>
        <w:tc>
          <w:tcPr>
            <w:tcW w:w="2082" w:type="dxa"/>
            <w:tcBorders>
              <w:tl2br w:val="nil"/>
              <w:tr2bl w:val="nil"/>
            </w:tcBorders>
            <w:shd w:val="clear" w:color="auto" w:fill="auto"/>
            <w:tcMar>
              <w:top w:w="15" w:type="dxa"/>
              <w:left w:w="15" w:type="dxa"/>
              <w:right w:w="15" w:type="dxa"/>
            </w:tcMar>
            <w:vAlign w:val="center"/>
          </w:tcPr>
          <w:p w14:paraId="49907C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r>
      <w:tr w14:paraId="4C305A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36119D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2082" w:type="dxa"/>
            <w:tcBorders>
              <w:tl2br w:val="nil"/>
              <w:tr2bl w:val="nil"/>
            </w:tcBorders>
            <w:shd w:val="clear" w:color="auto" w:fill="auto"/>
            <w:tcMar>
              <w:top w:w="15" w:type="dxa"/>
              <w:left w:w="15" w:type="dxa"/>
              <w:right w:w="15" w:type="dxa"/>
            </w:tcMar>
            <w:vAlign w:val="center"/>
          </w:tcPr>
          <w:p w14:paraId="7D971B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3.77</w:t>
            </w:r>
          </w:p>
        </w:tc>
        <w:tc>
          <w:tcPr>
            <w:tcW w:w="2083" w:type="dxa"/>
            <w:tcBorders>
              <w:tl2br w:val="nil"/>
              <w:tr2bl w:val="nil"/>
            </w:tcBorders>
            <w:shd w:val="clear" w:color="auto" w:fill="auto"/>
            <w:tcMar>
              <w:top w:w="15" w:type="dxa"/>
              <w:left w:w="15" w:type="dxa"/>
              <w:right w:w="15" w:type="dxa"/>
            </w:tcMar>
            <w:vAlign w:val="center"/>
          </w:tcPr>
          <w:p w14:paraId="11685B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36.4</w:t>
            </w:r>
          </w:p>
        </w:tc>
        <w:tc>
          <w:tcPr>
            <w:tcW w:w="2082" w:type="dxa"/>
            <w:tcBorders>
              <w:tl2br w:val="nil"/>
              <w:tr2bl w:val="nil"/>
            </w:tcBorders>
            <w:shd w:val="clear" w:color="auto" w:fill="auto"/>
            <w:tcMar>
              <w:top w:w="15" w:type="dxa"/>
              <w:left w:w="15" w:type="dxa"/>
              <w:right w:w="15" w:type="dxa"/>
            </w:tcMar>
            <w:vAlign w:val="center"/>
          </w:tcPr>
          <w:p w14:paraId="0B25F1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18.38</w:t>
            </w:r>
          </w:p>
        </w:tc>
      </w:tr>
      <w:tr w14:paraId="6019DD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59EA64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2082" w:type="dxa"/>
            <w:tcBorders>
              <w:tl2br w:val="nil"/>
              <w:tr2bl w:val="nil"/>
            </w:tcBorders>
            <w:shd w:val="clear" w:color="auto" w:fill="auto"/>
            <w:tcMar>
              <w:top w:w="15" w:type="dxa"/>
              <w:left w:w="15" w:type="dxa"/>
              <w:right w:w="15" w:type="dxa"/>
            </w:tcMar>
            <w:vAlign w:val="center"/>
          </w:tcPr>
          <w:p w14:paraId="65474D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2083" w:type="dxa"/>
            <w:tcBorders>
              <w:tl2br w:val="nil"/>
              <w:tr2bl w:val="nil"/>
            </w:tcBorders>
            <w:shd w:val="clear" w:color="auto" w:fill="auto"/>
            <w:tcMar>
              <w:top w:w="15" w:type="dxa"/>
              <w:left w:w="15" w:type="dxa"/>
              <w:right w:w="15" w:type="dxa"/>
            </w:tcMar>
            <w:vAlign w:val="center"/>
          </w:tcPr>
          <w:p w14:paraId="2D12B2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82" w:type="dxa"/>
            <w:tcBorders>
              <w:tl2br w:val="nil"/>
              <w:tr2bl w:val="nil"/>
            </w:tcBorders>
            <w:shd w:val="clear" w:color="auto" w:fill="auto"/>
            <w:tcMar>
              <w:top w:w="15" w:type="dxa"/>
              <w:left w:w="15" w:type="dxa"/>
              <w:right w:w="15" w:type="dxa"/>
            </w:tcMar>
            <w:vAlign w:val="center"/>
          </w:tcPr>
          <w:p w14:paraId="7C10B6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18.76</w:t>
            </w:r>
          </w:p>
        </w:tc>
      </w:tr>
      <w:tr w14:paraId="630621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69EE77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2082" w:type="dxa"/>
            <w:tcBorders>
              <w:tl2br w:val="nil"/>
              <w:tr2bl w:val="nil"/>
            </w:tcBorders>
            <w:shd w:val="clear" w:color="auto" w:fill="auto"/>
            <w:tcMar>
              <w:top w:w="15" w:type="dxa"/>
              <w:left w:w="15" w:type="dxa"/>
              <w:right w:w="15" w:type="dxa"/>
            </w:tcMar>
            <w:vAlign w:val="center"/>
          </w:tcPr>
          <w:p w14:paraId="6E70C5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7.86</w:t>
            </w:r>
          </w:p>
        </w:tc>
        <w:tc>
          <w:tcPr>
            <w:tcW w:w="2083" w:type="dxa"/>
            <w:tcBorders>
              <w:tl2br w:val="nil"/>
              <w:tr2bl w:val="nil"/>
            </w:tcBorders>
            <w:shd w:val="clear" w:color="auto" w:fill="auto"/>
            <w:tcMar>
              <w:top w:w="15" w:type="dxa"/>
              <w:left w:w="15" w:type="dxa"/>
              <w:right w:w="15" w:type="dxa"/>
            </w:tcMar>
            <w:vAlign w:val="center"/>
          </w:tcPr>
          <w:p w14:paraId="4A5DA7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36.6</w:t>
            </w:r>
          </w:p>
        </w:tc>
        <w:tc>
          <w:tcPr>
            <w:tcW w:w="2082" w:type="dxa"/>
            <w:tcBorders>
              <w:tl2br w:val="nil"/>
              <w:tr2bl w:val="nil"/>
            </w:tcBorders>
            <w:shd w:val="clear" w:color="auto" w:fill="auto"/>
            <w:tcMar>
              <w:top w:w="15" w:type="dxa"/>
              <w:left w:w="15" w:type="dxa"/>
              <w:right w:w="15" w:type="dxa"/>
            </w:tcMar>
            <w:vAlign w:val="center"/>
          </w:tcPr>
          <w:p w14:paraId="2EF4FB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19.15</w:t>
            </w:r>
          </w:p>
        </w:tc>
      </w:tr>
      <w:tr w14:paraId="6EFBF5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0A59C5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2082" w:type="dxa"/>
            <w:tcBorders>
              <w:tl2br w:val="nil"/>
              <w:tr2bl w:val="nil"/>
            </w:tcBorders>
            <w:shd w:val="clear" w:color="auto" w:fill="auto"/>
            <w:tcMar>
              <w:top w:w="15" w:type="dxa"/>
              <w:left w:w="15" w:type="dxa"/>
              <w:right w:w="15" w:type="dxa"/>
            </w:tcMar>
            <w:vAlign w:val="center"/>
          </w:tcPr>
          <w:p w14:paraId="0303E3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10.4</w:t>
            </w:r>
          </w:p>
        </w:tc>
        <w:tc>
          <w:tcPr>
            <w:tcW w:w="2083" w:type="dxa"/>
            <w:tcBorders>
              <w:tl2br w:val="nil"/>
              <w:tr2bl w:val="nil"/>
            </w:tcBorders>
            <w:shd w:val="clear" w:color="auto" w:fill="auto"/>
            <w:tcMar>
              <w:top w:w="15" w:type="dxa"/>
              <w:left w:w="15" w:type="dxa"/>
              <w:right w:w="15" w:type="dxa"/>
            </w:tcMar>
            <w:vAlign w:val="center"/>
          </w:tcPr>
          <w:p w14:paraId="6A8E79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36.7</w:t>
            </w:r>
          </w:p>
        </w:tc>
        <w:tc>
          <w:tcPr>
            <w:tcW w:w="2082" w:type="dxa"/>
            <w:tcBorders>
              <w:tl2br w:val="nil"/>
              <w:tr2bl w:val="nil"/>
            </w:tcBorders>
            <w:shd w:val="clear" w:color="auto" w:fill="auto"/>
            <w:tcMar>
              <w:top w:w="15" w:type="dxa"/>
              <w:left w:w="15" w:type="dxa"/>
              <w:right w:w="15" w:type="dxa"/>
            </w:tcMar>
            <w:vAlign w:val="center"/>
          </w:tcPr>
          <w:p w14:paraId="73BD21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19.54</w:t>
            </w:r>
          </w:p>
        </w:tc>
      </w:tr>
      <w:tr w14:paraId="59C9C1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7F8F02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2082" w:type="dxa"/>
            <w:tcBorders>
              <w:tl2br w:val="nil"/>
              <w:tr2bl w:val="nil"/>
            </w:tcBorders>
            <w:shd w:val="clear" w:color="auto" w:fill="auto"/>
            <w:tcMar>
              <w:top w:w="15" w:type="dxa"/>
              <w:left w:w="15" w:type="dxa"/>
              <w:right w:w="15" w:type="dxa"/>
            </w:tcMar>
            <w:vAlign w:val="center"/>
          </w:tcPr>
          <w:p w14:paraId="65B24B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13.41</w:t>
            </w:r>
          </w:p>
        </w:tc>
        <w:tc>
          <w:tcPr>
            <w:tcW w:w="2083" w:type="dxa"/>
            <w:tcBorders>
              <w:tl2br w:val="nil"/>
              <w:tr2bl w:val="nil"/>
            </w:tcBorders>
            <w:shd w:val="clear" w:color="auto" w:fill="auto"/>
            <w:tcMar>
              <w:top w:w="15" w:type="dxa"/>
              <w:left w:w="15" w:type="dxa"/>
              <w:right w:w="15" w:type="dxa"/>
            </w:tcMar>
            <w:vAlign w:val="center"/>
          </w:tcPr>
          <w:p w14:paraId="3B2F6B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2082" w:type="dxa"/>
            <w:tcBorders>
              <w:tl2br w:val="nil"/>
              <w:tr2bl w:val="nil"/>
            </w:tcBorders>
            <w:shd w:val="clear" w:color="auto" w:fill="auto"/>
            <w:tcMar>
              <w:top w:w="15" w:type="dxa"/>
              <w:left w:w="15" w:type="dxa"/>
              <w:right w:w="15" w:type="dxa"/>
            </w:tcMar>
            <w:vAlign w:val="center"/>
          </w:tcPr>
          <w:p w14:paraId="1F5AAF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19.94</w:t>
            </w:r>
          </w:p>
        </w:tc>
      </w:tr>
      <w:tr w14:paraId="586382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18E2AC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35.1</w:t>
            </w:r>
          </w:p>
        </w:tc>
        <w:tc>
          <w:tcPr>
            <w:tcW w:w="2082" w:type="dxa"/>
            <w:tcBorders>
              <w:tl2br w:val="nil"/>
              <w:tr2bl w:val="nil"/>
            </w:tcBorders>
            <w:shd w:val="clear" w:color="auto" w:fill="auto"/>
            <w:tcMar>
              <w:top w:w="15" w:type="dxa"/>
              <w:left w:w="15" w:type="dxa"/>
              <w:right w:w="15" w:type="dxa"/>
            </w:tcMar>
            <w:vAlign w:val="center"/>
          </w:tcPr>
          <w:p w14:paraId="74333B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13.74</w:t>
            </w:r>
          </w:p>
        </w:tc>
        <w:tc>
          <w:tcPr>
            <w:tcW w:w="2083" w:type="dxa"/>
            <w:tcBorders>
              <w:tl2br w:val="nil"/>
              <w:tr2bl w:val="nil"/>
            </w:tcBorders>
            <w:shd w:val="clear" w:color="auto" w:fill="auto"/>
            <w:tcMar>
              <w:top w:w="15" w:type="dxa"/>
              <w:left w:w="15" w:type="dxa"/>
              <w:right w:w="15" w:type="dxa"/>
            </w:tcMar>
            <w:vAlign w:val="center"/>
          </w:tcPr>
          <w:p w14:paraId="036C3D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36.9</w:t>
            </w:r>
          </w:p>
        </w:tc>
        <w:tc>
          <w:tcPr>
            <w:tcW w:w="2082" w:type="dxa"/>
            <w:tcBorders>
              <w:tl2br w:val="nil"/>
              <w:tr2bl w:val="nil"/>
            </w:tcBorders>
            <w:shd w:val="clear" w:color="auto" w:fill="auto"/>
            <w:tcMar>
              <w:top w:w="15" w:type="dxa"/>
              <w:left w:w="15" w:type="dxa"/>
              <w:right w:w="15" w:type="dxa"/>
            </w:tcMar>
            <w:vAlign w:val="center"/>
          </w:tcPr>
          <w:p w14:paraId="7330C7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w:t>
            </w:r>
          </w:p>
        </w:tc>
      </w:tr>
      <w:tr w14:paraId="1AF420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0A331A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35.2</w:t>
            </w:r>
          </w:p>
        </w:tc>
        <w:tc>
          <w:tcPr>
            <w:tcW w:w="2082" w:type="dxa"/>
            <w:tcBorders>
              <w:tl2br w:val="nil"/>
              <w:tr2bl w:val="nil"/>
            </w:tcBorders>
            <w:shd w:val="clear" w:color="auto" w:fill="auto"/>
            <w:tcMar>
              <w:top w:w="15" w:type="dxa"/>
              <w:left w:w="15" w:type="dxa"/>
              <w:right w:w="15" w:type="dxa"/>
            </w:tcMar>
            <w:vAlign w:val="center"/>
          </w:tcPr>
          <w:p w14:paraId="5CC483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14.07</w:t>
            </w:r>
          </w:p>
        </w:tc>
        <w:tc>
          <w:tcPr>
            <w:tcW w:w="2083" w:type="dxa"/>
            <w:tcBorders>
              <w:tl2br w:val="nil"/>
              <w:tr2bl w:val="nil"/>
            </w:tcBorders>
            <w:shd w:val="clear" w:color="auto" w:fill="auto"/>
            <w:tcMar>
              <w:top w:w="15" w:type="dxa"/>
              <w:left w:w="15" w:type="dxa"/>
              <w:right w:w="15" w:type="dxa"/>
            </w:tcMar>
            <w:vAlign w:val="center"/>
          </w:tcPr>
          <w:p w14:paraId="644722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2082" w:type="dxa"/>
            <w:tcBorders>
              <w:tl2br w:val="nil"/>
              <w:tr2bl w:val="nil"/>
            </w:tcBorders>
            <w:shd w:val="clear" w:color="auto" w:fill="auto"/>
            <w:tcMar>
              <w:top w:w="15" w:type="dxa"/>
              <w:left w:w="15" w:type="dxa"/>
              <w:right w:w="15" w:type="dxa"/>
            </w:tcMar>
            <w:vAlign w:val="center"/>
          </w:tcPr>
          <w:p w14:paraId="476873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20.74</w:t>
            </w:r>
          </w:p>
        </w:tc>
      </w:tr>
      <w:tr w14:paraId="64B9E3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023FCA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w:t>
            </w:r>
          </w:p>
        </w:tc>
        <w:tc>
          <w:tcPr>
            <w:tcW w:w="2082" w:type="dxa"/>
            <w:tcBorders>
              <w:tl2br w:val="nil"/>
              <w:tr2bl w:val="nil"/>
            </w:tcBorders>
            <w:shd w:val="clear" w:color="auto" w:fill="auto"/>
            <w:tcMar>
              <w:top w:w="15" w:type="dxa"/>
              <w:left w:w="15" w:type="dxa"/>
              <w:right w:w="15" w:type="dxa"/>
            </w:tcMar>
            <w:vAlign w:val="center"/>
          </w:tcPr>
          <w:p w14:paraId="745158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14.41</w:t>
            </w:r>
          </w:p>
        </w:tc>
        <w:tc>
          <w:tcPr>
            <w:tcW w:w="2083" w:type="dxa"/>
            <w:tcBorders>
              <w:tl2br w:val="nil"/>
              <w:tr2bl w:val="nil"/>
            </w:tcBorders>
            <w:shd w:val="clear" w:color="auto" w:fill="auto"/>
            <w:tcMar>
              <w:top w:w="15" w:type="dxa"/>
              <w:left w:w="15" w:type="dxa"/>
              <w:right w:w="15" w:type="dxa"/>
            </w:tcMar>
            <w:vAlign w:val="center"/>
          </w:tcPr>
          <w:p w14:paraId="4F601E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37.1</w:t>
            </w:r>
          </w:p>
        </w:tc>
        <w:tc>
          <w:tcPr>
            <w:tcW w:w="2082" w:type="dxa"/>
            <w:tcBorders>
              <w:tl2br w:val="nil"/>
              <w:tr2bl w:val="nil"/>
            </w:tcBorders>
            <w:shd w:val="clear" w:color="auto" w:fill="auto"/>
            <w:tcMar>
              <w:top w:w="15" w:type="dxa"/>
              <w:left w:w="15" w:type="dxa"/>
              <w:right w:w="15" w:type="dxa"/>
            </w:tcMar>
            <w:vAlign w:val="center"/>
          </w:tcPr>
          <w:p w14:paraId="714471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21.14</w:t>
            </w:r>
          </w:p>
        </w:tc>
      </w:tr>
      <w:tr w14:paraId="4A96B3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5011F5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35.4</w:t>
            </w:r>
          </w:p>
        </w:tc>
        <w:tc>
          <w:tcPr>
            <w:tcW w:w="2082" w:type="dxa"/>
            <w:tcBorders>
              <w:tl2br w:val="nil"/>
              <w:tr2bl w:val="nil"/>
            </w:tcBorders>
            <w:shd w:val="clear" w:color="auto" w:fill="auto"/>
            <w:tcMar>
              <w:top w:w="15" w:type="dxa"/>
              <w:left w:w="15" w:type="dxa"/>
              <w:right w:w="15" w:type="dxa"/>
            </w:tcMar>
            <w:vAlign w:val="center"/>
          </w:tcPr>
          <w:p w14:paraId="55F58F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14.75</w:t>
            </w:r>
          </w:p>
        </w:tc>
        <w:tc>
          <w:tcPr>
            <w:tcW w:w="2083" w:type="dxa"/>
            <w:tcBorders>
              <w:tl2br w:val="nil"/>
              <w:tr2bl w:val="nil"/>
            </w:tcBorders>
            <w:shd w:val="clear" w:color="auto" w:fill="auto"/>
            <w:tcMar>
              <w:top w:w="15" w:type="dxa"/>
              <w:left w:w="15" w:type="dxa"/>
              <w:right w:w="15" w:type="dxa"/>
            </w:tcMar>
            <w:vAlign w:val="center"/>
          </w:tcPr>
          <w:p w14:paraId="48B690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37.2</w:t>
            </w:r>
          </w:p>
        </w:tc>
        <w:tc>
          <w:tcPr>
            <w:tcW w:w="2082" w:type="dxa"/>
            <w:tcBorders>
              <w:tl2br w:val="nil"/>
              <w:tr2bl w:val="nil"/>
            </w:tcBorders>
            <w:shd w:val="clear" w:color="auto" w:fill="auto"/>
            <w:tcMar>
              <w:top w:w="15" w:type="dxa"/>
              <w:left w:w="15" w:type="dxa"/>
              <w:right w:w="15" w:type="dxa"/>
            </w:tcMar>
            <w:vAlign w:val="center"/>
          </w:tcPr>
          <w:p w14:paraId="438527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21.55 </w:t>
            </w:r>
          </w:p>
        </w:tc>
      </w:tr>
      <w:tr w14:paraId="253855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3CFBD8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35.5</w:t>
            </w:r>
          </w:p>
        </w:tc>
        <w:tc>
          <w:tcPr>
            <w:tcW w:w="2082" w:type="dxa"/>
            <w:tcBorders>
              <w:tl2br w:val="nil"/>
              <w:tr2bl w:val="nil"/>
            </w:tcBorders>
            <w:shd w:val="clear" w:color="auto" w:fill="auto"/>
            <w:tcMar>
              <w:top w:w="15" w:type="dxa"/>
              <w:left w:w="15" w:type="dxa"/>
              <w:right w:w="15" w:type="dxa"/>
            </w:tcMar>
            <w:vAlign w:val="center"/>
          </w:tcPr>
          <w:p w14:paraId="19FAE1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w:t>
            </w:r>
          </w:p>
        </w:tc>
        <w:tc>
          <w:tcPr>
            <w:tcW w:w="2083" w:type="dxa"/>
            <w:tcBorders>
              <w:tl2br w:val="nil"/>
              <w:tr2bl w:val="nil"/>
            </w:tcBorders>
            <w:shd w:val="clear" w:color="auto" w:fill="auto"/>
            <w:tcMar>
              <w:top w:w="15" w:type="dxa"/>
              <w:left w:w="15" w:type="dxa"/>
              <w:right w:w="15" w:type="dxa"/>
            </w:tcMar>
            <w:vAlign w:val="center"/>
          </w:tcPr>
          <w:p w14:paraId="79B544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2082" w:type="dxa"/>
            <w:tcBorders>
              <w:tl2br w:val="nil"/>
              <w:tr2bl w:val="nil"/>
            </w:tcBorders>
            <w:shd w:val="clear" w:color="auto" w:fill="auto"/>
            <w:tcMar>
              <w:top w:w="15" w:type="dxa"/>
              <w:left w:w="15" w:type="dxa"/>
              <w:right w:w="15" w:type="dxa"/>
            </w:tcMar>
            <w:vAlign w:val="center"/>
          </w:tcPr>
          <w:p w14:paraId="136440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21.97 </w:t>
            </w:r>
          </w:p>
        </w:tc>
      </w:tr>
      <w:tr w14:paraId="199CF6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1DDC5D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35.6</w:t>
            </w:r>
          </w:p>
        </w:tc>
        <w:tc>
          <w:tcPr>
            <w:tcW w:w="2082" w:type="dxa"/>
            <w:tcBorders>
              <w:tl2br w:val="nil"/>
              <w:tr2bl w:val="nil"/>
            </w:tcBorders>
            <w:shd w:val="clear" w:color="auto" w:fill="auto"/>
            <w:tcMar>
              <w:top w:w="15" w:type="dxa"/>
              <w:left w:w="15" w:type="dxa"/>
              <w:right w:w="15" w:type="dxa"/>
            </w:tcMar>
            <w:vAlign w:val="center"/>
          </w:tcPr>
          <w:p w14:paraId="42DB70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15.45</w:t>
            </w:r>
          </w:p>
        </w:tc>
        <w:tc>
          <w:tcPr>
            <w:tcW w:w="2083" w:type="dxa"/>
            <w:tcBorders>
              <w:tl2br w:val="nil"/>
              <w:tr2bl w:val="nil"/>
            </w:tcBorders>
            <w:shd w:val="clear" w:color="auto" w:fill="auto"/>
            <w:tcMar>
              <w:top w:w="15" w:type="dxa"/>
              <w:left w:w="15" w:type="dxa"/>
              <w:right w:w="15" w:type="dxa"/>
            </w:tcMar>
            <w:vAlign w:val="center"/>
          </w:tcPr>
          <w:p w14:paraId="365BB2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37.4</w:t>
            </w:r>
          </w:p>
        </w:tc>
        <w:tc>
          <w:tcPr>
            <w:tcW w:w="2082" w:type="dxa"/>
            <w:tcBorders>
              <w:tl2br w:val="nil"/>
              <w:tr2bl w:val="nil"/>
            </w:tcBorders>
            <w:shd w:val="clear" w:color="auto" w:fill="auto"/>
            <w:tcMar>
              <w:top w:w="15" w:type="dxa"/>
              <w:left w:w="15" w:type="dxa"/>
              <w:right w:w="15" w:type="dxa"/>
            </w:tcMar>
            <w:vAlign w:val="center"/>
          </w:tcPr>
          <w:p w14:paraId="786DA3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22.39 </w:t>
            </w:r>
          </w:p>
        </w:tc>
      </w:tr>
      <w:tr w14:paraId="64ECDC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360" w:hRule="atLeast"/>
        </w:trPr>
        <w:tc>
          <w:tcPr>
            <w:tcW w:w="2083" w:type="dxa"/>
            <w:tcBorders>
              <w:tl2br w:val="nil"/>
              <w:tr2bl w:val="nil"/>
            </w:tcBorders>
            <w:shd w:val="clear" w:color="auto" w:fill="auto"/>
            <w:tcMar>
              <w:top w:w="15" w:type="dxa"/>
              <w:left w:w="15" w:type="dxa"/>
              <w:right w:w="15" w:type="dxa"/>
            </w:tcMar>
            <w:vAlign w:val="center"/>
          </w:tcPr>
          <w:p w14:paraId="1F1794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35.7</w:t>
            </w:r>
          </w:p>
        </w:tc>
        <w:tc>
          <w:tcPr>
            <w:tcW w:w="2082" w:type="dxa"/>
            <w:tcBorders>
              <w:tl2br w:val="nil"/>
              <w:tr2bl w:val="nil"/>
            </w:tcBorders>
            <w:shd w:val="clear" w:color="auto" w:fill="auto"/>
            <w:tcMar>
              <w:top w:w="15" w:type="dxa"/>
              <w:left w:w="15" w:type="dxa"/>
              <w:right w:w="15" w:type="dxa"/>
            </w:tcMar>
            <w:vAlign w:val="center"/>
          </w:tcPr>
          <w:p w14:paraId="7A8B85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w:t>
            </w:r>
          </w:p>
        </w:tc>
        <w:tc>
          <w:tcPr>
            <w:tcW w:w="2083" w:type="dxa"/>
            <w:tcBorders>
              <w:tl2br w:val="nil"/>
              <w:tr2bl w:val="nil"/>
            </w:tcBorders>
            <w:shd w:val="clear" w:color="auto" w:fill="auto"/>
            <w:tcMar>
              <w:top w:w="15" w:type="dxa"/>
              <w:left w:w="15" w:type="dxa"/>
              <w:right w:w="15" w:type="dxa"/>
            </w:tcMar>
            <w:vAlign w:val="center"/>
          </w:tcPr>
          <w:p w14:paraId="6D1E5D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82" w:type="dxa"/>
            <w:tcBorders>
              <w:tl2br w:val="nil"/>
              <w:tr2bl w:val="nil"/>
            </w:tcBorders>
            <w:shd w:val="clear" w:color="auto" w:fill="auto"/>
            <w:tcMar>
              <w:top w:w="15" w:type="dxa"/>
              <w:left w:w="15" w:type="dxa"/>
              <w:right w:w="15" w:type="dxa"/>
            </w:tcMar>
            <w:vAlign w:val="center"/>
          </w:tcPr>
          <w:p w14:paraId="2BFB5A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22.81 </w:t>
            </w:r>
          </w:p>
        </w:tc>
      </w:tr>
    </w:tbl>
    <w:p w14:paraId="778BB958">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（2）丰收水库泄流曲线</w:t>
      </w:r>
    </w:p>
    <w:p w14:paraId="20C70519">
      <w:pPr>
        <w:spacing w:line="520" w:lineRule="exact"/>
        <w:ind w:firstLine="561"/>
        <w:rPr>
          <w:rFonts w:eastAsia="楷体"/>
          <w:color w:val="auto"/>
          <w:sz w:val="28"/>
          <w:szCs w:val="28"/>
          <w:highlight w:val="none"/>
        </w:rPr>
      </w:pPr>
      <w:r>
        <w:rPr>
          <w:rFonts w:eastAsia="楷体"/>
          <w:color w:val="auto"/>
          <w:sz w:val="28"/>
          <w:szCs w:val="28"/>
          <w:highlight w:val="none"/>
        </w:rPr>
        <w:t>丰收水库溢洪道出口段缓坡段长度与堰上水头之比大于10，故丰收水库溢洪道为明渠式，溢洪道用浆砌条石铺砌，计算糙率采用0.025。堰顶高程为36.37m，丰收水库溢洪道净宽为5m。调洪演算原则为：起调水位为36.37m，当水库水位超过堰顶高程后自由溢流进行计算，计算式如下：</w:t>
      </w:r>
    </w:p>
    <w:p w14:paraId="358CE7F3">
      <w:pPr>
        <w:jc w:val="center"/>
        <w:rPr>
          <w:rFonts w:eastAsia="楷体"/>
          <w:color w:val="auto"/>
          <w:highlight w:val="none"/>
        </w:rPr>
      </w:pPr>
      <w:r>
        <w:rPr>
          <w:rFonts w:eastAsia="楷体"/>
          <w:color w:val="auto"/>
          <w:position w:val="-10"/>
          <w:highlight w:val="none"/>
        </w:rPr>
        <w:object>
          <v:shape id="_x0000_i1025" o:spt="75" type="#_x0000_t75" style="height:20.25pt;width:63.7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p>
    <w:p w14:paraId="485F1A31">
      <w:pPr>
        <w:spacing w:line="520" w:lineRule="exact"/>
        <w:rPr>
          <w:rFonts w:eastAsia="楷体"/>
          <w:color w:val="auto"/>
          <w:sz w:val="28"/>
          <w:szCs w:val="28"/>
          <w:highlight w:val="none"/>
        </w:rPr>
      </w:pPr>
      <w:r>
        <w:rPr>
          <w:rFonts w:eastAsia="楷体"/>
          <w:color w:val="auto"/>
          <w:sz w:val="28"/>
          <w:szCs w:val="28"/>
          <w:highlight w:val="none"/>
        </w:rPr>
        <w:t>式中：</w:t>
      </w:r>
      <w:r>
        <w:rPr>
          <w:rFonts w:eastAsia="楷体"/>
          <w:color w:val="auto"/>
          <w:position w:val="-6"/>
          <w:sz w:val="28"/>
          <w:szCs w:val="28"/>
          <w:highlight w:val="none"/>
        </w:rPr>
        <w:object>
          <v:shape id="_x0000_i1026" o:spt="75" type="#_x0000_t75" style="height:14.25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eastAsia="楷体"/>
          <w:color w:val="auto"/>
          <w:sz w:val="28"/>
          <w:szCs w:val="28"/>
          <w:highlight w:val="none"/>
        </w:rPr>
        <w:t>——谢才系数；</w:t>
      </w:r>
    </w:p>
    <w:p w14:paraId="07F094C7">
      <w:pPr>
        <w:spacing w:line="520" w:lineRule="exact"/>
        <w:ind w:firstLine="560"/>
        <w:rPr>
          <w:rFonts w:eastAsia="楷体"/>
          <w:color w:val="auto"/>
          <w:sz w:val="28"/>
          <w:szCs w:val="28"/>
          <w:highlight w:val="none"/>
        </w:rPr>
      </w:pPr>
      <w:r>
        <w:rPr>
          <w:rFonts w:eastAsia="楷体"/>
          <w:color w:val="auto"/>
          <w:sz w:val="28"/>
          <w:szCs w:val="28"/>
          <w:highlight w:val="none"/>
        </w:rPr>
        <w:tab/>
      </w:r>
      <w:r>
        <w:rPr>
          <w:rFonts w:eastAsia="楷体"/>
          <w:color w:val="auto"/>
          <w:position w:val="-4"/>
          <w:sz w:val="28"/>
          <w:szCs w:val="28"/>
          <w:highlight w:val="none"/>
        </w:rPr>
        <w:object>
          <v:shape id="_x0000_i1027" o:spt="75" type="#_x0000_t75" style="height:12.75pt;width:12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eastAsia="楷体"/>
          <w:color w:val="auto"/>
          <w:sz w:val="28"/>
          <w:szCs w:val="28"/>
          <w:highlight w:val="none"/>
        </w:rPr>
        <w:t>——过水断面面积；</w:t>
      </w:r>
    </w:p>
    <w:p w14:paraId="3E9E452E">
      <w:pPr>
        <w:spacing w:line="520" w:lineRule="exact"/>
        <w:ind w:firstLine="560"/>
        <w:rPr>
          <w:rFonts w:eastAsia="楷体"/>
          <w:color w:val="auto"/>
          <w:sz w:val="28"/>
          <w:szCs w:val="28"/>
          <w:highlight w:val="none"/>
        </w:rPr>
      </w:pPr>
      <w:r>
        <w:rPr>
          <w:rFonts w:eastAsia="楷体"/>
          <w:color w:val="auto"/>
          <w:sz w:val="28"/>
          <w:szCs w:val="28"/>
          <w:highlight w:val="none"/>
        </w:rPr>
        <w:tab/>
      </w:r>
      <w:r>
        <w:rPr>
          <w:rFonts w:eastAsia="楷体"/>
          <w:color w:val="auto"/>
          <w:position w:val="-4"/>
          <w:sz w:val="28"/>
          <w:szCs w:val="28"/>
          <w:highlight w:val="none"/>
        </w:rPr>
        <w:object>
          <v:shape id="_x0000_i1028" o:spt="75" type="#_x0000_t75" style="height:12.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eastAsia="楷体"/>
          <w:color w:val="auto"/>
          <w:sz w:val="28"/>
          <w:szCs w:val="28"/>
          <w:highlight w:val="none"/>
        </w:rPr>
        <w:t>——水力半径，m；</w:t>
      </w:r>
    </w:p>
    <w:p w14:paraId="42E04EC8">
      <w:pPr>
        <w:spacing w:line="520" w:lineRule="exact"/>
        <w:ind w:firstLine="560"/>
        <w:rPr>
          <w:rFonts w:eastAsia="楷体"/>
          <w:color w:val="auto"/>
          <w:kern w:val="0"/>
          <w:sz w:val="28"/>
          <w:szCs w:val="28"/>
          <w:highlight w:val="none"/>
        </w:rPr>
      </w:pPr>
      <w:r>
        <w:rPr>
          <w:rFonts w:eastAsia="楷体"/>
          <w:color w:val="auto"/>
          <w:sz w:val="28"/>
          <w:szCs w:val="28"/>
          <w:highlight w:val="none"/>
        </w:rPr>
        <w:t xml:space="preserve">   </w:t>
      </w:r>
      <w:r>
        <w:rPr>
          <w:rFonts w:eastAsia="楷体"/>
          <w:color w:val="auto"/>
          <w:position w:val="-6"/>
          <w:sz w:val="28"/>
          <w:szCs w:val="28"/>
          <w:highlight w:val="none"/>
        </w:rPr>
        <w:object>
          <v:shape id="_x0000_i1029" o:spt="75" type="#_x0000_t75" style="height:14.25pt;width:6.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eastAsia="楷体"/>
          <w:color w:val="auto"/>
          <w:sz w:val="28"/>
          <w:szCs w:val="28"/>
          <w:highlight w:val="none"/>
        </w:rPr>
        <w:t>——</w:t>
      </w:r>
      <w:r>
        <w:rPr>
          <w:rFonts w:eastAsia="楷体"/>
          <w:color w:val="auto"/>
          <w:kern w:val="0"/>
          <w:sz w:val="28"/>
          <w:szCs w:val="28"/>
          <w:highlight w:val="none"/>
        </w:rPr>
        <w:t>底坡坡度，0.0026。</w:t>
      </w:r>
    </w:p>
    <w:p w14:paraId="01CB77BE">
      <w:pPr>
        <w:spacing w:line="520" w:lineRule="exact"/>
        <w:ind w:firstLine="560"/>
        <w:rPr>
          <w:rFonts w:eastAsia="楷体"/>
          <w:color w:val="auto"/>
          <w:sz w:val="28"/>
          <w:szCs w:val="28"/>
          <w:highlight w:val="none"/>
        </w:rPr>
      </w:pPr>
      <w:r>
        <w:rPr>
          <w:rFonts w:eastAsia="楷体"/>
          <w:color w:val="auto"/>
          <w:kern w:val="0"/>
          <w:sz w:val="28"/>
          <w:szCs w:val="28"/>
          <w:highlight w:val="none"/>
        </w:rPr>
        <w:t>最后由计算求得丰收水库</w:t>
      </w:r>
      <w:r>
        <w:rPr>
          <w:rFonts w:eastAsia="楷体"/>
          <w:color w:val="auto"/>
          <w:sz w:val="28"/>
          <w:szCs w:val="28"/>
          <w:highlight w:val="none"/>
        </w:rPr>
        <w:t>水位～泄流关系曲线如下表3-2所示：</w:t>
      </w:r>
    </w:p>
    <w:p w14:paraId="43A1AFF2">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楷体"/>
          <w:b/>
          <w:color w:val="auto"/>
          <w:sz w:val="28"/>
          <w:szCs w:val="28"/>
          <w:highlight w:val="none"/>
        </w:rPr>
      </w:pPr>
      <w:r>
        <w:rPr>
          <w:rFonts w:eastAsia="楷体"/>
          <w:b/>
          <w:color w:val="auto"/>
          <w:sz w:val="28"/>
          <w:szCs w:val="28"/>
          <w:highlight w:val="none"/>
        </w:rPr>
        <w:t>表3-2            丰收水库水位～下泄流量关系曲线</w:t>
      </w:r>
    </w:p>
    <w:tbl>
      <w:tblPr>
        <w:tblStyle w:val="18"/>
        <w:tblW w:w="85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09"/>
        <w:gridCol w:w="1182"/>
        <w:gridCol w:w="1182"/>
        <w:gridCol w:w="1182"/>
        <w:gridCol w:w="1182"/>
        <w:gridCol w:w="1179"/>
      </w:tblGrid>
      <w:tr w14:paraId="442BA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shd w:val="clear" w:color="auto" w:fill="auto"/>
            <w:vAlign w:val="center"/>
          </w:tcPr>
          <w:p w14:paraId="7F3E4E7A">
            <w:pPr>
              <w:widowControl/>
              <w:jc w:val="center"/>
              <w:rPr>
                <w:rFonts w:eastAsia="楷体"/>
                <w:color w:val="auto"/>
                <w:kern w:val="0"/>
                <w:sz w:val="24"/>
                <w:highlight w:val="none"/>
              </w:rPr>
            </w:pPr>
            <w:r>
              <w:rPr>
                <w:rFonts w:eastAsia="楷体"/>
                <w:color w:val="auto"/>
                <w:kern w:val="0"/>
                <w:sz w:val="24"/>
                <w:highlight w:val="none"/>
              </w:rPr>
              <w:t>水位(m)</w:t>
            </w:r>
          </w:p>
        </w:tc>
        <w:tc>
          <w:tcPr>
            <w:tcW w:w="1182" w:type="dxa"/>
            <w:shd w:val="clear" w:color="auto" w:fill="auto"/>
            <w:noWrap/>
            <w:vAlign w:val="center"/>
          </w:tcPr>
          <w:p w14:paraId="1DD1166A">
            <w:pPr>
              <w:widowControl/>
              <w:jc w:val="center"/>
              <w:rPr>
                <w:rFonts w:eastAsia="楷体"/>
                <w:color w:val="auto"/>
                <w:kern w:val="0"/>
                <w:sz w:val="24"/>
                <w:highlight w:val="none"/>
              </w:rPr>
            </w:pPr>
            <w:r>
              <w:rPr>
                <w:rFonts w:eastAsia="楷体"/>
                <w:color w:val="auto"/>
                <w:kern w:val="0"/>
                <w:sz w:val="24"/>
                <w:highlight w:val="none"/>
              </w:rPr>
              <w:t>36.4</w:t>
            </w:r>
          </w:p>
        </w:tc>
        <w:tc>
          <w:tcPr>
            <w:tcW w:w="1182" w:type="dxa"/>
            <w:shd w:val="clear" w:color="auto" w:fill="auto"/>
            <w:noWrap/>
            <w:vAlign w:val="center"/>
          </w:tcPr>
          <w:p w14:paraId="4DFB4E46">
            <w:pPr>
              <w:widowControl/>
              <w:jc w:val="center"/>
              <w:rPr>
                <w:rFonts w:eastAsia="楷体"/>
                <w:color w:val="auto"/>
                <w:kern w:val="0"/>
                <w:sz w:val="24"/>
                <w:highlight w:val="none"/>
              </w:rPr>
            </w:pPr>
            <w:r>
              <w:rPr>
                <w:rFonts w:eastAsia="楷体"/>
                <w:color w:val="auto"/>
                <w:kern w:val="0"/>
                <w:sz w:val="24"/>
                <w:highlight w:val="none"/>
              </w:rPr>
              <w:t>36.5</w:t>
            </w:r>
          </w:p>
        </w:tc>
        <w:tc>
          <w:tcPr>
            <w:tcW w:w="1182" w:type="dxa"/>
            <w:shd w:val="clear" w:color="auto" w:fill="auto"/>
            <w:noWrap/>
            <w:vAlign w:val="center"/>
          </w:tcPr>
          <w:p w14:paraId="24447DFA">
            <w:pPr>
              <w:widowControl/>
              <w:jc w:val="center"/>
              <w:rPr>
                <w:rFonts w:eastAsia="楷体"/>
                <w:color w:val="auto"/>
                <w:kern w:val="0"/>
                <w:sz w:val="24"/>
                <w:highlight w:val="none"/>
              </w:rPr>
            </w:pPr>
            <w:r>
              <w:rPr>
                <w:rFonts w:eastAsia="楷体"/>
                <w:color w:val="auto"/>
                <w:kern w:val="0"/>
                <w:sz w:val="24"/>
                <w:highlight w:val="none"/>
              </w:rPr>
              <w:t>36.6</w:t>
            </w:r>
          </w:p>
        </w:tc>
        <w:tc>
          <w:tcPr>
            <w:tcW w:w="1182" w:type="dxa"/>
            <w:shd w:val="clear" w:color="auto" w:fill="auto"/>
            <w:noWrap/>
            <w:vAlign w:val="center"/>
          </w:tcPr>
          <w:p w14:paraId="25FB78B0">
            <w:pPr>
              <w:widowControl/>
              <w:jc w:val="center"/>
              <w:rPr>
                <w:rFonts w:eastAsia="楷体"/>
                <w:color w:val="auto"/>
                <w:kern w:val="0"/>
                <w:sz w:val="24"/>
                <w:highlight w:val="none"/>
              </w:rPr>
            </w:pPr>
            <w:r>
              <w:rPr>
                <w:rFonts w:eastAsia="楷体"/>
                <w:color w:val="auto"/>
                <w:kern w:val="0"/>
                <w:sz w:val="24"/>
                <w:highlight w:val="none"/>
              </w:rPr>
              <w:t>36.7</w:t>
            </w:r>
          </w:p>
        </w:tc>
        <w:tc>
          <w:tcPr>
            <w:tcW w:w="1179" w:type="dxa"/>
            <w:shd w:val="clear" w:color="auto" w:fill="auto"/>
            <w:noWrap/>
            <w:vAlign w:val="center"/>
          </w:tcPr>
          <w:p w14:paraId="6E61E19C">
            <w:pPr>
              <w:widowControl/>
              <w:jc w:val="center"/>
              <w:rPr>
                <w:rFonts w:eastAsia="楷体"/>
                <w:color w:val="auto"/>
                <w:kern w:val="0"/>
                <w:sz w:val="24"/>
                <w:highlight w:val="none"/>
              </w:rPr>
            </w:pPr>
            <w:r>
              <w:rPr>
                <w:rFonts w:eastAsia="楷体"/>
                <w:color w:val="auto"/>
                <w:kern w:val="0"/>
                <w:sz w:val="24"/>
                <w:highlight w:val="none"/>
              </w:rPr>
              <w:t>36.8</w:t>
            </w:r>
          </w:p>
        </w:tc>
      </w:tr>
      <w:tr w14:paraId="22424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shd w:val="clear" w:color="auto" w:fill="auto"/>
            <w:vAlign w:val="center"/>
          </w:tcPr>
          <w:p w14:paraId="4F9F9877">
            <w:pPr>
              <w:widowControl/>
              <w:jc w:val="center"/>
              <w:rPr>
                <w:rFonts w:eastAsia="楷体"/>
                <w:color w:val="auto"/>
                <w:kern w:val="0"/>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1182" w:type="dxa"/>
            <w:shd w:val="clear" w:color="auto" w:fill="auto"/>
            <w:noWrap/>
            <w:vAlign w:val="center"/>
          </w:tcPr>
          <w:p w14:paraId="48EDCAEA">
            <w:pPr>
              <w:widowControl/>
              <w:jc w:val="center"/>
              <w:rPr>
                <w:rFonts w:eastAsia="楷体"/>
                <w:color w:val="auto"/>
                <w:kern w:val="0"/>
                <w:sz w:val="24"/>
                <w:highlight w:val="none"/>
              </w:rPr>
            </w:pPr>
            <w:r>
              <w:rPr>
                <w:rFonts w:eastAsia="楷体"/>
                <w:color w:val="auto"/>
                <w:kern w:val="0"/>
                <w:sz w:val="24"/>
                <w:highlight w:val="none"/>
              </w:rPr>
              <w:t xml:space="preserve">0 </w:t>
            </w:r>
          </w:p>
        </w:tc>
        <w:tc>
          <w:tcPr>
            <w:tcW w:w="1182" w:type="dxa"/>
            <w:shd w:val="clear" w:color="auto" w:fill="auto"/>
            <w:noWrap/>
            <w:vAlign w:val="center"/>
          </w:tcPr>
          <w:p w14:paraId="7E654212">
            <w:pPr>
              <w:widowControl/>
              <w:jc w:val="center"/>
              <w:rPr>
                <w:rFonts w:eastAsia="楷体"/>
                <w:color w:val="auto"/>
                <w:kern w:val="0"/>
                <w:sz w:val="24"/>
                <w:highlight w:val="none"/>
              </w:rPr>
            </w:pPr>
            <w:r>
              <w:rPr>
                <w:rFonts w:eastAsia="楷体"/>
                <w:color w:val="auto"/>
                <w:kern w:val="0"/>
                <w:sz w:val="24"/>
                <w:highlight w:val="none"/>
              </w:rPr>
              <w:t xml:space="preserve">0.32 </w:t>
            </w:r>
          </w:p>
        </w:tc>
        <w:tc>
          <w:tcPr>
            <w:tcW w:w="1182" w:type="dxa"/>
            <w:shd w:val="clear" w:color="auto" w:fill="auto"/>
            <w:noWrap/>
            <w:vAlign w:val="center"/>
          </w:tcPr>
          <w:p w14:paraId="64B618DD">
            <w:pPr>
              <w:widowControl/>
              <w:jc w:val="center"/>
              <w:rPr>
                <w:rFonts w:eastAsia="楷体"/>
                <w:color w:val="auto"/>
                <w:kern w:val="0"/>
                <w:sz w:val="24"/>
                <w:highlight w:val="none"/>
              </w:rPr>
            </w:pPr>
            <w:r>
              <w:rPr>
                <w:rFonts w:eastAsia="楷体"/>
                <w:color w:val="auto"/>
                <w:kern w:val="0"/>
                <w:sz w:val="24"/>
                <w:highlight w:val="none"/>
              </w:rPr>
              <w:t xml:space="preserve">0.79 </w:t>
            </w:r>
          </w:p>
        </w:tc>
        <w:tc>
          <w:tcPr>
            <w:tcW w:w="1182" w:type="dxa"/>
            <w:shd w:val="clear" w:color="auto" w:fill="auto"/>
            <w:noWrap/>
            <w:vAlign w:val="center"/>
          </w:tcPr>
          <w:p w14:paraId="5B475A56">
            <w:pPr>
              <w:widowControl/>
              <w:jc w:val="center"/>
              <w:rPr>
                <w:rFonts w:eastAsia="楷体"/>
                <w:color w:val="auto"/>
                <w:kern w:val="0"/>
                <w:sz w:val="24"/>
                <w:highlight w:val="none"/>
              </w:rPr>
            </w:pPr>
            <w:r>
              <w:rPr>
                <w:rFonts w:eastAsia="楷体"/>
                <w:color w:val="auto"/>
                <w:kern w:val="0"/>
                <w:sz w:val="24"/>
                <w:highlight w:val="none"/>
              </w:rPr>
              <w:t xml:space="preserve">1.38 </w:t>
            </w:r>
          </w:p>
        </w:tc>
        <w:tc>
          <w:tcPr>
            <w:tcW w:w="1179" w:type="dxa"/>
            <w:shd w:val="clear" w:color="auto" w:fill="auto"/>
            <w:noWrap/>
            <w:vAlign w:val="center"/>
          </w:tcPr>
          <w:p w14:paraId="509B1A4D">
            <w:pPr>
              <w:widowControl/>
              <w:jc w:val="center"/>
              <w:rPr>
                <w:rFonts w:eastAsia="楷体"/>
                <w:color w:val="auto"/>
                <w:kern w:val="0"/>
                <w:sz w:val="24"/>
                <w:highlight w:val="none"/>
              </w:rPr>
            </w:pPr>
            <w:r>
              <w:rPr>
                <w:rFonts w:eastAsia="楷体"/>
                <w:color w:val="auto"/>
                <w:kern w:val="0"/>
                <w:sz w:val="24"/>
                <w:highlight w:val="none"/>
              </w:rPr>
              <w:t xml:space="preserve">2.06 </w:t>
            </w:r>
          </w:p>
        </w:tc>
      </w:tr>
      <w:tr w14:paraId="293E5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shd w:val="clear" w:color="auto" w:fill="auto"/>
            <w:vAlign w:val="center"/>
          </w:tcPr>
          <w:p w14:paraId="703412E9">
            <w:pPr>
              <w:widowControl/>
              <w:jc w:val="center"/>
              <w:rPr>
                <w:rFonts w:eastAsia="楷体"/>
                <w:color w:val="auto"/>
                <w:kern w:val="0"/>
                <w:sz w:val="24"/>
                <w:highlight w:val="none"/>
              </w:rPr>
            </w:pPr>
            <w:r>
              <w:rPr>
                <w:rFonts w:eastAsia="楷体"/>
                <w:color w:val="auto"/>
                <w:kern w:val="0"/>
                <w:sz w:val="24"/>
                <w:highlight w:val="none"/>
              </w:rPr>
              <w:t>水位(m)</w:t>
            </w:r>
          </w:p>
        </w:tc>
        <w:tc>
          <w:tcPr>
            <w:tcW w:w="1182" w:type="dxa"/>
            <w:shd w:val="clear" w:color="auto" w:fill="auto"/>
            <w:noWrap/>
            <w:vAlign w:val="center"/>
          </w:tcPr>
          <w:p w14:paraId="6253EB64">
            <w:pPr>
              <w:widowControl/>
              <w:jc w:val="center"/>
              <w:rPr>
                <w:rFonts w:eastAsia="楷体"/>
                <w:color w:val="auto"/>
                <w:kern w:val="0"/>
                <w:sz w:val="24"/>
                <w:highlight w:val="none"/>
              </w:rPr>
            </w:pPr>
            <w:r>
              <w:rPr>
                <w:rFonts w:eastAsia="楷体"/>
                <w:color w:val="auto"/>
                <w:kern w:val="0"/>
                <w:sz w:val="24"/>
                <w:highlight w:val="none"/>
              </w:rPr>
              <w:t>36.9</w:t>
            </w:r>
          </w:p>
        </w:tc>
        <w:tc>
          <w:tcPr>
            <w:tcW w:w="1182" w:type="dxa"/>
            <w:shd w:val="clear" w:color="auto" w:fill="auto"/>
            <w:noWrap/>
            <w:vAlign w:val="center"/>
          </w:tcPr>
          <w:p w14:paraId="17B64FD4">
            <w:pPr>
              <w:widowControl/>
              <w:jc w:val="center"/>
              <w:rPr>
                <w:rFonts w:eastAsia="楷体"/>
                <w:color w:val="auto"/>
                <w:kern w:val="0"/>
                <w:sz w:val="24"/>
                <w:highlight w:val="none"/>
              </w:rPr>
            </w:pPr>
            <w:r>
              <w:rPr>
                <w:rFonts w:eastAsia="楷体"/>
                <w:color w:val="auto"/>
                <w:kern w:val="0"/>
                <w:sz w:val="24"/>
                <w:highlight w:val="none"/>
              </w:rPr>
              <w:t>37</w:t>
            </w:r>
          </w:p>
        </w:tc>
        <w:tc>
          <w:tcPr>
            <w:tcW w:w="1182" w:type="dxa"/>
            <w:shd w:val="clear" w:color="auto" w:fill="auto"/>
            <w:noWrap/>
            <w:vAlign w:val="center"/>
          </w:tcPr>
          <w:p w14:paraId="7AEB6A4A">
            <w:pPr>
              <w:widowControl/>
              <w:jc w:val="center"/>
              <w:rPr>
                <w:rFonts w:eastAsia="楷体"/>
                <w:color w:val="auto"/>
                <w:kern w:val="0"/>
                <w:sz w:val="24"/>
                <w:highlight w:val="none"/>
              </w:rPr>
            </w:pPr>
            <w:r>
              <w:rPr>
                <w:rFonts w:eastAsia="楷体"/>
                <w:color w:val="auto"/>
                <w:kern w:val="0"/>
                <w:sz w:val="24"/>
                <w:highlight w:val="none"/>
              </w:rPr>
              <w:t>37.1</w:t>
            </w:r>
          </w:p>
        </w:tc>
        <w:tc>
          <w:tcPr>
            <w:tcW w:w="1182" w:type="dxa"/>
            <w:shd w:val="clear" w:color="auto" w:fill="auto"/>
            <w:noWrap/>
            <w:vAlign w:val="center"/>
          </w:tcPr>
          <w:p w14:paraId="43142CA6">
            <w:pPr>
              <w:widowControl/>
              <w:jc w:val="center"/>
              <w:rPr>
                <w:rFonts w:eastAsia="楷体"/>
                <w:color w:val="auto"/>
                <w:kern w:val="0"/>
                <w:sz w:val="24"/>
                <w:highlight w:val="none"/>
              </w:rPr>
            </w:pPr>
            <w:r>
              <w:rPr>
                <w:rFonts w:eastAsia="楷体"/>
                <w:color w:val="auto"/>
                <w:kern w:val="0"/>
                <w:sz w:val="24"/>
                <w:highlight w:val="none"/>
              </w:rPr>
              <w:t>37.2</w:t>
            </w:r>
          </w:p>
        </w:tc>
        <w:tc>
          <w:tcPr>
            <w:tcW w:w="1179" w:type="dxa"/>
            <w:shd w:val="clear" w:color="auto" w:fill="auto"/>
            <w:noWrap/>
            <w:vAlign w:val="center"/>
          </w:tcPr>
          <w:p w14:paraId="7E6CE892">
            <w:pPr>
              <w:widowControl/>
              <w:jc w:val="center"/>
              <w:rPr>
                <w:rFonts w:eastAsia="楷体"/>
                <w:color w:val="auto"/>
                <w:kern w:val="0"/>
                <w:sz w:val="24"/>
                <w:highlight w:val="none"/>
              </w:rPr>
            </w:pPr>
            <w:r>
              <w:rPr>
                <w:rFonts w:eastAsia="楷体"/>
                <w:color w:val="auto"/>
                <w:kern w:val="0"/>
                <w:sz w:val="24"/>
                <w:highlight w:val="none"/>
              </w:rPr>
              <w:t>37.3</w:t>
            </w:r>
          </w:p>
        </w:tc>
      </w:tr>
      <w:tr w14:paraId="6BF27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shd w:val="clear" w:color="auto" w:fill="auto"/>
            <w:vAlign w:val="center"/>
          </w:tcPr>
          <w:p w14:paraId="4B0BCC1B">
            <w:pPr>
              <w:widowControl/>
              <w:jc w:val="center"/>
              <w:rPr>
                <w:rFonts w:eastAsia="楷体"/>
                <w:color w:val="auto"/>
                <w:kern w:val="0"/>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1182" w:type="dxa"/>
            <w:shd w:val="clear" w:color="auto" w:fill="auto"/>
            <w:noWrap/>
            <w:vAlign w:val="center"/>
          </w:tcPr>
          <w:p w14:paraId="4D12AA2C">
            <w:pPr>
              <w:widowControl/>
              <w:jc w:val="center"/>
              <w:rPr>
                <w:rFonts w:eastAsia="楷体"/>
                <w:color w:val="auto"/>
                <w:kern w:val="0"/>
                <w:sz w:val="24"/>
                <w:highlight w:val="none"/>
              </w:rPr>
            </w:pPr>
            <w:r>
              <w:rPr>
                <w:rFonts w:eastAsia="楷体"/>
                <w:color w:val="auto"/>
                <w:kern w:val="0"/>
                <w:sz w:val="24"/>
                <w:highlight w:val="none"/>
              </w:rPr>
              <w:t xml:space="preserve">2.81 </w:t>
            </w:r>
          </w:p>
        </w:tc>
        <w:tc>
          <w:tcPr>
            <w:tcW w:w="1182" w:type="dxa"/>
            <w:shd w:val="clear" w:color="auto" w:fill="auto"/>
            <w:noWrap/>
            <w:vAlign w:val="center"/>
          </w:tcPr>
          <w:p w14:paraId="69D4ED47">
            <w:pPr>
              <w:widowControl/>
              <w:jc w:val="center"/>
              <w:rPr>
                <w:rFonts w:eastAsia="楷体"/>
                <w:color w:val="auto"/>
                <w:kern w:val="0"/>
                <w:sz w:val="24"/>
                <w:highlight w:val="none"/>
              </w:rPr>
            </w:pPr>
            <w:r>
              <w:rPr>
                <w:rFonts w:eastAsia="楷体"/>
                <w:color w:val="auto"/>
                <w:kern w:val="0"/>
                <w:sz w:val="24"/>
                <w:highlight w:val="none"/>
              </w:rPr>
              <w:t xml:space="preserve">3.62 </w:t>
            </w:r>
          </w:p>
        </w:tc>
        <w:tc>
          <w:tcPr>
            <w:tcW w:w="1182" w:type="dxa"/>
            <w:shd w:val="clear" w:color="auto" w:fill="auto"/>
            <w:noWrap/>
            <w:vAlign w:val="center"/>
          </w:tcPr>
          <w:p w14:paraId="2557964A">
            <w:pPr>
              <w:widowControl/>
              <w:jc w:val="center"/>
              <w:rPr>
                <w:rFonts w:eastAsia="楷体"/>
                <w:color w:val="auto"/>
                <w:kern w:val="0"/>
                <w:sz w:val="24"/>
                <w:highlight w:val="none"/>
              </w:rPr>
            </w:pPr>
            <w:r>
              <w:rPr>
                <w:rFonts w:eastAsia="楷体"/>
                <w:color w:val="auto"/>
                <w:kern w:val="0"/>
                <w:sz w:val="24"/>
                <w:highlight w:val="none"/>
              </w:rPr>
              <w:t xml:space="preserve">4.47 </w:t>
            </w:r>
          </w:p>
        </w:tc>
        <w:tc>
          <w:tcPr>
            <w:tcW w:w="1182" w:type="dxa"/>
            <w:shd w:val="clear" w:color="auto" w:fill="auto"/>
            <w:noWrap/>
            <w:vAlign w:val="center"/>
          </w:tcPr>
          <w:p w14:paraId="7810E7D8">
            <w:pPr>
              <w:widowControl/>
              <w:jc w:val="center"/>
              <w:rPr>
                <w:rFonts w:eastAsia="楷体"/>
                <w:color w:val="auto"/>
                <w:kern w:val="0"/>
                <w:sz w:val="24"/>
                <w:highlight w:val="none"/>
              </w:rPr>
            </w:pPr>
            <w:r>
              <w:rPr>
                <w:rFonts w:eastAsia="楷体"/>
                <w:color w:val="auto"/>
                <w:kern w:val="0"/>
                <w:sz w:val="24"/>
                <w:highlight w:val="none"/>
              </w:rPr>
              <w:t xml:space="preserve">5.35 </w:t>
            </w:r>
          </w:p>
        </w:tc>
        <w:tc>
          <w:tcPr>
            <w:tcW w:w="1179" w:type="dxa"/>
            <w:shd w:val="clear" w:color="auto" w:fill="auto"/>
            <w:noWrap/>
            <w:vAlign w:val="center"/>
          </w:tcPr>
          <w:p w14:paraId="4B007C6C">
            <w:pPr>
              <w:widowControl/>
              <w:jc w:val="center"/>
              <w:rPr>
                <w:rFonts w:eastAsia="楷体"/>
                <w:color w:val="auto"/>
                <w:kern w:val="0"/>
                <w:sz w:val="24"/>
                <w:highlight w:val="none"/>
              </w:rPr>
            </w:pPr>
            <w:r>
              <w:rPr>
                <w:rFonts w:eastAsia="楷体"/>
                <w:color w:val="auto"/>
                <w:kern w:val="0"/>
                <w:sz w:val="24"/>
                <w:highlight w:val="none"/>
              </w:rPr>
              <w:t xml:space="preserve">6.27 </w:t>
            </w:r>
          </w:p>
        </w:tc>
      </w:tr>
      <w:tr w14:paraId="602D1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shd w:val="clear" w:color="auto" w:fill="auto"/>
            <w:vAlign w:val="center"/>
          </w:tcPr>
          <w:p w14:paraId="69369260">
            <w:pPr>
              <w:widowControl/>
              <w:jc w:val="center"/>
              <w:rPr>
                <w:rFonts w:eastAsia="楷体"/>
                <w:color w:val="auto"/>
                <w:kern w:val="0"/>
                <w:sz w:val="24"/>
                <w:highlight w:val="none"/>
              </w:rPr>
            </w:pPr>
            <w:r>
              <w:rPr>
                <w:rFonts w:eastAsia="楷体"/>
                <w:color w:val="auto"/>
                <w:kern w:val="0"/>
                <w:sz w:val="24"/>
                <w:highlight w:val="none"/>
              </w:rPr>
              <w:t>水位(m)</w:t>
            </w:r>
          </w:p>
        </w:tc>
        <w:tc>
          <w:tcPr>
            <w:tcW w:w="1182" w:type="dxa"/>
            <w:shd w:val="clear" w:color="auto" w:fill="auto"/>
            <w:noWrap/>
            <w:vAlign w:val="center"/>
          </w:tcPr>
          <w:p w14:paraId="2FACA024">
            <w:pPr>
              <w:widowControl/>
              <w:jc w:val="center"/>
              <w:rPr>
                <w:rFonts w:eastAsia="楷体"/>
                <w:color w:val="auto"/>
                <w:kern w:val="0"/>
                <w:sz w:val="24"/>
                <w:highlight w:val="none"/>
              </w:rPr>
            </w:pPr>
            <w:r>
              <w:rPr>
                <w:rFonts w:eastAsia="楷体"/>
                <w:color w:val="auto"/>
                <w:kern w:val="0"/>
                <w:sz w:val="24"/>
                <w:highlight w:val="none"/>
              </w:rPr>
              <w:t>37.4</w:t>
            </w:r>
          </w:p>
        </w:tc>
        <w:tc>
          <w:tcPr>
            <w:tcW w:w="1182" w:type="dxa"/>
            <w:shd w:val="clear" w:color="auto" w:fill="auto"/>
            <w:noWrap/>
            <w:vAlign w:val="center"/>
          </w:tcPr>
          <w:p w14:paraId="5F6DE9B0">
            <w:pPr>
              <w:widowControl/>
              <w:jc w:val="center"/>
              <w:rPr>
                <w:rFonts w:eastAsia="楷体"/>
                <w:color w:val="auto"/>
                <w:kern w:val="0"/>
                <w:sz w:val="24"/>
                <w:highlight w:val="none"/>
              </w:rPr>
            </w:pPr>
            <w:r>
              <w:rPr>
                <w:rFonts w:eastAsia="楷体"/>
                <w:color w:val="auto"/>
                <w:kern w:val="0"/>
                <w:sz w:val="24"/>
                <w:highlight w:val="none"/>
              </w:rPr>
              <w:t>37.5</w:t>
            </w:r>
          </w:p>
        </w:tc>
        <w:tc>
          <w:tcPr>
            <w:tcW w:w="1182" w:type="dxa"/>
            <w:shd w:val="clear" w:color="auto" w:fill="auto"/>
            <w:noWrap/>
            <w:vAlign w:val="center"/>
          </w:tcPr>
          <w:p w14:paraId="37AFAA52">
            <w:pPr>
              <w:widowControl/>
              <w:jc w:val="center"/>
              <w:rPr>
                <w:rFonts w:eastAsia="楷体"/>
                <w:color w:val="auto"/>
                <w:kern w:val="0"/>
                <w:sz w:val="24"/>
                <w:highlight w:val="none"/>
              </w:rPr>
            </w:pPr>
            <w:r>
              <w:rPr>
                <w:rFonts w:eastAsia="楷体"/>
                <w:color w:val="auto"/>
                <w:kern w:val="0"/>
                <w:sz w:val="24"/>
                <w:highlight w:val="none"/>
              </w:rPr>
              <w:t>37.6</w:t>
            </w:r>
          </w:p>
        </w:tc>
        <w:tc>
          <w:tcPr>
            <w:tcW w:w="1182" w:type="dxa"/>
            <w:shd w:val="clear" w:color="auto" w:fill="auto"/>
            <w:noWrap/>
            <w:vAlign w:val="center"/>
          </w:tcPr>
          <w:p w14:paraId="03BA429C">
            <w:pPr>
              <w:widowControl/>
              <w:jc w:val="center"/>
              <w:rPr>
                <w:rFonts w:eastAsia="楷体"/>
                <w:color w:val="auto"/>
                <w:kern w:val="0"/>
                <w:sz w:val="24"/>
                <w:highlight w:val="none"/>
              </w:rPr>
            </w:pPr>
            <w:r>
              <w:rPr>
                <w:rFonts w:eastAsia="楷体"/>
                <w:color w:val="auto"/>
                <w:kern w:val="0"/>
                <w:sz w:val="24"/>
                <w:highlight w:val="none"/>
              </w:rPr>
              <w:t>37.7</w:t>
            </w:r>
          </w:p>
        </w:tc>
        <w:tc>
          <w:tcPr>
            <w:tcW w:w="1179" w:type="dxa"/>
            <w:shd w:val="clear" w:color="auto" w:fill="auto"/>
            <w:noWrap/>
            <w:vAlign w:val="center"/>
          </w:tcPr>
          <w:p w14:paraId="08A7BAC2">
            <w:pPr>
              <w:widowControl/>
              <w:jc w:val="center"/>
              <w:rPr>
                <w:rFonts w:eastAsia="楷体"/>
                <w:color w:val="auto"/>
                <w:kern w:val="0"/>
                <w:sz w:val="24"/>
                <w:highlight w:val="none"/>
              </w:rPr>
            </w:pPr>
            <w:r>
              <w:rPr>
                <w:rFonts w:eastAsia="楷体"/>
                <w:color w:val="auto"/>
                <w:kern w:val="0"/>
                <w:sz w:val="24"/>
                <w:highlight w:val="none"/>
              </w:rPr>
              <w:t>37.8</w:t>
            </w:r>
          </w:p>
        </w:tc>
      </w:tr>
      <w:tr w14:paraId="3199A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shd w:val="clear" w:color="auto" w:fill="auto"/>
            <w:vAlign w:val="center"/>
          </w:tcPr>
          <w:p w14:paraId="4E4D4C6A">
            <w:pPr>
              <w:widowControl/>
              <w:jc w:val="center"/>
              <w:rPr>
                <w:rFonts w:eastAsia="楷体"/>
                <w:color w:val="auto"/>
                <w:kern w:val="0"/>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1182" w:type="dxa"/>
            <w:shd w:val="clear" w:color="auto" w:fill="auto"/>
            <w:noWrap/>
            <w:vAlign w:val="center"/>
          </w:tcPr>
          <w:p w14:paraId="6F759953">
            <w:pPr>
              <w:widowControl/>
              <w:jc w:val="center"/>
              <w:rPr>
                <w:rFonts w:eastAsia="楷体"/>
                <w:color w:val="auto"/>
                <w:kern w:val="0"/>
                <w:sz w:val="24"/>
                <w:highlight w:val="none"/>
              </w:rPr>
            </w:pPr>
            <w:r>
              <w:rPr>
                <w:rFonts w:eastAsia="楷体"/>
                <w:color w:val="auto"/>
                <w:kern w:val="0"/>
                <w:sz w:val="24"/>
                <w:highlight w:val="none"/>
              </w:rPr>
              <w:t xml:space="preserve">7.22 </w:t>
            </w:r>
          </w:p>
        </w:tc>
        <w:tc>
          <w:tcPr>
            <w:tcW w:w="1182" w:type="dxa"/>
            <w:shd w:val="clear" w:color="auto" w:fill="auto"/>
            <w:noWrap/>
            <w:vAlign w:val="center"/>
          </w:tcPr>
          <w:p w14:paraId="340DFF48">
            <w:pPr>
              <w:widowControl/>
              <w:jc w:val="center"/>
              <w:rPr>
                <w:rFonts w:eastAsia="楷体"/>
                <w:color w:val="auto"/>
                <w:kern w:val="0"/>
                <w:sz w:val="24"/>
                <w:highlight w:val="none"/>
              </w:rPr>
            </w:pPr>
            <w:r>
              <w:rPr>
                <w:rFonts w:eastAsia="楷体"/>
                <w:color w:val="auto"/>
                <w:kern w:val="0"/>
                <w:sz w:val="24"/>
                <w:highlight w:val="none"/>
              </w:rPr>
              <w:t xml:space="preserve">8.19 </w:t>
            </w:r>
          </w:p>
        </w:tc>
        <w:tc>
          <w:tcPr>
            <w:tcW w:w="1182" w:type="dxa"/>
            <w:shd w:val="clear" w:color="auto" w:fill="auto"/>
            <w:noWrap/>
            <w:vAlign w:val="center"/>
          </w:tcPr>
          <w:p w14:paraId="2FB11BDA">
            <w:pPr>
              <w:widowControl/>
              <w:jc w:val="center"/>
              <w:rPr>
                <w:rFonts w:eastAsia="楷体"/>
                <w:color w:val="auto"/>
                <w:kern w:val="0"/>
                <w:sz w:val="24"/>
                <w:highlight w:val="none"/>
              </w:rPr>
            </w:pPr>
            <w:r>
              <w:rPr>
                <w:rFonts w:eastAsia="楷体"/>
                <w:color w:val="auto"/>
                <w:kern w:val="0"/>
                <w:sz w:val="24"/>
                <w:highlight w:val="none"/>
              </w:rPr>
              <w:t xml:space="preserve">9.17 </w:t>
            </w:r>
          </w:p>
        </w:tc>
        <w:tc>
          <w:tcPr>
            <w:tcW w:w="1182" w:type="dxa"/>
            <w:shd w:val="clear" w:color="auto" w:fill="auto"/>
            <w:noWrap/>
            <w:vAlign w:val="center"/>
          </w:tcPr>
          <w:p w14:paraId="65705917">
            <w:pPr>
              <w:widowControl/>
              <w:jc w:val="center"/>
              <w:rPr>
                <w:rFonts w:eastAsia="楷体"/>
                <w:color w:val="auto"/>
                <w:kern w:val="0"/>
                <w:sz w:val="24"/>
                <w:highlight w:val="none"/>
              </w:rPr>
            </w:pPr>
            <w:r>
              <w:rPr>
                <w:rFonts w:eastAsia="楷体"/>
                <w:color w:val="auto"/>
                <w:kern w:val="0"/>
                <w:sz w:val="24"/>
                <w:highlight w:val="none"/>
              </w:rPr>
              <w:t xml:space="preserve">10.18 </w:t>
            </w:r>
          </w:p>
        </w:tc>
        <w:tc>
          <w:tcPr>
            <w:tcW w:w="1179" w:type="dxa"/>
            <w:shd w:val="clear" w:color="auto" w:fill="auto"/>
            <w:noWrap/>
            <w:vAlign w:val="center"/>
          </w:tcPr>
          <w:p w14:paraId="489E46D5">
            <w:pPr>
              <w:widowControl/>
              <w:jc w:val="center"/>
              <w:rPr>
                <w:rFonts w:eastAsia="楷体"/>
                <w:color w:val="auto"/>
                <w:kern w:val="0"/>
                <w:sz w:val="24"/>
                <w:highlight w:val="none"/>
              </w:rPr>
            </w:pPr>
            <w:r>
              <w:rPr>
                <w:rFonts w:eastAsia="楷体"/>
                <w:color w:val="auto"/>
                <w:kern w:val="0"/>
                <w:sz w:val="24"/>
                <w:highlight w:val="none"/>
              </w:rPr>
              <w:t xml:space="preserve">11.20 </w:t>
            </w:r>
          </w:p>
        </w:tc>
      </w:tr>
      <w:bookmarkEnd w:id="16"/>
    </w:tbl>
    <w:p w14:paraId="75E0BF3A">
      <w:pPr>
        <w:pStyle w:val="4"/>
        <w:spacing w:beforeLines="50" w:afterLines="50" w:line="360" w:lineRule="auto"/>
        <w:contextualSpacing/>
        <w:rPr>
          <w:rFonts w:ascii="Times New Roman" w:hAnsi="Times New Roman" w:eastAsia="楷体"/>
          <w:color w:val="auto"/>
          <w:kern w:val="0"/>
          <w:sz w:val="28"/>
          <w:szCs w:val="28"/>
          <w:highlight w:val="none"/>
        </w:rPr>
      </w:pPr>
      <w:bookmarkStart w:id="17" w:name="_Toc30807"/>
      <w:r>
        <w:rPr>
          <w:rFonts w:ascii="Times New Roman" w:hAnsi="Times New Roman" w:eastAsia="楷体"/>
          <w:color w:val="auto"/>
          <w:kern w:val="0"/>
          <w:sz w:val="28"/>
          <w:szCs w:val="28"/>
          <w:highlight w:val="none"/>
        </w:rPr>
        <w:t>3.3 水库上、下游情况</w:t>
      </w:r>
      <w:bookmarkEnd w:id="17"/>
    </w:p>
    <w:p w14:paraId="3F446BED">
      <w:pPr>
        <w:spacing w:line="520" w:lineRule="exact"/>
        <w:ind w:firstLine="560" w:firstLineChars="200"/>
        <w:rPr>
          <w:rFonts w:hint="default" w:eastAsia="楷体"/>
          <w:color w:val="auto"/>
          <w:sz w:val="28"/>
          <w:szCs w:val="28"/>
          <w:highlight w:val="none"/>
          <w:lang w:val="en-US" w:eastAsia="zh-CN"/>
        </w:rPr>
      </w:pPr>
      <w:bookmarkStart w:id="18" w:name="OLE_LINK36"/>
      <w:bookmarkStart w:id="19" w:name="_Toc8846"/>
      <w:r>
        <w:rPr>
          <w:rFonts w:eastAsia="楷体"/>
          <w:color w:val="auto"/>
          <w:sz w:val="28"/>
          <w:szCs w:val="28"/>
          <w:highlight w:val="none"/>
        </w:rPr>
        <w:t>丰收水库库区上游及周围都没有厂矿企业污染源，人烟稀少，</w:t>
      </w:r>
      <w:r>
        <w:rPr>
          <w:rFonts w:hint="eastAsia" w:eastAsia="楷体"/>
          <w:color w:val="auto"/>
          <w:sz w:val="28"/>
          <w:szCs w:val="28"/>
          <w:highlight w:val="none"/>
          <w:lang w:val="en-US" w:eastAsia="zh-CN"/>
        </w:rPr>
        <w:t>坝址上游基本以林木为主</w:t>
      </w:r>
      <w:r>
        <w:rPr>
          <w:rFonts w:eastAsia="楷体"/>
          <w:color w:val="auto"/>
          <w:sz w:val="28"/>
          <w:szCs w:val="28"/>
          <w:highlight w:val="none"/>
        </w:rPr>
        <w:t>，现状水质</w:t>
      </w:r>
      <w:r>
        <w:rPr>
          <w:rFonts w:hint="eastAsia" w:eastAsia="楷体"/>
          <w:color w:val="auto"/>
          <w:sz w:val="28"/>
          <w:szCs w:val="28"/>
          <w:highlight w:val="none"/>
          <w:lang w:val="en-US" w:eastAsia="zh-CN"/>
        </w:rPr>
        <w:t>较好</w:t>
      </w:r>
      <w:r>
        <w:rPr>
          <w:rFonts w:eastAsia="楷体"/>
          <w:color w:val="auto"/>
          <w:sz w:val="28"/>
          <w:szCs w:val="28"/>
          <w:highlight w:val="none"/>
        </w:rPr>
        <w:t>。</w:t>
      </w:r>
      <w:r>
        <w:rPr>
          <w:rFonts w:hint="eastAsia" w:eastAsia="楷体"/>
          <w:color w:val="auto"/>
          <w:sz w:val="28"/>
          <w:szCs w:val="28"/>
          <w:highlight w:val="none"/>
          <w:lang w:val="en-US" w:eastAsia="zh-CN"/>
        </w:rPr>
        <w:t>库区范围内也无</w:t>
      </w:r>
    </w:p>
    <w:p w14:paraId="6A96385F">
      <w:pPr>
        <w:spacing w:line="520" w:lineRule="exact"/>
        <w:ind w:firstLine="560" w:firstLineChars="200"/>
        <w:rPr>
          <w:rFonts w:eastAsia="楷体"/>
          <w:color w:val="auto"/>
          <w:sz w:val="30"/>
          <w:szCs w:val="30"/>
          <w:highlight w:val="none"/>
        </w:rPr>
      </w:pPr>
      <w:r>
        <w:rPr>
          <w:rFonts w:eastAsia="楷体"/>
          <w:color w:val="auto"/>
          <w:sz w:val="28"/>
          <w:szCs w:val="28"/>
          <w:highlight w:val="none"/>
        </w:rPr>
        <w:t>丰收水库所在流域水资源利用程度较低，坝址位于坝头溪上游支流处，其上游无水库，是以农业灌溉为主的小（2）型水库。水库下游现有300亩灌区，以种植水稻、蔬菜等农作物为主，现状仅建有少数简陋的小型引水工程，依靠天然河道径流引水自流灌溉。水库下游约2～3km处为古县村，对外交通以公路为主，目前尚无乡镇供水工程。</w:t>
      </w:r>
    </w:p>
    <w:bookmarkEnd w:id="18"/>
    <w:p w14:paraId="6C7C3CDE">
      <w:pPr>
        <w:pStyle w:val="4"/>
        <w:spacing w:beforeLines="50" w:afterLines="50" w:line="360" w:lineRule="auto"/>
        <w:contextualSpacing/>
        <w:rPr>
          <w:rFonts w:ascii="Times New Roman" w:hAnsi="Times New Roman" w:eastAsia="楷体"/>
          <w:color w:val="auto"/>
          <w:kern w:val="0"/>
          <w:sz w:val="28"/>
          <w:szCs w:val="28"/>
          <w:highlight w:val="none"/>
        </w:rPr>
      </w:pPr>
      <w:r>
        <w:rPr>
          <w:rFonts w:ascii="Times New Roman" w:hAnsi="Times New Roman" w:eastAsia="楷体"/>
          <w:color w:val="auto"/>
          <w:kern w:val="0"/>
          <w:sz w:val="28"/>
          <w:szCs w:val="28"/>
          <w:highlight w:val="none"/>
        </w:rPr>
        <w:t>3.4 上年度控制运用情况</w:t>
      </w:r>
      <w:bookmarkEnd w:id="19"/>
    </w:p>
    <w:p w14:paraId="07ABB354">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lang w:val="en-US" w:eastAsia="zh-CN"/>
        </w:rPr>
        <w:t>丰收水库上年度（</w:t>
      </w:r>
      <w:r>
        <w:rPr>
          <w:rFonts w:eastAsia="楷体"/>
          <w:color w:val="auto"/>
          <w:sz w:val="28"/>
          <w:szCs w:val="28"/>
          <w:highlight w:val="none"/>
        </w:rPr>
        <w:t>20</w:t>
      </w:r>
      <w:r>
        <w:rPr>
          <w:rFonts w:hint="eastAsia" w:eastAsia="楷体"/>
          <w:color w:val="auto"/>
          <w:sz w:val="28"/>
          <w:szCs w:val="28"/>
          <w:highlight w:val="none"/>
          <w:lang w:val="en-US" w:eastAsia="zh-CN"/>
        </w:rPr>
        <w:t>21</w:t>
      </w:r>
      <w:r>
        <w:rPr>
          <w:rFonts w:eastAsia="楷体"/>
          <w:color w:val="auto"/>
          <w:sz w:val="28"/>
          <w:szCs w:val="28"/>
          <w:highlight w:val="none"/>
        </w:rPr>
        <w:t>年</w:t>
      </w:r>
      <w:r>
        <w:rPr>
          <w:rFonts w:hint="eastAsia" w:eastAsia="楷体"/>
          <w:color w:val="auto"/>
          <w:sz w:val="28"/>
          <w:szCs w:val="28"/>
          <w:highlight w:val="none"/>
          <w:lang w:eastAsia="zh-CN"/>
        </w:rPr>
        <w:t>）</w:t>
      </w:r>
      <w:r>
        <w:rPr>
          <w:rFonts w:eastAsia="楷体"/>
          <w:color w:val="auto"/>
          <w:sz w:val="28"/>
          <w:szCs w:val="28"/>
          <w:highlight w:val="none"/>
        </w:rPr>
        <w:t>的运行情况可知，</w:t>
      </w:r>
      <w:r>
        <w:rPr>
          <w:rFonts w:hint="eastAsia" w:eastAsia="楷体"/>
          <w:color w:val="auto"/>
          <w:sz w:val="28"/>
          <w:szCs w:val="28"/>
          <w:highlight w:val="none"/>
          <w:lang w:val="en-US" w:eastAsia="zh-CN"/>
        </w:rPr>
        <w:t>丰收水库2021年的汛限水位为36.37m，全年库水位未达到汛限水位，最高水位约34.87m（2019年4月），未出现溢洪道泄洪的情况，</w:t>
      </w:r>
      <w:r>
        <w:rPr>
          <w:rFonts w:eastAsia="楷体"/>
          <w:color w:val="auto"/>
          <w:sz w:val="28"/>
          <w:szCs w:val="28"/>
          <w:highlight w:val="none"/>
        </w:rPr>
        <w:t>丰收水库的防洪调度情况良好</w:t>
      </w:r>
      <w:r>
        <w:rPr>
          <w:rFonts w:hint="eastAsia" w:eastAsia="楷体"/>
          <w:color w:val="auto"/>
          <w:sz w:val="28"/>
          <w:szCs w:val="28"/>
          <w:highlight w:val="none"/>
          <w:lang w:eastAsia="zh-CN"/>
        </w:rPr>
        <w:t>，</w:t>
      </w:r>
      <w:r>
        <w:rPr>
          <w:rFonts w:hint="eastAsia" w:eastAsia="楷体"/>
          <w:color w:val="auto"/>
          <w:sz w:val="28"/>
          <w:szCs w:val="28"/>
          <w:highlight w:val="none"/>
          <w:lang w:val="en-US" w:eastAsia="zh-CN"/>
        </w:rPr>
        <w:t>未发生重大险情</w:t>
      </w:r>
      <w:r>
        <w:rPr>
          <w:rFonts w:eastAsia="楷体"/>
          <w:color w:val="auto"/>
          <w:sz w:val="28"/>
          <w:szCs w:val="28"/>
          <w:highlight w:val="none"/>
        </w:rPr>
        <w:t>。</w:t>
      </w:r>
    </w:p>
    <w:p w14:paraId="2CFFB996">
      <w:pPr>
        <w:rPr>
          <w:rFonts w:eastAsia="楷体"/>
          <w:color w:val="auto"/>
          <w:highlight w:val="none"/>
        </w:rPr>
      </w:pPr>
      <w:bookmarkStart w:id="20" w:name="_Toc19608"/>
    </w:p>
    <w:p w14:paraId="52F40E53">
      <w:pPr>
        <w:rPr>
          <w:rFonts w:eastAsia="楷体"/>
          <w:color w:val="auto"/>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docGrid w:type="lines" w:linePitch="319" w:charSpace="0"/>
        </w:sectPr>
      </w:pPr>
    </w:p>
    <w:p w14:paraId="212B1CDB">
      <w:pPr>
        <w:pStyle w:val="3"/>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t>4  洪水调度原则</w:t>
      </w:r>
      <w:bookmarkEnd w:id="20"/>
    </w:p>
    <w:p w14:paraId="2AA65E97">
      <w:pPr>
        <w:pStyle w:val="4"/>
        <w:spacing w:beforeLines="50" w:afterLines="50" w:line="360" w:lineRule="auto"/>
        <w:contextualSpacing/>
        <w:rPr>
          <w:rFonts w:ascii="Times New Roman" w:hAnsi="Times New Roman" w:eastAsia="楷体"/>
          <w:color w:val="auto"/>
          <w:kern w:val="0"/>
          <w:sz w:val="28"/>
          <w:szCs w:val="28"/>
          <w:highlight w:val="none"/>
        </w:rPr>
      </w:pPr>
      <w:bookmarkStart w:id="21" w:name="_Toc7899"/>
      <w:r>
        <w:rPr>
          <w:rFonts w:ascii="Times New Roman" w:hAnsi="Times New Roman" w:eastAsia="楷体"/>
          <w:color w:val="auto"/>
          <w:kern w:val="0"/>
          <w:sz w:val="28"/>
          <w:szCs w:val="28"/>
          <w:highlight w:val="none"/>
        </w:rPr>
        <w:t>4.1 汛期划分</w:t>
      </w:r>
      <w:bookmarkEnd w:id="21"/>
    </w:p>
    <w:p w14:paraId="2E10E7B9">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根据泉州市防洪防台风应急预案规定，4月1日至10月15日为汛期，其中前汛期为4月1日～6月30日，主汛期为7月1日～9月20日，后汛期为9月21日～10月15日。</w:t>
      </w:r>
    </w:p>
    <w:p w14:paraId="17C6647D">
      <w:pPr>
        <w:pStyle w:val="4"/>
        <w:spacing w:beforeLines="50" w:afterLines="50" w:line="360" w:lineRule="auto"/>
        <w:contextualSpacing/>
        <w:rPr>
          <w:rFonts w:ascii="Times New Roman" w:hAnsi="Times New Roman" w:eastAsia="楷体"/>
          <w:color w:val="auto"/>
          <w:kern w:val="0"/>
          <w:sz w:val="28"/>
          <w:szCs w:val="28"/>
          <w:highlight w:val="none"/>
        </w:rPr>
      </w:pPr>
      <w:bookmarkStart w:id="22" w:name="_Toc6049"/>
      <w:r>
        <w:rPr>
          <w:rFonts w:ascii="Times New Roman" w:hAnsi="Times New Roman" w:eastAsia="楷体"/>
          <w:color w:val="auto"/>
          <w:kern w:val="0"/>
          <w:sz w:val="28"/>
          <w:szCs w:val="28"/>
          <w:highlight w:val="none"/>
        </w:rPr>
        <w:t>4.2 洪水调度原则</w:t>
      </w:r>
      <w:bookmarkEnd w:id="22"/>
    </w:p>
    <w:p w14:paraId="737DF9A5">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44DD214D">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根据时段不同，水库防洪调度原则如下：</w:t>
      </w:r>
    </w:p>
    <w:p w14:paraId="20D37FDD">
      <w:pPr>
        <w:numPr>
          <w:ilvl w:val="0"/>
          <w:numId w:val="1"/>
        </w:numPr>
        <w:spacing w:line="520" w:lineRule="exact"/>
        <w:ind w:firstLine="560" w:firstLineChars="200"/>
        <w:rPr>
          <w:rFonts w:eastAsia="楷体"/>
          <w:color w:val="auto"/>
          <w:sz w:val="28"/>
          <w:szCs w:val="28"/>
          <w:highlight w:val="none"/>
        </w:rPr>
      </w:pPr>
      <w:r>
        <w:rPr>
          <w:rFonts w:eastAsia="楷体"/>
          <w:color w:val="auto"/>
          <w:sz w:val="28"/>
          <w:szCs w:val="28"/>
          <w:highlight w:val="none"/>
        </w:rPr>
        <w:t>非汛期防洪调度</w:t>
      </w:r>
    </w:p>
    <w:p w14:paraId="54925D48">
      <w:pPr>
        <w:spacing w:line="520" w:lineRule="exact"/>
        <w:ind w:firstLine="560" w:firstLineChars="200"/>
        <w:rPr>
          <w:rFonts w:eastAsia="楷体"/>
          <w:color w:val="auto"/>
          <w:sz w:val="28"/>
          <w:szCs w:val="28"/>
          <w:highlight w:val="none"/>
        </w:rPr>
      </w:pPr>
      <w:r>
        <w:rPr>
          <w:rFonts w:eastAsia="楷体"/>
          <w:color w:val="auto"/>
          <w:sz w:val="28"/>
          <w:szCs w:val="28"/>
          <w:highlight w:val="none"/>
        </w:rPr>
        <w:t>1、根据气象部门的气象预报及降雨数据，采取径流系数估算入库洪水，分析次洪的洪峰流量及其峰现时间，从而推求最高库水位，采取适当的调度手段防洪，做到防洪与水库利用两不误。</w:t>
      </w:r>
    </w:p>
    <w:p w14:paraId="5A1EDD1F">
      <w:pPr>
        <w:spacing w:line="520" w:lineRule="exact"/>
        <w:ind w:firstLine="560" w:firstLineChars="200"/>
        <w:rPr>
          <w:rFonts w:eastAsia="楷体"/>
          <w:color w:val="auto"/>
          <w:sz w:val="28"/>
          <w:szCs w:val="28"/>
          <w:highlight w:val="none"/>
        </w:rPr>
      </w:pPr>
      <w:r>
        <w:rPr>
          <w:rFonts w:eastAsia="楷体"/>
          <w:color w:val="auto"/>
          <w:sz w:val="28"/>
          <w:szCs w:val="28"/>
          <w:highlight w:val="none"/>
        </w:rPr>
        <w:t>2、通过对水库承受洪水能力分析，落实预泄预排方案，加强渠道沿线巡逻，及时开闸排洪，以免过流损毁渠道工程。</w:t>
      </w:r>
    </w:p>
    <w:p w14:paraId="5653E218">
      <w:pPr>
        <w:spacing w:line="520" w:lineRule="exact"/>
        <w:ind w:firstLine="560" w:firstLineChars="200"/>
        <w:rPr>
          <w:rFonts w:eastAsia="楷体"/>
          <w:color w:val="auto"/>
          <w:sz w:val="28"/>
          <w:szCs w:val="28"/>
          <w:highlight w:val="none"/>
        </w:rPr>
      </w:pPr>
      <w:r>
        <w:rPr>
          <w:rFonts w:eastAsia="楷体"/>
          <w:color w:val="auto"/>
          <w:sz w:val="28"/>
          <w:szCs w:val="28"/>
          <w:highlight w:val="none"/>
        </w:rPr>
        <w:t>3、加大工程巡查力度，对排洪泄水闸启闭系统、通讯、交通、供电设备进行全面检查，始终保持良好状况，排除一切不安全因素，确保使用及时。</w:t>
      </w:r>
    </w:p>
    <w:p w14:paraId="30A3FB01">
      <w:pPr>
        <w:spacing w:line="520" w:lineRule="exact"/>
        <w:ind w:firstLine="560" w:firstLineChars="200"/>
        <w:rPr>
          <w:rFonts w:eastAsia="楷体"/>
          <w:color w:val="auto"/>
          <w:sz w:val="28"/>
          <w:szCs w:val="28"/>
          <w:highlight w:val="none"/>
        </w:rPr>
      </w:pPr>
      <w:r>
        <w:rPr>
          <w:rFonts w:eastAsia="楷体"/>
          <w:color w:val="auto"/>
          <w:sz w:val="28"/>
          <w:szCs w:val="28"/>
          <w:highlight w:val="none"/>
        </w:rPr>
        <w:t>（二）汛期防洪调度</w:t>
      </w:r>
    </w:p>
    <w:p w14:paraId="42AE4120">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1、水库遭遇洪水时，要根据雨情分析，每半小时进行洪水预报，判别洪水标准，推求洪峰流量、洪水总量，进行科学合理调度。</w:t>
      </w:r>
    </w:p>
    <w:p w14:paraId="669CF315">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2、提前2小时通知下游村落及相关单位做好水库排洪的准备。</w:t>
      </w:r>
    </w:p>
    <w:p w14:paraId="449D016E">
      <w:pPr>
        <w:spacing w:line="520" w:lineRule="exact"/>
        <w:ind w:firstLine="560" w:firstLineChars="200"/>
        <w:rPr>
          <w:rFonts w:eastAsia="楷体"/>
          <w:color w:val="auto"/>
          <w:sz w:val="28"/>
          <w:szCs w:val="28"/>
          <w:highlight w:val="none"/>
        </w:rPr>
      </w:pPr>
      <w:r>
        <w:rPr>
          <w:rFonts w:eastAsia="楷体"/>
          <w:color w:val="auto"/>
          <w:sz w:val="28"/>
          <w:szCs w:val="28"/>
          <w:highlight w:val="none"/>
        </w:rPr>
        <w:t>3、按照上级批准的调度计划进行调度，采用分段调洪方案，一是对于降雨强度不大，历时较短、降雨量不多的一般洪水（十年一遇以下洪水），控制原则为：在降雨产流阶段、洪峰来临之前，须及时通知下游村落做好防洪工作，水库准备小流量泄排洪。二是对于降雨强度大、历时长的暴雨调洪方案（十年至二十年一遇洪水）：根据采集的降雨资料进行分析，推算洪水量，采取有效措施，结合气象部门降雨预报，及时掌握气象趋势，在上级防汛部门统一指挥下，以保证安全、减少损失为原则，进行科学调度。</w:t>
      </w:r>
    </w:p>
    <w:p w14:paraId="1DA56538">
      <w:pPr>
        <w:pStyle w:val="4"/>
        <w:spacing w:beforeLines="50" w:afterLines="50" w:line="360" w:lineRule="auto"/>
        <w:contextualSpacing/>
        <w:rPr>
          <w:rFonts w:ascii="Times New Roman" w:hAnsi="Times New Roman" w:eastAsia="楷体"/>
          <w:color w:val="auto"/>
          <w:kern w:val="0"/>
          <w:sz w:val="28"/>
          <w:szCs w:val="28"/>
          <w:highlight w:val="none"/>
        </w:rPr>
      </w:pPr>
      <w:bookmarkStart w:id="23" w:name="_Toc31889"/>
      <w:r>
        <w:rPr>
          <w:rFonts w:ascii="Times New Roman" w:hAnsi="Times New Roman" w:eastAsia="楷体"/>
          <w:color w:val="auto"/>
          <w:kern w:val="0"/>
          <w:sz w:val="28"/>
          <w:szCs w:val="28"/>
          <w:highlight w:val="none"/>
        </w:rPr>
        <w:t>4.3 汛限水位的确定</w:t>
      </w:r>
      <w:bookmarkEnd w:id="23"/>
    </w:p>
    <w:p w14:paraId="1713B01D">
      <w:pPr>
        <w:spacing w:line="520" w:lineRule="exact"/>
        <w:ind w:firstLine="560" w:firstLineChars="200"/>
        <w:rPr>
          <w:rFonts w:eastAsia="楷体"/>
          <w:color w:val="auto"/>
          <w:sz w:val="28"/>
          <w:szCs w:val="28"/>
          <w:highlight w:val="none"/>
        </w:rPr>
      </w:pPr>
      <w:r>
        <w:rPr>
          <w:rFonts w:eastAsia="楷体"/>
          <w:color w:val="auto"/>
          <w:sz w:val="28"/>
          <w:szCs w:val="28"/>
          <w:highlight w:val="none"/>
        </w:rPr>
        <w:t>汛限水位的确定从以下几个方面来确定：</w:t>
      </w:r>
    </w:p>
    <w:p w14:paraId="3FD1B03B">
      <w:pPr>
        <w:numPr>
          <w:ilvl w:val="0"/>
          <w:numId w:val="2"/>
        </w:numPr>
        <w:spacing w:line="520" w:lineRule="exact"/>
        <w:ind w:firstLine="560" w:firstLineChars="200"/>
        <w:rPr>
          <w:rFonts w:eastAsia="楷体"/>
          <w:color w:val="auto"/>
          <w:sz w:val="28"/>
          <w:szCs w:val="28"/>
          <w:highlight w:val="none"/>
        </w:rPr>
      </w:pPr>
      <w:r>
        <w:rPr>
          <w:rFonts w:eastAsia="楷体"/>
          <w:color w:val="auto"/>
          <w:sz w:val="28"/>
          <w:szCs w:val="28"/>
          <w:highlight w:val="none"/>
        </w:rPr>
        <w:t>根据《泉港区前黄镇丰收水库除险加固工程初步设计报告（报批稿）》（泉州市水利水电勘测设计院</w:t>
      </w:r>
      <w:r>
        <w:rPr>
          <w:rFonts w:hint="eastAsia" w:eastAsia="楷体"/>
          <w:color w:val="auto"/>
          <w:sz w:val="28"/>
          <w:szCs w:val="28"/>
          <w:highlight w:val="none"/>
          <w:lang w:eastAsia="zh-CN"/>
        </w:rPr>
        <w:t>，</w:t>
      </w:r>
      <w:r>
        <w:rPr>
          <w:rFonts w:eastAsia="楷体"/>
          <w:color w:val="auto"/>
          <w:sz w:val="28"/>
          <w:szCs w:val="28"/>
          <w:highlight w:val="none"/>
        </w:rPr>
        <w:t>2012年4月）的设计内容结论以及《丰收水库20</w:t>
      </w:r>
      <w:r>
        <w:rPr>
          <w:rFonts w:hint="eastAsia" w:eastAsia="楷体"/>
          <w:color w:val="auto"/>
          <w:sz w:val="28"/>
          <w:szCs w:val="28"/>
          <w:highlight w:val="none"/>
          <w:lang w:val="en-US" w:eastAsia="zh-CN"/>
        </w:rPr>
        <w:t>21</w:t>
      </w:r>
      <w:r>
        <w:rPr>
          <w:rFonts w:eastAsia="楷体"/>
          <w:color w:val="auto"/>
          <w:sz w:val="28"/>
          <w:szCs w:val="28"/>
          <w:highlight w:val="none"/>
        </w:rPr>
        <w:t>年防洪调度运用计划》的调度实际情况可知，丰收水库水位</w:t>
      </w:r>
      <w:r>
        <w:rPr>
          <w:rFonts w:hint="eastAsia" w:eastAsia="楷体"/>
          <w:color w:val="auto"/>
          <w:sz w:val="28"/>
          <w:szCs w:val="28"/>
          <w:highlight w:val="none"/>
          <w:lang w:val="en-US" w:eastAsia="zh-CN"/>
        </w:rPr>
        <w:t>36.37</w:t>
      </w:r>
      <w:r>
        <w:rPr>
          <w:rFonts w:eastAsia="楷体"/>
          <w:color w:val="auto"/>
          <w:sz w:val="28"/>
          <w:szCs w:val="28"/>
          <w:highlight w:val="none"/>
        </w:rPr>
        <w:t>m</w:t>
      </w:r>
      <w:r>
        <w:rPr>
          <w:rFonts w:hint="eastAsia" w:eastAsia="楷体"/>
          <w:color w:val="auto"/>
          <w:sz w:val="28"/>
          <w:szCs w:val="28"/>
          <w:highlight w:val="none"/>
          <w:lang w:eastAsia="zh-CN"/>
        </w:rPr>
        <w:t>，</w:t>
      </w:r>
      <w:r>
        <w:rPr>
          <w:rFonts w:eastAsia="楷体"/>
          <w:color w:val="auto"/>
          <w:sz w:val="28"/>
          <w:szCs w:val="28"/>
          <w:highlight w:val="none"/>
        </w:rPr>
        <w:t>对应的库容为</w:t>
      </w:r>
      <w:r>
        <w:rPr>
          <w:rFonts w:hint="eastAsia" w:eastAsia="楷体"/>
          <w:color w:val="auto"/>
          <w:sz w:val="28"/>
          <w:szCs w:val="28"/>
          <w:highlight w:val="none"/>
          <w:lang w:val="en-US" w:eastAsia="zh-CN"/>
        </w:rPr>
        <w:t>18.36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，20</w:t>
      </w:r>
      <w:r>
        <w:rPr>
          <w:rFonts w:hint="eastAsia" w:eastAsia="楷体"/>
          <w:color w:val="auto"/>
          <w:sz w:val="28"/>
          <w:szCs w:val="28"/>
          <w:highlight w:val="none"/>
          <w:lang w:val="en-US" w:eastAsia="zh-CN"/>
        </w:rPr>
        <w:t>21</w:t>
      </w:r>
      <w:r>
        <w:rPr>
          <w:rFonts w:eastAsia="楷体"/>
          <w:color w:val="auto"/>
          <w:sz w:val="28"/>
          <w:szCs w:val="28"/>
          <w:highlight w:val="none"/>
        </w:rPr>
        <w:t>年丰收水库总体运行状况良好，即便在台风期，丰收水库仍很好的完成了防汛任务；</w:t>
      </w:r>
    </w:p>
    <w:p w14:paraId="2BB7E995">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val="en-US" w:eastAsia="zh-CN"/>
        </w:rPr>
        <w:t>2</w:t>
      </w:r>
      <w:r>
        <w:rPr>
          <w:rFonts w:eastAsia="楷体"/>
          <w:color w:val="auto"/>
          <w:sz w:val="28"/>
          <w:szCs w:val="28"/>
          <w:highlight w:val="none"/>
        </w:rPr>
        <w:t>、丰收水库的正常蓄水位为</w:t>
      </w:r>
      <w:r>
        <w:rPr>
          <w:rFonts w:hint="eastAsia" w:eastAsia="楷体"/>
          <w:color w:val="auto"/>
          <w:sz w:val="28"/>
          <w:szCs w:val="28"/>
          <w:highlight w:val="none"/>
          <w:lang w:val="en-US" w:eastAsia="zh-CN"/>
        </w:rPr>
        <w:t>36.37</w:t>
      </w:r>
      <w:r>
        <w:rPr>
          <w:rFonts w:eastAsia="楷体"/>
          <w:color w:val="auto"/>
          <w:sz w:val="28"/>
          <w:szCs w:val="28"/>
          <w:highlight w:val="none"/>
        </w:rPr>
        <w:t>m，根据丰收水库初步设计中的设计要求，丰收水库汛限水位设置为</w:t>
      </w:r>
      <w:r>
        <w:rPr>
          <w:rFonts w:hint="eastAsia" w:eastAsia="楷体"/>
          <w:color w:val="auto"/>
          <w:sz w:val="28"/>
          <w:szCs w:val="28"/>
          <w:highlight w:val="none"/>
          <w:lang w:val="en-US" w:eastAsia="zh-CN"/>
        </w:rPr>
        <w:t>36.37</w:t>
      </w:r>
      <w:r>
        <w:rPr>
          <w:rFonts w:eastAsia="楷体"/>
          <w:color w:val="auto"/>
          <w:sz w:val="28"/>
          <w:szCs w:val="28"/>
          <w:highlight w:val="none"/>
        </w:rPr>
        <w:t>m，既符合水库防洪要求，又保障了丰收水库的兴利功能要求。</w:t>
      </w:r>
    </w:p>
    <w:p w14:paraId="0E3B77F8">
      <w:pPr>
        <w:spacing w:line="520" w:lineRule="exact"/>
        <w:ind w:firstLine="560" w:firstLineChars="200"/>
        <w:rPr>
          <w:rFonts w:eastAsia="楷体"/>
          <w:color w:val="auto"/>
          <w:kern w:val="0"/>
          <w:sz w:val="28"/>
          <w:szCs w:val="28"/>
          <w:highlight w:val="none"/>
        </w:rPr>
      </w:pPr>
      <w:r>
        <w:rPr>
          <w:rFonts w:eastAsia="楷体"/>
          <w:color w:val="auto"/>
          <w:sz w:val="28"/>
          <w:szCs w:val="28"/>
          <w:highlight w:val="none"/>
        </w:rPr>
        <w:t>因此，20</w:t>
      </w:r>
      <w:r>
        <w:rPr>
          <w:rFonts w:hint="eastAsia" w:eastAsia="楷体"/>
          <w:color w:val="auto"/>
          <w:sz w:val="28"/>
          <w:szCs w:val="28"/>
          <w:highlight w:val="none"/>
          <w:lang w:val="en-US" w:eastAsia="zh-CN"/>
        </w:rPr>
        <w:t>22</w:t>
      </w:r>
      <w:r>
        <w:rPr>
          <w:rFonts w:eastAsia="楷体"/>
          <w:color w:val="auto"/>
          <w:sz w:val="28"/>
          <w:szCs w:val="28"/>
          <w:highlight w:val="none"/>
        </w:rPr>
        <w:t>年将</w:t>
      </w:r>
      <w:r>
        <w:rPr>
          <w:rFonts w:hint="eastAsia" w:eastAsia="楷体"/>
          <w:color w:val="auto"/>
          <w:sz w:val="28"/>
          <w:szCs w:val="28"/>
          <w:highlight w:val="none"/>
          <w:lang w:val="en-US" w:eastAsia="zh-CN"/>
        </w:rPr>
        <w:t>36.37</w:t>
      </w:r>
      <w:r>
        <w:rPr>
          <w:rFonts w:eastAsia="楷体"/>
          <w:color w:val="auto"/>
          <w:sz w:val="28"/>
          <w:szCs w:val="28"/>
          <w:highlight w:val="none"/>
        </w:rPr>
        <w:t>m作为丰收水库的汛限水位。</w:t>
      </w:r>
    </w:p>
    <w:p w14:paraId="37C6BEB9">
      <w:pPr>
        <w:pStyle w:val="4"/>
        <w:spacing w:beforeLines="50" w:afterLines="50" w:line="360" w:lineRule="auto"/>
        <w:contextualSpacing/>
        <w:rPr>
          <w:rFonts w:ascii="Times New Roman" w:hAnsi="Times New Roman" w:eastAsia="楷体"/>
          <w:color w:val="auto"/>
          <w:kern w:val="0"/>
          <w:sz w:val="28"/>
          <w:szCs w:val="28"/>
          <w:highlight w:val="none"/>
        </w:rPr>
      </w:pPr>
      <w:bookmarkStart w:id="24" w:name="_Toc290367231"/>
      <w:bookmarkStart w:id="25" w:name="_Toc17957"/>
      <w:r>
        <w:rPr>
          <w:rFonts w:ascii="Times New Roman" w:hAnsi="Times New Roman" w:eastAsia="楷体"/>
          <w:color w:val="auto"/>
          <w:kern w:val="0"/>
          <w:sz w:val="28"/>
          <w:szCs w:val="28"/>
          <w:highlight w:val="none"/>
        </w:rPr>
        <w:t>4.4 汛期防洪调度方式</w:t>
      </w:r>
      <w:bookmarkEnd w:id="24"/>
      <w:bookmarkEnd w:id="25"/>
    </w:p>
    <w:p w14:paraId="7DD91474">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 xml:space="preserve"> （1）水库调洪演算</w:t>
      </w:r>
    </w:p>
    <w:p w14:paraId="05768F2D">
      <w:pPr>
        <w:spacing w:line="520" w:lineRule="exact"/>
        <w:ind w:firstLine="560" w:firstLineChars="200"/>
        <w:rPr>
          <w:rFonts w:eastAsia="楷体"/>
          <w:color w:val="auto"/>
          <w:sz w:val="28"/>
          <w:szCs w:val="28"/>
          <w:highlight w:val="none"/>
        </w:rPr>
      </w:pPr>
      <w:r>
        <w:rPr>
          <w:rFonts w:eastAsia="楷体"/>
          <w:color w:val="auto"/>
          <w:sz w:val="28"/>
          <w:szCs w:val="28"/>
          <w:highlight w:val="none"/>
        </w:rPr>
        <w:t>调洪演算按水量平衡方程式逐时段进行试算，计算方程式如下：</w:t>
      </w:r>
    </w:p>
    <w:p w14:paraId="708FCD1D">
      <w:pPr>
        <w:ind w:firstLine="2520" w:firstLineChars="900"/>
        <w:rPr>
          <w:rFonts w:eastAsia="楷体"/>
          <w:color w:val="auto"/>
          <w:sz w:val="28"/>
          <w:szCs w:val="28"/>
          <w:highlight w:val="none"/>
        </w:rPr>
      </w:pPr>
      <w:r>
        <w:rPr>
          <w:rFonts w:eastAsia="楷体"/>
          <w:color w:val="auto"/>
          <w:position w:val="-24"/>
          <w:sz w:val="28"/>
          <w:szCs w:val="28"/>
          <w:highlight w:val="none"/>
        </w:rPr>
        <w:object>
          <v:shape id="_x0000_i1030" o:spt="75" type="#_x0000_t75" style="height:33pt;width:162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r>
        <w:rPr>
          <w:rFonts w:eastAsia="楷体"/>
          <w:color w:val="auto"/>
          <w:sz w:val="28"/>
          <w:szCs w:val="28"/>
          <w:highlight w:val="none"/>
        </w:rPr>
        <w:t xml:space="preserve">          </w:t>
      </w:r>
    </w:p>
    <w:p w14:paraId="47EA7524">
      <w:pPr>
        <w:spacing w:line="520" w:lineRule="exact"/>
        <w:rPr>
          <w:rFonts w:eastAsia="楷体"/>
          <w:color w:val="auto"/>
          <w:sz w:val="28"/>
          <w:szCs w:val="28"/>
          <w:highlight w:val="none"/>
        </w:rPr>
      </w:pPr>
      <w:r>
        <w:rPr>
          <w:rFonts w:eastAsia="楷体"/>
          <w:color w:val="auto"/>
          <w:sz w:val="28"/>
          <w:szCs w:val="28"/>
          <w:highlight w:val="none"/>
        </w:rPr>
        <w:t>式中：</w:t>
      </w:r>
      <w:r>
        <w:rPr>
          <w:rFonts w:eastAsia="楷体"/>
          <w:color w:val="auto"/>
          <w:position w:val="-12"/>
          <w:sz w:val="28"/>
          <w:szCs w:val="28"/>
          <w:highlight w:val="none"/>
        </w:rPr>
        <w:object>
          <v:shape id="_x0000_i1031" o:spt="75" type="#_x0000_t75" style="height:18pt;width:36.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32" o:spt="75" type="#_x0000_t75" style="height:14.25pt;width:15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eastAsia="楷体"/>
          <w:color w:val="auto"/>
          <w:sz w:val="28"/>
          <w:szCs w:val="28"/>
          <w:highlight w:val="none"/>
        </w:rPr>
        <w:t>始、末的入库流量（</w:t>
      </w:r>
      <w:r>
        <w:rPr>
          <w:rFonts w:eastAsia="楷体"/>
          <w:color w:val="auto"/>
          <w:position w:val="-6"/>
          <w:sz w:val="28"/>
          <w:szCs w:val="28"/>
          <w:highlight w:val="none"/>
        </w:rPr>
        <w:object>
          <v:shape id="_x0000_i1033" o:spt="75" type="#_x0000_t75" style="height:16.5pt;width:30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rFonts w:eastAsia="楷体"/>
          <w:color w:val="auto"/>
          <w:sz w:val="28"/>
          <w:szCs w:val="28"/>
          <w:highlight w:val="none"/>
        </w:rPr>
        <w:t>）;</w:t>
      </w:r>
    </w:p>
    <w:p w14:paraId="35DA8DE2">
      <w:pPr>
        <w:spacing w:line="520" w:lineRule="exact"/>
        <w:rPr>
          <w:rFonts w:eastAsia="楷体"/>
          <w:color w:val="auto"/>
          <w:sz w:val="28"/>
          <w:szCs w:val="28"/>
          <w:highlight w:val="none"/>
        </w:rPr>
      </w:pPr>
      <w:r>
        <w:rPr>
          <w:rFonts w:eastAsia="楷体"/>
          <w:color w:val="auto"/>
          <w:sz w:val="28"/>
          <w:szCs w:val="28"/>
          <w:highlight w:val="none"/>
        </w:rPr>
        <w:t xml:space="preserve">      </w:t>
      </w:r>
      <w:r>
        <w:rPr>
          <w:rFonts w:eastAsia="楷体"/>
          <w:color w:val="auto"/>
          <w:position w:val="-12"/>
          <w:sz w:val="28"/>
          <w:szCs w:val="28"/>
          <w:highlight w:val="none"/>
        </w:rPr>
        <w:object>
          <v:shape id="_x0000_i1034" o:spt="75" type="#_x0000_t75" style="height:18pt;width:33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35" o:spt="75" type="#_x0000_t75" style="height:14.25pt;width:15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rFonts w:eastAsia="楷体"/>
          <w:color w:val="auto"/>
          <w:sz w:val="28"/>
          <w:szCs w:val="28"/>
          <w:highlight w:val="none"/>
        </w:rPr>
        <w:t>始、末的出库流量（</w:t>
      </w:r>
      <w:r>
        <w:rPr>
          <w:rFonts w:eastAsia="楷体"/>
          <w:color w:val="auto"/>
          <w:position w:val="-6"/>
          <w:sz w:val="28"/>
          <w:szCs w:val="28"/>
          <w:highlight w:val="none"/>
        </w:rPr>
        <w:object>
          <v:shape id="_x0000_i1036" o:spt="75" type="#_x0000_t75" style="height:16.5pt;width:30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r>
        <w:rPr>
          <w:rFonts w:eastAsia="楷体"/>
          <w:color w:val="auto"/>
          <w:sz w:val="28"/>
          <w:szCs w:val="28"/>
          <w:highlight w:val="none"/>
        </w:rPr>
        <w:t>）;</w:t>
      </w:r>
    </w:p>
    <w:p w14:paraId="65974EE6">
      <w:pPr>
        <w:spacing w:line="520" w:lineRule="exact"/>
        <w:rPr>
          <w:rFonts w:eastAsia="楷体"/>
          <w:color w:val="auto"/>
          <w:sz w:val="28"/>
          <w:szCs w:val="28"/>
          <w:highlight w:val="none"/>
        </w:rPr>
      </w:pPr>
      <w:r>
        <w:rPr>
          <w:rFonts w:eastAsia="楷体"/>
          <w:color w:val="auto"/>
          <w:sz w:val="28"/>
          <w:szCs w:val="28"/>
          <w:highlight w:val="none"/>
        </w:rPr>
        <w:t xml:space="preserve">      </w:t>
      </w:r>
      <w:r>
        <w:rPr>
          <w:rFonts w:eastAsia="楷体"/>
          <w:color w:val="auto"/>
          <w:position w:val="-12"/>
          <w:sz w:val="28"/>
          <w:szCs w:val="28"/>
          <w:highlight w:val="none"/>
        </w:rPr>
        <w:object>
          <v:shape id="_x0000_i1037" o:spt="75" type="#_x0000_t75" style="height:18pt;width:33.75pt;" o:ole="t" filled="f" o:preferrelative="t" stroked="f" coordsize="21600,21600">
            <v:path/>
            <v:fill on="f" focussize="0,0"/>
            <v:stroke on="f" joinstyle="miter"/>
            <v:imagedata r:id="rId36" o:title=""/>
            <o:lock v:ext="edit" aspectratio="t"/>
            <w10:wrap type="none"/>
            <w10:anchorlock/>
          </v:shape>
          <o:OLEObject Type="Embed" ProgID="Equation.DSMT4" ShapeID="_x0000_i1037" DrawAspect="Content" ObjectID="_1468075737" r:id="rId35">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38" o:spt="75" type="#_x0000_t75" style="height:14.25pt;width:15pt;" o:ole="t" filled="f" o:preferrelative="t" stroked="f" coordsize="21600,21600">
            <v:path/>
            <v:fill on="f" focussize="0,0"/>
            <v:stroke on="f" joinstyle="miter"/>
            <v:imagedata r:id="rId38" o:title=""/>
            <o:lock v:ext="edit" aspectratio="t"/>
            <w10:wrap type="none"/>
            <w10:anchorlock/>
          </v:shape>
          <o:OLEObject Type="Embed" ProgID="Equation.DSMT4" ShapeID="_x0000_i1038" DrawAspect="Content" ObjectID="_1468075738" r:id="rId37">
            <o:LockedField>false</o:LockedField>
          </o:OLEObject>
        </w:object>
      </w:r>
      <w:r>
        <w:rPr>
          <w:rFonts w:eastAsia="楷体"/>
          <w:color w:val="auto"/>
          <w:sz w:val="28"/>
          <w:szCs w:val="28"/>
          <w:highlight w:val="none"/>
        </w:rPr>
        <w:t>始、末的库容（万</w:t>
      </w:r>
      <w:r>
        <w:rPr>
          <w:rFonts w:eastAsia="楷体"/>
          <w:i/>
          <w:color w:val="auto"/>
          <w:sz w:val="28"/>
          <w:szCs w:val="28"/>
          <w:highlight w:val="none"/>
        </w:rPr>
        <w:t xml:space="preserve"> </w:t>
      </w:r>
      <w:r>
        <w:rPr>
          <w:rFonts w:eastAsia="楷体"/>
          <w:color w:val="auto"/>
          <w:position w:val="-6"/>
          <w:sz w:val="28"/>
          <w:szCs w:val="28"/>
          <w:highlight w:val="none"/>
        </w:rPr>
        <w:object>
          <v:shape id="_x0000_i1039" o:spt="75" type="#_x0000_t75" style="height:16.5pt;width:16.5pt;" o:ole="t" filled="f" o:preferrelative="t" stroked="f" coordsize="21600,21600">
            <v:path/>
            <v:fill on="f" focussize="0,0"/>
            <v:stroke on="f" joinstyle="miter"/>
            <v:imagedata r:id="rId40" o:title=""/>
            <o:lock v:ext="edit" aspectratio="t"/>
            <w10:wrap type="none"/>
            <w10:anchorlock/>
          </v:shape>
          <o:OLEObject Type="Embed" ProgID="Equation.DSMT4" ShapeID="_x0000_i1039" DrawAspect="Content" ObjectID="_1468075739" r:id="rId39">
            <o:LockedField>false</o:LockedField>
          </o:OLEObject>
        </w:object>
      </w:r>
      <w:r>
        <w:rPr>
          <w:rFonts w:eastAsia="楷体"/>
          <w:color w:val="auto"/>
          <w:sz w:val="28"/>
          <w:szCs w:val="28"/>
          <w:highlight w:val="none"/>
        </w:rPr>
        <w:t>）</w:t>
      </w:r>
    </w:p>
    <w:p w14:paraId="32010626">
      <w:pPr>
        <w:spacing w:line="520" w:lineRule="exact"/>
        <w:ind w:firstLine="560" w:firstLineChars="200"/>
        <w:rPr>
          <w:rFonts w:eastAsia="楷体"/>
          <w:color w:val="auto"/>
          <w:sz w:val="28"/>
          <w:szCs w:val="28"/>
          <w:highlight w:val="none"/>
        </w:rPr>
      </w:pPr>
      <w:r>
        <w:rPr>
          <w:rFonts w:eastAsia="楷体"/>
          <w:color w:val="auto"/>
          <w:sz w:val="28"/>
          <w:szCs w:val="28"/>
          <w:highlight w:val="none"/>
        </w:rPr>
        <w:t>丰收水库的正常蓄水位为</w:t>
      </w:r>
      <w:r>
        <w:rPr>
          <w:rFonts w:hint="eastAsia" w:eastAsia="楷体"/>
          <w:color w:val="auto"/>
          <w:sz w:val="28"/>
          <w:szCs w:val="28"/>
          <w:highlight w:val="none"/>
          <w:lang w:val="en-US" w:eastAsia="zh-CN"/>
        </w:rPr>
        <w:t>36.37</w:t>
      </w:r>
      <w:r>
        <w:rPr>
          <w:rFonts w:eastAsia="楷体"/>
          <w:color w:val="auto"/>
          <w:sz w:val="28"/>
          <w:szCs w:val="28"/>
          <w:highlight w:val="none"/>
        </w:rPr>
        <w:t>m，汛期期间起调水位采用汛限水位</w:t>
      </w:r>
      <w:r>
        <w:rPr>
          <w:rFonts w:hint="eastAsia" w:eastAsia="楷体"/>
          <w:color w:val="auto"/>
          <w:sz w:val="28"/>
          <w:szCs w:val="28"/>
          <w:highlight w:val="none"/>
          <w:lang w:val="en-US" w:eastAsia="zh-CN"/>
        </w:rPr>
        <w:t>36.37</w:t>
      </w:r>
      <w:r>
        <w:rPr>
          <w:rFonts w:eastAsia="楷体"/>
          <w:color w:val="auto"/>
          <w:sz w:val="28"/>
          <w:szCs w:val="28"/>
          <w:highlight w:val="none"/>
        </w:rPr>
        <w:t>m，经调洪演算求得P=</w:t>
      </w:r>
      <w:r>
        <w:rPr>
          <w:rFonts w:hint="eastAsia" w:eastAsia="楷体"/>
          <w:color w:val="auto"/>
          <w:sz w:val="28"/>
          <w:szCs w:val="28"/>
          <w:highlight w:val="none"/>
          <w:lang w:val="en-US" w:eastAsia="zh-CN"/>
        </w:rPr>
        <w:t>5</w:t>
      </w:r>
      <w:r>
        <w:rPr>
          <w:rFonts w:eastAsia="楷体"/>
          <w:color w:val="auto"/>
          <w:sz w:val="28"/>
          <w:szCs w:val="28"/>
          <w:highlight w:val="none"/>
        </w:rPr>
        <w:t>%和P=0.</w:t>
      </w:r>
      <w:r>
        <w:rPr>
          <w:rFonts w:hint="eastAsia" w:eastAsia="楷体"/>
          <w:color w:val="auto"/>
          <w:sz w:val="28"/>
          <w:szCs w:val="28"/>
          <w:highlight w:val="none"/>
          <w:lang w:val="en-US" w:eastAsia="zh-CN"/>
        </w:rPr>
        <w:t>33</w:t>
      </w:r>
      <w:r>
        <w:rPr>
          <w:rFonts w:eastAsia="楷体"/>
          <w:color w:val="auto"/>
          <w:sz w:val="28"/>
          <w:szCs w:val="28"/>
          <w:highlight w:val="none"/>
        </w:rPr>
        <w:t>%两种设计频率洪水的调洪演算成果详见表4-1。</w:t>
      </w:r>
    </w:p>
    <w:p w14:paraId="03506CC5">
      <w:pPr>
        <w:spacing w:line="520" w:lineRule="exact"/>
        <w:rPr>
          <w:rFonts w:eastAsia="楷体"/>
          <w:b/>
          <w:bCs/>
          <w:color w:val="auto"/>
          <w:kern w:val="0"/>
          <w:sz w:val="28"/>
          <w:szCs w:val="28"/>
          <w:highlight w:val="none"/>
        </w:rPr>
      </w:pPr>
      <w:r>
        <w:rPr>
          <w:rFonts w:eastAsia="楷体"/>
          <w:b/>
          <w:bCs/>
          <w:color w:val="auto"/>
          <w:kern w:val="0"/>
          <w:sz w:val="28"/>
          <w:szCs w:val="28"/>
          <w:highlight w:val="none"/>
        </w:rPr>
        <w:t>表4-1            丰收水库调洪演算成果表</w:t>
      </w:r>
    </w:p>
    <w:tbl>
      <w:tblPr>
        <w:tblStyle w:val="18"/>
        <w:tblW w:w="8344" w:type="dxa"/>
        <w:tblInd w:w="-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930"/>
        <w:gridCol w:w="1875"/>
        <w:gridCol w:w="1630"/>
        <w:gridCol w:w="1454"/>
        <w:gridCol w:w="1455"/>
      </w:tblGrid>
      <w:tr w14:paraId="251E97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1930" w:type="dxa"/>
            <w:tcBorders>
              <w:tl2br w:val="nil"/>
              <w:tr2bl w:val="nil"/>
            </w:tcBorders>
            <w:shd w:val="clear" w:color="auto" w:fill="auto"/>
            <w:vAlign w:val="center"/>
          </w:tcPr>
          <w:p w14:paraId="2C55BD19">
            <w:pPr>
              <w:widowControl/>
              <w:spacing w:line="440" w:lineRule="exact"/>
              <w:jc w:val="center"/>
              <w:textAlignment w:val="center"/>
              <w:rPr>
                <w:b/>
                <w:color w:val="auto"/>
                <w:sz w:val="24"/>
                <w:highlight w:val="none"/>
              </w:rPr>
            </w:pPr>
            <w:r>
              <w:rPr>
                <w:b/>
                <w:color w:val="auto"/>
                <w:kern w:val="0"/>
                <w:sz w:val="24"/>
                <w:highlight w:val="none"/>
              </w:rPr>
              <w:t>设计频率</w:t>
            </w:r>
          </w:p>
        </w:tc>
        <w:tc>
          <w:tcPr>
            <w:tcW w:w="1875" w:type="dxa"/>
            <w:tcBorders>
              <w:tl2br w:val="nil"/>
              <w:tr2bl w:val="nil"/>
            </w:tcBorders>
            <w:shd w:val="clear" w:color="auto" w:fill="auto"/>
            <w:vAlign w:val="center"/>
          </w:tcPr>
          <w:p w14:paraId="612E47DE">
            <w:pPr>
              <w:widowControl/>
              <w:spacing w:line="440" w:lineRule="exact"/>
              <w:jc w:val="center"/>
              <w:textAlignment w:val="center"/>
              <w:rPr>
                <w:b/>
                <w:color w:val="auto"/>
                <w:sz w:val="24"/>
                <w:highlight w:val="none"/>
              </w:rPr>
            </w:pPr>
            <w:r>
              <w:rPr>
                <w:b/>
                <w:color w:val="auto"/>
                <w:kern w:val="0"/>
                <w:sz w:val="24"/>
                <w:highlight w:val="none"/>
              </w:rPr>
              <w:t>最大入库流量(m</w:t>
            </w:r>
            <w:r>
              <w:rPr>
                <w:b/>
                <w:color w:val="auto"/>
                <w:kern w:val="0"/>
                <w:sz w:val="24"/>
                <w:highlight w:val="none"/>
                <w:vertAlign w:val="superscript"/>
              </w:rPr>
              <w:t>3</w:t>
            </w:r>
            <w:r>
              <w:rPr>
                <w:b/>
                <w:color w:val="auto"/>
                <w:kern w:val="0"/>
                <w:sz w:val="24"/>
                <w:highlight w:val="none"/>
              </w:rPr>
              <w:t>/s)</w:t>
            </w:r>
          </w:p>
        </w:tc>
        <w:tc>
          <w:tcPr>
            <w:tcW w:w="1630" w:type="dxa"/>
            <w:tcBorders>
              <w:tl2br w:val="nil"/>
              <w:tr2bl w:val="nil"/>
            </w:tcBorders>
            <w:shd w:val="clear" w:color="auto" w:fill="auto"/>
            <w:vAlign w:val="center"/>
          </w:tcPr>
          <w:p w14:paraId="5A17B76E">
            <w:pPr>
              <w:widowControl/>
              <w:spacing w:line="440" w:lineRule="exact"/>
              <w:jc w:val="center"/>
              <w:textAlignment w:val="center"/>
              <w:rPr>
                <w:b/>
                <w:color w:val="auto"/>
                <w:sz w:val="24"/>
                <w:highlight w:val="none"/>
              </w:rPr>
            </w:pPr>
            <w:r>
              <w:rPr>
                <w:b/>
                <w:color w:val="auto"/>
                <w:kern w:val="0"/>
                <w:sz w:val="24"/>
                <w:highlight w:val="none"/>
              </w:rPr>
              <w:t>最大下泄流量(m</w:t>
            </w:r>
            <w:r>
              <w:rPr>
                <w:b/>
                <w:color w:val="auto"/>
                <w:kern w:val="0"/>
                <w:sz w:val="24"/>
                <w:highlight w:val="none"/>
                <w:vertAlign w:val="superscript"/>
              </w:rPr>
              <w:t>3</w:t>
            </w:r>
            <w:r>
              <w:rPr>
                <w:b/>
                <w:color w:val="auto"/>
                <w:kern w:val="0"/>
                <w:sz w:val="24"/>
                <w:highlight w:val="none"/>
              </w:rPr>
              <w:t>/s)</w:t>
            </w:r>
          </w:p>
        </w:tc>
        <w:tc>
          <w:tcPr>
            <w:tcW w:w="1454" w:type="dxa"/>
            <w:tcBorders>
              <w:tl2br w:val="nil"/>
              <w:tr2bl w:val="nil"/>
            </w:tcBorders>
            <w:shd w:val="clear" w:color="auto" w:fill="auto"/>
            <w:vAlign w:val="center"/>
          </w:tcPr>
          <w:p w14:paraId="29040634">
            <w:pPr>
              <w:widowControl/>
              <w:spacing w:line="440" w:lineRule="exact"/>
              <w:jc w:val="center"/>
              <w:textAlignment w:val="center"/>
              <w:rPr>
                <w:b/>
                <w:color w:val="auto"/>
                <w:sz w:val="24"/>
                <w:highlight w:val="none"/>
              </w:rPr>
            </w:pPr>
            <w:r>
              <w:rPr>
                <w:b/>
                <w:color w:val="auto"/>
                <w:kern w:val="0"/>
                <w:sz w:val="24"/>
                <w:highlight w:val="none"/>
              </w:rPr>
              <w:t>最高库水位（m）</w:t>
            </w:r>
          </w:p>
        </w:tc>
        <w:tc>
          <w:tcPr>
            <w:tcW w:w="1455" w:type="dxa"/>
            <w:tcBorders>
              <w:tl2br w:val="nil"/>
              <w:tr2bl w:val="nil"/>
            </w:tcBorders>
            <w:shd w:val="clear" w:color="auto" w:fill="auto"/>
            <w:vAlign w:val="center"/>
          </w:tcPr>
          <w:p w14:paraId="19844658">
            <w:pPr>
              <w:widowControl/>
              <w:spacing w:line="440" w:lineRule="exact"/>
              <w:jc w:val="center"/>
              <w:textAlignment w:val="center"/>
              <w:rPr>
                <w:b/>
                <w:color w:val="auto"/>
                <w:kern w:val="0"/>
                <w:sz w:val="24"/>
                <w:highlight w:val="none"/>
              </w:rPr>
            </w:pPr>
            <w:r>
              <w:rPr>
                <w:b/>
                <w:color w:val="auto"/>
                <w:kern w:val="0"/>
                <w:sz w:val="24"/>
                <w:highlight w:val="none"/>
              </w:rPr>
              <w:t>设计库容</w:t>
            </w:r>
          </w:p>
          <w:p w14:paraId="42405398">
            <w:pPr>
              <w:widowControl/>
              <w:spacing w:line="440" w:lineRule="exact"/>
              <w:jc w:val="center"/>
              <w:textAlignment w:val="center"/>
              <w:rPr>
                <w:b/>
                <w:color w:val="auto"/>
                <w:sz w:val="24"/>
                <w:highlight w:val="none"/>
              </w:rPr>
            </w:pPr>
            <w:r>
              <w:rPr>
                <w:b/>
                <w:color w:val="auto"/>
                <w:kern w:val="0"/>
                <w:sz w:val="24"/>
                <w:highlight w:val="none"/>
              </w:rPr>
              <w:t>（万m</w:t>
            </w:r>
            <w:r>
              <w:rPr>
                <w:b/>
                <w:color w:val="auto"/>
                <w:kern w:val="0"/>
                <w:sz w:val="24"/>
                <w:highlight w:val="none"/>
                <w:vertAlign w:val="superscript"/>
              </w:rPr>
              <w:t>3</w:t>
            </w:r>
            <w:r>
              <w:rPr>
                <w:b/>
                <w:color w:val="auto"/>
                <w:kern w:val="0"/>
                <w:sz w:val="24"/>
                <w:highlight w:val="none"/>
              </w:rPr>
              <w:t>）</w:t>
            </w:r>
          </w:p>
        </w:tc>
      </w:tr>
      <w:tr w14:paraId="777019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shd w:val="clear" w:color="auto" w:fill="auto"/>
            <w:vAlign w:val="center"/>
          </w:tcPr>
          <w:p w14:paraId="5F5F63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P=5%</w:t>
            </w:r>
          </w:p>
        </w:tc>
        <w:tc>
          <w:tcPr>
            <w:tcW w:w="1875" w:type="dxa"/>
            <w:tcBorders>
              <w:tl2br w:val="nil"/>
              <w:tr2bl w:val="nil"/>
            </w:tcBorders>
            <w:shd w:val="clear" w:color="auto" w:fill="auto"/>
            <w:vAlign w:val="center"/>
          </w:tcPr>
          <w:p w14:paraId="1D9C51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6.35</w:t>
            </w:r>
          </w:p>
        </w:tc>
        <w:tc>
          <w:tcPr>
            <w:tcW w:w="1630" w:type="dxa"/>
            <w:tcBorders>
              <w:tl2br w:val="nil"/>
              <w:tr2bl w:val="nil"/>
            </w:tcBorders>
            <w:shd w:val="clear" w:color="auto" w:fill="auto"/>
            <w:vAlign w:val="center"/>
          </w:tcPr>
          <w:p w14:paraId="2B9471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2.61</w:t>
            </w:r>
          </w:p>
        </w:tc>
        <w:tc>
          <w:tcPr>
            <w:tcW w:w="1454" w:type="dxa"/>
            <w:tcBorders>
              <w:tl2br w:val="nil"/>
              <w:tr2bl w:val="nil"/>
            </w:tcBorders>
            <w:shd w:val="clear" w:color="auto" w:fill="auto"/>
            <w:vAlign w:val="center"/>
          </w:tcPr>
          <w:p w14:paraId="2576D5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36.94</w:t>
            </w:r>
          </w:p>
        </w:tc>
        <w:tc>
          <w:tcPr>
            <w:tcW w:w="1455" w:type="dxa"/>
            <w:tcBorders>
              <w:tl2br w:val="nil"/>
              <w:tr2bl w:val="nil"/>
            </w:tcBorders>
            <w:shd w:val="clear" w:color="auto" w:fill="auto"/>
            <w:vAlign w:val="center"/>
          </w:tcPr>
          <w:p w14:paraId="3587F8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20.46</w:t>
            </w:r>
          </w:p>
        </w:tc>
      </w:tr>
      <w:tr w14:paraId="3B8617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shd w:val="clear" w:color="auto" w:fill="auto"/>
            <w:vAlign w:val="center"/>
          </w:tcPr>
          <w:p w14:paraId="6B9849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P=0.33%</w:t>
            </w:r>
          </w:p>
        </w:tc>
        <w:tc>
          <w:tcPr>
            <w:tcW w:w="1875" w:type="dxa"/>
            <w:tcBorders>
              <w:tl2br w:val="nil"/>
              <w:tr2bl w:val="nil"/>
            </w:tcBorders>
            <w:shd w:val="clear" w:color="auto" w:fill="auto"/>
            <w:vAlign w:val="center"/>
          </w:tcPr>
          <w:p w14:paraId="33BCA9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10.1</w:t>
            </w:r>
          </w:p>
        </w:tc>
        <w:tc>
          <w:tcPr>
            <w:tcW w:w="1630" w:type="dxa"/>
            <w:tcBorders>
              <w:tl2br w:val="nil"/>
              <w:tr2bl w:val="nil"/>
            </w:tcBorders>
            <w:shd w:val="clear" w:color="auto" w:fill="auto"/>
            <w:vAlign w:val="center"/>
          </w:tcPr>
          <w:p w14:paraId="3FC187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4.74</w:t>
            </w:r>
          </w:p>
        </w:tc>
        <w:tc>
          <w:tcPr>
            <w:tcW w:w="1454" w:type="dxa"/>
            <w:tcBorders>
              <w:tl2br w:val="nil"/>
              <w:tr2bl w:val="nil"/>
            </w:tcBorders>
            <w:shd w:val="clear" w:color="auto" w:fill="auto"/>
            <w:vAlign w:val="center"/>
          </w:tcPr>
          <w:p w14:paraId="7F32A5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37.21</w:t>
            </w:r>
          </w:p>
        </w:tc>
        <w:tc>
          <w:tcPr>
            <w:tcW w:w="1455" w:type="dxa"/>
            <w:tcBorders>
              <w:tl2br w:val="nil"/>
              <w:tr2bl w:val="nil"/>
            </w:tcBorders>
            <w:shd w:val="clear" w:color="auto" w:fill="auto"/>
            <w:vAlign w:val="center"/>
          </w:tcPr>
          <w:p w14:paraId="705185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21.6</w:t>
            </w:r>
          </w:p>
        </w:tc>
      </w:tr>
    </w:tbl>
    <w:p w14:paraId="5B617A31">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（2）丰收水库防汛调度方案</w:t>
      </w:r>
    </w:p>
    <w:p w14:paraId="6C82F99C">
      <w:pPr>
        <w:numPr>
          <w:ilvl w:val="0"/>
          <w:numId w:val="3"/>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丰收水库汛限水位为</w:t>
      </w:r>
      <w:r>
        <w:rPr>
          <w:rFonts w:hint="eastAsia" w:eastAsia="楷体"/>
          <w:b/>
          <w:bCs/>
          <w:color w:val="auto"/>
          <w:sz w:val="28"/>
          <w:szCs w:val="28"/>
          <w:highlight w:val="none"/>
          <w:lang w:eastAsia="zh-CN"/>
        </w:rPr>
        <w:t>36.37</w:t>
      </w:r>
      <w:r>
        <w:rPr>
          <w:rFonts w:eastAsia="楷体"/>
          <w:b/>
          <w:bCs/>
          <w:color w:val="auto"/>
          <w:sz w:val="28"/>
          <w:szCs w:val="28"/>
          <w:highlight w:val="none"/>
        </w:rPr>
        <w:t>m，进入汛期前，若丰收水库水位大于</w:t>
      </w:r>
      <w:r>
        <w:rPr>
          <w:rFonts w:hint="eastAsia" w:eastAsia="楷体"/>
          <w:b/>
          <w:bCs/>
          <w:color w:val="auto"/>
          <w:sz w:val="28"/>
          <w:szCs w:val="28"/>
          <w:highlight w:val="none"/>
          <w:lang w:eastAsia="zh-CN"/>
        </w:rPr>
        <w:t>36.37</w:t>
      </w:r>
      <w:r>
        <w:rPr>
          <w:rFonts w:eastAsia="楷体"/>
          <w:b/>
          <w:bCs/>
          <w:color w:val="auto"/>
          <w:sz w:val="28"/>
          <w:szCs w:val="28"/>
          <w:highlight w:val="none"/>
        </w:rPr>
        <w:t>m，则自由泄流，使丰收水库在汛期开始即4月1日前的水库水位控制在</w:t>
      </w:r>
      <w:r>
        <w:rPr>
          <w:rFonts w:hint="eastAsia" w:eastAsia="楷体"/>
          <w:b/>
          <w:bCs/>
          <w:color w:val="auto"/>
          <w:sz w:val="28"/>
          <w:szCs w:val="28"/>
          <w:highlight w:val="none"/>
          <w:lang w:eastAsia="zh-CN"/>
        </w:rPr>
        <w:t>36.37</w:t>
      </w:r>
      <w:r>
        <w:rPr>
          <w:rFonts w:eastAsia="楷体"/>
          <w:b/>
          <w:bCs/>
          <w:color w:val="auto"/>
          <w:sz w:val="28"/>
          <w:szCs w:val="28"/>
          <w:highlight w:val="none"/>
        </w:rPr>
        <w:t>m以下；汛期期间，水库可根据需要进行蓄水，但不得超过</w:t>
      </w:r>
      <w:r>
        <w:rPr>
          <w:rFonts w:hint="eastAsia" w:eastAsia="楷体"/>
          <w:b/>
          <w:bCs/>
          <w:color w:val="auto"/>
          <w:sz w:val="28"/>
          <w:szCs w:val="28"/>
          <w:highlight w:val="none"/>
          <w:lang w:eastAsia="zh-CN"/>
        </w:rPr>
        <w:t>36.37</w:t>
      </w:r>
      <w:r>
        <w:rPr>
          <w:rFonts w:eastAsia="楷体"/>
          <w:b/>
          <w:bCs/>
          <w:color w:val="auto"/>
          <w:sz w:val="28"/>
          <w:szCs w:val="28"/>
          <w:highlight w:val="none"/>
        </w:rPr>
        <w:t>m。</w:t>
      </w:r>
    </w:p>
    <w:p w14:paraId="70BDF09D">
      <w:pPr>
        <w:numPr>
          <w:ilvl w:val="0"/>
          <w:numId w:val="3"/>
        </w:numPr>
        <w:spacing w:line="520" w:lineRule="exact"/>
        <w:ind w:firstLine="562" w:firstLineChars="200"/>
        <w:rPr>
          <w:rFonts w:eastAsia="楷体"/>
          <w:b/>
          <w:bCs/>
          <w:color w:val="auto"/>
          <w:sz w:val="28"/>
          <w:szCs w:val="28"/>
          <w:highlight w:val="none"/>
        </w:rPr>
      </w:pPr>
      <w:r>
        <w:rPr>
          <w:rFonts w:hint="eastAsia" w:eastAsia="楷体"/>
          <w:b/>
          <w:bCs/>
          <w:color w:val="auto"/>
          <w:sz w:val="28"/>
          <w:szCs w:val="28"/>
          <w:highlight w:val="none"/>
          <w:lang w:val="en-US" w:eastAsia="zh-CN"/>
        </w:rPr>
        <w:t>考虑到丰收水库输水涵洞放水流量的限制，仅为0.43m</w:t>
      </w:r>
      <w:r>
        <w:rPr>
          <w:rFonts w:hint="eastAsia" w:eastAsia="楷体"/>
          <w:b/>
          <w:bCs/>
          <w:color w:val="auto"/>
          <w:sz w:val="28"/>
          <w:szCs w:val="28"/>
          <w:highlight w:val="none"/>
          <w:vertAlign w:val="superscript"/>
          <w:lang w:val="en-US" w:eastAsia="zh-CN"/>
        </w:rPr>
        <w:t>3</w:t>
      </w:r>
      <w:r>
        <w:rPr>
          <w:rFonts w:hint="eastAsia" w:eastAsia="楷体"/>
          <w:b/>
          <w:bCs/>
          <w:color w:val="auto"/>
          <w:sz w:val="28"/>
          <w:szCs w:val="28"/>
          <w:highlight w:val="none"/>
          <w:lang w:val="en-US" w:eastAsia="zh-CN"/>
        </w:rPr>
        <w:t>/s，每天的最大放水量为3.72万m</w:t>
      </w:r>
      <w:r>
        <w:rPr>
          <w:rFonts w:hint="eastAsia" w:eastAsia="楷体"/>
          <w:b/>
          <w:bCs/>
          <w:color w:val="auto"/>
          <w:sz w:val="28"/>
          <w:szCs w:val="28"/>
          <w:highlight w:val="none"/>
          <w:vertAlign w:val="superscript"/>
          <w:lang w:val="en-US" w:eastAsia="zh-CN"/>
        </w:rPr>
        <w:t>3</w:t>
      </w:r>
      <w:r>
        <w:rPr>
          <w:rFonts w:hint="eastAsia" w:eastAsia="楷体"/>
          <w:b/>
          <w:bCs/>
          <w:color w:val="auto"/>
          <w:sz w:val="28"/>
          <w:szCs w:val="28"/>
          <w:highlight w:val="none"/>
          <w:lang w:val="en-US" w:eastAsia="zh-CN"/>
        </w:rPr>
        <w:t>，在收到气象部门降雨预警后，应根据当前水位情况来确定放水量。</w:t>
      </w:r>
    </w:p>
    <w:p w14:paraId="109C4FBB">
      <w:pPr>
        <w:numPr>
          <w:ilvl w:val="0"/>
          <w:numId w:val="3"/>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在汛期期间遇到短历时强降雨时</w:t>
      </w:r>
    </w:p>
    <w:p w14:paraId="004B4028">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当丰收水库遇到短历时小于50mm的强降雨时，入库最大洪水总量为</w:t>
      </w:r>
      <w:r>
        <w:rPr>
          <w:rFonts w:hint="eastAsia" w:eastAsia="楷体"/>
          <w:color w:val="auto"/>
          <w:sz w:val="28"/>
          <w:szCs w:val="28"/>
          <w:highlight w:val="none"/>
          <w:lang w:val="en-US" w:eastAsia="zh-CN"/>
        </w:rPr>
        <w:t>1.34</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36.04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36.04</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36.04</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时间约8.65h</w:t>
      </w:r>
      <w:r>
        <w:rPr>
          <w:rFonts w:eastAsia="楷体"/>
          <w:color w:val="auto"/>
          <w:sz w:val="28"/>
          <w:szCs w:val="28"/>
          <w:highlight w:val="none"/>
        </w:rPr>
        <w:t>；</w:t>
      </w:r>
    </w:p>
    <w:p w14:paraId="75BD34C8">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当遇到有短历时小于75mm的强降雨时，入库最大洪水总量为</w:t>
      </w:r>
      <w:r>
        <w:rPr>
          <w:rFonts w:hint="eastAsia" w:eastAsia="楷体"/>
          <w:color w:val="auto"/>
          <w:sz w:val="28"/>
          <w:szCs w:val="28"/>
          <w:highlight w:val="none"/>
          <w:lang w:val="en-US" w:eastAsia="zh-CN"/>
        </w:rPr>
        <w:t>2</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35.98</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35.98</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35.98</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时间约12.92h</w:t>
      </w:r>
      <w:r>
        <w:rPr>
          <w:rFonts w:eastAsia="楷体"/>
          <w:color w:val="auto"/>
          <w:sz w:val="28"/>
          <w:szCs w:val="28"/>
          <w:highlight w:val="none"/>
        </w:rPr>
        <w:t>；</w:t>
      </w:r>
    </w:p>
    <w:p w14:paraId="72BE4CB0">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当遇到有短历时小于100mm的强降雨时，入库最大洪水总量为</w:t>
      </w:r>
      <w:r>
        <w:rPr>
          <w:rFonts w:hint="eastAsia" w:eastAsia="楷体"/>
          <w:color w:val="auto"/>
          <w:sz w:val="28"/>
          <w:szCs w:val="28"/>
          <w:highlight w:val="none"/>
          <w:lang w:val="en-US" w:eastAsia="zh-CN"/>
        </w:rPr>
        <w:t>2.68</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35.65</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35.65</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35.65</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时间约17.31h</w:t>
      </w:r>
      <w:r>
        <w:rPr>
          <w:rFonts w:eastAsia="楷体"/>
          <w:color w:val="auto"/>
          <w:sz w:val="28"/>
          <w:szCs w:val="28"/>
          <w:highlight w:val="none"/>
        </w:rPr>
        <w:t>；</w:t>
      </w:r>
    </w:p>
    <w:p w14:paraId="76454C90">
      <w:pPr>
        <w:numPr>
          <w:ilvl w:val="0"/>
          <w:numId w:val="5"/>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1AC0ACAB">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当遇到台风对我市降雨影响预计达到100mm的强降雨时，单日入库最大洪水总量为</w:t>
      </w:r>
      <w:r>
        <w:rPr>
          <w:rFonts w:hint="eastAsia" w:eastAsia="楷体"/>
          <w:color w:val="auto"/>
          <w:sz w:val="28"/>
          <w:szCs w:val="28"/>
          <w:highlight w:val="none"/>
          <w:lang w:val="en-US" w:eastAsia="zh-CN"/>
        </w:rPr>
        <w:t>2.53</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35.8</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35.8</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35.8</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时间约16.34h</w:t>
      </w:r>
      <w:r>
        <w:rPr>
          <w:rFonts w:eastAsia="楷体"/>
          <w:color w:val="auto"/>
          <w:sz w:val="28"/>
          <w:szCs w:val="28"/>
          <w:highlight w:val="none"/>
        </w:rPr>
        <w:t>。</w:t>
      </w:r>
    </w:p>
    <w:p w14:paraId="798B3B8D">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当遇到台风对我市降雨影响预计达到150mm的强降雨时，单日入库最大洪水总量为</w:t>
      </w:r>
      <w:r>
        <w:rPr>
          <w:rFonts w:hint="eastAsia" w:eastAsia="楷体"/>
          <w:color w:val="auto"/>
          <w:sz w:val="28"/>
          <w:szCs w:val="28"/>
          <w:highlight w:val="none"/>
          <w:lang w:val="en-US" w:eastAsia="zh-CN"/>
        </w:rPr>
        <w:t>3.79</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35.39</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35.39</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35.39</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时间约24.48h</w:t>
      </w:r>
      <w:r>
        <w:rPr>
          <w:rFonts w:eastAsia="楷体"/>
          <w:color w:val="auto"/>
          <w:sz w:val="28"/>
          <w:szCs w:val="28"/>
          <w:highlight w:val="none"/>
        </w:rPr>
        <w:t>。</w:t>
      </w:r>
    </w:p>
    <w:p w14:paraId="5CF3CE81">
      <w:pPr>
        <w:numPr>
          <w:ilvl w:val="0"/>
          <w:numId w:val="6"/>
        </w:numPr>
        <w:spacing w:line="520" w:lineRule="exact"/>
        <w:ind w:left="0" w:leftChars="0"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当遇到台风对我市降雨影响预计达到200mm的强降雨时，单日入库最大洪水总量为</w:t>
      </w:r>
      <w:r>
        <w:rPr>
          <w:rFonts w:hint="eastAsia" w:eastAsia="楷体"/>
          <w:color w:val="auto"/>
          <w:sz w:val="28"/>
          <w:szCs w:val="28"/>
          <w:highlight w:val="none"/>
          <w:lang w:val="en-US" w:eastAsia="zh-CN"/>
        </w:rPr>
        <w:t>5.04</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35.14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35.14</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35.14</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时间约32.56h</w:t>
      </w:r>
      <w:r>
        <w:rPr>
          <w:rFonts w:eastAsia="楷体"/>
          <w:color w:val="auto"/>
          <w:sz w:val="28"/>
          <w:szCs w:val="28"/>
          <w:highlight w:val="none"/>
        </w:rPr>
        <w:t>。</w:t>
      </w:r>
    </w:p>
    <w:p w14:paraId="4F01AD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eastAsia="楷体"/>
          <w:color w:val="auto"/>
          <w:sz w:val="28"/>
          <w:szCs w:val="28"/>
          <w:highlight w:val="none"/>
        </w:rPr>
      </w:pPr>
      <w:r>
        <w:rPr>
          <w:rFonts w:eastAsia="楷体"/>
          <w:color w:val="auto"/>
          <w:sz w:val="28"/>
          <w:szCs w:val="28"/>
          <w:highlight w:val="none"/>
        </w:rPr>
        <w:t>4）当遇到台风对我市降雨影响预计达到250mm的强降雨时，单日入库最大洪水总量为</w:t>
      </w:r>
      <w:r>
        <w:rPr>
          <w:rFonts w:hint="eastAsia" w:eastAsia="楷体"/>
          <w:color w:val="auto"/>
          <w:sz w:val="28"/>
          <w:szCs w:val="28"/>
          <w:highlight w:val="none"/>
          <w:lang w:val="en-US" w:eastAsia="zh-CN"/>
        </w:rPr>
        <w:t>6.29</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，如水库水位在死水位</w:t>
      </w:r>
      <w:r>
        <w:rPr>
          <w:rFonts w:hint="eastAsia" w:eastAsia="楷体"/>
          <w:color w:val="auto"/>
          <w:sz w:val="28"/>
          <w:szCs w:val="28"/>
          <w:highlight w:val="none"/>
          <w:lang w:val="en-US" w:eastAsia="zh-CN"/>
        </w:rPr>
        <w:t>34.66</w:t>
      </w:r>
      <w:r>
        <w:rPr>
          <w:rFonts w:eastAsia="楷体"/>
          <w:color w:val="auto"/>
          <w:sz w:val="28"/>
          <w:szCs w:val="28"/>
          <w:highlight w:val="none"/>
        </w:rPr>
        <w:t>m以下，可不考虑水库泄洪；如水库水位在死水位</w:t>
      </w:r>
      <w:r>
        <w:rPr>
          <w:rFonts w:hint="eastAsia" w:eastAsia="楷体"/>
          <w:color w:val="auto"/>
          <w:sz w:val="28"/>
          <w:szCs w:val="28"/>
          <w:highlight w:val="none"/>
          <w:lang w:val="en-US" w:eastAsia="zh-CN"/>
        </w:rPr>
        <w:t>34.66</w:t>
      </w:r>
      <w:r>
        <w:rPr>
          <w:rFonts w:eastAsia="楷体"/>
          <w:color w:val="auto"/>
          <w:sz w:val="28"/>
          <w:szCs w:val="28"/>
          <w:highlight w:val="none"/>
        </w:rPr>
        <w:t>m以上，可在收到泉州市气象部门预警后，先预泄腾空库容迎峰，使水库水位降至死水位</w:t>
      </w:r>
      <w:r>
        <w:rPr>
          <w:rFonts w:hint="eastAsia" w:eastAsia="楷体"/>
          <w:color w:val="auto"/>
          <w:sz w:val="28"/>
          <w:szCs w:val="28"/>
          <w:highlight w:val="none"/>
          <w:lang w:val="en-US" w:eastAsia="zh-CN"/>
        </w:rPr>
        <w:t>34.66</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时间约40.63h</w:t>
      </w:r>
      <w:r>
        <w:rPr>
          <w:rFonts w:eastAsia="楷体"/>
          <w:color w:val="auto"/>
          <w:sz w:val="28"/>
          <w:szCs w:val="28"/>
          <w:highlight w:val="none"/>
        </w:rPr>
        <w:t>。</w:t>
      </w:r>
    </w:p>
    <w:p w14:paraId="389789F5">
      <w:pPr>
        <w:numPr>
          <w:ilvl w:val="0"/>
          <w:numId w:val="6"/>
        </w:numPr>
        <w:spacing w:line="520" w:lineRule="exact"/>
        <w:ind w:left="0" w:leftChars="0" w:firstLine="560" w:firstLineChars="200"/>
        <w:rPr>
          <w:rFonts w:eastAsia="楷体"/>
          <w:color w:val="auto"/>
          <w:sz w:val="28"/>
          <w:szCs w:val="28"/>
          <w:highlight w:val="none"/>
        </w:rPr>
      </w:pPr>
      <w:r>
        <w:rPr>
          <w:rFonts w:eastAsia="楷体"/>
          <w:color w:val="auto"/>
          <w:sz w:val="28"/>
          <w:szCs w:val="28"/>
          <w:highlight w:val="none"/>
        </w:rPr>
        <w:t>5）当遇到台风对我市降雨影响预计达到300mm的强降雨时，单日入库最大洪水总量为</w:t>
      </w:r>
      <w:r>
        <w:rPr>
          <w:rFonts w:hint="eastAsia" w:eastAsia="楷体"/>
          <w:color w:val="auto"/>
          <w:sz w:val="28"/>
          <w:szCs w:val="28"/>
          <w:highlight w:val="none"/>
          <w:lang w:val="en-US" w:eastAsia="zh-CN"/>
        </w:rPr>
        <w:t>7.56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，如水库水位在死水位</w:t>
      </w:r>
      <w:r>
        <w:rPr>
          <w:rFonts w:hint="eastAsia" w:eastAsia="楷体"/>
          <w:color w:val="auto"/>
          <w:sz w:val="28"/>
          <w:szCs w:val="28"/>
          <w:highlight w:val="none"/>
          <w:lang w:val="en-US" w:eastAsia="zh-CN"/>
        </w:rPr>
        <w:t>34.16</w:t>
      </w:r>
      <w:r>
        <w:rPr>
          <w:rFonts w:eastAsia="楷体"/>
          <w:color w:val="auto"/>
          <w:sz w:val="28"/>
          <w:szCs w:val="28"/>
          <w:highlight w:val="none"/>
        </w:rPr>
        <w:t>m以下，可不考虑水库泄洪；如水库水位在死水位</w:t>
      </w:r>
      <w:r>
        <w:rPr>
          <w:rFonts w:hint="eastAsia" w:eastAsia="楷体"/>
          <w:color w:val="auto"/>
          <w:sz w:val="28"/>
          <w:szCs w:val="28"/>
          <w:highlight w:val="none"/>
          <w:lang w:val="en-US" w:eastAsia="zh-CN"/>
        </w:rPr>
        <w:t>34.16</w:t>
      </w:r>
      <w:r>
        <w:rPr>
          <w:rFonts w:eastAsia="楷体"/>
          <w:color w:val="auto"/>
          <w:sz w:val="28"/>
          <w:szCs w:val="28"/>
          <w:highlight w:val="none"/>
        </w:rPr>
        <w:t>m以上，可在收到泉州市气象部门预警后，先预泄腾空库容迎峰，使水库水位降至死水位</w:t>
      </w:r>
      <w:r>
        <w:rPr>
          <w:rFonts w:hint="eastAsia" w:eastAsia="楷体"/>
          <w:color w:val="auto"/>
          <w:sz w:val="28"/>
          <w:szCs w:val="28"/>
          <w:highlight w:val="none"/>
          <w:lang w:val="en-US" w:eastAsia="zh-CN"/>
        </w:rPr>
        <w:t>34.16</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时间约48.83h</w:t>
      </w:r>
      <w:r>
        <w:rPr>
          <w:rFonts w:eastAsia="楷体"/>
          <w:color w:val="auto"/>
          <w:sz w:val="28"/>
          <w:szCs w:val="28"/>
          <w:highlight w:val="none"/>
        </w:rPr>
        <w:t>。</w:t>
      </w:r>
    </w:p>
    <w:p w14:paraId="53878CEE">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4、预警预报制度</w:t>
      </w:r>
    </w:p>
    <w:p w14:paraId="6E364E7B">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由于下游沿岸有一定的居民，</w:t>
      </w:r>
      <w:r>
        <w:rPr>
          <w:rFonts w:hint="eastAsia" w:eastAsia="楷体"/>
          <w:color w:val="auto"/>
          <w:sz w:val="28"/>
          <w:szCs w:val="28"/>
          <w:highlight w:val="none"/>
          <w:lang w:val="en-US" w:eastAsia="zh-CN"/>
        </w:rPr>
        <w:t>考虑到下游古县溪能达到的防洪标准仅为10年一遇，因此，当丰收水库开始溢洪并且水位达到</w:t>
      </w:r>
      <w:r>
        <w:rPr>
          <w:rFonts w:eastAsia="楷体"/>
          <w:color w:val="auto"/>
          <w:sz w:val="28"/>
          <w:szCs w:val="28"/>
          <w:highlight w:val="none"/>
        </w:rPr>
        <w:t>为避免发生意外事件，若</w:t>
      </w:r>
      <w:r>
        <w:rPr>
          <w:rFonts w:hint="eastAsia" w:eastAsia="楷体"/>
          <w:color w:val="auto"/>
          <w:sz w:val="28"/>
          <w:szCs w:val="28"/>
          <w:highlight w:val="none"/>
          <w:lang w:val="en-US" w:eastAsia="zh-CN"/>
        </w:rPr>
        <w:t>下</w:t>
      </w:r>
      <w:r>
        <w:rPr>
          <w:rFonts w:eastAsia="楷体"/>
          <w:color w:val="auto"/>
          <w:sz w:val="28"/>
          <w:szCs w:val="28"/>
          <w:highlight w:val="none"/>
        </w:rPr>
        <w:t>泄流量大于10m</w:t>
      </w:r>
      <w:r>
        <w:rPr>
          <w:rFonts w:eastAsia="楷体"/>
          <w:color w:val="auto"/>
          <w:sz w:val="28"/>
          <w:szCs w:val="28"/>
          <w:highlight w:val="none"/>
          <w:vertAlign w:val="superscript"/>
        </w:rPr>
        <w:t>3</w:t>
      </w:r>
      <w:r>
        <w:rPr>
          <w:rFonts w:eastAsia="楷体"/>
          <w:color w:val="auto"/>
          <w:sz w:val="28"/>
          <w:szCs w:val="28"/>
          <w:highlight w:val="none"/>
        </w:rPr>
        <w:t>/s，要将</w:t>
      </w:r>
      <w:r>
        <w:rPr>
          <w:rFonts w:hint="eastAsia" w:eastAsia="楷体"/>
          <w:color w:val="auto"/>
          <w:sz w:val="28"/>
          <w:szCs w:val="28"/>
          <w:highlight w:val="none"/>
          <w:lang w:val="en-US" w:eastAsia="zh-CN"/>
        </w:rPr>
        <w:t>下泄</w:t>
      </w:r>
      <w:r>
        <w:rPr>
          <w:rFonts w:eastAsia="楷体"/>
          <w:color w:val="auto"/>
          <w:sz w:val="28"/>
          <w:szCs w:val="28"/>
          <w:highlight w:val="none"/>
        </w:rPr>
        <w:t>方案上报</w:t>
      </w:r>
      <w:r>
        <w:rPr>
          <w:rFonts w:hint="eastAsia" w:eastAsia="楷体"/>
          <w:color w:val="auto"/>
          <w:sz w:val="28"/>
          <w:szCs w:val="28"/>
          <w:highlight w:val="none"/>
          <w:lang w:val="en-US" w:eastAsia="zh-CN"/>
        </w:rPr>
        <w:t>泉港区农业农村和水务局</w:t>
      </w:r>
      <w:r>
        <w:rPr>
          <w:rFonts w:hint="eastAsia" w:eastAsia="楷体"/>
          <w:color w:val="auto"/>
          <w:sz w:val="28"/>
          <w:szCs w:val="28"/>
          <w:highlight w:val="none"/>
          <w:lang w:eastAsia="zh-CN"/>
        </w:rPr>
        <w:t>。</w:t>
      </w:r>
    </w:p>
    <w:p w14:paraId="57788C62">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5、丰收水库泄洪对下游河道的防洪调度影响</w:t>
      </w:r>
    </w:p>
    <w:p w14:paraId="3AF2D600">
      <w:pPr>
        <w:spacing w:line="520" w:lineRule="exact"/>
        <w:ind w:firstLine="560" w:firstLineChars="200"/>
        <w:rPr>
          <w:rFonts w:hint="default" w:eastAsia="楷体"/>
          <w:color w:val="auto"/>
          <w:sz w:val="28"/>
          <w:szCs w:val="28"/>
          <w:highlight w:val="none"/>
          <w:lang w:val="en-US" w:eastAsia="zh-CN"/>
        </w:rPr>
      </w:pPr>
      <w:r>
        <w:rPr>
          <w:rFonts w:hint="eastAsia" w:eastAsia="楷体"/>
          <w:color w:val="auto"/>
          <w:sz w:val="28"/>
          <w:highlight w:val="none"/>
          <w:lang w:val="en-US" w:eastAsia="zh-CN"/>
        </w:rPr>
        <w:t>考虑到丰收水库并未承担下游河道的防洪任务，且自身以溢洪道自由溢流的方式泄洪，未挂闸进行调度，因此，</w:t>
      </w:r>
      <w:r>
        <w:rPr>
          <w:rFonts w:eastAsia="楷体"/>
          <w:color w:val="auto"/>
          <w:sz w:val="28"/>
          <w:highlight w:val="none"/>
        </w:rPr>
        <w:t>丰收水库在一定程度上提高了下游</w:t>
      </w:r>
      <w:r>
        <w:rPr>
          <w:rFonts w:hint="eastAsia" w:eastAsia="楷体"/>
          <w:color w:val="auto"/>
          <w:sz w:val="28"/>
          <w:highlight w:val="none"/>
        </w:rPr>
        <w:t>坝头溪支流</w:t>
      </w:r>
      <w:r>
        <w:rPr>
          <w:rFonts w:eastAsia="楷体"/>
          <w:color w:val="auto"/>
          <w:sz w:val="28"/>
          <w:highlight w:val="none"/>
        </w:rPr>
        <w:t>河道的防洪能力，起到了一定的削峰调洪作用</w:t>
      </w:r>
      <w:r>
        <w:rPr>
          <w:rFonts w:hint="eastAsia" w:eastAsia="楷体"/>
          <w:color w:val="auto"/>
          <w:sz w:val="28"/>
          <w:highlight w:val="none"/>
          <w:lang w:eastAsia="zh-CN"/>
        </w:rPr>
        <w:t>，</w:t>
      </w:r>
      <w:r>
        <w:rPr>
          <w:rFonts w:hint="eastAsia" w:eastAsia="楷体"/>
          <w:color w:val="auto"/>
          <w:sz w:val="28"/>
          <w:highlight w:val="none"/>
          <w:lang w:val="en-US" w:eastAsia="zh-CN"/>
        </w:rPr>
        <w:t>且丰收水库在泄洪时不会出现加大下游河道防洪压力的情况。</w:t>
      </w:r>
    </w:p>
    <w:p w14:paraId="3482AD7F">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6、突发事件调度</w:t>
      </w:r>
    </w:p>
    <w:p w14:paraId="6BA905F2">
      <w:pPr>
        <w:spacing w:line="520" w:lineRule="exact"/>
        <w:ind w:firstLine="560" w:firstLineChars="200"/>
        <w:rPr>
          <w:rFonts w:eastAsia="楷体"/>
          <w:color w:val="auto"/>
          <w:sz w:val="28"/>
          <w:szCs w:val="28"/>
          <w:highlight w:val="none"/>
        </w:rPr>
      </w:pPr>
      <w:r>
        <w:rPr>
          <w:rFonts w:eastAsia="楷体"/>
          <w:color w:val="auto"/>
          <w:sz w:val="28"/>
          <w:szCs w:val="28"/>
          <w:highlight w:val="none"/>
        </w:rPr>
        <w:t>一旦突发性事件发生时，立即启动应急预案，服从泉港区人民政府防汛抗旱指挥部调度安排，水库具体应急措施包括：</w:t>
      </w:r>
    </w:p>
    <w:p w14:paraId="1DB7ECE5">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53794C58">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2、提前2个小时通知下游的有关村落及有关单位等，主要是古县村及前黄镇政府。</w:t>
      </w:r>
    </w:p>
    <w:p w14:paraId="00D1B225">
      <w:pPr>
        <w:spacing w:line="520" w:lineRule="exact"/>
        <w:ind w:firstLine="560" w:firstLineChars="200"/>
        <w:rPr>
          <w:rFonts w:eastAsia="楷体"/>
          <w:color w:val="auto"/>
          <w:sz w:val="28"/>
          <w:szCs w:val="28"/>
          <w:highlight w:val="none"/>
        </w:rPr>
      </w:pPr>
      <w:r>
        <w:rPr>
          <w:rFonts w:eastAsia="楷体"/>
          <w:color w:val="auto"/>
          <w:sz w:val="28"/>
          <w:szCs w:val="28"/>
          <w:highlight w:val="none"/>
        </w:rPr>
        <w:t>3、动员邻近乡村的抗洪抢险队伍编好梯队，并调动交通运输工具待命。</w:t>
      </w:r>
    </w:p>
    <w:p w14:paraId="1549DD68">
      <w:pPr>
        <w:spacing w:line="520" w:lineRule="exact"/>
        <w:ind w:firstLine="562" w:firstLineChars="200"/>
        <w:rPr>
          <w:rFonts w:eastAsia="楷体"/>
          <w:bCs/>
          <w:color w:val="auto"/>
          <w:sz w:val="28"/>
          <w:szCs w:val="28"/>
          <w:highlight w:val="none"/>
        </w:rPr>
      </w:pPr>
      <w:r>
        <w:rPr>
          <w:rFonts w:eastAsia="楷体"/>
          <w:b/>
          <w:bCs/>
          <w:color w:val="auto"/>
          <w:sz w:val="28"/>
          <w:szCs w:val="28"/>
          <w:highlight w:val="none"/>
        </w:rPr>
        <w:t>防洪调度注意事项：</w:t>
      </w:r>
      <w:r>
        <w:rPr>
          <w:rFonts w:eastAsia="楷体"/>
          <w:bCs/>
          <w:color w:val="auto"/>
          <w:sz w:val="28"/>
          <w:szCs w:val="28"/>
          <w:highlight w:val="none"/>
        </w:rPr>
        <w:t>丰收水库防洪调度注意事项：一是要严格执行上级防汛部门下达的调指</w:t>
      </w:r>
      <w:r>
        <w:rPr>
          <w:rFonts w:eastAsia="楷体"/>
          <w:color w:val="auto"/>
          <w:sz w:val="28"/>
          <w:szCs w:val="28"/>
          <w:highlight w:val="none"/>
        </w:rPr>
        <w:t>令；二是要</w:t>
      </w:r>
      <w:r>
        <w:rPr>
          <w:rFonts w:eastAsia="楷体"/>
          <w:bCs/>
          <w:color w:val="auto"/>
          <w:sz w:val="28"/>
          <w:szCs w:val="28"/>
          <w:highlight w:val="none"/>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2C9EB4B0">
      <w:pPr>
        <w:pStyle w:val="4"/>
        <w:rPr>
          <w:rFonts w:ascii="Times New Roman" w:hAnsi="Times New Roman" w:eastAsia="楷体"/>
          <w:color w:val="auto"/>
          <w:sz w:val="28"/>
          <w:szCs w:val="28"/>
          <w:highlight w:val="none"/>
        </w:rPr>
      </w:pPr>
      <w:bookmarkStart w:id="26" w:name="_Toc3500"/>
      <w:r>
        <w:rPr>
          <w:rFonts w:ascii="Times New Roman" w:hAnsi="Times New Roman" w:eastAsia="楷体"/>
          <w:color w:val="auto"/>
          <w:sz w:val="28"/>
          <w:szCs w:val="28"/>
          <w:highlight w:val="none"/>
        </w:rPr>
        <w:t>4.5汛期水库的管理工作</w:t>
      </w:r>
      <w:bookmarkEnd w:id="26"/>
    </w:p>
    <w:p w14:paraId="5D134608">
      <w:pPr>
        <w:spacing w:line="520" w:lineRule="exact"/>
        <w:ind w:firstLine="560" w:firstLineChars="200"/>
        <w:rPr>
          <w:rFonts w:hint="eastAsia" w:eastAsia="楷体"/>
          <w:color w:val="auto"/>
          <w:sz w:val="28"/>
          <w:szCs w:val="28"/>
          <w:highlight w:val="none"/>
        </w:rPr>
      </w:pPr>
      <w:r>
        <w:rPr>
          <w:rFonts w:eastAsia="楷体"/>
          <w:color w:val="auto"/>
          <w:sz w:val="28"/>
          <w:szCs w:val="28"/>
          <w:highlight w:val="none"/>
        </w:rPr>
        <w:t>为保障</w:t>
      </w:r>
      <w:r>
        <w:rPr>
          <w:rFonts w:hint="eastAsia" w:eastAsia="楷体"/>
          <w:color w:val="auto"/>
          <w:sz w:val="28"/>
          <w:szCs w:val="28"/>
          <w:highlight w:val="none"/>
          <w:lang w:val="en-US" w:eastAsia="zh-CN"/>
        </w:rPr>
        <w:t>丰收</w:t>
      </w:r>
      <w:r>
        <w:rPr>
          <w:rFonts w:eastAsia="楷体"/>
          <w:color w:val="auto"/>
          <w:sz w:val="28"/>
          <w:szCs w:val="28"/>
          <w:highlight w:val="none"/>
        </w:rPr>
        <w:t>水库20</w:t>
      </w:r>
      <w:r>
        <w:rPr>
          <w:rFonts w:hint="eastAsia" w:eastAsia="楷体"/>
          <w:color w:val="auto"/>
          <w:sz w:val="28"/>
          <w:szCs w:val="28"/>
          <w:highlight w:val="none"/>
          <w:lang w:val="en-US" w:eastAsia="zh-CN"/>
        </w:rPr>
        <w:t>22</w:t>
      </w:r>
      <w:r>
        <w:rPr>
          <w:rFonts w:eastAsia="楷体"/>
          <w:color w:val="auto"/>
          <w:sz w:val="28"/>
          <w:szCs w:val="28"/>
          <w:highlight w:val="none"/>
        </w:rPr>
        <w:t>年防汛工作的顺利进行，成立</w:t>
      </w:r>
      <w:r>
        <w:rPr>
          <w:rFonts w:hint="eastAsia" w:eastAsia="楷体"/>
          <w:color w:val="auto"/>
          <w:sz w:val="28"/>
          <w:szCs w:val="28"/>
          <w:highlight w:val="none"/>
          <w:lang w:val="en-US" w:eastAsia="zh-CN"/>
        </w:rPr>
        <w:t>丰收</w:t>
      </w:r>
      <w:r>
        <w:rPr>
          <w:rFonts w:eastAsia="楷体"/>
          <w:color w:val="auto"/>
          <w:sz w:val="28"/>
          <w:szCs w:val="28"/>
          <w:highlight w:val="none"/>
        </w:rPr>
        <w:t>水库大坝安全应急指挥部，</w:t>
      </w:r>
      <w:r>
        <w:rPr>
          <w:rFonts w:hint="eastAsia" w:eastAsia="楷体"/>
          <w:color w:val="auto"/>
          <w:sz w:val="28"/>
          <w:szCs w:val="28"/>
          <w:highlight w:val="none"/>
        </w:rPr>
        <w:t>明确水库防汛领导小组组长、副组长及成员单位负责人，明确实施《应急预案》的职责分工和工作方式。</w:t>
      </w:r>
    </w:p>
    <w:p w14:paraId="36755505">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楷体" w:cs="Times New Roman"/>
          <w:b/>
          <w:bCs/>
          <w:color w:val="auto"/>
          <w:kern w:val="0"/>
          <w:sz w:val="28"/>
          <w:szCs w:val="28"/>
          <w:highlight w:val="none"/>
          <w:lang w:val="en-US" w:eastAsia="zh-CN"/>
        </w:rPr>
      </w:pPr>
      <w:r>
        <w:rPr>
          <w:rFonts w:hint="default" w:ascii="Times New Roman" w:hAnsi="Times New Roman" w:eastAsia="楷体" w:cs="Times New Roman"/>
          <w:b/>
          <w:bCs/>
          <w:color w:val="auto"/>
          <w:kern w:val="0"/>
          <w:sz w:val="28"/>
          <w:szCs w:val="28"/>
          <w:highlight w:val="none"/>
        </w:rPr>
        <w:t>表</w:t>
      </w:r>
      <w:r>
        <w:rPr>
          <w:rFonts w:hint="eastAsia" w:ascii="Times New Roman" w:hAnsi="Times New Roman" w:eastAsia="楷体" w:cs="Times New Roman"/>
          <w:b/>
          <w:bCs/>
          <w:color w:val="auto"/>
          <w:kern w:val="0"/>
          <w:sz w:val="28"/>
          <w:szCs w:val="28"/>
          <w:highlight w:val="none"/>
          <w:lang w:val="en-US" w:eastAsia="zh-CN"/>
        </w:rPr>
        <w:t>4-1</w:t>
      </w:r>
      <w:r>
        <w:rPr>
          <w:rFonts w:hint="default" w:ascii="Times New Roman" w:hAnsi="Times New Roman" w:eastAsia="楷体" w:cs="Times New Roman"/>
          <w:b/>
          <w:bCs/>
          <w:color w:val="auto"/>
          <w:kern w:val="0"/>
          <w:sz w:val="28"/>
          <w:szCs w:val="28"/>
          <w:highlight w:val="none"/>
          <w:lang w:val="en-US" w:eastAsia="zh-CN"/>
        </w:rPr>
        <w:t xml:space="preserve">      </w:t>
      </w:r>
      <w:r>
        <w:rPr>
          <w:rFonts w:hint="eastAsia" w:ascii="Times New Roman" w:hAnsi="Times New Roman" w:eastAsia="楷体" w:cs="Times New Roman"/>
          <w:b/>
          <w:bCs/>
          <w:color w:val="auto"/>
          <w:kern w:val="0"/>
          <w:sz w:val="28"/>
          <w:szCs w:val="28"/>
          <w:highlight w:val="none"/>
          <w:lang w:val="en-US" w:eastAsia="zh-CN"/>
        </w:rPr>
        <w:t xml:space="preserve">   防汛领导小组有关单位及责任人名单</w:t>
      </w:r>
    </w:p>
    <w:tbl>
      <w:tblPr>
        <w:tblStyle w:val="18"/>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290"/>
        <w:gridCol w:w="1500"/>
        <w:gridCol w:w="3238"/>
        <w:gridCol w:w="1705"/>
      </w:tblGrid>
      <w:tr w14:paraId="7469B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89" w:type="dxa"/>
            <w:noWrap w:val="0"/>
            <w:vAlign w:val="center"/>
          </w:tcPr>
          <w:p w14:paraId="5282FB8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290" w:type="dxa"/>
            <w:noWrap w:val="0"/>
            <w:vAlign w:val="center"/>
          </w:tcPr>
          <w:p w14:paraId="1D35591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1500" w:type="dxa"/>
            <w:noWrap w:val="0"/>
            <w:vAlign w:val="center"/>
          </w:tcPr>
          <w:p w14:paraId="07B25EB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3238" w:type="dxa"/>
            <w:noWrap w:val="0"/>
            <w:vAlign w:val="center"/>
          </w:tcPr>
          <w:p w14:paraId="3B6A503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705" w:type="dxa"/>
            <w:noWrap w:val="0"/>
            <w:vAlign w:val="center"/>
          </w:tcPr>
          <w:p w14:paraId="46B9F3F6">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67439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center"/>
          </w:tcPr>
          <w:p w14:paraId="2FB74D62">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290" w:type="dxa"/>
            <w:noWrap w:val="0"/>
            <w:vAlign w:val="center"/>
          </w:tcPr>
          <w:p w14:paraId="33BEC7D5">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500" w:type="dxa"/>
            <w:noWrap w:val="0"/>
            <w:vAlign w:val="center"/>
          </w:tcPr>
          <w:p w14:paraId="3204A1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国</w:t>
            </w:r>
          </w:p>
        </w:tc>
        <w:tc>
          <w:tcPr>
            <w:tcW w:w="3238" w:type="dxa"/>
            <w:noWrap w:val="0"/>
            <w:vAlign w:val="center"/>
          </w:tcPr>
          <w:p w14:paraId="718A4E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镇党委副书记、政法委员</w:t>
            </w:r>
          </w:p>
        </w:tc>
        <w:tc>
          <w:tcPr>
            <w:tcW w:w="1705" w:type="dxa"/>
            <w:noWrap w:val="0"/>
            <w:vAlign w:val="center"/>
          </w:tcPr>
          <w:p w14:paraId="4912070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13804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center"/>
          </w:tcPr>
          <w:p w14:paraId="2089B3D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290" w:type="dxa"/>
            <w:noWrap w:val="0"/>
            <w:vAlign w:val="center"/>
          </w:tcPr>
          <w:p w14:paraId="3F8D121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500" w:type="dxa"/>
            <w:noWrap w:val="0"/>
            <w:vAlign w:val="center"/>
          </w:tcPr>
          <w:p w14:paraId="6CA612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楷体" w:cs="Times New Roman"/>
                <w:color w:val="auto"/>
                <w:kern w:val="2"/>
                <w:sz w:val="24"/>
                <w:szCs w:val="24"/>
                <w:highlight w:val="none"/>
                <w:lang w:val="en-US" w:eastAsia="zh-CN" w:bidi="ar-SA"/>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3238" w:type="dxa"/>
            <w:noWrap w:val="0"/>
            <w:vAlign w:val="center"/>
          </w:tcPr>
          <w:p w14:paraId="6F446B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kern w:val="2"/>
                <w:sz w:val="24"/>
                <w:szCs w:val="24"/>
                <w:highlight w:val="none"/>
                <w:lang w:val="en-US" w:eastAsia="zh-CN" w:bidi="ar-SA"/>
              </w:rPr>
            </w:pPr>
            <w:r>
              <w:rPr>
                <w:rFonts w:hint="eastAsia" w:eastAsia="楷体" w:cs="Times New Roman"/>
                <w:i w:val="0"/>
                <w:color w:val="auto"/>
                <w:kern w:val="0"/>
                <w:sz w:val="24"/>
                <w:szCs w:val="24"/>
                <w:highlight w:val="none"/>
                <w:u w:val="none"/>
                <w:lang w:val="en-US" w:eastAsia="zh-CN" w:bidi="ar"/>
              </w:rPr>
              <w:t>镇党委委员、人武部部长、副镇长</w:t>
            </w:r>
          </w:p>
        </w:tc>
        <w:tc>
          <w:tcPr>
            <w:tcW w:w="1705" w:type="dxa"/>
            <w:noWrap w:val="0"/>
            <w:vAlign w:val="center"/>
          </w:tcPr>
          <w:p w14:paraId="00A7792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kern w:val="2"/>
                <w:sz w:val="24"/>
                <w:szCs w:val="24"/>
                <w:highlight w:val="none"/>
                <w:lang w:val="en-US" w:eastAsia="zh-CN" w:bidi="ar-SA"/>
              </w:rPr>
            </w:pPr>
            <w:r>
              <w:rPr>
                <w:rFonts w:hint="default" w:ascii="Times New Roman" w:hAnsi="Times New Roman" w:eastAsia="楷体" w:cs="Times New Roman"/>
                <w:color w:val="auto"/>
                <w:sz w:val="24"/>
                <w:szCs w:val="24"/>
                <w:highlight w:val="none"/>
                <w:lang w:val="en-US" w:eastAsia="zh-CN"/>
              </w:rPr>
              <w:t>13505050384</w:t>
            </w:r>
          </w:p>
        </w:tc>
      </w:tr>
      <w:tr w14:paraId="4C315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center"/>
          </w:tcPr>
          <w:p w14:paraId="5356E336">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290" w:type="dxa"/>
            <w:noWrap w:val="0"/>
            <w:vAlign w:val="center"/>
          </w:tcPr>
          <w:p w14:paraId="29087A49">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500" w:type="dxa"/>
            <w:noWrap w:val="0"/>
            <w:vAlign w:val="center"/>
          </w:tcPr>
          <w:p w14:paraId="67A4D2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kern w:val="2"/>
                <w:sz w:val="24"/>
                <w:szCs w:val="24"/>
                <w:highlight w:val="none"/>
                <w:lang w:val="en-US" w:eastAsia="zh-CN" w:bidi="ar-SA"/>
              </w:rPr>
            </w:pPr>
            <w:r>
              <w:rPr>
                <w:rFonts w:hint="eastAsia" w:eastAsia="楷体" w:cs="Times New Roman"/>
                <w:i w:val="0"/>
                <w:color w:val="auto"/>
                <w:kern w:val="0"/>
                <w:sz w:val="24"/>
                <w:szCs w:val="24"/>
                <w:highlight w:val="none"/>
                <w:u w:val="none"/>
                <w:lang w:val="en-US" w:eastAsia="zh-CN" w:bidi="ar"/>
              </w:rPr>
              <w:t>高*坤</w:t>
            </w:r>
          </w:p>
        </w:tc>
        <w:tc>
          <w:tcPr>
            <w:tcW w:w="3238" w:type="dxa"/>
            <w:noWrap w:val="0"/>
            <w:vAlign w:val="center"/>
          </w:tcPr>
          <w:p w14:paraId="7A5213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kern w:val="0"/>
                <w:sz w:val="24"/>
                <w:szCs w:val="24"/>
                <w:highlight w:val="none"/>
                <w:u w:val="none"/>
                <w:lang w:val="en-US" w:eastAsia="zh-CN" w:bidi="ar"/>
              </w:rPr>
            </w:pPr>
            <w:r>
              <w:rPr>
                <w:rFonts w:hint="default" w:ascii="Times New Roman" w:hAnsi="Times New Roman" w:eastAsia="楷体" w:cs="Times New Roman"/>
                <w:i w:val="0"/>
                <w:color w:val="auto"/>
                <w:kern w:val="0"/>
                <w:sz w:val="24"/>
                <w:szCs w:val="24"/>
                <w:highlight w:val="none"/>
                <w:u w:val="none"/>
                <w:lang w:val="en-US" w:eastAsia="zh-CN" w:bidi="ar"/>
              </w:rPr>
              <w:t>镇党委委员、秘书</w:t>
            </w:r>
          </w:p>
        </w:tc>
        <w:tc>
          <w:tcPr>
            <w:tcW w:w="1705" w:type="dxa"/>
            <w:noWrap w:val="0"/>
            <w:vAlign w:val="center"/>
          </w:tcPr>
          <w:p w14:paraId="495C847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kern w:val="2"/>
                <w:sz w:val="24"/>
                <w:szCs w:val="24"/>
                <w:highlight w:val="none"/>
                <w:lang w:val="en-US" w:eastAsia="zh-CN" w:bidi="ar-SA"/>
              </w:rPr>
            </w:pPr>
            <w:r>
              <w:rPr>
                <w:rFonts w:hint="default" w:ascii="Times New Roman" w:hAnsi="Times New Roman" w:eastAsia="楷体" w:cs="Times New Roman"/>
                <w:color w:val="auto"/>
                <w:sz w:val="24"/>
                <w:szCs w:val="24"/>
                <w:highlight w:val="none"/>
                <w:lang w:val="en-US" w:eastAsia="zh-CN"/>
              </w:rPr>
              <w:t>15880798572</w:t>
            </w:r>
          </w:p>
        </w:tc>
      </w:tr>
      <w:tr w14:paraId="15030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center"/>
          </w:tcPr>
          <w:p w14:paraId="586A9D8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4</w:t>
            </w:r>
          </w:p>
        </w:tc>
        <w:tc>
          <w:tcPr>
            <w:tcW w:w="1290" w:type="dxa"/>
            <w:noWrap w:val="0"/>
            <w:vAlign w:val="center"/>
          </w:tcPr>
          <w:p w14:paraId="4138138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500" w:type="dxa"/>
            <w:noWrap w:val="0"/>
            <w:vAlign w:val="center"/>
          </w:tcPr>
          <w:p w14:paraId="712A48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3238" w:type="dxa"/>
            <w:noWrap w:val="0"/>
            <w:vAlign w:val="center"/>
          </w:tcPr>
          <w:p w14:paraId="30CFB0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eastAsia="楷体" w:cs="Times New Roman"/>
                <w:i w:val="0"/>
                <w:color w:val="auto"/>
                <w:kern w:val="0"/>
                <w:sz w:val="24"/>
                <w:szCs w:val="24"/>
                <w:highlight w:val="none"/>
                <w:u w:val="none"/>
                <w:lang w:val="en-US" w:eastAsia="zh-CN" w:bidi="ar"/>
              </w:rPr>
            </w:pPr>
            <w:r>
              <w:rPr>
                <w:rFonts w:hint="eastAsia" w:eastAsia="楷体" w:cs="Times New Roman"/>
                <w:i w:val="0"/>
                <w:color w:val="auto"/>
                <w:kern w:val="0"/>
                <w:sz w:val="24"/>
                <w:szCs w:val="24"/>
                <w:highlight w:val="none"/>
                <w:u w:val="none"/>
                <w:lang w:val="en-US" w:eastAsia="zh-CN" w:bidi="ar"/>
              </w:rPr>
              <w:t>镇副镇长</w:t>
            </w:r>
          </w:p>
        </w:tc>
        <w:tc>
          <w:tcPr>
            <w:tcW w:w="1705" w:type="dxa"/>
            <w:noWrap w:val="0"/>
            <w:vAlign w:val="center"/>
          </w:tcPr>
          <w:p w14:paraId="51E668EE">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5EC12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center"/>
          </w:tcPr>
          <w:p w14:paraId="5F19D33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5</w:t>
            </w:r>
          </w:p>
        </w:tc>
        <w:tc>
          <w:tcPr>
            <w:tcW w:w="1290" w:type="dxa"/>
            <w:noWrap w:val="0"/>
            <w:vAlign w:val="center"/>
          </w:tcPr>
          <w:p w14:paraId="51E1ABA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500" w:type="dxa"/>
            <w:noWrap w:val="0"/>
            <w:vAlign w:val="center"/>
          </w:tcPr>
          <w:p w14:paraId="6D9E23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3238" w:type="dxa"/>
            <w:noWrap w:val="0"/>
            <w:vAlign w:val="center"/>
          </w:tcPr>
          <w:p w14:paraId="49A9DD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eastAsia="楷体" w:cs="Times New Roman"/>
                <w:i w:val="0"/>
                <w:color w:val="auto"/>
                <w:kern w:val="0"/>
                <w:sz w:val="24"/>
                <w:szCs w:val="24"/>
                <w:highlight w:val="none"/>
                <w:u w:val="none"/>
                <w:lang w:val="en-US" w:eastAsia="zh-CN" w:bidi="ar"/>
              </w:rPr>
            </w:pPr>
            <w:r>
              <w:rPr>
                <w:rFonts w:hint="eastAsia" w:eastAsia="楷体" w:cs="Times New Roman"/>
                <w:i w:val="0"/>
                <w:color w:val="auto"/>
                <w:kern w:val="0"/>
                <w:sz w:val="24"/>
                <w:szCs w:val="24"/>
                <w:highlight w:val="none"/>
                <w:u w:val="none"/>
                <w:lang w:val="en-US" w:eastAsia="zh-CN" w:bidi="ar"/>
              </w:rPr>
              <w:t>前黄镇社会服务中心主任</w:t>
            </w:r>
          </w:p>
        </w:tc>
        <w:tc>
          <w:tcPr>
            <w:tcW w:w="1705" w:type="dxa"/>
            <w:noWrap w:val="0"/>
            <w:vAlign w:val="center"/>
          </w:tcPr>
          <w:p w14:paraId="6E98C5F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1A72EE84">
      <w:pPr>
        <w:spacing w:line="520" w:lineRule="exact"/>
        <w:ind w:firstLine="560" w:firstLineChars="200"/>
        <w:rPr>
          <w:rFonts w:eastAsia="楷体"/>
          <w:color w:val="auto"/>
          <w:sz w:val="28"/>
          <w:szCs w:val="28"/>
          <w:highlight w:val="none"/>
        </w:rPr>
      </w:pPr>
      <w:r>
        <w:rPr>
          <w:rFonts w:eastAsia="楷体"/>
          <w:color w:val="auto"/>
          <w:sz w:val="28"/>
          <w:szCs w:val="28"/>
          <w:highlight w:val="none"/>
        </w:rPr>
        <w:t>水库管理单位要主动与各相关单位加强联系，确保各部门通力协作；完善防汛值班人员岗位责任制和信息反馈制度。同时，水库各职能部门要以防汛工作为重点，做到目标明确，任务落实，责任到人。</w:t>
      </w:r>
    </w:p>
    <w:p w14:paraId="458AF2F6">
      <w:pPr>
        <w:spacing w:line="520" w:lineRule="exact"/>
        <w:ind w:firstLine="560" w:firstLineChars="200"/>
        <w:rPr>
          <w:rFonts w:eastAsia="楷体"/>
          <w:bCs/>
          <w:color w:val="auto"/>
          <w:sz w:val="28"/>
          <w:szCs w:val="28"/>
          <w:highlight w:val="none"/>
        </w:rPr>
      </w:pPr>
      <w:r>
        <w:rPr>
          <w:rFonts w:eastAsia="楷体"/>
          <w:bCs/>
          <w:color w:val="auto"/>
          <w:sz w:val="28"/>
          <w:szCs w:val="28"/>
          <w:highlight w:val="none"/>
        </w:rPr>
        <w:t>要制定汛期值班和工程的巡查制度，关注气象预报，掌握雨情、水情变化情况，认真执行本防洪调度方案措施。</w:t>
      </w:r>
    </w:p>
    <w:p w14:paraId="1B699EC5">
      <w:pPr>
        <w:spacing w:line="520" w:lineRule="exact"/>
        <w:ind w:firstLine="560" w:firstLineChars="200"/>
        <w:rPr>
          <w:rFonts w:eastAsia="楷体"/>
          <w:bCs/>
          <w:color w:val="auto"/>
          <w:sz w:val="28"/>
          <w:szCs w:val="28"/>
          <w:highlight w:val="none"/>
        </w:rPr>
      </w:pPr>
    </w:p>
    <w:p w14:paraId="2C745F78">
      <w:pPr>
        <w:pStyle w:val="2"/>
        <w:rPr>
          <w:rFonts w:eastAsia="楷体"/>
          <w:bCs/>
          <w:color w:val="auto"/>
          <w:sz w:val="28"/>
          <w:szCs w:val="28"/>
          <w:highlight w:val="none"/>
        </w:rPr>
      </w:pPr>
    </w:p>
    <w:p w14:paraId="6ED94895">
      <w:pPr>
        <w:rPr>
          <w:rFonts w:eastAsia="楷体"/>
          <w:bCs/>
          <w:color w:val="auto"/>
          <w:sz w:val="28"/>
          <w:szCs w:val="28"/>
          <w:highlight w:val="none"/>
        </w:rPr>
      </w:pPr>
    </w:p>
    <w:p w14:paraId="7674EE8C">
      <w:pPr>
        <w:pStyle w:val="2"/>
        <w:rPr>
          <w:rFonts w:eastAsia="楷体"/>
          <w:bCs/>
          <w:color w:val="auto"/>
          <w:sz w:val="28"/>
          <w:szCs w:val="28"/>
          <w:highlight w:val="none"/>
        </w:rPr>
      </w:pPr>
    </w:p>
    <w:p w14:paraId="0FAECD1F">
      <w:pPr>
        <w:rPr>
          <w:rFonts w:eastAsia="楷体"/>
          <w:bCs/>
          <w:color w:val="auto"/>
          <w:sz w:val="28"/>
          <w:szCs w:val="28"/>
          <w:highlight w:val="none"/>
        </w:rPr>
      </w:pPr>
    </w:p>
    <w:p w14:paraId="4F484F95">
      <w:pPr>
        <w:pStyle w:val="2"/>
        <w:rPr>
          <w:rFonts w:eastAsia="楷体"/>
          <w:bCs/>
          <w:color w:val="auto"/>
          <w:sz w:val="28"/>
          <w:szCs w:val="28"/>
          <w:highlight w:val="none"/>
        </w:rPr>
      </w:pPr>
    </w:p>
    <w:p w14:paraId="4FD39553">
      <w:pPr>
        <w:rPr>
          <w:rFonts w:eastAsia="楷体"/>
          <w:bCs/>
          <w:color w:val="auto"/>
          <w:sz w:val="28"/>
          <w:szCs w:val="28"/>
          <w:highlight w:val="none"/>
        </w:rPr>
      </w:pPr>
    </w:p>
    <w:p w14:paraId="0DA7322E">
      <w:pPr>
        <w:pStyle w:val="2"/>
        <w:rPr>
          <w:rFonts w:eastAsia="楷体"/>
          <w:bCs/>
          <w:color w:val="auto"/>
          <w:sz w:val="28"/>
          <w:szCs w:val="28"/>
          <w:highlight w:val="none"/>
        </w:rPr>
      </w:pPr>
    </w:p>
    <w:p w14:paraId="327EC825">
      <w:pPr>
        <w:rPr>
          <w:rFonts w:eastAsia="楷体"/>
          <w:bCs/>
          <w:color w:val="auto"/>
          <w:sz w:val="28"/>
          <w:szCs w:val="28"/>
          <w:highlight w:val="none"/>
        </w:rPr>
      </w:pPr>
    </w:p>
    <w:p w14:paraId="3D9572A5">
      <w:pPr>
        <w:pStyle w:val="2"/>
        <w:rPr>
          <w:rFonts w:eastAsia="楷体"/>
          <w:bCs/>
          <w:color w:val="auto"/>
          <w:sz w:val="28"/>
          <w:szCs w:val="28"/>
          <w:highlight w:val="none"/>
        </w:rPr>
      </w:pPr>
    </w:p>
    <w:p w14:paraId="39F195E3">
      <w:pPr>
        <w:rPr>
          <w:rFonts w:eastAsia="楷体"/>
          <w:bCs/>
          <w:color w:val="auto"/>
          <w:sz w:val="28"/>
          <w:szCs w:val="28"/>
          <w:highlight w:val="none"/>
        </w:rPr>
      </w:pPr>
    </w:p>
    <w:p w14:paraId="73DF2C70">
      <w:pPr>
        <w:pStyle w:val="2"/>
        <w:rPr>
          <w:rFonts w:eastAsia="楷体"/>
          <w:bCs/>
          <w:color w:val="auto"/>
          <w:sz w:val="28"/>
          <w:szCs w:val="28"/>
          <w:highlight w:val="none"/>
        </w:rPr>
      </w:pPr>
    </w:p>
    <w:p w14:paraId="0C54ABE5">
      <w:pPr>
        <w:rPr>
          <w:rFonts w:eastAsia="楷体"/>
          <w:bCs/>
          <w:color w:val="auto"/>
          <w:sz w:val="28"/>
          <w:szCs w:val="28"/>
          <w:highlight w:val="none"/>
        </w:rPr>
      </w:pPr>
    </w:p>
    <w:p w14:paraId="0921E3FC">
      <w:pPr>
        <w:pStyle w:val="2"/>
        <w:rPr>
          <w:rFonts w:eastAsia="楷体"/>
          <w:bCs/>
          <w:color w:val="auto"/>
          <w:sz w:val="28"/>
          <w:szCs w:val="28"/>
          <w:highlight w:val="none"/>
        </w:rPr>
      </w:pPr>
    </w:p>
    <w:p w14:paraId="01F08FA2">
      <w:pPr>
        <w:rPr>
          <w:rFonts w:eastAsia="楷体"/>
          <w:bCs/>
          <w:color w:val="auto"/>
          <w:sz w:val="28"/>
          <w:szCs w:val="28"/>
          <w:highlight w:val="none"/>
        </w:rPr>
      </w:pPr>
    </w:p>
    <w:p w14:paraId="77C2CFE8">
      <w:pPr>
        <w:pStyle w:val="2"/>
        <w:rPr>
          <w:rFonts w:eastAsia="楷体"/>
          <w:bCs/>
          <w:color w:val="auto"/>
          <w:sz w:val="28"/>
          <w:szCs w:val="28"/>
          <w:highlight w:val="none"/>
        </w:rPr>
      </w:pPr>
    </w:p>
    <w:p w14:paraId="7E79874A">
      <w:pPr>
        <w:rPr>
          <w:rFonts w:eastAsia="楷体"/>
          <w:bCs/>
          <w:color w:val="auto"/>
          <w:sz w:val="28"/>
          <w:szCs w:val="28"/>
          <w:highlight w:val="none"/>
        </w:rPr>
      </w:pPr>
    </w:p>
    <w:p w14:paraId="6AFC182A">
      <w:pPr>
        <w:pStyle w:val="2"/>
        <w:rPr>
          <w:rFonts w:eastAsia="楷体"/>
          <w:bCs/>
          <w:color w:val="auto"/>
          <w:sz w:val="28"/>
          <w:szCs w:val="28"/>
          <w:highlight w:val="none"/>
        </w:rPr>
      </w:pPr>
    </w:p>
    <w:p w14:paraId="6E3024ED">
      <w:pPr>
        <w:autoSpaceDE w:val="0"/>
        <w:autoSpaceDN w:val="0"/>
        <w:adjustRightInd w:val="0"/>
        <w:ind w:firstLine="964"/>
        <w:jc w:val="center"/>
        <w:rPr>
          <w:rFonts w:hint="default" w:ascii="Times New Roman" w:hAnsi="Times New Roman" w:eastAsia="楷体" w:cs="Times New Roman"/>
          <w:b/>
          <w:bCs/>
          <w:color w:val="auto"/>
          <w:sz w:val="48"/>
          <w:szCs w:val="52"/>
          <w:highlight w:val="none"/>
          <w:lang w:val="zh-CN"/>
          <w14:shadow w14:blurRad="50800" w14:dist="38100" w14:dir="2700000" w14:sx="100000" w14:sy="100000" w14:kx="0" w14:ky="0" w14:algn="tl">
            <w14:srgbClr w14:val="000000">
              <w14:alpha w14:val="60000"/>
            </w14:srgbClr>
          </w14:shadow>
        </w:rPr>
      </w:pPr>
    </w:p>
    <w:p w14:paraId="32CE9A8F">
      <w:pPr>
        <w:autoSpaceDE w:val="0"/>
        <w:autoSpaceDN w:val="0"/>
        <w:adjustRightInd w:val="0"/>
        <w:ind w:firstLine="964"/>
        <w:jc w:val="center"/>
        <w:rPr>
          <w:rFonts w:hint="default" w:ascii="Times New Roman" w:hAnsi="Times New Roman" w:eastAsia="楷体" w:cs="Times New Roman"/>
          <w:b/>
          <w:bCs/>
          <w:color w:val="auto"/>
          <w:sz w:val="48"/>
          <w:szCs w:val="52"/>
          <w:highlight w:val="none"/>
          <w:lang w:val="zh-CN"/>
          <w14:shadow w14:blurRad="50800" w14:dist="38100" w14:dir="2700000" w14:sx="100000" w14:sy="100000" w14:kx="0" w14:ky="0" w14:algn="tl">
            <w14:srgbClr w14:val="000000">
              <w14:alpha w14:val="60000"/>
            </w14:srgbClr>
          </w14:shadow>
        </w:rPr>
      </w:pPr>
    </w:p>
    <w:p w14:paraId="041128CB">
      <w:pPr>
        <w:spacing w:line="360" w:lineRule="auto"/>
        <w:jc w:val="center"/>
        <w:rPr>
          <w:rFonts w:hint="default" w:ascii="Times New Roman" w:hAnsi="Times New Roman" w:eastAsia="楷体" w:cs="Times New Roman"/>
          <w:b/>
          <w:color w:val="auto"/>
          <w:kern w:val="0"/>
          <w:sz w:val="52"/>
          <w:szCs w:val="52"/>
          <w:highlight w:val="none"/>
        </w:rPr>
      </w:pPr>
      <w:r>
        <w:rPr>
          <w:rFonts w:hint="eastAsia" w:ascii="Times New Roman" w:hAnsi="Times New Roman" w:eastAsia="楷体" w:cs="Times New Roman"/>
          <w:b/>
          <w:color w:val="auto"/>
          <w:kern w:val="0"/>
          <w:sz w:val="52"/>
          <w:szCs w:val="52"/>
          <w:highlight w:val="none"/>
          <w:lang w:eastAsia="zh-CN"/>
        </w:rPr>
        <w:t>前黄镇</w:t>
      </w:r>
      <w:r>
        <w:rPr>
          <w:rFonts w:hint="default" w:ascii="Times New Roman" w:hAnsi="Times New Roman" w:eastAsia="楷体" w:cs="Times New Roman"/>
          <w:b/>
          <w:color w:val="auto"/>
          <w:kern w:val="0"/>
          <w:sz w:val="52"/>
          <w:szCs w:val="52"/>
          <w:highlight w:val="none"/>
        </w:rPr>
        <w:t>丰收水库防洪抢险应急预案</w:t>
      </w:r>
    </w:p>
    <w:p w14:paraId="7E8CDE88">
      <w:pPr>
        <w:spacing w:line="360" w:lineRule="auto"/>
        <w:ind w:firstLine="880"/>
        <w:jc w:val="center"/>
        <w:rPr>
          <w:rFonts w:hint="default" w:ascii="Times New Roman" w:hAnsi="Times New Roman" w:eastAsia="楷体" w:cs="Times New Roman"/>
          <w:b/>
          <w:color w:val="auto"/>
          <w:kern w:val="0"/>
          <w:sz w:val="44"/>
          <w:szCs w:val="44"/>
          <w:highlight w:val="none"/>
        </w:rPr>
      </w:pPr>
    </w:p>
    <w:p w14:paraId="04350F80">
      <w:pPr>
        <w:spacing w:line="360" w:lineRule="auto"/>
        <w:ind w:firstLine="1040"/>
        <w:jc w:val="center"/>
        <w:rPr>
          <w:rFonts w:hint="default" w:ascii="Times New Roman" w:hAnsi="Times New Roman" w:eastAsia="楷体" w:cs="Times New Roman"/>
          <w:b/>
          <w:color w:val="auto"/>
          <w:kern w:val="0"/>
          <w:sz w:val="52"/>
          <w:szCs w:val="52"/>
          <w:highlight w:val="none"/>
        </w:rPr>
      </w:pPr>
    </w:p>
    <w:p w14:paraId="34E4EFFA">
      <w:pPr>
        <w:spacing w:line="360" w:lineRule="auto"/>
        <w:ind w:firstLine="1040"/>
        <w:jc w:val="center"/>
        <w:rPr>
          <w:rFonts w:hint="default" w:ascii="Times New Roman" w:hAnsi="Times New Roman" w:eastAsia="楷体" w:cs="Times New Roman"/>
          <w:b/>
          <w:color w:val="auto"/>
          <w:kern w:val="0"/>
          <w:sz w:val="52"/>
          <w:szCs w:val="52"/>
          <w:highlight w:val="none"/>
        </w:rPr>
      </w:pPr>
    </w:p>
    <w:p w14:paraId="028CD37C">
      <w:pPr>
        <w:spacing w:line="360" w:lineRule="auto"/>
        <w:ind w:firstLine="1040"/>
        <w:jc w:val="center"/>
        <w:rPr>
          <w:rFonts w:hint="default" w:ascii="Times New Roman" w:hAnsi="Times New Roman" w:eastAsia="楷体" w:cs="Times New Roman"/>
          <w:b/>
          <w:color w:val="auto"/>
          <w:kern w:val="0"/>
          <w:sz w:val="52"/>
          <w:szCs w:val="52"/>
          <w:highlight w:val="none"/>
        </w:rPr>
      </w:pPr>
    </w:p>
    <w:p w14:paraId="70011940">
      <w:pPr>
        <w:spacing w:line="360" w:lineRule="auto"/>
        <w:ind w:firstLine="1040"/>
        <w:jc w:val="center"/>
        <w:rPr>
          <w:rFonts w:hint="default" w:ascii="Times New Roman" w:hAnsi="Times New Roman" w:eastAsia="楷体" w:cs="Times New Roman"/>
          <w:b/>
          <w:color w:val="auto"/>
          <w:kern w:val="0"/>
          <w:sz w:val="52"/>
          <w:szCs w:val="52"/>
          <w:highlight w:val="none"/>
        </w:rPr>
      </w:pPr>
    </w:p>
    <w:p w14:paraId="2A335C15">
      <w:pPr>
        <w:spacing w:line="360" w:lineRule="auto"/>
        <w:ind w:firstLine="1040"/>
        <w:jc w:val="center"/>
        <w:rPr>
          <w:rFonts w:hint="default" w:ascii="Times New Roman" w:hAnsi="Times New Roman" w:eastAsia="楷体" w:cs="Times New Roman"/>
          <w:b/>
          <w:color w:val="auto"/>
          <w:kern w:val="0"/>
          <w:sz w:val="52"/>
          <w:szCs w:val="52"/>
          <w:highlight w:val="none"/>
        </w:rPr>
      </w:pPr>
    </w:p>
    <w:p w14:paraId="2CBF8736">
      <w:pPr>
        <w:spacing w:line="360" w:lineRule="auto"/>
        <w:ind w:firstLine="1040"/>
        <w:jc w:val="center"/>
        <w:rPr>
          <w:rFonts w:hint="default" w:ascii="Times New Roman" w:hAnsi="Times New Roman" w:eastAsia="楷体" w:cs="Times New Roman"/>
          <w:b/>
          <w:color w:val="auto"/>
          <w:kern w:val="0"/>
          <w:sz w:val="52"/>
          <w:szCs w:val="52"/>
          <w:highlight w:val="none"/>
        </w:rPr>
      </w:pPr>
    </w:p>
    <w:p w14:paraId="4DF2FC2A">
      <w:pPr>
        <w:spacing w:line="360" w:lineRule="auto"/>
        <w:ind w:firstLine="1040"/>
        <w:jc w:val="center"/>
        <w:rPr>
          <w:rFonts w:hint="default" w:ascii="Times New Roman" w:hAnsi="Times New Roman" w:eastAsia="楷体" w:cs="Times New Roman"/>
          <w:b/>
          <w:color w:val="auto"/>
          <w:kern w:val="0"/>
          <w:sz w:val="52"/>
          <w:szCs w:val="52"/>
          <w:highlight w:val="none"/>
        </w:rPr>
      </w:pPr>
    </w:p>
    <w:p w14:paraId="04FE073A">
      <w:pPr>
        <w:spacing w:line="360" w:lineRule="auto"/>
        <w:ind w:firstLine="1040"/>
        <w:jc w:val="center"/>
        <w:rPr>
          <w:rFonts w:hint="default" w:ascii="Times New Roman" w:hAnsi="Times New Roman" w:eastAsia="楷体" w:cs="Times New Roman"/>
          <w:b/>
          <w:color w:val="auto"/>
          <w:kern w:val="0"/>
          <w:sz w:val="52"/>
          <w:szCs w:val="52"/>
          <w:highlight w:val="none"/>
        </w:rPr>
      </w:pPr>
    </w:p>
    <w:p w14:paraId="06AD8DA6">
      <w:pPr>
        <w:spacing w:line="360" w:lineRule="auto"/>
        <w:ind w:firstLine="1040"/>
        <w:jc w:val="center"/>
        <w:rPr>
          <w:rFonts w:hint="default" w:ascii="Times New Roman" w:hAnsi="Times New Roman" w:eastAsia="楷体" w:cs="Times New Roman"/>
          <w:b/>
          <w:color w:val="auto"/>
          <w:kern w:val="0"/>
          <w:sz w:val="52"/>
          <w:szCs w:val="52"/>
          <w:highlight w:val="none"/>
        </w:rPr>
      </w:pPr>
    </w:p>
    <w:p w14:paraId="16991458">
      <w:pPr>
        <w:spacing w:line="360" w:lineRule="auto"/>
        <w:ind w:firstLine="1040"/>
        <w:jc w:val="center"/>
        <w:rPr>
          <w:rFonts w:hint="default" w:ascii="Times New Roman" w:hAnsi="Times New Roman" w:eastAsia="楷体" w:cs="Times New Roman"/>
          <w:b/>
          <w:color w:val="auto"/>
          <w:kern w:val="0"/>
          <w:sz w:val="52"/>
          <w:szCs w:val="52"/>
          <w:highlight w:val="none"/>
        </w:rPr>
      </w:pPr>
    </w:p>
    <w:p w14:paraId="0B2F24D8">
      <w:pPr>
        <w:spacing w:line="360" w:lineRule="auto"/>
        <w:ind w:firstLine="1040"/>
        <w:jc w:val="center"/>
        <w:rPr>
          <w:rFonts w:hint="default" w:ascii="Times New Roman" w:hAnsi="Times New Roman" w:eastAsia="楷体" w:cs="Times New Roman"/>
          <w:b/>
          <w:color w:val="auto"/>
          <w:kern w:val="0"/>
          <w:sz w:val="52"/>
          <w:szCs w:val="52"/>
          <w:highlight w:val="none"/>
        </w:rPr>
      </w:pPr>
    </w:p>
    <w:p w14:paraId="07D46241">
      <w:pPr>
        <w:spacing w:line="360" w:lineRule="auto"/>
        <w:ind w:firstLine="1040"/>
        <w:jc w:val="center"/>
        <w:rPr>
          <w:rFonts w:hint="default" w:ascii="Times New Roman" w:hAnsi="Times New Roman" w:eastAsia="楷体" w:cs="Times New Roman"/>
          <w:b/>
          <w:color w:val="auto"/>
          <w:kern w:val="0"/>
          <w:sz w:val="52"/>
          <w:szCs w:val="52"/>
          <w:highlight w:val="none"/>
        </w:rPr>
      </w:pPr>
    </w:p>
    <w:p w14:paraId="0941DB90">
      <w:pPr>
        <w:spacing w:line="360" w:lineRule="auto"/>
        <w:ind w:firstLine="1040"/>
        <w:jc w:val="center"/>
        <w:rPr>
          <w:rFonts w:hint="default" w:ascii="Times New Roman" w:hAnsi="Times New Roman" w:eastAsia="楷体" w:cs="Times New Roman"/>
          <w:b/>
          <w:color w:val="auto"/>
          <w:kern w:val="0"/>
          <w:sz w:val="52"/>
          <w:szCs w:val="52"/>
          <w:highlight w:val="none"/>
        </w:rPr>
      </w:pPr>
    </w:p>
    <w:p w14:paraId="6893246E">
      <w:pPr>
        <w:spacing w:line="360" w:lineRule="auto"/>
        <w:ind w:firstLine="1040"/>
        <w:jc w:val="center"/>
        <w:rPr>
          <w:rFonts w:hint="default" w:ascii="Times New Roman" w:hAnsi="Times New Roman" w:eastAsia="楷体" w:cs="Times New Roman"/>
          <w:b/>
          <w:color w:val="auto"/>
          <w:kern w:val="0"/>
          <w:sz w:val="52"/>
          <w:szCs w:val="52"/>
          <w:highlight w:val="none"/>
        </w:rPr>
      </w:pPr>
    </w:p>
    <w:p w14:paraId="4E77935C">
      <w:pPr>
        <w:spacing w:line="360" w:lineRule="auto"/>
        <w:jc w:val="center"/>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前黄镇人民政府</w:t>
      </w:r>
    </w:p>
    <w:p w14:paraId="21B4095E">
      <w:pPr>
        <w:spacing w:line="360" w:lineRule="auto"/>
        <w:jc w:val="center"/>
        <w:rPr>
          <w:rFonts w:hint="default" w:ascii="Times New Roman" w:hAnsi="Times New Roman" w:eastAsia="楷体" w:cs="Times New Roman"/>
          <w:b/>
          <w:color w:val="auto"/>
          <w:kern w:val="0"/>
          <w:sz w:val="32"/>
          <w:szCs w:val="32"/>
          <w:highlight w:val="none"/>
        </w:rPr>
      </w:pPr>
      <w:r>
        <w:rPr>
          <w:rFonts w:hint="default" w:ascii="Times New Roman" w:hAnsi="Times New Roman" w:eastAsia="楷体" w:cs="Times New Roman"/>
          <w:b/>
          <w:color w:val="auto"/>
          <w:kern w:val="0"/>
          <w:sz w:val="32"/>
          <w:szCs w:val="32"/>
          <w:highlight w:val="none"/>
        </w:rPr>
        <w:t>20</w:t>
      </w:r>
      <w:r>
        <w:rPr>
          <w:rFonts w:hint="eastAsia" w:ascii="Times New Roman" w:hAnsi="Times New Roman" w:eastAsia="楷体" w:cs="Times New Roman"/>
          <w:b/>
          <w:color w:val="auto"/>
          <w:kern w:val="0"/>
          <w:sz w:val="32"/>
          <w:szCs w:val="32"/>
          <w:highlight w:val="none"/>
          <w:lang w:val="en-US" w:eastAsia="zh-CN"/>
        </w:rPr>
        <w:t>22</w:t>
      </w:r>
      <w:r>
        <w:rPr>
          <w:rFonts w:hint="default" w:ascii="Times New Roman" w:hAnsi="Times New Roman" w:eastAsia="楷体" w:cs="Times New Roman"/>
          <w:b/>
          <w:color w:val="auto"/>
          <w:kern w:val="0"/>
          <w:sz w:val="32"/>
          <w:szCs w:val="32"/>
          <w:highlight w:val="none"/>
        </w:rPr>
        <w:t>年</w:t>
      </w:r>
      <w:r>
        <w:rPr>
          <w:rFonts w:hint="eastAsia" w:ascii="Times New Roman" w:hAnsi="Times New Roman" w:eastAsia="楷体" w:cs="Times New Roman"/>
          <w:b/>
          <w:color w:val="auto"/>
          <w:kern w:val="0"/>
          <w:sz w:val="32"/>
          <w:szCs w:val="32"/>
          <w:highlight w:val="none"/>
          <w:lang w:val="en-US" w:eastAsia="zh-CN"/>
        </w:rPr>
        <w:t>5</w:t>
      </w:r>
      <w:r>
        <w:rPr>
          <w:rFonts w:hint="default" w:ascii="Times New Roman" w:hAnsi="Times New Roman" w:eastAsia="楷体" w:cs="Times New Roman"/>
          <w:b/>
          <w:color w:val="auto"/>
          <w:kern w:val="0"/>
          <w:sz w:val="32"/>
          <w:szCs w:val="32"/>
          <w:highlight w:val="none"/>
        </w:rPr>
        <w:t>月</w:t>
      </w:r>
    </w:p>
    <w:p w14:paraId="7621C35F">
      <w:pPr>
        <w:spacing w:line="360" w:lineRule="auto"/>
        <w:jc w:val="center"/>
        <w:rPr>
          <w:rFonts w:hint="default" w:ascii="Times New Roman" w:hAnsi="Times New Roman" w:eastAsia="楷体" w:cs="Times New Roman"/>
          <w:b/>
          <w:color w:val="auto"/>
          <w:kern w:val="0"/>
          <w:sz w:val="32"/>
          <w:szCs w:val="32"/>
          <w:highlight w:val="none"/>
        </w:rPr>
      </w:pPr>
    </w:p>
    <w:p w14:paraId="6FF44B32">
      <w:pPr>
        <w:spacing w:before="156" w:beforeLines="50" w:after="156" w:afterLines="50" w:line="360" w:lineRule="auto"/>
        <w:ind w:firstLine="640"/>
        <w:jc w:val="center"/>
        <w:rPr>
          <w:rFonts w:hint="default" w:ascii="Times New Roman" w:hAnsi="Times New Roman" w:eastAsia="楷体" w:cs="Times New Roman"/>
          <w:b/>
          <w:color w:val="auto"/>
          <w:kern w:val="0"/>
          <w:sz w:val="32"/>
          <w:szCs w:val="32"/>
          <w:highlight w:val="none"/>
        </w:rPr>
      </w:pPr>
      <w:r>
        <w:rPr>
          <w:rFonts w:hint="default" w:ascii="Times New Roman" w:hAnsi="Times New Roman" w:eastAsia="楷体" w:cs="Times New Roman"/>
          <w:b/>
          <w:color w:val="auto"/>
          <w:kern w:val="0"/>
          <w:sz w:val="32"/>
          <w:szCs w:val="32"/>
          <w:highlight w:val="none"/>
        </w:rPr>
        <w:t>目  录</w:t>
      </w:r>
    </w:p>
    <w:p w14:paraId="36C5E8AA">
      <w:pPr>
        <w:pStyle w:val="13"/>
        <w:tabs>
          <w:tab w:val="right" w:leader="dot" w:pos="8306"/>
          <w:tab w:val="clear" w:pos="8296"/>
        </w:tabs>
        <w:spacing w:line="520" w:lineRule="exact"/>
        <w:ind w:firstLine="562"/>
        <w:rPr>
          <w:rFonts w:hint="default" w:ascii="Times New Roman" w:hAnsi="Times New Roman" w:eastAsia="楷体" w:cs="Times New Roman"/>
          <w:color w:val="auto"/>
          <w:highlight w:val="none"/>
        </w:rPr>
      </w:pPr>
      <w:r>
        <w:rPr>
          <w:rFonts w:hint="default" w:ascii="Times New Roman" w:hAnsi="Times New Roman" w:eastAsia="楷体" w:cs="Times New Roman"/>
          <w:color w:val="auto"/>
          <w:kern w:val="0"/>
          <w:highlight w:val="none"/>
        </w:rPr>
        <w:fldChar w:fldCharType="begin"/>
      </w:r>
      <w:r>
        <w:rPr>
          <w:rFonts w:hint="default" w:ascii="Times New Roman" w:hAnsi="Times New Roman" w:eastAsia="楷体" w:cs="Times New Roman"/>
          <w:color w:val="auto"/>
          <w:kern w:val="0"/>
          <w:highlight w:val="none"/>
        </w:rPr>
        <w:instrText xml:space="preserve"> TOC \o "1-2" \h \z \u </w:instrText>
      </w:r>
      <w:r>
        <w:rPr>
          <w:rFonts w:hint="default" w:ascii="Times New Roman" w:hAnsi="Times New Roman" w:eastAsia="楷体" w:cs="Times New Roman"/>
          <w:color w:val="auto"/>
          <w:kern w:val="0"/>
          <w:highlight w:val="none"/>
        </w:rPr>
        <w:fldChar w:fldCharType="separate"/>
      </w:r>
      <w:r>
        <w:rPr>
          <w:rFonts w:hint="default" w:ascii="Times New Roman" w:hAnsi="Times New Roman" w:eastAsia="楷体" w:cs="Times New Roman"/>
          <w:color w:val="auto"/>
          <w:kern w:val="0"/>
          <w:highlight w:val="none"/>
        </w:rPr>
        <w:fldChar w:fldCharType="begin"/>
      </w:r>
      <w:r>
        <w:rPr>
          <w:rFonts w:hint="default" w:ascii="Times New Roman" w:hAnsi="Times New Roman" w:eastAsia="楷体" w:cs="Times New Roman"/>
          <w:color w:val="auto"/>
          <w:kern w:val="0"/>
          <w:highlight w:val="none"/>
        </w:rPr>
        <w:instrText xml:space="preserve"> HYPERLINK \l _Toc32304 </w:instrText>
      </w:r>
      <w:r>
        <w:rPr>
          <w:rFonts w:hint="default" w:ascii="Times New Roman" w:hAnsi="Times New Roman" w:eastAsia="楷体" w:cs="Times New Roman"/>
          <w:color w:val="auto"/>
          <w:kern w:val="0"/>
          <w:highlight w:val="none"/>
        </w:rPr>
        <w:fldChar w:fldCharType="separate"/>
      </w:r>
      <w:r>
        <w:rPr>
          <w:rFonts w:hint="default" w:ascii="Times New Roman" w:hAnsi="Times New Roman" w:eastAsia="楷体" w:cs="Times New Roman"/>
          <w:color w:val="auto"/>
          <w:highlight w:val="none"/>
        </w:rPr>
        <w:t>1 总则</w:t>
      </w:r>
      <w:r>
        <w:rPr>
          <w:rFonts w:hint="default" w:ascii="Times New Roman" w:hAnsi="Times New Roman" w:eastAsia="楷体" w:cs="Times New Roman"/>
          <w:color w:val="auto"/>
          <w:highlight w:val="none"/>
        </w:rPr>
        <w:tab/>
      </w:r>
      <w:r>
        <w:rPr>
          <w:rFonts w:hint="default" w:ascii="Times New Roman" w:hAnsi="Times New Roman" w:eastAsia="楷体" w:cs="Times New Roman"/>
          <w:color w:val="auto"/>
          <w:highlight w:val="none"/>
        </w:rPr>
        <w:fldChar w:fldCharType="begin"/>
      </w:r>
      <w:r>
        <w:rPr>
          <w:rFonts w:hint="default" w:ascii="Times New Roman" w:hAnsi="Times New Roman" w:eastAsia="楷体" w:cs="Times New Roman"/>
          <w:color w:val="auto"/>
          <w:highlight w:val="none"/>
        </w:rPr>
        <w:instrText xml:space="preserve"> PAGEREF _Toc32304 </w:instrText>
      </w:r>
      <w:r>
        <w:rPr>
          <w:rFonts w:hint="default" w:ascii="Times New Roman" w:hAnsi="Times New Roman" w:eastAsia="楷体" w:cs="Times New Roman"/>
          <w:color w:val="auto"/>
          <w:highlight w:val="none"/>
        </w:rPr>
        <w:fldChar w:fldCharType="separate"/>
      </w:r>
      <w:r>
        <w:rPr>
          <w:rFonts w:hint="default" w:ascii="Times New Roman" w:hAnsi="Times New Roman" w:eastAsia="楷体" w:cs="Times New Roman"/>
          <w:color w:val="auto"/>
          <w:highlight w:val="none"/>
        </w:rPr>
        <w:t>- 193 -</w:t>
      </w:r>
      <w:r>
        <w:rPr>
          <w:rFonts w:hint="default" w:ascii="Times New Roman" w:hAnsi="Times New Roman" w:eastAsia="楷体" w:cs="Times New Roman"/>
          <w:color w:val="auto"/>
          <w:highlight w:val="none"/>
        </w:rPr>
        <w:fldChar w:fldCharType="end"/>
      </w:r>
      <w:r>
        <w:rPr>
          <w:rFonts w:hint="default" w:ascii="Times New Roman" w:hAnsi="Times New Roman" w:eastAsia="楷体" w:cs="Times New Roman"/>
          <w:color w:val="auto"/>
          <w:kern w:val="0"/>
          <w:highlight w:val="none"/>
        </w:rPr>
        <w:fldChar w:fldCharType="end"/>
      </w:r>
    </w:p>
    <w:p w14:paraId="33D2291D">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_Toc10067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highlight w:val="none"/>
        </w:rPr>
        <w:t>1.1 目的</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_Toc10067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- 193 -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17522F4D">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_Toc19894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highlight w:val="none"/>
        </w:rPr>
        <w:t>1.2 编制依据</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_Toc19894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- 193 -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070B3E69">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_Toc30233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1.3 工作原则</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_Toc30233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- 193 -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54A47D27">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_Toc26488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1.4 适用范围</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_Toc26488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- 194 -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5E4B2C0C">
      <w:pPr>
        <w:pStyle w:val="13"/>
        <w:tabs>
          <w:tab w:val="right" w:leader="dot" w:pos="8306"/>
          <w:tab w:val="clear" w:pos="8296"/>
        </w:tabs>
        <w:spacing w:line="520" w:lineRule="exact"/>
        <w:ind w:firstLine="562"/>
        <w:rPr>
          <w:rFonts w:hint="default" w:ascii="Times New Roman" w:hAnsi="Times New Roman" w:eastAsia="楷体" w:cs="Times New Roman"/>
          <w:color w:val="auto"/>
          <w:highlight w:val="none"/>
        </w:rPr>
      </w:pPr>
      <w:r>
        <w:rPr>
          <w:rFonts w:hint="default" w:ascii="Times New Roman" w:hAnsi="Times New Roman" w:eastAsia="楷体" w:cs="Times New Roman"/>
          <w:color w:val="auto"/>
          <w:kern w:val="0"/>
          <w:highlight w:val="none"/>
        </w:rPr>
        <w:fldChar w:fldCharType="begin"/>
      </w:r>
      <w:r>
        <w:rPr>
          <w:rFonts w:hint="default" w:ascii="Times New Roman" w:hAnsi="Times New Roman" w:eastAsia="楷体" w:cs="Times New Roman"/>
          <w:color w:val="auto"/>
          <w:kern w:val="0"/>
          <w:highlight w:val="none"/>
        </w:rPr>
        <w:instrText xml:space="preserve"> HYPERLINK \l _Toc23606 </w:instrText>
      </w:r>
      <w:r>
        <w:rPr>
          <w:rFonts w:hint="default" w:ascii="Times New Roman" w:hAnsi="Times New Roman" w:eastAsia="楷体" w:cs="Times New Roman"/>
          <w:color w:val="auto"/>
          <w:kern w:val="0"/>
          <w:highlight w:val="none"/>
        </w:rPr>
        <w:fldChar w:fldCharType="separate"/>
      </w:r>
      <w:r>
        <w:rPr>
          <w:rFonts w:hint="default" w:ascii="Times New Roman" w:hAnsi="Times New Roman" w:eastAsia="楷体" w:cs="Times New Roman"/>
          <w:color w:val="auto"/>
          <w:szCs w:val="30"/>
          <w:highlight w:val="none"/>
        </w:rPr>
        <w:t>2 工程概况</w:t>
      </w:r>
      <w:r>
        <w:rPr>
          <w:rFonts w:hint="default" w:ascii="Times New Roman" w:hAnsi="Times New Roman" w:eastAsia="楷体" w:cs="Times New Roman"/>
          <w:color w:val="auto"/>
          <w:highlight w:val="none"/>
        </w:rPr>
        <w:tab/>
      </w:r>
      <w:r>
        <w:rPr>
          <w:rFonts w:hint="default" w:ascii="Times New Roman" w:hAnsi="Times New Roman" w:eastAsia="楷体" w:cs="Times New Roman"/>
          <w:color w:val="auto"/>
          <w:highlight w:val="none"/>
        </w:rPr>
        <w:fldChar w:fldCharType="begin"/>
      </w:r>
      <w:r>
        <w:rPr>
          <w:rFonts w:hint="default" w:ascii="Times New Roman" w:hAnsi="Times New Roman" w:eastAsia="楷体" w:cs="Times New Roman"/>
          <w:color w:val="auto"/>
          <w:highlight w:val="none"/>
        </w:rPr>
        <w:instrText xml:space="preserve"> PAGEREF _Toc23606 </w:instrText>
      </w:r>
      <w:r>
        <w:rPr>
          <w:rFonts w:hint="default" w:ascii="Times New Roman" w:hAnsi="Times New Roman" w:eastAsia="楷体" w:cs="Times New Roman"/>
          <w:color w:val="auto"/>
          <w:highlight w:val="none"/>
        </w:rPr>
        <w:fldChar w:fldCharType="separate"/>
      </w:r>
      <w:r>
        <w:rPr>
          <w:rFonts w:hint="default" w:ascii="Times New Roman" w:hAnsi="Times New Roman" w:eastAsia="楷体" w:cs="Times New Roman"/>
          <w:color w:val="auto"/>
          <w:highlight w:val="none"/>
        </w:rPr>
        <w:t>- 195 -</w:t>
      </w:r>
      <w:r>
        <w:rPr>
          <w:rFonts w:hint="default" w:ascii="Times New Roman" w:hAnsi="Times New Roman" w:eastAsia="楷体" w:cs="Times New Roman"/>
          <w:color w:val="auto"/>
          <w:highlight w:val="none"/>
        </w:rPr>
        <w:fldChar w:fldCharType="end"/>
      </w:r>
      <w:r>
        <w:rPr>
          <w:rFonts w:hint="default" w:ascii="Times New Roman" w:hAnsi="Times New Roman" w:eastAsia="楷体" w:cs="Times New Roman"/>
          <w:color w:val="auto"/>
          <w:kern w:val="0"/>
          <w:highlight w:val="none"/>
        </w:rPr>
        <w:fldChar w:fldCharType="end"/>
      </w:r>
    </w:p>
    <w:p w14:paraId="1F7EC108">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_Toc18975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2.1 流域概况</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_Toc18975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- 195 -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54C516FB">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_Toc26605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2.2 工程基本情况</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_Toc26605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- 195 -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6E9F8C53">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_Toc13333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2.3 水文</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_Toc13333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- 200 -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36202056">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_Toc2641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2.4  工程安全监测</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_Toc2641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- 200 -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189BDE2C">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_Toc5426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2.5 水库汛期调度运用计划</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_Toc5426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- 201 -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62AD9143">
      <w:pPr>
        <w:pStyle w:val="13"/>
        <w:tabs>
          <w:tab w:val="right" w:leader="dot" w:pos="8306"/>
          <w:tab w:val="clear" w:pos="8296"/>
        </w:tabs>
        <w:spacing w:line="520" w:lineRule="exact"/>
        <w:ind w:firstLine="562"/>
        <w:rPr>
          <w:rFonts w:hint="default" w:ascii="Times New Roman" w:hAnsi="Times New Roman" w:eastAsia="楷体" w:cs="Times New Roman"/>
          <w:color w:val="auto"/>
          <w:highlight w:val="none"/>
        </w:rPr>
      </w:pPr>
      <w:r>
        <w:rPr>
          <w:rFonts w:hint="default" w:ascii="Times New Roman" w:hAnsi="Times New Roman" w:eastAsia="楷体" w:cs="Times New Roman"/>
          <w:color w:val="auto"/>
          <w:kern w:val="0"/>
          <w:highlight w:val="none"/>
        </w:rPr>
        <w:fldChar w:fldCharType="begin"/>
      </w:r>
      <w:r>
        <w:rPr>
          <w:rFonts w:hint="default" w:ascii="Times New Roman" w:hAnsi="Times New Roman" w:eastAsia="楷体" w:cs="Times New Roman"/>
          <w:color w:val="auto"/>
          <w:kern w:val="0"/>
          <w:highlight w:val="none"/>
        </w:rPr>
        <w:instrText xml:space="preserve"> HYPERLINK \l _Toc21184 </w:instrText>
      </w:r>
      <w:r>
        <w:rPr>
          <w:rFonts w:hint="default" w:ascii="Times New Roman" w:hAnsi="Times New Roman" w:eastAsia="楷体" w:cs="Times New Roman"/>
          <w:color w:val="auto"/>
          <w:kern w:val="0"/>
          <w:highlight w:val="none"/>
        </w:rPr>
        <w:fldChar w:fldCharType="separate"/>
      </w:r>
      <w:r>
        <w:rPr>
          <w:rFonts w:hint="default" w:ascii="Times New Roman" w:hAnsi="Times New Roman" w:eastAsia="楷体" w:cs="Times New Roman"/>
          <w:color w:val="auto"/>
          <w:szCs w:val="30"/>
          <w:highlight w:val="none"/>
        </w:rPr>
        <w:t>3突发事件危害性分析</w:t>
      </w:r>
      <w:r>
        <w:rPr>
          <w:rFonts w:hint="default" w:ascii="Times New Roman" w:hAnsi="Times New Roman" w:eastAsia="楷体" w:cs="Times New Roman"/>
          <w:color w:val="auto"/>
          <w:highlight w:val="none"/>
        </w:rPr>
        <w:tab/>
      </w:r>
      <w:r>
        <w:rPr>
          <w:rFonts w:hint="default" w:ascii="Times New Roman" w:hAnsi="Times New Roman" w:eastAsia="楷体" w:cs="Times New Roman"/>
          <w:color w:val="auto"/>
          <w:highlight w:val="none"/>
        </w:rPr>
        <w:fldChar w:fldCharType="begin"/>
      </w:r>
      <w:r>
        <w:rPr>
          <w:rFonts w:hint="default" w:ascii="Times New Roman" w:hAnsi="Times New Roman" w:eastAsia="楷体" w:cs="Times New Roman"/>
          <w:color w:val="auto"/>
          <w:highlight w:val="none"/>
        </w:rPr>
        <w:instrText xml:space="preserve"> PAGEREF _Toc21184 </w:instrText>
      </w:r>
      <w:r>
        <w:rPr>
          <w:rFonts w:hint="default" w:ascii="Times New Roman" w:hAnsi="Times New Roman" w:eastAsia="楷体" w:cs="Times New Roman"/>
          <w:color w:val="auto"/>
          <w:highlight w:val="none"/>
        </w:rPr>
        <w:fldChar w:fldCharType="separate"/>
      </w:r>
      <w:r>
        <w:rPr>
          <w:rFonts w:hint="default" w:ascii="Times New Roman" w:hAnsi="Times New Roman" w:eastAsia="楷体" w:cs="Times New Roman"/>
          <w:color w:val="auto"/>
          <w:highlight w:val="none"/>
        </w:rPr>
        <w:t>- 206 -</w:t>
      </w:r>
      <w:r>
        <w:rPr>
          <w:rFonts w:hint="default" w:ascii="Times New Roman" w:hAnsi="Times New Roman" w:eastAsia="楷体" w:cs="Times New Roman"/>
          <w:color w:val="auto"/>
          <w:highlight w:val="none"/>
        </w:rPr>
        <w:fldChar w:fldCharType="end"/>
      </w:r>
      <w:r>
        <w:rPr>
          <w:rFonts w:hint="default" w:ascii="Times New Roman" w:hAnsi="Times New Roman" w:eastAsia="楷体" w:cs="Times New Roman"/>
          <w:color w:val="auto"/>
          <w:kern w:val="0"/>
          <w:highlight w:val="none"/>
        </w:rPr>
        <w:fldChar w:fldCharType="end"/>
      </w:r>
    </w:p>
    <w:p w14:paraId="536A55A4">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_Toc10930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3.1 重大工程险情分析</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_Toc10930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- 206 -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6267C16A">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_Toc12151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3.2 突发事件（溃坝）危害性分析</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_Toc12151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- 206 -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47ED193A">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_Toc13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3.3 溃坝失事造成下游经济和社会损失影响分析</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_Toc13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- 208 -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2DBE5200">
      <w:pPr>
        <w:pStyle w:val="13"/>
        <w:tabs>
          <w:tab w:val="right" w:leader="dot" w:pos="8306"/>
          <w:tab w:val="clear" w:pos="8296"/>
        </w:tabs>
        <w:spacing w:line="520" w:lineRule="exact"/>
        <w:ind w:firstLine="562"/>
        <w:rPr>
          <w:rFonts w:hint="default" w:ascii="Times New Roman" w:hAnsi="Times New Roman" w:eastAsia="楷体" w:cs="Times New Roman"/>
          <w:color w:val="auto"/>
          <w:highlight w:val="none"/>
        </w:rPr>
      </w:pPr>
      <w:r>
        <w:rPr>
          <w:rFonts w:hint="default" w:ascii="Times New Roman" w:hAnsi="Times New Roman" w:eastAsia="楷体" w:cs="Times New Roman"/>
          <w:color w:val="auto"/>
          <w:kern w:val="0"/>
          <w:highlight w:val="none"/>
        </w:rPr>
        <w:fldChar w:fldCharType="begin"/>
      </w:r>
      <w:r>
        <w:rPr>
          <w:rFonts w:hint="default" w:ascii="Times New Roman" w:hAnsi="Times New Roman" w:eastAsia="楷体" w:cs="Times New Roman"/>
          <w:color w:val="auto"/>
          <w:kern w:val="0"/>
          <w:highlight w:val="none"/>
        </w:rPr>
        <w:instrText xml:space="preserve"> HYPERLINK \l _Toc9103 </w:instrText>
      </w:r>
      <w:r>
        <w:rPr>
          <w:rFonts w:hint="default" w:ascii="Times New Roman" w:hAnsi="Times New Roman" w:eastAsia="楷体" w:cs="Times New Roman"/>
          <w:color w:val="auto"/>
          <w:kern w:val="0"/>
          <w:highlight w:val="none"/>
        </w:rPr>
        <w:fldChar w:fldCharType="separate"/>
      </w:r>
      <w:r>
        <w:rPr>
          <w:rFonts w:hint="default" w:ascii="Times New Roman" w:hAnsi="Times New Roman" w:eastAsia="楷体" w:cs="Times New Roman"/>
          <w:color w:val="auto"/>
          <w:szCs w:val="30"/>
          <w:highlight w:val="none"/>
        </w:rPr>
        <w:t>4 险情监测与报告</w:t>
      </w:r>
      <w:r>
        <w:rPr>
          <w:rFonts w:hint="default" w:ascii="Times New Roman" w:hAnsi="Times New Roman" w:eastAsia="楷体" w:cs="Times New Roman"/>
          <w:color w:val="auto"/>
          <w:highlight w:val="none"/>
        </w:rPr>
        <w:tab/>
      </w:r>
      <w:r>
        <w:rPr>
          <w:rFonts w:hint="default" w:ascii="Times New Roman" w:hAnsi="Times New Roman" w:eastAsia="楷体" w:cs="Times New Roman"/>
          <w:color w:val="auto"/>
          <w:highlight w:val="none"/>
        </w:rPr>
        <w:fldChar w:fldCharType="begin"/>
      </w:r>
      <w:r>
        <w:rPr>
          <w:rFonts w:hint="default" w:ascii="Times New Roman" w:hAnsi="Times New Roman" w:eastAsia="楷体" w:cs="Times New Roman"/>
          <w:color w:val="auto"/>
          <w:highlight w:val="none"/>
        </w:rPr>
        <w:instrText xml:space="preserve"> PAGEREF _Toc9103 </w:instrText>
      </w:r>
      <w:r>
        <w:rPr>
          <w:rFonts w:hint="default" w:ascii="Times New Roman" w:hAnsi="Times New Roman" w:eastAsia="楷体" w:cs="Times New Roman"/>
          <w:color w:val="auto"/>
          <w:highlight w:val="none"/>
        </w:rPr>
        <w:fldChar w:fldCharType="separate"/>
      </w:r>
      <w:r>
        <w:rPr>
          <w:rFonts w:hint="default" w:ascii="Times New Roman" w:hAnsi="Times New Roman" w:eastAsia="楷体" w:cs="Times New Roman"/>
          <w:color w:val="auto"/>
          <w:highlight w:val="none"/>
        </w:rPr>
        <w:t>- 209 -</w:t>
      </w:r>
      <w:r>
        <w:rPr>
          <w:rFonts w:hint="default" w:ascii="Times New Roman" w:hAnsi="Times New Roman" w:eastAsia="楷体" w:cs="Times New Roman"/>
          <w:color w:val="auto"/>
          <w:highlight w:val="none"/>
        </w:rPr>
        <w:fldChar w:fldCharType="end"/>
      </w:r>
      <w:r>
        <w:rPr>
          <w:rFonts w:hint="default" w:ascii="Times New Roman" w:hAnsi="Times New Roman" w:eastAsia="楷体" w:cs="Times New Roman"/>
          <w:color w:val="auto"/>
          <w:kern w:val="0"/>
          <w:highlight w:val="none"/>
        </w:rPr>
        <w:fldChar w:fldCharType="end"/>
      </w:r>
    </w:p>
    <w:p w14:paraId="4836085B">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_Toc9065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4.1险情监测和巡视</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_Toc9065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- 209 -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5D9341C4">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_Toc9767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4.2 险情上报与通报</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_Toc9767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- 210 -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1C4B6DB0">
      <w:pPr>
        <w:pStyle w:val="13"/>
        <w:tabs>
          <w:tab w:val="right" w:leader="dot" w:pos="8306"/>
          <w:tab w:val="clear" w:pos="8296"/>
        </w:tabs>
        <w:spacing w:line="520" w:lineRule="exact"/>
        <w:ind w:firstLine="562"/>
        <w:rPr>
          <w:rFonts w:hint="default" w:ascii="Times New Roman" w:hAnsi="Times New Roman" w:eastAsia="楷体" w:cs="Times New Roman"/>
          <w:color w:val="auto"/>
          <w:highlight w:val="none"/>
        </w:rPr>
      </w:pPr>
      <w:r>
        <w:rPr>
          <w:rFonts w:hint="default" w:ascii="Times New Roman" w:hAnsi="Times New Roman" w:eastAsia="楷体" w:cs="Times New Roman"/>
          <w:color w:val="auto"/>
          <w:kern w:val="0"/>
          <w:highlight w:val="none"/>
        </w:rPr>
        <w:fldChar w:fldCharType="begin"/>
      </w:r>
      <w:r>
        <w:rPr>
          <w:rFonts w:hint="default" w:ascii="Times New Roman" w:hAnsi="Times New Roman" w:eastAsia="楷体" w:cs="Times New Roman"/>
          <w:color w:val="auto"/>
          <w:kern w:val="0"/>
          <w:highlight w:val="none"/>
        </w:rPr>
        <w:instrText xml:space="preserve"> HYPERLINK \l _Toc4797 </w:instrText>
      </w:r>
      <w:r>
        <w:rPr>
          <w:rFonts w:hint="default" w:ascii="Times New Roman" w:hAnsi="Times New Roman" w:eastAsia="楷体" w:cs="Times New Roman"/>
          <w:color w:val="auto"/>
          <w:kern w:val="0"/>
          <w:highlight w:val="none"/>
        </w:rPr>
        <w:fldChar w:fldCharType="separate"/>
      </w:r>
      <w:r>
        <w:rPr>
          <w:rFonts w:hint="default" w:ascii="Times New Roman" w:hAnsi="Times New Roman" w:eastAsia="楷体" w:cs="Times New Roman"/>
          <w:color w:val="auto"/>
          <w:szCs w:val="30"/>
          <w:highlight w:val="none"/>
        </w:rPr>
        <w:t>5 险情抢护</w:t>
      </w:r>
      <w:r>
        <w:rPr>
          <w:rFonts w:hint="default" w:ascii="Times New Roman" w:hAnsi="Times New Roman" w:eastAsia="楷体" w:cs="Times New Roman"/>
          <w:color w:val="auto"/>
          <w:highlight w:val="none"/>
        </w:rPr>
        <w:tab/>
      </w:r>
      <w:r>
        <w:rPr>
          <w:rFonts w:hint="default" w:ascii="Times New Roman" w:hAnsi="Times New Roman" w:eastAsia="楷体" w:cs="Times New Roman"/>
          <w:color w:val="auto"/>
          <w:highlight w:val="none"/>
        </w:rPr>
        <w:fldChar w:fldCharType="begin"/>
      </w:r>
      <w:r>
        <w:rPr>
          <w:rFonts w:hint="default" w:ascii="Times New Roman" w:hAnsi="Times New Roman" w:eastAsia="楷体" w:cs="Times New Roman"/>
          <w:color w:val="auto"/>
          <w:highlight w:val="none"/>
        </w:rPr>
        <w:instrText xml:space="preserve"> PAGEREF _Toc4797 </w:instrText>
      </w:r>
      <w:r>
        <w:rPr>
          <w:rFonts w:hint="default" w:ascii="Times New Roman" w:hAnsi="Times New Roman" w:eastAsia="楷体" w:cs="Times New Roman"/>
          <w:color w:val="auto"/>
          <w:highlight w:val="none"/>
        </w:rPr>
        <w:fldChar w:fldCharType="separate"/>
      </w:r>
      <w:r>
        <w:rPr>
          <w:rFonts w:hint="default" w:ascii="Times New Roman" w:hAnsi="Times New Roman" w:eastAsia="楷体" w:cs="Times New Roman"/>
          <w:color w:val="auto"/>
          <w:highlight w:val="none"/>
        </w:rPr>
        <w:t>- 211 -</w:t>
      </w:r>
      <w:r>
        <w:rPr>
          <w:rFonts w:hint="default" w:ascii="Times New Roman" w:hAnsi="Times New Roman" w:eastAsia="楷体" w:cs="Times New Roman"/>
          <w:color w:val="auto"/>
          <w:highlight w:val="none"/>
        </w:rPr>
        <w:fldChar w:fldCharType="end"/>
      </w:r>
      <w:r>
        <w:rPr>
          <w:rFonts w:hint="default" w:ascii="Times New Roman" w:hAnsi="Times New Roman" w:eastAsia="楷体" w:cs="Times New Roman"/>
          <w:color w:val="auto"/>
          <w:kern w:val="0"/>
          <w:highlight w:val="none"/>
        </w:rPr>
        <w:fldChar w:fldCharType="end"/>
      </w:r>
    </w:p>
    <w:p w14:paraId="14E7EF07">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_Toc15232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5.1 抢险调度</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_Toc15232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- 211 -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7744741A">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_Toc20185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5.2抢险措施</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_Toc20185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- 211 -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4F3DBCC6">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_Toc8277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5.3 应急转移</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_Toc8277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- 214 -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0885E38F">
      <w:pPr>
        <w:pStyle w:val="13"/>
        <w:tabs>
          <w:tab w:val="right" w:leader="dot" w:pos="8306"/>
          <w:tab w:val="clear" w:pos="8296"/>
        </w:tabs>
        <w:spacing w:line="520" w:lineRule="exact"/>
        <w:ind w:firstLine="562"/>
        <w:rPr>
          <w:rFonts w:hint="default" w:ascii="Times New Roman" w:hAnsi="Times New Roman" w:eastAsia="楷体" w:cs="Times New Roman"/>
          <w:color w:val="auto"/>
          <w:highlight w:val="none"/>
        </w:rPr>
      </w:pPr>
      <w:r>
        <w:rPr>
          <w:rFonts w:hint="default" w:ascii="Times New Roman" w:hAnsi="Times New Roman" w:eastAsia="楷体" w:cs="Times New Roman"/>
          <w:color w:val="auto"/>
          <w:kern w:val="0"/>
          <w:highlight w:val="none"/>
        </w:rPr>
        <w:fldChar w:fldCharType="begin"/>
      </w:r>
      <w:r>
        <w:rPr>
          <w:rFonts w:hint="default" w:ascii="Times New Roman" w:hAnsi="Times New Roman" w:eastAsia="楷体" w:cs="Times New Roman"/>
          <w:color w:val="auto"/>
          <w:kern w:val="0"/>
          <w:highlight w:val="none"/>
        </w:rPr>
        <w:instrText xml:space="preserve"> HYPERLINK \l _Toc11254 </w:instrText>
      </w:r>
      <w:r>
        <w:rPr>
          <w:rFonts w:hint="default" w:ascii="Times New Roman" w:hAnsi="Times New Roman" w:eastAsia="楷体" w:cs="Times New Roman"/>
          <w:color w:val="auto"/>
          <w:kern w:val="0"/>
          <w:highlight w:val="none"/>
        </w:rPr>
        <w:fldChar w:fldCharType="separate"/>
      </w:r>
      <w:r>
        <w:rPr>
          <w:rFonts w:hint="default" w:ascii="Times New Roman" w:hAnsi="Times New Roman" w:eastAsia="楷体" w:cs="Times New Roman"/>
          <w:color w:val="auto"/>
          <w:szCs w:val="30"/>
          <w:highlight w:val="none"/>
        </w:rPr>
        <w:t>6 应急保障</w:t>
      </w:r>
      <w:r>
        <w:rPr>
          <w:rFonts w:hint="default" w:ascii="Times New Roman" w:hAnsi="Times New Roman" w:eastAsia="楷体" w:cs="Times New Roman"/>
          <w:color w:val="auto"/>
          <w:highlight w:val="none"/>
        </w:rPr>
        <w:tab/>
      </w:r>
      <w:r>
        <w:rPr>
          <w:rFonts w:hint="default" w:ascii="Times New Roman" w:hAnsi="Times New Roman" w:eastAsia="楷体" w:cs="Times New Roman"/>
          <w:color w:val="auto"/>
          <w:highlight w:val="none"/>
        </w:rPr>
        <w:fldChar w:fldCharType="begin"/>
      </w:r>
      <w:r>
        <w:rPr>
          <w:rFonts w:hint="default" w:ascii="Times New Roman" w:hAnsi="Times New Roman" w:eastAsia="楷体" w:cs="Times New Roman"/>
          <w:color w:val="auto"/>
          <w:highlight w:val="none"/>
        </w:rPr>
        <w:instrText xml:space="preserve"> PAGEREF _Toc11254 </w:instrText>
      </w:r>
      <w:r>
        <w:rPr>
          <w:rFonts w:hint="default" w:ascii="Times New Roman" w:hAnsi="Times New Roman" w:eastAsia="楷体" w:cs="Times New Roman"/>
          <w:color w:val="auto"/>
          <w:highlight w:val="none"/>
        </w:rPr>
        <w:fldChar w:fldCharType="separate"/>
      </w:r>
      <w:r>
        <w:rPr>
          <w:rFonts w:hint="default" w:ascii="Times New Roman" w:hAnsi="Times New Roman" w:eastAsia="楷体" w:cs="Times New Roman"/>
          <w:color w:val="auto"/>
          <w:highlight w:val="none"/>
        </w:rPr>
        <w:t>- 215 -</w:t>
      </w:r>
      <w:r>
        <w:rPr>
          <w:rFonts w:hint="default" w:ascii="Times New Roman" w:hAnsi="Times New Roman" w:eastAsia="楷体" w:cs="Times New Roman"/>
          <w:color w:val="auto"/>
          <w:highlight w:val="none"/>
        </w:rPr>
        <w:fldChar w:fldCharType="end"/>
      </w:r>
      <w:r>
        <w:rPr>
          <w:rFonts w:hint="default" w:ascii="Times New Roman" w:hAnsi="Times New Roman" w:eastAsia="楷体" w:cs="Times New Roman"/>
          <w:color w:val="auto"/>
          <w:kern w:val="0"/>
          <w:highlight w:val="none"/>
        </w:rPr>
        <w:fldChar w:fldCharType="end"/>
      </w:r>
    </w:p>
    <w:p w14:paraId="46A8BA68">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_Toc24772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6.1 组织保障</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_Toc24772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- 215 -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1B06DCCF">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_Toc29561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6.2 队伍保障</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_Toc29561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- 217 -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3E303FA7">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_Toc16237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6.3 物资保障</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_Toc16237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- 217 -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32AACCA7">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_Toc14017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6.4通讯保障</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_Toc14017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- 218 -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48866CD9">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_Toc5419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szCs w:val="30"/>
          <w:highlight w:val="none"/>
        </w:rPr>
        <w:t>6.5其他保障</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_Toc5419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- 219 -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20C3E12C">
      <w:pPr>
        <w:pStyle w:val="13"/>
        <w:tabs>
          <w:tab w:val="right" w:leader="dot" w:pos="8306"/>
          <w:tab w:val="clear" w:pos="8296"/>
        </w:tabs>
        <w:spacing w:line="520" w:lineRule="exact"/>
        <w:ind w:firstLine="562"/>
        <w:rPr>
          <w:rFonts w:hint="default" w:ascii="Times New Roman" w:hAnsi="Times New Roman" w:eastAsia="楷体" w:cs="Times New Roman"/>
          <w:color w:val="auto"/>
          <w:highlight w:val="none"/>
        </w:rPr>
      </w:pPr>
      <w:r>
        <w:rPr>
          <w:rFonts w:hint="default" w:ascii="Times New Roman" w:hAnsi="Times New Roman" w:eastAsia="楷体" w:cs="Times New Roman"/>
          <w:color w:val="auto"/>
          <w:kern w:val="0"/>
          <w:highlight w:val="none"/>
        </w:rPr>
        <w:fldChar w:fldCharType="begin"/>
      </w:r>
      <w:r>
        <w:rPr>
          <w:rFonts w:hint="default" w:ascii="Times New Roman" w:hAnsi="Times New Roman" w:eastAsia="楷体" w:cs="Times New Roman"/>
          <w:color w:val="auto"/>
          <w:kern w:val="0"/>
          <w:highlight w:val="none"/>
        </w:rPr>
        <w:instrText xml:space="preserve"> HYPERLINK \l _Toc28054 </w:instrText>
      </w:r>
      <w:r>
        <w:rPr>
          <w:rFonts w:hint="default" w:ascii="Times New Roman" w:hAnsi="Times New Roman" w:eastAsia="楷体" w:cs="Times New Roman"/>
          <w:color w:val="auto"/>
          <w:kern w:val="0"/>
          <w:highlight w:val="none"/>
        </w:rPr>
        <w:fldChar w:fldCharType="separate"/>
      </w:r>
      <w:r>
        <w:rPr>
          <w:rFonts w:hint="default" w:ascii="Times New Roman" w:hAnsi="Times New Roman" w:eastAsia="楷体" w:cs="Times New Roman"/>
          <w:color w:val="auto"/>
          <w:szCs w:val="30"/>
          <w:highlight w:val="none"/>
        </w:rPr>
        <w:t>7 《应急预案》启动和结束</w:t>
      </w:r>
      <w:r>
        <w:rPr>
          <w:rFonts w:hint="default" w:ascii="Times New Roman" w:hAnsi="Times New Roman" w:eastAsia="楷体" w:cs="Times New Roman"/>
          <w:color w:val="auto"/>
          <w:highlight w:val="none"/>
        </w:rPr>
        <w:tab/>
      </w:r>
      <w:r>
        <w:rPr>
          <w:rFonts w:hint="default" w:ascii="Times New Roman" w:hAnsi="Times New Roman" w:eastAsia="楷体" w:cs="Times New Roman"/>
          <w:color w:val="auto"/>
          <w:highlight w:val="none"/>
        </w:rPr>
        <w:fldChar w:fldCharType="begin"/>
      </w:r>
      <w:r>
        <w:rPr>
          <w:rFonts w:hint="default" w:ascii="Times New Roman" w:hAnsi="Times New Roman" w:eastAsia="楷体" w:cs="Times New Roman"/>
          <w:color w:val="auto"/>
          <w:highlight w:val="none"/>
        </w:rPr>
        <w:instrText xml:space="preserve"> PAGEREF _Toc28054 </w:instrText>
      </w:r>
      <w:r>
        <w:rPr>
          <w:rFonts w:hint="default" w:ascii="Times New Roman" w:hAnsi="Times New Roman" w:eastAsia="楷体" w:cs="Times New Roman"/>
          <w:color w:val="auto"/>
          <w:highlight w:val="none"/>
        </w:rPr>
        <w:fldChar w:fldCharType="separate"/>
      </w:r>
      <w:r>
        <w:rPr>
          <w:rFonts w:hint="default" w:ascii="Times New Roman" w:hAnsi="Times New Roman" w:eastAsia="楷体" w:cs="Times New Roman"/>
          <w:color w:val="auto"/>
          <w:highlight w:val="none"/>
        </w:rPr>
        <w:t>- 220 -</w:t>
      </w:r>
      <w:r>
        <w:rPr>
          <w:rFonts w:hint="default" w:ascii="Times New Roman" w:hAnsi="Times New Roman" w:eastAsia="楷体" w:cs="Times New Roman"/>
          <w:color w:val="auto"/>
          <w:highlight w:val="none"/>
        </w:rPr>
        <w:fldChar w:fldCharType="end"/>
      </w:r>
      <w:r>
        <w:rPr>
          <w:rFonts w:hint="default" w:ascii="Times New Roman" w:hAnsi="Times New Roman" w:eastAsia="楷体" w:cs="Times New Roman"/>
          <w:color w:val="auto"/>
          <w:kern w:val="0"/>
          <w:highlight w:val="none"/>
        </w:rPr>
        <w:fldChar w:fldCharType="end"/>
      </w:r>
    </w:p>
    <w:p w14:paraId="26A8FA95">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_Toc2574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highlight w:val="none"/>
        </w:rPr>
        <w:t>7.1 启动与结束条件</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_Toc2574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- 220 -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66E3C1CA">
      <w:pPr>
        <w:pStyle w:val="14"/>
        <w:tabs>
          <w:tab w:val="right" w:leader="dot" w:pos="8306"/>
        </w:tabs>
        <w:spacing w:line="520" w:lineRule="exact"/>
        <w:ind w:firstLine="560"/>
        <w:rPr>
          <w:rFonts w:hint="default" w:ascii="Times New Roman" w:hAnsi="Times New Roman" w:eastAsia="楷体" w:cs="Times New Roman"/>
          <w:bCs/>
          <w:color w:val="auto"/>
          <w:highlight w:val="none"/>
        </w:rPr>
      </w:pPr>
      <w:r>
        <w:rPr>
          <w:rFonts w:hint="default" w:ascii="Times New Roman" w:hAnsi="Times New Roman" w:eastAsia="楷体" w:cs="Times New Roman"/>
          <w:bCs/>
          <w:color w:val="auto"/>
          <w:kern w:val="0"/>
          <w:szCs w:val="28"/>
          <w:highlight w:val="none"/>
        </w:rPr>
        <w:fldChar w:fldCharType="begin"/>
      </w:r>
      <w:r>
        <w:rPr>
          <w:rFonts w:hint="default" w:ascii="Times New Roman" w:hAnsi="Times New Roman" w:eastAsia="楷体" w:cs="Times New Roman"/>
          <w:bCs/>
          <w:color w:val="auto"/>
          <w:kern w:val="0"/>
          <w:szCs w:val="28"/>
          <w:highlight w:val="none"/>
        </w:rPr>
        <w:instrText xml:space="preserve"> HYPERLINK \l _Toc369 </w:instrText>
      </w:r>
      <w:r>
        <w:rPr>
          <w:rFonts w:hint="default" w:ascii="Times New Roman" w:hAnsi="Times New Roman" w:eastAsia="楷体" w:cs="Times New Roman"/>
          <w:bCs/>
          <w:color w:val="auto"/>
          <w:kern w:val="0"/>
          <w:szCs w:val="28"/>
          <w:highlight w:val="none"/>
        </w:rPr>
        <w:fldChar w:fldCharType="separate"/>
      </w:r>
      <w:r>
        <w:rPr>
          <w:rFonts w:hint="default" w:ascii="Times New Roman" w:hAnsi="Times New Roman" w:eastAsia="楷体" w:cs="Times New Roman"/>
          <w:bCs/>
          <w:color w:val="auto"/>
          <w:highlight w:val="none"/>
        </w:rPr>
        <w:t>7.2 决策机构与程序</w:t>
      </w:r>
      <w:r>
        <w:rPr>
          <w:rFonts w:hint="default" w:ascii="Times New Roman" w:hAnsi="Times New Roman" w:eastAsia="楷体" w:cs="Times New Roman"/>
          <w:bCs/>
          <w:color w:val="auto"/>
          <w:highlight w:val="none"/>
        </w:rPr>
        <w:tab/>
      </w:r>
      <w:r>
        <w:rPr>
          <w:rFonts w:hint="default" w:ascii="Times New Roman" w:hAnsi="Times New Roman" w:eastAsia="楷体" w:cs="Times New Roman"/>
          <w:bCs/>
          <w:color w:val="auto"/>
          <w:highlight w:val="none"/>
        </w:rPr>
        <w:fldChar w:fldCharType="begin"/>
      </w:r>
      <w:r>
        <w:rPr>
          <w:rFonts w:hint="default" w:ascii="Times New Roman" w:hAnsi="Times New Roman" w:eastAsia="楷体" w:cs="Times New Roman"/>
          <w:bCs/>
          <w:color w:val="auto"/>
          <w:highlight w:val="none"/>
        </w:rPr>
        <w:instrText xml:space="preserve"> PAGEREF _Toc369 </w:instrText>
      </w:r>
      <w:r>
        <w:rPr>
          <w:rFonts w:hint="default" w:ascii="Times New Roman" w:hAnsi="Times New Roman" w:eastAsia="楷体" w:cs="Times New Roman"/>
          <w:bCs/>
          <w:color w:val="auto"/>
          <w:highlight w:val="none"/>
        </w:rPr>
        <w:fldChar w:fldCharType="separate"/>
      </w:r>
      <w:r>
        <w:rPr>
          <w:rFonts w:hint="default" w:ascii="Times New Roman" w:hAnsi="Times New Roman" w:eastAsia="楷体" w:cs="Times New Roman"/>
          <w:bCs/>
          <w:color w:val="auto"/>
          <w:highlight w:val="none"/>
        </w:rPr>
        <w:t>- 220 -</w:t>
      </w:r>
      <w:r>
        <w:rPr>
          <w:rFonts w:hint="default" w:ascii="Times New Roman" w:hAnsi="Times New Roman" w:eastAsia="楷体" w:cs="Times New Roman"/>
          <w:bCs/>
          <w:color w:val="auto"/>
          <w:highlight w:val="none"/>
        </w:rPr>
        <w:fldChar w:fldCharType="end"/>
      </w:r>
      <w:r>
        <w:rPr>
          <w:rFonts w:hint="default" w:ascii="Times New Roman" w:hAnsi="Times New Roman" w:eastAsia="楷体" w:cs="Times New Roman"/>
          <w:bCs/>
          <w:color w:val="auto"/>
          <w:kern w:val="0"/>
          <w:szCs w:val="28"/>
          <w:highlight w:val="none"/>
        </w:rPr>
        <w:fldChar w:fldCharType="end"/>
      </w:r>
    </w:p>
    <w:p w14:paraId="22AA3229">
      <w:pPr>
        <w:pStyle w:val="13"/>
        <w:tabs>
          <w:tab w:val="right" w:leader="dot" w:pos="8306"/>
          <w:tab w:val="clear" w:pos="8296"/>
        </w:tabs>
        <w:spacing w:line="520" w:lineRule="exact"/>
        <w:ind w:firstLine="562"/>
        <w:rPr>
          <w:rFonts w:hint="default" w:ascii="Times New Roman" w:hAnsi="Times New Roman" w:eastAsia="楷体" w:cs="Times New Roman"/>
          <w:color w:val="auto"/>
          <w:highlight w:val="none"/>
        </w:rPr>
      </w:pPr>
      <w:r>
        <w:rPr>
          <w:rFonts w:hint="default" w:ascii="Times New Roman" w:hAnsi="Times New Roman" w:eastAsia="楷体" w:cs="Times New Roman"/>
          <w:color w:val="auto"/>
          <w:kern w:val="0"/>
          <w:highlight w:val="none"/>
        </w:rPr>
        <w:fldChar w:fldCharType="begin"/>
      </w:r>
      <w:r>
        <w:rPr>
          <w:rFonts w:hint="default" w:ascii="Times New Roman" w:hAnsi="Times New Roman" w:eastAsia="楷体" w:cs="Times New Roman"/>
          <w:color w:val="auto"/>
          <w:kern w:val="0"/>
          <w:highlight w:val="none"/>
        </w:rPr>
        <w:instrText xml:space="preserve"> HYPERLINK \l _Toc15125 </w:instrText>
      </w:r>
      <w:r>
        <w:rPr>
          <w:rFonts w:hint="default" w:ascii="Times New Roman" w:hAnsi="Times New Roman" w:eastAsia="楷体" w:cs="Times New Roman"/>
          <w:color w:val="auto"/>
          <w:kern w:val="0"/>
          <w:highlight w:val="none"/>
        </w:rPr>
        <w:fldChar w:fldCharType="separate"/>
      </w:r>
      <w:r>
        <w:rPr>
          <w:rFonts w:hint="default" w:ascii="Times New Roman" w:hAnsi="Times New Roman" w:eastAsia="楷体" w:cs="Times New Roman"/>
          <w:color w:val="auto"/>
          <w:szCs w:val="32"/>
          <w:highlight w:val="none"/>
        </w:rPr>
        <w:t>8 附件</w:t>
      </w:r>
      <w:r>
        <w:rPr>
          <w:rFonts w:hint="default" w:ascii="Times New Roman" w:hAnsi="Times New Roman" w:eastAsia="楷体" w:cs="Times New Roman"/>
          <w:color w:val="auto"/>
          <w:highlight w:val="none"/>
        </w:rPr>
        <w:tab/>
      </w:r>
      <w:r>
        <w:rPr>
          <w:rFonts w:hint="default" w:ascii="Times New Roman" w:hAnsi="Times New Roman" w:eastAsia="楷体" w:cs="Times New Roman"/>
          <w:color w:val="auto"/>
          <w:highlight w:val="none"/>
        </w:rPr>
        <w:fldChar w:fldCharType="begin"/>
      </w:r>
      <w:r>
        <w:rPr>
          <w:rFonts w:hint="default" w:ascii="Times New Roman" w:hAnsi="Times New Roman" w:eastAsia="楷体" w:cs="Times New Roman"/>
          <w:color w:val="auto"/>
          <w:highlight w:val="none"/>
        </w:rPr>
        <w:instrText xml:space="preserve"> PAGEREF _Toc15125 </w:instrText>
      </w:r>
      <w:r>
        <w:rPr>
          <w:rFonts w:hint="default" w:ascii="Times New Roman" w:hAnsi="Times New Roman" w:eastAsia="楷体" w:cs="Times New Roman"/>
          <w:color w:val="auto"/>
          <w:highlight w:val="none"/>
        </w:rPr>
        <w:fldChar w:fldCharType="separate"/>
      </w:r>
      <w:r>
        <w:rPr>
          <w:rFonts w:hint="default" w:ascii="Times New Roman" w:hAnsi="Times New Roman" w:eastAsia="楷体" w:cs="Times New Roman"/>
          <w:color w:val="auto"/>
          <w:highlight w:val="none"/>
        </w:rPr>
        <w:t>- 221 -</w:t>
      </w:r>
      <w:r>
        <w:rPr>
          <w:rFonts w:hint="default" w:ascii="Times New Roman" w:hAnsi="Times New Roman" w:eastAsia="楷体" w:cs="Times New Roman"/>
          <w:color w:val="auto"/>
          <w:highlight w:val="none"/>
        </w:rPr>
        <w:fldChar w:fldCharType="end"/>
      </w:r>
      <w:r>
        <w:rPr>
          <w:rFonts w:hint="default" w:ascii="Times New Roman" w:hAnsi="Times New Roman" w:eastAsia="楷体" w:cs="Times New Roman"/>
          <w:color w:val="auto"/>
          <w:kern w:val="0"/>
          <w:highlight w:val="none"/>
        </w:rPr>
        <w:fldChar w:fldCharType="end"/>
      </w:r>
    </w:p>
    <w:p w14:paraId="31A4F109">
      <w:pPr>
        <w:spacing w:line="480" w:lineRule="exact"/>
        <w:rPr>
          <w:rFonts w:hint="default" w:ascii="Times New Roman" w:hAnsi="Times New Roman" w:eastAsia="楷体" w:cs="Times New Roman"/>
          <w:b/>
          <w:color w:val="auto"/>
          <w:kern w:val="0"/>
          <w:szCs w:val="28"/>
          <w:highlight w:val="none"/>
        </w:rPr>
      </w:pPr>
      <w:r>
        <w:rPr>
          <w:rFonts w:hint="default" w:ascii="Times New Roman" w:hAnsi="Times New Roman" w:eastAsia="楷体" w:cs="Times New Roman"/>
          <w:b/>
          <w:color w:val="auto"/>
          <w:kern w:val="0"/>
          <w:szCs w:val="28"/>
          <w:highlight w:val="none"/>
        </w:rPr>
        <w:fldChar w:fldCharType="end"/>
      </w:r>
    </w:p>
    <w:p w14:paraId="0ACAEF0C">
      <w:pPr>
        <w:rPr>
          <w:rStyle w:val="47"/>
          <w:rFonts w:hint="default" w:ascii="Times New Roman" w:hAnsi="Times New Roman" w:eastAsia="楷体" w:cs="Times New Roman"/>
          <w:b/>
          <w:bCs/>
          <w:color w:val="auto"/>
          <w:sz w:val="36"/>
          <w:szCs w:val="36"/>
          <w:highlight w:val="none"/>
        </w:rPr>
        <w:sectPr>
          <w:headerReference r:id="rId7" w:type="default"/>
          <w:footerReference r:id="rId8" w:type="default"/>
          <w:pgSz w:w="11906" w:h="16838"/>
          <w:pgMar w:top="1440" w:right="1800" w:bottom="1440" w:left="1800" w:header="851" w:footer="992" w:gutter="0"/>
          <w:pgNumType w:fmt="numberInDash" w:start="190"/>
          <w:cols w:space="720" w:num="1"/>
          <w:docGrid w:type="lines" w:linePitch="312" w:charSpace="0"/>
        </w:sectPr>
      </w:pPr>
    </w:p>
    <w:p w14:paraId="102E71D0">
      <w:pPr>
        <w:rPr>
          <w:rStyle w:val="48"/>
          <w:rFonts w:hint="default" w:ascii="Times New Roman" w:hAnsi="Times New Roman" w:eastAsia="楷体" w:cs="Times New Roman"/>
          <w:color w:val="auto"/>
          <w:sz w:val="24"/>
          <w:highlight w:val="none"/>
        </w:rPr>
      </w:pPr>
    </w:p>
    <w:p w14:paraId="011DD5D7">
      <w:pPr>
        <w:adjustRightInd w:val="0"/>
        <w:snapToGrid w:val="0"/>
        <w:spacing w:line="520" w:lineRule="exact"/>
        <w:jc w:val="center"/>
        <w:outlineLvl w:val="0"/>
        <w:rPr>
          <w:rStyle w:val="48"/>
          <w:rFonts w:hint="default" w:ascii="Times New Roman" w:hAnsi="Times New Roman" w:eastAsia="楷体" w:cs="Times New Roman"/>
          <w:b/>
          <w:bCs/>
          <w:color w:val="auto"/>
          <w:sz w:val="36"/>
          <w:szCs w:val="36"/>
          <w:highlight w:val="none"/>
        </w:rPr>
      </w:pPr>
      <w:bookmarkStart w:id="27" w:name="_Toc32304"/>
      <w:r>
        <w:rPr>
          <w:rStyle w:val="48"/>
          <w:rFonts w:hint="default" w:ascii="Times New Roman" w:hAnsi="Times New Roman" w:eastAsia="楷体" w:cs="Times New Roman"/>
          <w:b/>
          <w:bCs/>
          <w:color w:val="auto"/>
          <w:sz w:val="36"/>
          <w:szCs w:val="36"/>
          <w:highlight w:val="none"/>
        </w:rPr>
        <w:t>1 总则</w:t>
      </w:r>
      <w:bookmarkEnd w:id="27"/>
    </w:p>
    <w:p w14:paraId="5C228BBA">
      <w:pPr>
        <w:adjustRightInd w:val="0"/>
        <w:snapToGrid w:val="0"/>
        <w:spacing w:before="156" w:beforeLines="50" w:after="156" w:afterLines="50" w:line="360" w:lineRule="auto"/>
        <w:outlineLvl w:val="1"/>
        <w:rPr>
          <w:rFonts w:hint="default" w:ascii="Times New Roman" w:hAnsi="Times New Roman" w:eastAsia="楷体" w:cs="Times New Roman"/>
          <w:color w:val="auto"/>
          <w:sz w:val="32"/>
          <w:szCs w:val="20"/>
          <w:highlight w:val="none"/>
        </w:rPr>
      </w:pPr>
      <w:bookmarkStart w:id="28" w:name="_Toc10067"/>
      <w:r>
        <w:rPr>
          <w:rStyle w:val="48"/>
          <w:rFonts w:hint="default" w:ascii="Times New Roman" w:hAnsi="Times New Roman" w:eastAsia="楷体" w:cs="Times New Roman"/>
          <w:b/>
          <w:bCs/>
          <w:color w:val="auto"/>
          <w:sz w:val="32"/>
          <w:highlight w:val="none"/>
        </w:rPr>
        <w:t>1.1 目的</w:t>
      </w:r>
      <w:bookmarkEnd w:id="28"/>
    </w:p>
    <w:p w14:paraId="41B4D31B">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为提高丰收水库突发事件应对能力，切实做好丰收水库遭遇突发事件的防洪抢险调度和险情抢护工作，力保丰收水库工程安全，最大程度保障人民群众生命安全，减少损失，结合实际运行情况，编制《丰收水库防洪抢险应急预案》（以下简称《应急预案》）。</w:t>
      </w:r>
    </w:p>
    <w:p w14:paraId="63B01426">
      <w:pPr>
        <w:adjustRightInd w:val="0"/>
        <w:snapToGrid w:val="0"/>
        <w:spacing w:before="156" w:beforeLines="50" w:after="156" w:afterLines="50" w:line="360" w:lineRule="auto"/>
        <w:outlineLvl w:val="1"/>
        <w:rPr>
          <w:rStyle w:val="48"/>
          <w:rFonts w:hint="default" w:ascii="Times New Roman" w:hAnsi="Times New Roman" w:eastAsia="楷体" w:cs="Times New Roman"/>
          <w:b/>
          <w:bCs/>
          <w:color w:val="auto"/>
          <w:sz w:val="32"/>
          <w:highlight w:val="none"/>
        </w:rPr>
      </w:pPr>
      <w:bookmarkStart w:id="29" w:name="_Toc19894"/>
      <w:r>
        <w:rPr>
          <w:rStyle w:val="48"/>
          <w:rFonts w:hint="default" w:ascii="Times New Roman" w:hAnsi="Times New Roman" w:eastAsia="楷体" w:cs="Times New Roman"/>
          <w:b/>
          <w:bCs/>
          <w:color w:val="auto"/>
          <w:sz w:val="32"/>
          <w:highlight w:val="none"/>
        </w:rPr>
        <w:t>1.2 编制依据</w:t>
      </w:r>
      <w:bookmarkEnd w:id="29"/>
    </w:p>
    <w:p w14:paraId="73EBB13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根据省防指《福建省水库大坝汛期防洪调度运用计划和防洪抢险应急预案审批管理办法（试行）》（闽防〔2010〕1号）文件，编制《应急预案》。主要依据的法律法规和文件有：</w:t>
      </w:r>
    </w:p>
    <w:p w14:paraId="0E966F2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1.《水库防汛抢险应急预案编制大纲》</w:t>
      </w:r>
    </w:p>
    <w:p w14:paraId="491B94C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2.《福建省水库大坝安全管理规定（试行）》（闽政〔2009〕24号）；</w:t>
      </w:r>
    </w:p>
    <w:p w14:paraId="6B4084F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3.《中华人民共和国防洪法》；</w:t>
      </w:r>
    </w:p>
    <w:p w14:paraId="13B2FC2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4.《中华人民共和国防汛条</w:t>
      </w:r>
      <w:r>
        <w:rPr>
          <w:rFonts w:hint="eastAsia" w:eastAsia="楷体" w:cs="Times New Roman"/>
          <w:color w:val="auto"/>
          <w:sz w:val="28"/>
          <w:szCs w:val="28"/>
          <w:highlight w:val="none"/>
          <w:lang w:val="en-US" w:eastAsia="zh-CN"/>
        </w:rPr>
        <w:t>例</w:t>
      </w:r>
      <w:bookmarkStart w:id="78" w:name="_GoBack"/>
      <w:bookmarkEnd w:id="78"/>
      <w:r>
        <w:rPr>
          <w:rFonts w:hint="default" w:ascii="Times New Roman" w:hAnsi="Times New Roman" w:eastAsia="楷体" w:cs="Times New Roman"/>
          <w:color w:val="auto"/>
          <w:sz w:val="28"/>
          <w:szCs w:val="28"/>
          <w:highlight w:val="none"/>
        </w:rPr>
        <w:t>》；</w:t>
      </w:r>
    </w:p>
    <w:p w14:paraId="76BE4931">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5.《综合利用水库调度通则》；</w:t>
      </w:r>
    </w:p>
    <w:p w14:paraId="3677FA9B">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6.《防洪标准》（GB50201-2014）；</w:t>
      </w:r>
    </w:p>
    <w:p w14:paraId="66B0B310">
      <w:pPr>
        <w:widowControl/>
        <w:spacing w:line="520" w:lineRule="exact"/>
        <w:ind w:firstLine="560" w:firstLineChars="200"/>
        <w:jc w:val="lef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7.《水利水电工程等级划分及洪水标准》（SL252-2017）；</w:t>
      </w:r>
    </w:p>
    <w:p w14:paraId="6EA43C06">
      <w:pPr>
        <w:widowControl/>
        <w:spacing w:line="520" w:lineRule="exact"/>
        <w:ind w:firstLine="560" w:firstLineChars="200"/>
        <w:jc w:val="left"/>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8.《福建省防洪条例》</w:t>
      </w:r>
      <w:r>
        <w:rPr>
          <w:rFonts w:hint="default" w:ascii="Times New Roman" w:hAnsi="Times New Roman" w:eastAsia="楷体" w:cs="Times New Roman"/>
          <w:color w:val="auto"/>
          <w:sz w:val="28"/>
          <w:szCs w:val="28"/>
          <w:highlight w:val="none"/>
          <w:lang w:eastAsia="zh-CN"/>
        </w:rPr>
        <w:t>；</w:t>
      </w:r>
    </w:p>
    <w:p w14:paraId="2164EFA7">
      <w:pPr>
        <w:widowControl/>
        <w:spacing w:line="520" w:lineRule="exact"/>
        <w:ind w:firstLine="560" w:firstLineChars="200"/>
        <w:jc w:val="left"/>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 xml:space="preserve">9. </w:t>
      </w:r>
      <w:r>
        <w:rPr>
          <w:rFonts w:hint="default" w:ascii="Times New Roman" w:hAnsi="Times New Roman" w:eastAsia="楷体" w:cs="Times New Roman"/>
          <w:sz w:val="28"/>
          <w:szCs w:val="28"/>
          <w:lang w:val="en-US" w:eastAsia="zh-CN"/>
        </w:rPr>
        <w:t>《福建省人民政府防汛抗旱指挥部办公室关于传达省领导在省防指全体成员会议上讲话精神的通知》（闽汛办电〔2019〕11号）。</w:t>
      </w:r>
    </w:p>
    <w:p w14:paraId="7D7C8CDB">
      <w:pPr>
        <w:adjustRightInd w:val="0"/>
        <w:snapToGrid w:val="0"/>
        <w:spacing w:before="156" w:beforeLines="50" w:after="156" w:afterLines="50" w:line="360" w:lineRule="auto"/>
        <w:outlineLvl w:val="1"/>
        <w:rPr>
          <w:rStyle w:val="48"/>
          <w:rFonts w:hint="default" w:ascii="Times New Roman" w:hAnsi="Times New Roman" w:eastAsia="楷体" w:cs="Times New Roman"/>
          <w:b/>
          <w:bCs/>
          <w:color w:val="auto"/>
          <w:sz w:val="32"/>
          <w:highlight w:val="none"/>
        </w:rPr>
      </w:pPr>
      <w:bookmarkStart w:id="30" w:name="_Toc30233"/>
      <w:r>
        <w:rPr>
          <w:rStyle w:val="48"/>
          <w:rFonts w:hint="default" w:ascii="Times New Roman" w:hAnsi="Times New Roman" w:eastAsia="楷体" w:cs="Times New Roman"/>
          <w:b/>
          <w:bCs/>
          <w:color w:val="auto"/>
          <w:sz w:val="32"/>
          <w:highlight w:val="none"/>
        </w:rPr>
        <w:t>1.3 工作原则</w:t>
      </w:r>
      <w:bookmarkEnd w:id="30"/>
    </w:p>
    <w:p w14:paraId="6E9CDA2F">
      <w:pPr>
        <w:widowControl/>
        <w:spacing w:line="520" w:lineRule="exact"/>
        <w:ind w:firstLine="560" w:firstLineChars="200"/>
        <w:jc w:val="left"/>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28"/>
          <w:szCs w:val="28"/>
          <w:highlight w:val="none"/>
        </w:rPr>
        <w:t>《应急预案》的编制应坚持“安全第一、常备不懈、以防为主、全力抢险”的防洪工作方针，围绕“准备充分、调度科学、反应迅速、决策准确、保障有力”的总体要求，防洪工作实行全面规划、统筹兼顾、预防为主、综合治理、局部利益服从全局利益的原则；贯彻行政首长负责制，以防为主，防抢结合；全面部署，保证重点，统一指挥，统一调度，服从大局，团结抗洪；明确职责，规范工作；工程措施和非工程措施相结合，调动一切力量防洪抗灾，以确保人民群众生命安全为首要目标，最大限度地降低洪涝灾害造成的损失。</w:t>
      </w:r>
    </w:p>
    <w:p w14:paraId="6C1E5044">
      <w:pPr>
        <w:adjustRightInd w:val="0"/>
        <w:snapToGrid w:val="0"/>
        <w:spacing w:before="156" w:beforeLines="50" w:after="156" w:afterLines="50"/>
        <w:outlineLvl w:val="1"/>
        <w:rPr>
          <w:rFonts w:hint="default" w:ascii="Times New Roman" w:hAnsi="Times New Roman" w:eastAsia="楷体" w:cs="Times New Roman"/>
          <w:b/>
          <w:color w:val="auto"/>
          <w:sz w:val="32"/>
          <w:szCs w:val="30"/>
          <w:highlight w:val="none"/>
        </w:rPr>
      </w:pPr>
      <w:bookmarkStart w:id="31" w:name="_Toc26488"/>
      <w:r>
        <w:rPr>
          <w:rFonts w:hint="default" w:ascii="Times New Roman" w:hAnsi="Times New Roman" w:eastAsia="楷体" w:cs="Times New Roman"/>
          <w:b/>
          <w:color w:val="auto"/>
          <w:sz w:val="32"/>
          <w:szCs w:val="30"/>
          <w:highlight w:val="none"/>
        </w:rPr>
        <w:t>1.4 适用范围</w:t>
      </w:r>
      <w:bookmarkEnd w:id="31"/>
    </w:p>
    <w:p w14:paraId="0A1E8197">
      <w:pPr>
        <w:widowControl/>
        <w:spacing w:line="520" w:lineRule="exact"/>
        <w:ind w:firstLine="560" w:firstLineChars="200"/>
        <w:jc w:val="lef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当水库遭遇以下突发事件而使水库工程出现险情时，启动本预案进行抗洪抢险。</w:t>
      </w:r>
    </w:p>
    <w:p w14:paraId="1720C5F1">
      <w:pPr>
        <w:numPr>
          <w:ilvl w:val="0"/>
          <w:numId w:val="7"/>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工程隐患，主要体现在①挡水建筑物：发生严重的大坝裂缝、滑坡、管涌以及漏水、大面积散渗、集中渗流、决口等危及大坝安全的险情。②泄水建筑物：紧急泄洪时溢洪道启闭设备失灵，侧墙倒塌，底部严重冲刷等危及大坝安全的险情。③放水涵洞出现严重断裂或堵塞，大量漏水，启闭设备失灵等可能危及大坝安全的险情。（2）遭遇超标准洪水；（3）库区水面附近山体的滑坡和塌方等地质灾害；（4）地震灾害；（5）上游水库溃坝；（6）上游大体积漂移物的撞击事件；（7）战争或恐怖事件；（8）其它突发事件。</w:t>
      </w:r>
    </w:p>
    <w:p w14:paraId="441A54E5">
      <w:pPr>
        <w:spacing w:line="360" w:lineRule="auto"/>
        <w:rPr>
          <w:rFonts w:hint="default" w:ascii="Times New Roman" w:hAnsi="Times New Roman" w:eastAsia="楷体" w:cs="Times New Roman"/>
          <w:color w:val="auto"/>
          <w:sz w:val="32"/>
          <w:szCs w:val="32"/>
          <w:highlight w:val="none"/>
        </w:rPr>
      </w:pPr>
    </w:p>
    <w:p w14:paraId="39FE733E">
      <w:pPr>
        <w:spacing w:line="360" w:lineRule="auto"/>
        <w:rPr>
          <w:rFonts w:hint="default" w:ascii="Times New Roman" w:hAnsi="Times New Roman" w:eastAsia="楷体" w:cs="Times New Roman"/>
          <w:color w:val="auto"/>
          <w:sz w:val="32"/>
          <w:szCs w:val="32"/>
          <w:highlight w:val="none"/>
        </w:rPr>
      </w:pPr>
    </w:p>
    <w:p w14:paraId="0CB53164">
      <w:pPr>
        <w:spacing w:line="360" w:lineRule="auto"/>
        <w:rPr>
          <w:rFonts w:hint="default" w:ascii="Times New Roman" w:hAnsi="Times New Roman" w:eastAsia="楷体" w:cs="Times New Roman"/>
          <w:color w:val="auto"/>
          <w:sz w:val="32"/>
          <w:szCs w:val="32"/>
          <w:highlight w:val="none"/>
        </w:rPr>
      </w:pPr>
    </w:p>
    <w:p w14:paraId="54F19825">
      <w:pPr>
        <w:spacing w:line="360" w:lineRule="auto"/>
        <w:rPr>
          <w:rFonts w:hint="default" w:ascii="Times New Roman" w:hAnsi="Times New Roman" w:eastAsia="楷体" w:cs="Times New Roman"/>
          <w:color w:val="auto"/>
          <w:sz w:val="32"/>
          <w:szCs w:val="32"/>
          <w:highlight w:val="none"/>
        </w:rPr>
      </w:pPr>
    </w:p>
    <w:p w14:paraId="56AFFB10">
      <w:pPr>
        <w:spacing w:line="360" w:lineRule="auto"/>
        <w:rPr>
          <w:rFonts w:hint="default" w:ascii="Times New Roman" w:hAnsi="Times New Roman" w:eastAsia="楷体" w:cs="Times New Roman"/>
          <w:color w:val="auto"/>
          <w:sz w:val="32"/>
          <w:szCs w:val="32"/>
          <w:highlight w:val="none"/>
        </w:rPr>
      </w:pPr>
    </w:p>
    <w:p w14:paraId="6EB2F839">
      <w:pPr>
        <w:spacing w:line="360" w:lineRule="auto"/>
        <w:rPr>
          <w:rFonts w:hint="default" w:ascii="Times New Roman" w:hAnsi="Times New Roman" w:eastAsia="楷体" w:cs="Times New Roman"/>
          <w:color w:val="auto"/>
          <w:sz w:val="32"/>
          <w:szCs w:val="32"/>
          <w:highlight w:val="none"/>
        </w:rPr>
      </w:pPr>
    </w:p>
    <w:p w14:paraId="5D83C46F">
      <w:pPr>
        <w:spacing w:line="360" w:lineRule="auto"/>
        <w:rPr>
          <w:rFonts w:hint="default" w:ascii="Times New Roman" w:hAnsi="Times New Roman" w:eastAsia="楷体" w:cs="Times New Roman"/>
          <w:color w:val="auto"/>
          <w:sz w:val="32"/>
          <w:szCs w:val="32"/>
          <w:highlight w:val="none"/>
        </w:rPr>
      </w:pPr>
    </w:p>
    <w:p w14:paraId="18341A66">
      <w:pPr>
        <w:spacing w:line="360" w:lineRule="auto"/>
        <w:rPr>
          <w:rFonts w:hint="default" w:ascii="Times New Roman" w:hAnsi="Times New Roman" w:eastAsia="楷体" w:cs="Times New Roman"/>
          <w:color w:val="auto"/>
          <w:sz w:val="32"/>
          <w:szCs w:val="32"/>
          <w:highlight w:val="none"/>
        </w:rPr>
      </w:pPr>
    </w:p>
    <w:p w14:paraId="4A3F22D5">
      <w:pPr>
        <w:spacing w:line="360" w:lineRule="auto"/>
        <w:rPr>
          <w:rFonts w:hint="default" w:ascii="Times New Roman" w:hAnsi="Times New Roman" w:eastAsia="楷体" w:cs="Times New Roman"/>
          <w:color w:val="auto"/>
          <w:sz w:val="32"/>
          <w:szCs w:val="32"/>
          <w:highlight w:val="none"/>
        </w:rPr>
      </w:pPr>
    </w:p>
    <w:p w14:paraId="389C3856">
      <w:pPr>
        <w:adjustRightInd w:val="0"/>
        <w:snapToGrid w:val="0"/>
        <w:spacing w:line="520" w:lineRule="exact"/>
        <w:jc w:val="center"/>
        <w:outlineLvl w:val="0"/>
        <w:rPr>
          <w:rFonts w:hint="default" w:ascii="Times New Roman" w:hAnsi="Times New Roman" w:eastAsia="楷体" w:cs="Times New Roman"/>
          <w:b/>
          <w:color w:val="auto"/>
          <w:sz w:val="36"/>
          <w:szCs w:val="36"/>
          <w:highlight w:val="none"/>
        </w:rPr>
      </w:pPr>
      <w:bookmarkStart w:id="32" w:name="_Toc23606"/>
      <w:r>
        <w:rPr>
          <w:rFonts w:hint="default" w:ascii="Times New Roman" w:hAnsi="Times New Roman" w:eastAsia="楷体" w:cs="Times New Roman"/>
          <w:b/>
          <w:color w:val="auto"/>
          <w:sz w:val="36"/>
          <w:szCs w:val="36"/>
          <w:highlight w:val="none"/>
        </w:rPr>
        <w:t>2 工程概况</w:t>
      </w:r>
      <w:bookmarkEnd w:id="32"/>
    </w:p>
    <w:p w14:paraId="137833BD">
      <w:pPr>
        <w:adjustRightInd w:val="0"/>
        <w:snapToGrid w:val="0"/>
        <w:spacing w:before="156" w:beforeLines="50" w:after="156" w:afterLines="50"/>
        <w:outlineLvl w:val="1"/>
        <w:rPr>
          <w:rFonts w:hint="default" w:ascii="Times New Roman" w:hAnsi="Times New Roman" w:eastAsia="楷体" w:cs="Times New Roman"/>
          <w:b/>
          <w:color w:val="auto"/>
          <w:sz w:val="32"/>
          <w:szCs w:val="30"/>
          <w:highlight w:val="none"/>
        </w:rPr>
      </w:pPr>
      <w:bookmarkStart w:id="33" w:name="_Toc18975"/>
      <w:r>
        <w:rPr>
          <w:rFonts w:hint="default" w:ascii="Times New Roman" w:hAnsi="Times New Roman" w:eastAsia="楷体" w:cs="Times New Roman"/>
          <w:b/>
          <w:color w:val="auto"/>
          <w:sz w:val="32"/>
          <w:szCs w:val="30"/>
          <w:highlight w:val="none"/>
        </w:rPr>
        <w:t>2.1 流域概况</w:t>
      </w:r>
      <w:bookmarkEnd w:id="33"/>
    </w:p>
    <w:p w14:paraId="1BF7EDCC">
      <w:pPr>
        <w:spacing w:line="520" w:lineRule="exact"/>
        <w:ind w:firstLine="56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丰收水库位于泉港区前黄镇古县村，系属坝头溪支流，是一座以农业灌溉为主，结合防洪、养殖等综合利用的小（2）型水库。丰收水库于1966年5月动工兴建，1971年2月工程基本建成。</w:t>
      </w:r>
    </w:p>
    <w:p w14:paraId="7C7EB99B">
      <w:pPr>
        <w:spacing w:line="520" w:lineRule="exact"/>
        <w:ind w:firstLine="56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该工程自建成投效以来，以农业灌溉为主，结合防洪、养殖等多方面中充分发挥了本工程的效益。水库有效灌溉面积300亩；水库下游涉及保护人口2000人，耕地3500亩，为当地农业生产和保证人民生命财产安全发挥了重要的作用。</w:t>
      </w:r>
    </w:p>
    <w:p w14:paraId="307E7E83">
      <w:pPr>
        <w:spacing w:line="520" w:lineRule="exact"/>
        <w:ind w:firstLine="60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丰收水库坝址以上集水面积为0.28km</w:t>
      </w:r>
      <w:r>
        <w:rPr>
          <w:rFonts w:hint="default" w:ascii="Times New Roman" w:hAnsi="Times New Roman" w:eastAsia="楷体" w:cs="Times New Roman"/>
          <w:color w:val="auto"/>
          <w:sz w:val="28"/>
          <w:szCs w:val="28"/>
          <w:highlight w:val="none"/>
          <w:vertAlign w:val="superscript"/>
        </w:rPr>
        <w:t>2</w:t>
      </w:r>
      <w:r>
        <w:rPr>
          <w:rFonts w:hint="default" w:ascii="Times New Roman" w:hAnsi="Times New Roman" w:eastAsia="楷体" w:cs="Times New Roman"/>
          <w:color w:val="auto"/>
          <w:sz w:val="28"/>
          <w:szCs w:val="28"/>
          <w:highlight w:val="none"/>
        </w:rPr>
        <w:t>，主河道河长1.255km，主河道平均坡降36.2‰。丰收水库在库区南侧有一跨流域引水渠，但因其进水口处有一闸门，在大暴雨期间将其关闭，洪水不会流入库区，因此此次调洪计算不考虑其影响。引水渠出水口以上集水面积为0.43km</w:t>
      </w:r>
      <w:r>
        <w:rPr>
          <w:rFonts w:hint="default" w:ascii="Times New Roman" w:hAnsi="Times New Roman" w:eastAsia="楷体" w:cs="Times New Roman"/>
          <w:color w:val="auto"/>
          <w:sz w:val="28"/>
          <w:szCs w:val="28"/>
          <w:highlight w:val="none"/>
          <w:vertAlign w:val="superscript"/>
        </w:rPr>
        <w:t>2</w:t>
      </w:r>
      <w:r>
        <w:rPr>
          <w:rFonts w:hint="default" w:ascii="Times New Roman" w:hAnsi="Times New Roman" w:eastAsia="楷体" w:cs="Times New Roman"/>
          <w:color w:val="auto"/>
          <w:sz w:val="28"/>
          <w:szCs w:val="28"/>
          <w:highlight w:val="none"/>
        </w:rPr>
        <w:t>，主河道河长1.14km，主河道平均坡降49‰。</w:t>
      </w:r>
    </w:p>
    <w:p w14:paraId="4242EDD6">
      <w:pPr>
        <w:adjustRightInd w:val="0"/>
        <w:snapToGrid w:val="0"/>
        <w:spacing w:line="520" w:lineRule="exact"/>
        <w:outlineLvl w:val="1"/>
        <w:rPr>
          <w:rFonts w:hint="default" w:ascii="Times New Roman" w:hAnsi="Times New Roman" w:eastAsia="楷体" w:cs="Times New Roman"/>
          <w:b/>
          <w:color w:val="auto"/>
          <w:sz w:val="32"/>
          <w:szCs w:val="30"/>
          <w:highlight w:val="none"/>
        </w:rPr>
      </w:pPr>
      <w:bookmarkStart w:id="34" w:name="_Toc26605"/>
      <w:r>
        <w:rPr>
          <w:rFonts w:hint="default" w:ascii="Times New Roman" w:hAnsi="Times New Roman" w:eastAsia="楷体" w:cs="Times New Roman"/>
          <w:b/>
          <w:color w:val="auto"/>
          <w:sz w:val="32"/>
          <w:szCs w:val="30"/>
          <w:highlight w:val="none"/>
        </w:rPr>
        <w:t>2.2 工程基本情况</w:t>
      </w:r>
      <w:bookmarkEnd w:id="34"/>
    </w:p>
    <w:p w14:paraId="14C0DF22">
      <w:pPr>
        <w:spacing w:line="520" w:lineRule="exact"/>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2.2.1 水库枢纽工程基本情况</w:t>
      </w:r>
    </w:p>
    <w:p w14:paraId="70A1904C">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丰收水库位于泉港区前黄镇古县村，系属坝头溪支流，是一座以农业灌溉为主，结合防洪、养殖等综合利用的小（2）型水库。丰收水库始建于1966年5月，1971年2月竣工并投入运行。坝址以上控制流域面积为0.28km</w:t>
      </w:r>
      <w:r>
        <w:rPr>
          <w:rFonts w:hint="default" w:ascii="Times New Roman" w:hAnsi="Times New Roman" w:eastAsia="楷体" w:cs="Times New Roman"/>
          <w:color w:val="auto"/>
          <w:sz w:val="28"/>
          <w:szCs w:val="28"/>
          <w:highlight w:val="none"/>
          <w:vertAlign w:val="superscript"/>
        </w:rPr>
        <w:t>2</w:t>
      </w:r>
      <w:r>
        <w:rPr>
          <w:rFonts w:hint="default" w:ascii="Times New Roman" w:hAnsi="Times New Roman" w:eastAsia="楷体" w:cs="Times New Roman"/>
          <w:color w:val="auto"/>
          <w:sz w:val="28"/>
          <w:szCs w:val="28"/>
          <w:highlight w:val="none"/>
        </w:rPr>
        <w:t>，主河道长0.8km，河道比降36.2‰，设计洪水位（P=5%）36.94m（黄零，下同），校核洪水位（P=0.33%）37.21m，水库总库容21.60万m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，正常蓄水位36.37m。</w:t>
      </w:r>
    </w:p>
    <w:p w14:paraId="49E5D34F">
      <w:pPr>
        <w:adjustRightIn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水库枢纽工程主要由大坝、溢洪道、放水涵洞组成。工程等别Ⅴ等，主要建筑物级别5级。</w:t>
      </w:r>
    </w:p>
    <w:p w14:paraId="15A3638B">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现状大坝为均质土坝，最大坝高14.3m，坝顶长181.9m，坝顶高程38.30m，坝顶宽6.8m。大坝迎水坡采用干砌石护坡，坡比自上而下分别为1:1.5、1:1.8，在高程34.20m处设有一道平台，平台宽14.0m；大坝背水坡采用草皮护坡，坡比自上而下分别为1:1.5、1:1.8，在高程33.50m处设有一道平台，平台宽度6.9m；背水坡坝脚设有排水棱体，排水棱体顶部高程28.00m，顶宽1.5m，排水棱体外坡设有浆砌条石渠道，渠道断面净尺寸0.8m×1.0m（宽×高），排水棱体内、外坡坡比分别为1:1.25、1:1.5。</w:t>
      </w:r>
    </w:p>
    <w:p w14:paraId="54A246F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溢洪道位于大坝右侧，基础位于坡残积土上，</w:t>
      </w:r>
      <w:r>
        <w:rPr>
          <w:rFonts w:hint="default" w:ascii="Times New Roman" w:hAnsi="Times New Roman" w:eastAsia="楷体" w:cs="Times New Roman"/>
          <w:color w:val="auto"/>
          <w:kern w:val="0"/>
          <w:sz w:val="28"/>
          <w:szCs w:val="28"/>
          <w:highlight w:val="none"/>
        </w:rPr>
        <w:t>型式为开敞式宽顶堰。</w:t>
      </w:r>
      <w:r>
        <w:rPr>
          <w:rFonts w:hint="default" w:ascii="Times New Roman" w:hAnsi="Times New Roman" w:eastAsia="楷体" w:cs="Times New Roman"/>
          <w:color w:val="auto"/>
          <w:sz w:val="28"/>
          <w:szCs w:val="28"/>
          <w:highlight w:val="none"/>
        </w:rPr>
        <w:t>现状实测</w:t>
      </w:r>
      <w:r>
        <w:rPr>
          <w:rFonts w:hint="default" w:ascii="Times New Roman" w:hAnsi="Times New Roman" w:eastAsia="楷体" w:cs="Times New Roman"/>
          <w:color w:val="auto"/>
          <w:kern w:val="0"/>
          <w:sz w:val="28"/>
          <w:szCs w:val="28"/>
          <w:highlight w:val="none"/>
        </w:rPr>
        <w:t>溢洪道堰顶高程为36.37m，</w:t>
      </w:r>
      <w:r>
        <w:rPr>
          <w:rFonts w:hint="default" w:ascii="Times New Roman" w:hAnsi="Times New Roman" w:eastAsia="楷体" w:cs="Times New Roman"/>
          <w:color w:val="auto"/>
          <w:sz w:val="28"/>
          <w:szCs w:val="28"/>
          <w:highlight w:val="none"/>
        </w:rPr>
        <w:t>堰顶净宽5.0m</w:t>
      </w:r>
      <w:r>
        <w:rPr>
          <w:rFonts w:hint="default" w:ascii="Times New Roman" w:hAnsi="Times New Roman" w:eastAsia="楷体" w:cs="Times New Roman"/>
          <w:color w:val="auto"/>
          <w:kern w:val="0"/>
          <w:sz w:val="28"/>
          <w:szCs w:val="28"/>
          <w:highlight w:val="none"/>
        </w:rPr>
        <w:t>。溢洪道全长94.3m</w:t>
      </w:r>
      <w:r>
        <w:rPr>
          <w:rFonts w:hint="default" w:ascii="Times New Roman" w:hAnsi="Times New Roman" w:eastAsia="楷体" w:cs="Times New Roman"/>
          <w:color w:val="auto"/>
          <w:sz w:val="28"/>
          <w:szCs w:val="28"/>
          <w:highlight w:val="none"/>
        </w:rPr>
        <w:t>，由进口段、平流控制段、渐变段、泄槽段及消力池组成。溢洪道进口段（溢0+000.0～溢0+006.0）长6.0m，宽5.0m；平流控制段（溢0+006.0～溢0+029.0）长23.0m，净宽5.0m；渐变段（溢0+029.0～溢0+060.0）长31.0m，宽度由5.0m渐变至3.0m，平均坡降i=0.090；泄槽段（溢0+060.0～溢0+086.0）全长26.0m，净宽3.0m，平均坡降i=0.27；消力池（溢0+086.0～溢0+094.3）长8.3m，净宽3.0m，池深0.9m，底坡i=0。溢洪道全段底板与侧墙采用浆砌条石砌筑，侧墙高度1.7m～0.5m。</w:t>
      </w:r>
    </w:p>
    <w:p w14:paraId="46DBBBA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丰收水库的放水涵洞位于大坝左侧，为圬工无压箱涵套φ500PE管，进口底高程29.34m，出口底高程为26.50m，全长70.5m。放水涵洞进水设施转动门盖，采用1台3t卷扬式启闭机启闭。放水涵洞最大放水流量0.43m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/s。</w:t>
      </w:r>
    </w:p>
    <w:p w14:paraId="6B4298F5">
      <w:pPr>
        <w:spacing w:line="520" w:lineRule="exact"/>
        <w:ind w:firstLine="60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该工程自建成投效以来，以农业灌溉为主，结合防洪、养殖等多方面中充分发挥了本工程的效益。水库设计灌溉面积300亩；水库下游涉及保护人口2000人，耕地3500亩，为当地农业生产和保证人民生命财产安全发挥了重要的作用。</w:t>
      </w:r>
    </w:p>
    <w:p w14:paraId="7077B532">
      <w:pPr>
        <w:spacing w:line="520" w:lineRule="exact"/>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2.2.2 水库有关技术参数及泄流曲线、库容曲线</w:t>
      </w:r>
    </w:p>
    <w:p w14:paraId="0B667E3B">
      <w:pPr>
        <w:autoSpaceDE w:val="0"/>
        <w:autoSpaceDN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（1）丰收水库库容曲线</w:t>
      </w:r>
    </w:p>
    <w:p w14:paraId="2466259F">
      <w:pPr>
        <w:autoSpaceDE w:val="0"/>
        <w:autoSpaceDN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根据《泉港区前黄镇丰收水库除险加固工程初步设计报告（报批稿）》（泉州市水利水电勘测设计院，2012年4月），丰收水库坝址水位库容关系曲线见表2-1。</w:t>
      </w:r>
    </w:p>
    <w:p w14:paraId="79928C79">
      <w:pPr>
        <w:pStyle w:val="45"/>
        <w:jc w:val="both"/>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表2-1                坝址水位库容关系曲线表</w:t>
      </w:r>
    </w:p>
    <w:tbl>
      <w:tblPr>
        <w:tblStyle w:val="18"/>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83"/>
        <w:gridCol w:w="2082"/>
        <w:gridCol w:w="2083"/>
        <w:gridCol w:w="2082"/>
      </w:tblGrid>
      <w:tr w14:paraId="5F796A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2083" w:type="dxa"/>
            <w:tcBorders>
              <w:tl2br w:val="nil"/>
              <w:tr2bl w:val="nil"/>
            </w:tcBorders>
            <w:noWrap w:val="0"/>
            <w:tcMar>
              <w:top w:w="15" w:type="dxa"/>
              <w:left w:w="15" w:type="dxa"/>
              <w:right w:w="15" w:type="dxa"/>
            </w:tcMar>
            <w:vAlign w:val="center"/>
          </w:tcPr>
          <w:p w14:paraId="336B2E0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高程(m)</w:t>
            </w:r>
          </w:p>
        </w:tc>
        <w:tc>
          <w:tcPr>
            <w:tcW w:w="2082" w:type="dxa"/>
            <w:tcBorders>
              <w:tl2br w:val="nil"/>
              <w:tr2bl w:val="nil"/>
            </w:tcBorders>
            <w:noWrap w:val="0"/>
            <w:tcMar>
              <w:top w:w="15" w:type="dxa"/>
              <w:left w:w="15" w:type="dxa"/>
              <w:right w:w="15" w:type="dxa"/>
            </w:tcMar>
            <w:vAlign w:val="center"/>
          </w:tcPr>
          <w:p w14:paraId="58210DC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库容(万m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w:t>
            </w:r>
          </w:p>
        </w:tc>
        <w:tc>
          <w:tcPr>
            <w:tcW w:w="2083" w:type="dxa"/>
            <w:tcBorders>
              <w:tl2br w:val="nil"/>
              <w:tr2bl w:val="nil"/>
            </w:tcBorders>
            <w:noWrap w:val="0"/>
            <w:tcMar>
              <w:top w:w="15" w:type="dxa"/>
              <w:left w:w="15" w:type="dxa"/>
              <w:right w:w="15" w:type="dxa"/>
            </w:tcMar>
            <w:vAlign w:val="center"/>
          </w:tcPr>
          <w:p w14:paraId="0D17189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高程(m)</w:t>
            </w:r>
          </w:p>
        </w:tc>
        <w:tc>
          <w:tcPr>
            <w:tcW w:w="2082" w:type="dxa"/>
            <w:tcBorders>
              <w:tl2br w:val="nil"/>
              <w:tr2bl w:val="nil"/>
            </w:tcBorders>
            <w:noWrap w:val="0"/>
            <w:tcMar>
              <w:top w:w="15" w:type="dxa"/>
              <w:left w:w="15" w:type="dxa"/>
              <w:right w:w="15" w:type="dxa"/>
            </w:tcMar>
            <w:vAlign w:val="center"/>
          </w:tcPr>
          <w:p w14:paraId="300EDED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库容(万m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w:t>
            </w:r>
          </w:p>
        </w:tc>
      </w:tr>
      <w:tr w14:paraId="516422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6805B43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24</w:t>
            </w:r>
          </w:p>
        </w:tc>
        <w:tc>
          <w:tcPr>
            <w:tcW w:w="2082" w:type="dxa"/>
            <w:tcBorders>
              <w:tl2br w:val="nil"/>
              <w:tr2bl w:val="nil"/>
            </w:tcBorders>
            <w:noWrap w:val="0"/>
            <w:tcMar>
              <w:top w:w="15" w:type="dxa"/>
              <w:left w:w="15" w:type="dxa"/>
              <w:right w:w="15" w:type="dxa"/>
            </w:tcMar>
            <w:vAlign w:val="center"/>
          </w:tcPr>
          <w:p w14:paraId="1875BA3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w:t>
            </w:r>
          </w:p>
        </w:tc>
        <w:tc>
          <w:tcPr>
            <w:tcW w:w="2083" w:type="dxa"/>
            <w:tcBorders>
              <w:tl2br w:val="nil"/>
              <w:tr2bl w:val="nil"/>
            </w:tcBorders>
            <w:noWrap w:val="0"/>
            <w:tcMar>
              <w:top w:w="15" w:type="dxa"/>
              <w:left w:w="15" w:type="dxa"/>
              <w:right w:w="15" w:type="dxa"/>
            </w:tcMar>
            <w:vAlign w:val="center"/>
          </w:tcPr>
          <w:p w14:paraId="0BEAE2B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35.8</w:t>
            </w:r>
          </w:p>
        </w:tc>
        <w:tc>
          <w:tcPr>
            <w:tcW w:w="2082" w:type="dxa"/>
            <w:tcBorders>
              <w:tl2br w:val="nil"/>
              <w:tr2bl w:val="nil"/>
            </w:tcBorders>
            <w:noWrap w:val="0"/>
            <w:tcMar>
              <w:top w:w="15" w:type="dxa"/>
              <w:left w:w="15" w:type="dxa"/>
              <w:right w:w="15" w:type="dxa"/>
            </w:tcMar>
            <w:vAlign w:val="center"/>
          </w:tcPr>
          <w:p w14:paraId="5EC8EA8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16.16</w:t>
            </w:r>
          </w:p>
        </w:tc>
      </w:tr>
      <w:tr w14:paraId="60CCDC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4641E8B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25</w:t>
            </w:r>
          </w:p>
        </w:tc>
        <w:tc>
          <w:tcPr>
            <w:tcW w:w="2082" w:type="dxa"/>
            <w:tcBorders>
              <w:tl2br w:val="nil"/>
              <w:tr2bl w:val="nil"/>
            </w:tcBorders>
            <w:noWrap w:val="0"/>
            <w:tcMar>
              <w:top w:w="15" w:type="dxa"/>
              <w:left w:w="15" w:type="dxa"/>
              <w:right w:w="15" w:type="dxa"/>
            </w:tcMar>
            <w:vAlign w:val="center"/>
          </w:tcPr>
          <w:p w14:paraId="2D88672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0.01</w:t>
            </w:r>
          </w:p>
        </w:tc>
        <w:tc>
          <w:tcPr>
            <w:tcW w:w="2083" w:type="dxa"/>
            <w:tcBorders>
              <w:tl2br w:val="nil"/>
              <w:tr2bl w:val="nil"/>
            </w:tcBorders>
            <w:noWrap w:val="0"/>
            <w:tcMar>
              <w:top w:w="15" w:type="dxa"/>
              <w:left w:w="15" w:type="dxa"/>
              <w:right w:w="15" w:type="dxa"/>
            </w:tcMar>
            <w:vAlign w:val="center"/>
          </w:tcPr>
          <w:p w14:paraId="7C08D1F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35.9</w:t>
            </w:r>
          </w:p>
        </w:tc>
        <w:tc>
          <w:tcPr>
            <w:tcW w:w="2082" w:type="dxa"/>
            <w:tcBorders>
              <w:tl2br w:val="nil"/>
              <w:tr2bl w:val="nil"/>
            </w:tcBorders>
            <w:noWrap w:val="0"/>
            <w:tcMar>
              <w:top w:w="15" w:type="dxa"/>
              <w:left w:w="15" w:type="dxa"/>
              <w:right w:w="15" w:type="dxa"/>
            </w:tcMar>
            <w:vAlign w:val="center"/>
          </w:tcPr>
          <w:p w14:paraId="5DAFCA1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16.52</w:t>
            </w:r>
          </w:p>
        </w:tc>
      </w:tr>
      <w:tr w14:paraId="78C452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63BE9F3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26</w:t>
            </w:r>
          </w:p>
        </w:tc>
        <w:tc>
          <w:tcPr>
            <w:tcW w:w="2082" w:type="dxa"/>
            <w:tcBorders>
              <w:tl2br w:val="nil"/>
              <w:tr2bl w:val="nil"/>
            </w:tcBorders>
            <w:noWrap w:val="0"/>
            <w:tcMar>
              <w:top w:w="15" w:type="dxa"/>
              <w:left w:w="15" w:type="dxa"/>
              <w:right w:w="15" w:type="dxa"/>
            </w:tcMar>
            <w:vAlign w:val="center"/>
          </w:tcPr>
          <w:p w14:paraId="20B0855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0.09</w:t>
            </w:r>
          </w:p>
        </w:tc>
        <w:tc>
          <w:tcPr>
            <w:tcW w:w="2083" w:type="dxa"/>
            <w:tcBorders>
              <w:tl2br w:val="nil"/>
              <w:tr2bl w:val="nil"/>
            </w:tcBorders>
            <w:noWrap w:val="0"/>
            <w:tcMar>
              <w:top w:w="15" w:type="dxa"/>
              <w:left w:w="15" w:type="dxa"/>
              <w:right w:w="15" w:type="dxa"/>
            </w:tcMar>
            <w:vAlign w:val="center"/>
          </w:tcPr>
          <w:p w14:paraId="536D54B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w:t>
            </w:r>
          </w:p>
        </w:tc>
        <w:tc>
          <w:tcPr>
            <w:tcW w:w="2082" w:type="dxa"/>
            <w:tcBorders>
              <w:tl2br w:val="nil"/>
              <w:tr2bl w:val="nil"/>
            </w:tcBorders>
            <w:noWrap w:val="0"/>
            <w:tcMar>
              <w:top w:w="15" w:type="dxa"/>
              <w:left w:w="15" w:type="dxa"/>
              <w:right w:w="15" w:type="dxa"/>
            </w:tcMar>
            <w:vAlign w:val="center"/>
          </w:tcPr>
          <w:p w14:paraId="017EF8F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16.88</w:t>
            </w:r>
          </w:p>
        </w:tc>
      </w:tr>
      <w:tr w14:paraId="7E1D4B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44EF25E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082" w:type="dxa"/>
            <w:tcBorders>
              <w:tl2br w:val="nil"/>
              <w:tr2bl w:val="nil"/>
            </w:tcBorders>
            <w:noWrap w:val="0"/>
            <w:tcMar>
              <w:top w:w="15" w:type="dxa"/>
              <w:left w:w="15" w:type="dxa"/>
              <w:right w:w="15" w:type="dxa"/>
            </w:tcMar>
            <w:vAlign w:val="center"/>
          </w:tcPr>
          <w:p w14:paraId="23BAC65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0.28</w:t>
            </w:r>
          </w:p>
        </w:tc>
        <w:tc>
          <w:tcPr>
            <w:tcW w:w="2083" w:type="dxa"/>
            <w:tcBorders>
              <w:tl2br w:val="nil"/>
              <w:tr2bl w:val="nil"/>
            </w:tcBorders>
            <w:noWrap w:val="0"/>
            <w:tcMar>
              <w:top w:w="15" w:type="dxa"/>
              <w:left w:w="15" w:type="dxa"/>
              <w:right w:w="15" w:type="dxa"/>
            </w:tcMar>
            <w:vAlign w:val="center"/>
          </w:tcPr>
          <w:p w14:paraId="138843D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36.1</w:t>
            </w:r>
          </w:p>
        </w:tc>
        <w:tc>
          <w:tcPr>
            <w:tcW w:w="2082" w:type="dxa"/>
            <w:tcBorders>
              <w:tl2br w:val="nil"/>
              <w:tr2bl w:val="nil"/>
            </w:tcBorders>
            <w:noWrap w:val="0"/>
            <w:tcMar>
              <w:top w:w="15" w:type="dxa"/>
              <w:left w:w="15" w:type="dxa"/>
              <w:right w:w="15" w:type="dxa"/>
            </w:tcMar>
            <w:vAlign w:val="center"/>
          </w:tcPr>
          <w:p w14:paraId="6559E64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17.25</w:t>
            </w:r>
          </w:p>
        </w:tc>
      </w:tr>
      <w:tr w14:paraId="77CB90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254E326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082" w:type="dxa"/>
            <w:tcBorders>
              <w:tl2br w:val="nil"/>
              <w:tr2bl w:val="nil"/>
            </w:tcBorders>
            <w:noWrap w:val="0"/>
            <w:tcMar>
              <w:top w:w="15" w:type="dxa"/>
              <w:left w:w="15" w:type="dxa"/>
              <w:right w:w="15" w:type="dxa"/>
            </w:tcMar>
            <w:vAlign w:val="center"/>
          </w:tcPr>
          <w:p w14:paraId="4B245C3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0.68</w:t>
            </w:r>
          </w:p>
        </w:tc>
        <w:tc>
          <w:tcPr>
            <w:tcW w:w="2083" w:type="dxa"/>
            <w:tcBorders>
              <w:tl2br w:val="nil"/>
              <w:tr2bl w:val="nil"/>
            </w:tcBorders>
            <w:noWrap w:val="0"/>
            <w:tcMar>
              <w:top w:w="15" w:type="dxa"/>
              <w:left w:w="15" w:type="dxa"/>
              <w:right w:w="15" w:type="dxa"/>
            </w:tcMar>
            <w:vAlign w:val="center"/>
          </w:tcPr>
          <w:p w14:paraId="214088B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36.2</w:t>
            </w:r>
          </w:p>
        </w:tc>
        <w:tc>
          <w:tcPr>
            <w:tcW w:w="2082" w:type="dxa"/>
            <w:tcBorders>
              <w:tl2br w:val="nil"/>
              <w:tr2bl w:val="nil"/>
            </w:tcBorders>
            <w:noWrap w:val="0"/>
            <w:tcMar>
              <w:top w:w="15" w:type="dxa"/>
              <w:left w:w="15" w:type="dxa"/>
              <w:right w:w="15" w:type="dxa"/>
            </w:tcMar>
            <w:vAlign w:val="center"/>
          </w:tcPr>
          <w:p w14:paraId="1B64E35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17.62</w:t>
            </w:r>
          </w:p>
        </w:tc>
      </w:tr>
      <w:tr w14:paraId="3C475D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0899790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082" w:type="dxa"/>
            <w:tcBorders>
              <w:tl2br w:val="nil"/>
              <w:tr2bl w:val="nil"/>
            </w:tcBorders>
            <w:noWrap w:val="0"/>
            <w:tcMar>
              <w:top w:w="15" w:type="dxa"/>
              <w:left w:w="15" w:type="dxa"/>
              <w:right w:w="15" w:type="dxa"/>
            </w:tcMar>
            <w:vAlign w:val="center"/>
          </w:tcPr>
          <w:p w14:paraId="3F469CF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2.35</w:t>
            </w:r>
          </w:p>
        </w:tc>
        <w:tc>
          <w:tcPr>
            <w:tcW w:w="2083" w:type="dxa"/>
            <w:tcBorders>
              <w:tl2br w:val="nil"/>
              <w:tr2bl w:val="nil"/>
            </w:tcBorders>
            <w:noWrap w:val="0"/>
            <w:tcMar>
              <w:top w:w="15" w:type="dxa"/>
              <w:left w:w="15" w:type="dxa"/>
              <w:right w:w="15" w:type="dxa"/>
            </w:tcMar>
            <w:vAlign w:val="center"/>
          </w:tcPr>
          <w:p w14:paraId="526FA95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36.3</w:t>
            </w:r>
          </w:p>
        </w:tc>
        <w:tc>
          <w:tcPr>
            <w:tcW w:w="2082" w:type="dxa"/>
            <w:tcBorders>
              <w:tl2br w:val="nil"/>
              <w:tr2bl w:val="nil"/>
            </w:tcBorders>
            <w:noWrap w:val="0"/>
            <w:tcMar>
              <w:top w:w="15" w:type="dxa"/>
              <w:left w:w="15" w:type="dxa"/>
              <w:right w:w="15" w:type="dxa"/>
            </w:tcMar>
            <w:vAlign w:val="center"/>
          </w:tcPr>
          <w:p w14:paraId="69D528B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w:t>
            </w:r>
          </w:p>
        </w:tc>
      </w:tr>
      <w:tr w14:paraId="088608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102388E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082" w:type="dxa"/>
            <w:tcBorders>
              <w:tl2br w:val="nil"/>
              <w:tr2bl w:val="nil"/>
            </w:tcBorders>
            <w:noWrap w:val="0"/>
            <w:tcMar>
              <w:top w:w="15" w:type="dxa"/>
              <w:left w:w="15" w:type="dxa"/>
              <w:right w:w="15" w:type="dxa"/>
            </w:tcMar>
            <w:vAlign w:val="center"/>
          </w:tcPr>
          <w:p w14:paraId="3A7A557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3.77</w:t>
            </w:r>
          </w:p>
        </w:tc>
        <w:tc>
          <w:tcPr>
            <w:tcW w:w="2083" w:type="dxa"/>
            <w:tcBorders>
              <w:tl2br w:val="nil"/>
              <w:tr2bl w:val="nil"/>
            </w:tcBorders>
            <w:noWrap w:val="0"/>
            <w:tcMar>
              <w:top w:w="15" w:type="dxa"/>
              <w:left w:w="15" w:type="dxa"/>
              <w:right w:w="15" w:type="dxa"/>
            </w:tcMar>
            <w:vAlign w:val="center"/>
          </w:tcPr>
          <w:p w14:paraId="7F2219D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36.4</w:t>
            </w:r>
          </w:p>
        </w:tc>
        <w:tc>
          <w:tcPr>
            <w:tcW w:w="2082" w:type="dxa"/>
            <w:tcBorders>
              <w:tl2br w:val="nil"/>
              <w:tr2bl w:val="nil"/>
            </w:tcBorders>
            <w:noWrap w:val="0"/>
            <w:tcMar>
              <w:top w:w="15" w:type="dxa"/>
              <w:left w:w="15" w:type="dxa"/>
              <w:right w:w="15" w:type="dxa"/>
            </w:tcMar>
            <w:vAlign w:val="center"/>
          </w:tcPr>
          <w:p w14:paraId="1D77A74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18.38</w:t>
            </w:r>
          </w:p>
        </w:tc>
      </w:tr>
      <w:tr w14:paraId="7DED74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54F6CE7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082" w:type="dxa"/>
            <w:tcBorders>
              <w:tl2br w:val="nil"/>
              <w:tr2bl w:val="nil"/>
            </w:tcBorders>
            <w:noWrap w:val="0"/>
            <w:tcMar>
              <w:top w:w="15" w:type="dxa"/>
              <w:left w:w="15" w:type="dxa"/>
              <w:right w:w="15" w:type="dxa"/>
            </w:tcMar>
            <w:vAlign w:val="center"/>
          </w:tcPr>
          <w:p w14:paraId="7F212B4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5.64</w:t>
            </w:r>
          </w:p>
        </w:tc>
        <w:tc>
          <w:tcPr>
            <w:tcW w:w="2083" w:type="dxa"/>
            <w:tcBorders>
              <w:tl2br w:val="nil"/>
              <w:tr2bl w:val="nil"/>
            </w:tcBorders>
            <w:noWrap w:val="0"/>
            <w:tcMar>
              <w:top w:w="15" w:type="dxa"/>
              <w:left w:w="15" w:type="dxa"/>
              <w:right w:w="15" w:type="dxa"/>
            </w:tcMar>
            <w:vAlign w:val="center"/>
          </w:tcPr>
          <w:p w14:paraId="1A12169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36.5</w:t>
            </w:r>
          </w:p>
        </w:tc>
        <w:tc>
          <w:tcPr>
            <w:tcW w:w="2082" w:type="dxa"/>
            <w:tcBorders>
              <w:tl2br w:val="nil"/>
              <w:tr2bl w:val="nil"/>
            </w:tcBorders>
            <w:noWrap w:val="0"/>
            <w:tcMar>
              <w:top w:w="15" w:type="dxa"/>
              <w:left w:w="15" w:type="dxa"/>
              <w:right w:w="15" w:type="dxa"/>
            </w:tcMar>
            <w:vAlign w:val="center"/>
          </w:tcPr>
          <w:p w14:paraId="005A96E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18.76</w:t>
            </w:r>
          </w:p>
        </w:tc>
      </w:tr>
      <w:tr w14:paraId="020F77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0A3C0EC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082" w:type="dxa"/>
            <w:tcBorders>
              <w:tl2br w:val="nil"/>
              <w:tr2bl w:val="nil"/>
            </w:tcBorders>
            <w:noWrap w:val="0"/>
            <w:tcMar>
              <w:top w:w="15" w:type="dxa"/>
              <w:left w:w="15" w:type="dxa"/>
              <w:right w:w="15" w:type="dxa"/>
            </w:tcMar>
            <w:vAlign w:val="center"/>
          </w:tcPr>
          <w:p w14:paraId="52EE476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7.86</w:t>
            </w:r>
          </w:p>
        </w:tc>
        <w:tc>
          <w:tcPr>
            <w:tcW w:w="2083" w:type="dxa"/>
            <w:tcBorders>
              <w:tl2br w:val="nil"/>
              <w:tr2bl w:val="nil"/>
            </w:tcBorders>
            <w:noWrap w:val="0"/>
            <w:tcMar>
              <w:top w:w="15" w:type="dxa"/>
              <w:left w:w="15" w:type="dxa"/>
              <w:right w:w="15" w:type="dxa"/>
            </w:tcMar>
            <w:vAlign w:val="center"/>
          </w:tcPr>
          <w:p w14:paraId="665B17E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36.6</w:t>
            </w:r>
          </w:p>
        </w:tc>
        <w:tc>
          <w:tcPr>
            <w:tcW w:w="2082" w:type="dxa"/>
            <w:tcBorders>
              <w:tl2br w:val="nil"/>
              <w:tr2bl w:val="nil"/>
            </w:tcBorders>
            <w:noWrap w:val="0"/>
            <w:tcMar>
              <w:top w:w="15" w:type="dxa"/>
              <w:left w:w="15" w:type="dxa"/>
              <w:right w:w="15" w:type="dxa"/>
            </w:tcMar>
            <w:vAlign w:val="center"/>
          </w:tcPr>
          <w:p w14:paraId="62BC366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19.15</w:t>
            </w:r>
          </w:p>
        </w:tc>
      </w:tr>
      <w:tr w14:paraId="26CFC5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54A3613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082" w:type="dxa"/>
            <w:tcBorders>
              <w:tl2br w:val="nil"/>
              <w:tr2bl w:val="nil"/>
            </w:tcBorders>
            <w:noWrap w:val="0"/>
            <w:tcMar>
              <w:top w:w="15" w:type="dxa"/>
              <w:left w:w="15" w:type="dxa"/>
              <w:right w:w="15" w:type="dxa"/>
            </w:tcMar>
            <w:vAlign w:val="center"/>
          </w:tcPr>
          <w:p w14:paraId="55B3590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10.4</w:t>
            </w:r>
          </w:p>
        </w:tc>
        <w:tc>
          <w:tcPr>
            <w:tcW w:w="2083" w:type="dxa"/>
            <w:tcBorders>
              <w:tl2br w:val="nil"/>
              <w:tr2bl w:val="nil"/>
            </w:tcBorders>
            <w:noWrap w:val="0"/>
            <w:tcMar>
              <w:top w:w="15" w:type="dxa"/>
              <w:left w:w="15" w:type="dxa"/>
              <w:right w:w="15" w:type="dxa"/>
            </w:tcMar>
            <w:vAlign w:val="center"/>
          </w:tcPr>
          <w:p w14:paraId="006D043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36.7</w:t>
            </w:r>
          </w:p>
        </w:tc>
        <w:tc>
          <w:tcPr>
            <w:tcW w:w="2082" w:type="dxa"/>
            <w:tcBorders>
              <w:tl2br w:val="nil"/>
              <w:tr2bl w:val="nil"/>
            </w:tcBorders>
            <w:noWrap w:val="0"/>
            <w:tcMar>
              <w:top w:w="15" w:type="dxa"/>
              <w:left w:w="15" w:type="dxa"/>
              <w:right w:w="15" w:type="dxa"/>
            </w:tcMar>
            <w:vAlign w:val="center"/>
          </w:tcPr>
          <w:p w14:paraId="1D8C118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19.54</w:t>
            </w:r>
          </w:p>
        </w:tc>
      </w:tr>
      <w:tr w14:paraId="52D132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74FA76B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082" w:type="dxa"/>
            <w:tcBorders>
              <w:tl2br w:val="nil"/>
              <w:tr2bl w:val="nil"/>
            </w:tcBorders>
            <w:noWrap w:val="0"/>
            <w:tcMar>
              <w:top w:w="15" w:type="dxa"/>
              <w:left w:w="15" w:type="dxa"/>
              <w:right w:w="15" w:type="dxa"/>
            </w:tcMar>
            <w:vAlign w:val="center"/>
          </w:tcPr>
          <w:p w14:paraId="1C0BC69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13.41</w:t>
            </w:r>
          </w:p>
        </w:tc>
        <w:tc>
          <w:tcPr>
            <w:tcW w:w="2083" w:type="dxa"/>
            <w:tcBorders>
              <w:tl2br w:val="nil"/>
              <w:tr2bl w:val="nil"/>
            </w:tcBorders>
            <w:noWrap w:val="0"/>
            <w:tcMar>
              <w:top w:w="15" w:type="dxa"/>
              <w:left w:w="15" w:type="dxa"/>
              <w:right w:w="15" w:type="dxa"/>
            </w:tcMar>
            <w:vAlign w:val="center"/>
          </w:tcPr>
          <w:p w14:paraId="2310989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36.8</w:t>
            </w:r>
          </w:p>
        </w:tc>
        <w:tc>
          <w:tcPr>
            <w:tcW w:w="2082" w:type="dxa"/>
            <w:tcBorders>
              <w:tl2br w:val="nil"/>
              <w:tr2bl w:val="nil"/>
            </w:tcBorders>
            <w:noWrap w:val="0"/>
            <w:tcMar>
              <w:top w:w="15" w:type="dxa"/>
              <w:left w:w="15" w:type="dxa"/>
              <w:right w:w="15" w:type="dxa"/>
            </w:tcMar>
            <w:vAlign w:val="center"/>
          </w:tcPr>
          <w:p w14:paraId="0AB696B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19.94</w:t>
            </w:r>
          </w:p>
        </w:tc>
      </w:tr>
      <w:tr w14:paraId="061F6C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501B709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35.1</w:t>
            </w:r>
          </w:p>
        </w:tc>
        <w:tc>
          <w:tcPr>
            <w:tcW w:w="2082" w:type="dxa"/>
            <w:tcBorders>
              <w:tl2br w:val="nil"/>
              <w:tr2bl w:val="nil"/>
            </w:tcBorders>
            <w:noWrap w:val="0"/>
            <w:tcMar>
              <w:top w:w="15" w:type="dxa"/>
              <w:left w:w="15" w:type="dxa"/>
              <w:right w:w="15" w:type="dxa"/>
            </w:tcMar>
            <w:vAlign w:val="center"/>
          </w:tcPr>
          <w:p w14:paraId="1AC5A2E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13.74</w:t>
            </w:r>
          </w:p>
        </w:tc>
        <w:tc>
          <w:tcPr>
            <w:tcW w:w="2083" w:type="dxa"/>
            <w:tcBorders>
              <w:tl2br w:val="nil"/>
              <w:tr2bl w:val="nil"/>
            </w:tcBorders>
            <w:noWrap w:val="0"/>
            <w:tcMar>
              <w:top w:w="15" w:type="dxa"/>
              <w:left w:w="15" w:type="dxa"/>
              <w:right w:w="15" w:type="dxa"/>
            </w:tcMar>
            <w:vAlign w:val="center"/>
          </w:tcPr>
          <w:p w14:paraId="43FD7D8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36.9</w:t>
            </w:r>
          </w:p>
        </w:tc>
        <w:tc>
          <w:tcPr>
            <w:tcW w:w="2082" w:type="dxa"/>
            <w:tcBorders>
              <w:tl2br w:val="nil"/>
              <w:tr2bl w:val="nil"/>
            </w:tcBorders>
            <w:noWrap w:val="0"/>
            <w:tcMar>
              <w:top w:w="15" w:type="dxa"/>
              <w:left w:w="15" w:type="dxa"/>
              <w:right w:w="15" w:type="dxa"/>
            </w:tcMar>
            <w:vAlign w:val="center"/>
          </w:tcPr>
          <w:p w14:paraId="018B141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20.34</w:t>
            </w:r>
          </w:p>
        </w:tc>
      </w:tr>
      <w:tr w14:paraId="0A7491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0A95C25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35.2</w:t>
            </w:r>
          </w:p>
        </w:tc>
        <w:tc>
          <w:tcPr>
            <w:tcW w:w="2082" w:type="dxa"/>
            <w:tcBorders>
              <w:tl2br w:val="nil"/>
              <w:tr2bl w:val="nil"/>
            </w:tcBorders>
            <w:noWrap w:val="0"/>
            <w:tcMar>
              <w:top w:w="15" w:type="dxa"/>
              <w:left w:w="15" w:type="dxa"/>
              <w:right w:w="15" w:type="dxa"/>
            </w:tcMar>
            <w:vAlign w:val="center"/>
          </w:tcPr>
          <w:p w14:paraId="7E6C303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14.07</w:t>
            </w:r>
          </w:p>
        </w:tc>
        <w:tc>
          <w:tcPr>
            <w:tcW w:w="2083" w:type="dxa"/>
            <w:tcBorders>
              <w:tl2br w:val="nil"/>
              <w:tr2bl w:val="nil"/>
            </w:tcBorders>
            <w:noWrap w:val="0"/>
            <w:tcMar>
              <w:top w:w="15" w:type="dxa"/>
              <w:left w:w="15" w:type="dxa"/>
              <w:right w:w="15" w:type="dxa"/>
            </w:tcMar>
            <w:vAlign w:val="center"/>
          </w:tcPr>
          <w:p w14:paraId="7AB26D2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082" w:type="dxa"/>
            <w:tcBorders>
              <w:tl2br w:val="nil"/>
              <w:tr2bl w:val="nil"/>
            </w:tcBorders>
            <w:noWrap w:val="0"/>
            <w:tcMar>
              <w:top w:w="15" w:type="dxa"/>
              <w:left w:w="15" w:type="dxa"/>
              <w:right w:w="15" w:type="dxa"/>
            </w:tcMar>
            <w:vAlign w:val="center"/>
          </w:tcPr>
          <w:p w14:paraId="40A31E6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20.74</w:t>
            </w:r>
          </w:p>
        </w:tc>
      </w:tr>
      <w:tr w14:paraId="7F44C8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0226D44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35.3</w:t>
            </w:r>
          </w:p>
        </w:tc>
        <w:tc>
          <w:tcPr>
            <w:tcW w:w="2082" w:type="dxa"/>
            <w:tcBorders>
              <w:tl2br w:val="nil"/>
              <w:tr2bl w:val="nil"/>
            </w:tcBorders>
            <w:noWrap w:val="0"/>
            <w:tcMar>
              <w:top w:w="15" w:type="dxa"/>
              <w:left w:w="15" w:type="dxa"/>
              <w:right w:w="15" w:type="dxa"/>
            </w:tcMar>
            <w:vAlign w:val="center"/>
          </w:tcPr>
          <w:p w14:paraId="7F66F6C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14.41</w:t>
            </w:r>
          </w:p>
        </w:tc>
        <w:tc>
          <w:tcPr>
            <w:tcW w:w="2083" w:type="dxa"/>
            <w:tcBorders>
              <w:tl2br w:val="nil"/>
              <w:tr2bl w:val="nil"/>
            </w:tcBorders>
            <w:noWrap w:val="0"/>
            <w:tcMar>
              <w:top w:w="15" w:type="dxa"/>
              <w:left w:w="15" w:type="dxa"/>
              <w:right w:w="15" w:type="dxa"/>
            </w:tcMar>
            <w:vAlign w:val="center"/>
          </w:tcPr>
          <w:p w14:paraId="7F56FCF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37.1</w:t>
            </w:r>
          </w:p>
        </w:tc>
        <w:tc>
          <w:tcPr>
            <w:tcW w:w="2082" w:type="dxa"/>
            <w:tcBorders>
              <w:tl2br w:val="nil"/>
              <w:tr2bl w:val="nil"/>
            </w:tcBorders>
            <w:noWrap w:val="0"/>
            <w:tcMar>
              <w:top w:w="15" w:type="dxa"/>
              <w:left w:w="15" w:type="dxa"/>
              <w:right w:w="15" w:type="dxa"/>
            </w:tcMar>
            <w:vAlign w:val="center"/>
          </w:tcPr>
          <w:p w14:paraId="024ABB9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21.14</w:t>
            </w:r>
          </w:p>
        </w:tc>
      </w:tr>
      <w:tr w14:paraId="108C10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1E7E7E2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35.4</w:t>
            </w:r>
          </w:p>
        </w:tc>
        <w:tc>
          <w:tcPr>
            <w:tcW w:w="2082" w:type="dxa"/>
            <w:tcBorders>
              <w:tl2br w:val="nil"/>
              <w:tr2bl w:val="nil"/>
            </w:tcBorders>
            <w:noWrap w:val="0"/>
            <w:tcMar>
              <w:top w:w="15" w:type="dxa"/>
              <w:left w:w="15" w:type="dxa"/>
              <w:right w:w="15" w:type="dxa"/>
            </w:tcMar>
            <w:vAlign w:val="center"/>
          </w:tcPr>
          <w:p w14:paraId="02DF1FD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14.75</w:t>
            </w:r>
          </w:p>
        </w:tc>
        <w:tc>
          <w:tcPr>
            <w:tcW w:w="2083" w:type="dxa"/>
            <w:tcBorders>
              <w:tl2br w:val="nil"/>
              <w:tr2bl w:val="nil"/>
            </w:tcBorders>
            <w:noWrap w:val="0"/>
            <w:tcMar>
              <w:top w:w="15" w:type="dxa"/>
              <w:left w:w="15" w:type="dxa"/>
              <w:right w:w="15" w:type="dxa"/>
            </w:tcMar>
            <w:vAlign w:val="center"/>
          </w:tcPr>
          <w:p w14:paraId="2B888B7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37.2</w:t>
            </w:r>
          </w:p>
        </w:tc>
        <w:tc>
          <w:tcPr>
            <w:tcW w:w="2082" w:type="dxa"/>
            <w:tcBorders>
              <w:tl2br w:val="nil"/>
              <w:tr2bl w:val="nil"/>
            </w:tcBorders>
            <w:noWrap w:val="0"/>
            <w:tcMar>
              <w:top w:w="15" w:type="dxa"/>
              <w:left w:w="15" w:type="dxa"/>
              <w:right w:w="15" w:type="dxa"/>
            </w:tcMar>
            <w:vAlign w:val="center"/>
          </w:tcPr>
          <w:p w14:paraId="7802FC2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21.55 </w:t>
            </w:r>
          </w:p>
        </w:tc>
      </w:tr>
      <w:tr w14:paraId="7DF2F7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152FB22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35.5</w:t>
            </w:r>
          </w:p>
        </w:tc>
        <w:tc>
          <w:tcPr>
            <w:tcW w:w="2082" w:type="dxa"/>
            <w:tcBorders>
              <w:tl2br w:val="nil"/>
              <w:tr2bl w:val="nil"/>
            </w:tcBorders>
            <w:noWrap w:val="0"/>
            <w:tcMar>
              <w:top w:w="15" w:type="dxa"/>
              <w:left w:w="15" w:type="dxa"/>
              <w:right w:w="15" w:type="dxa"/>
            </w:tcMar>
            <w:vAlign w:val="center"/>
          </w:tcPr>
          <w:p w14:paraId="617B90A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15.1</w:t>
            </w:r>
          </w:p>
        </w:tc>
        <w:tc>
          <w:tcPr>
            <w:tcW w:w="2083" w:type="dxa"/>
            <w:tcBorders>
              <w:tl2br w:val="nil"/>
              <w:tr2bl w:val="nil"/>
            </w:tcBorders>
            <w:noWrap w:val="0"/>
            <w:tcMar>
              <w:top w:w="15" w:type="dxa"/>
              <w:left w:w="15" w:type="dxa"/>
              <w:right w:w="15" w:type="dxa"/>
            </w:tcMar>
            <w:vAlign w:val="center"/>
          </w:tcPr>
          <w:p w14:paraId="1659403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37.3</w:t>
            </w:r>
          </w:p>
        </w:tc>
        <w:tc>
          <w:tcPr>
            <w:tcW w:w="2082" w:type="dxa"/>
            <w:tcBorders>
              <w:tl2br w:val="nil"/>
              <w:tr2bl w:val="nil"/>
            </w:tcBorders>
            <w:noWrap w:val="0"/>
            <w:tcMar>
              <w:top w:w="15" w:type="dxa"/>
              <w:left w:w="15" w:type="dxa"/>
              <w:right w:w="15" w:type="dxa"/>
            </w:tcMar>
            <w:vAlign w:val="center"/>
          </w:tcPr>
          <w:p w14:paraId="53112D2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21.97 </w:t>
            </w:r>
          </w:p>
        </w:tc>
      </w:tr>
      <w:tr w14:paraId="533993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5A81E0F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35.6</w:t>
            </w:r>
          </w:p>
        </w:tc>
        <w:tc>
          <w:tcPr>
            <w:tcW w:w="2082" w:type="dxa"/>
            <w:tcBorders>
              <w:tl2br w:val="nil"/>
              <w:tr2bl w:val="nil"/>
            </w:tcBorders>
            <w:noWrap w:val="0"/>
            <w:tcMar>
              <w:top w:w="15" w:type="dxa"/>
              <w:left w:w="15" w:type="dxa"/>
              <w:right w:w="15" w:type="dxa"/>
            </w:tcMar>
            <w:vAlign w:val="center"/>
          </w:tcPr>
          <w:p w14:paraId="5F3922D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15.45</w:t>
            </w:r>
          </w:p>
        </w:tc>
        <w:tc>
          <w:tcPr>
            <w:tcW w:w="2083" w:type="dxa"/>
            <w:tcBorders>
              <w:tl2br w:val="nil"/>
              <w:tr2bl w:val="nil"/>
            </w:tcBorders>
            <w:noWrap w:val="0"/>
            <w:tcMar>
              <w:top w:w="15" w:type="dxa"/>
              <w:left w:w="15" w:type="dxa"/>
              <w:right w:w="15" w:type="dxa"/>
            </w:tcMar>
            <w:vAlign w:val="center"/>
          </w:tcPr>
          <w:p w14:paraId="26F8950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37.4</w:t>
            </w:r>
          </w:p>
        </w:tc>
        <w:tc>
          <w:tcPr>
            <w:tcW w:w="2082" w:type="dxa"/>
            <w:tcBorders>
              <w:tl2br w:val="nil"/>
              <w:tr2bl w:val="nil"/>
            </w:tcBorders>
            <w:noWrap w:val="0"/>
            <w:tcMar>
              <w:top w:w="15" w:type="dxa"/>
              <w:left w:w="15" w:type="dxa"/>
              <w:right w:w="15" w:type="dxa"/>
            </w:tcMar>
            <w:vAlign w:val="center"/>
          </w:tcPr>
          <w:p w14:paraId="2CD13D1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22.39 </w:t>
            </w:r>
          </w:p>
        </w:tc>
      </w:tr>
      <w:tr w14:paraId="6372F1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074CD25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35.7</w:t>
            </w:r>
          </w:p>
        </w:tc>
        <w:tc>
          <w:tcPr>
            <w:tcW w:w="2082" w:type="dxa"/>
            <w:tcBorders>
              <w:tl2br w:val="nil"/>
              <w:tr2bl w:val="nil"/>
            </w:tcBorders>
            <w:noWrap w:val="0"/>
            <w:tcMar>
              <w:top w:w="15" w:type="dxa"/>
              <w:left w:w="15" w:type="dxa"/>
              <w:right w:w="15" w:type="dxa"/>
            </w:tcMar>
            <w:vAlign w:val="center"/>
          </w:tcPr>
          <w:p w14:paraId="1491332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15.8</w:t>
            </w:r>
          </w:p>
        </w:tc>
        <w:tc>
          <w:tcPr>
            <w:tcW w:w="2083" w:type="dxa"/>
            <w:tcBorders>
              <w:tl2br w:val="nil"/>
              <w:tr2bl w:val="nil"/>
            </w:tcBorders>
            <w:noWrap w:val="0"/>
            <w:tcMar>
              <w:top w:w="15" w:type="dxa"/>
              <w:left w:w="15" w:type="dxa"/>
              <w:right w:w="15" w:type="dxa"/>
            </w:tcMar>
            <w:vAlign w:val="center"/>
          </w:tcPr>
          <w:p w14:paraId="7B69E7A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37.5</w:t>
            </w:r>
          </w:p>
        </w:tc>
        <w:tc>
          <w:tcPr>
            <w:tcW w:w="2082" w:type="dxa"/>
            <w:tcBorders>
              <w:tl2br w:val="nil"/>
              <w:tr2bl w:val="nil"/>
            </w:tcBorders>
            <w:noWrap w:val="0"/>
            <w:tcMar>
              <w:top w:w="15" w:type="dxa"/>
              <w:left w:w="15" w:type="dxa"/>
              <w:right w:w="15" w:type="dxa"/>
            </w:tcMar>
            <w:vAlign w:val="center"/>
          </w:tcPr>
          <w:p w14:paraId="05D5BE4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22.81 </w:t>
            </w:r>
          </w:p>
        </w:tc>
      </w:tr>
    </w:tbl>
    <w:p w14:paraId="068D562B">
      <w:pPr>
        <w:autoSpaceDE w:val="0"/>
        <w:autoSpaceDN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（2）丰收水库泄流曲线</w:t>
      </w:r>
    </w:p>
    <w:p w14:paraId="17D0A717">
      <w:pPr>
        <w:spacing w:line="520" w:lineRule="exact"/>
        <w:ind w:firstLine="56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溢洪道出口段缓坡段长度与堰上水头之比大于10，故丰收水库溢洪道为明渠式，溢洪道用浆砌条石铺砌，且初步设计中对溢洪道进行了除草清淤处理，因此此次计算糙率采用0.025。堰顶高程为36.37m，丰收水库溢洪道净宽为5m。调洪演算原则为：起调水位为36.37m，当水库水位超过堰顶高程后自由溢流进行计算，计算式如下：</w:t>
      </w:r>
    </w:p>
    <w:p w14:paraId="0218EFD5">
      <w:pPr>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position w:val="-10"/>
          <w:highlight w:val="none"/>
        </w:rPr>
        <w:object>
          <v:shape id="_x0000_i1040" o:spt="75" type="#_x0000_t75" style="height:19.9pt;width:63.6pt;" o:ole="t" filled="f" o:preferrelative="t" stroked="f" coordsize="21600,21600">
            <v:path/>
            <v:fill on="f" alignshape="1" focussize="0,0"/>
            <v:stroke on="f"/>
            <v:imagedata r:id="rId12" o:title=""/>
            <o:lock v:ext="edit" aspectratio="t"/>
            <w10:wrap type="none"/>
            <w10:anchorlock/>
          </v:shape>
          <o:OLEObject Type="Embed" ProgID="Equation.DSMT4" ShapeID="_x0000_i1040" DrawAspect="Content" ObjectID="_1468075740" r:id="rId41">
            <o:LockedField>false</o:LockedField>
          </o:OLEObject>
        </w:object>
      </w:r>
    </w:p>
    <w:p w14:paraId="56EB26D3">
      <w:pPr>
        <w:spacing w:line="520" w:lineRule="exac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式中：</w:t>
      </w:r>
      <w:r>
        <w:rPr>
          <w:rFonts w:hint="default" w:ascii="Times New Roman" w:hAnsi="Times New Roman" w:eastAsia="楷体" w:cs="Times New Roman"/>
          <w:color w:val="auto"/>
          <w:position w:val="-6"/>
          <w:sz w:val="28"/>
          <w:szCs w:val="28"/>
          <w:highlight w:val="none"/>
        </w:rPr>
        <w:object>
          <v:shape id="_x0000_i1041" o:spt="75" type="#_x0000_t75" style="height:13.95pt;width:12pt;" o:ole="t" filled="f" o:preferrelative="t" stroked="f" coordsize="21600,21600">
            <v:path/>
            <v:fill on="f" alignshape="1" focussize="0,0"/>
            <v:stroke on="f"/>
            <v:imagedata r:id="rId14" o:title=""/>
            <o:lock v:ext="edit" aspectratio="t"/>
            <w10:wrap type="none"/>
            <w10:anchorlock/>
          </v:shape>
          <o:OLEObject Type="Embed" ProgID="Equation.DSMT4" ShapeID="_x0000_i1041" DrawAspect="Content" ObjectID="_1468075741" r:id="rId42">
            <o:LockedField>false</o:LockedField>
          </o:OLEObject>
        </w:object>
      </w:r>
      <w:r>
        <w:rPr>
          <w:rFonts w:hint="default" w:ascii="Times New Roman" w:hAnsi="Times New Roman" w:eastAsia="楷体" w:cs="Times New Roman"/>
          <w:color w:val="auto"/>
          <w:sz w:val="28"/>
          <w:szCs w:val="28"/>
          <w:highlight w:val="none"/>
        </w:rPr>
        <w:t>——谢才系数；</w:t>
      </w:r>
    </w:p>
    <w:p w14:paraId="764807BA">
      <w:pPr>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ab/>
      </w:r>
      <w:r>
        <w:rPr>
          <w:rFonts w:hint="default" w:ascii="Times New Roman" w:hAnsi="Times New Roman" w:eastAsia="楷体" w:cs="Times New Roman"/>
          <w:color w:val="auto"/>
          <w:position w:val="-4"/>
          <w:sz w:val="28"/>
          <w:szCs w:val="28"/>
          <w:highlight w:val="none"/>
        </w:rPr>
        <w:object>
          <v:shape id="_x0000_i1042" o:spt="75" type="#_x0000_t75" style="height:13pt;width:12pt;" o:ole="t" filled="f" o:preferrelative="t" stroked="f" coordsize="21600,21600">
            <v:path/>
            <v:fill on="f" alignshape="1" focussize="0,0"/>
            <v:stroke on="f"/>
            <v:imagedata r:id="rId16" o:title=""/>
            <o:lock v:ext="edit" aspectratio="t"/>
            <w10:wrap type="none"/>
            <w10:anchorlock/>
          </v:shape>
          <o:OLEObject Type="Embed" ProgID="Equation.DSMT4" ShapeID="_x0000_i1042" DrawAspect="Content" ObjectID="_1468075742" r:id="rId43">
            <o:LockedField>false</o:LockedField>
          </o:OLEObject>
        </w:object>
      </w:r>
      <w:r>
        <w:rPr>
          <w:rFonts w:hint="default" w:ascii="Times New Roman" w:hAnsi="Times New Roman" w:eastAsia="楷体" w:cs="Times New Roman"/>
          <w:color w:val="auto"/>
          <w:sz w:val="28"/>
          <w:szCs w:val="28"/>
          <w:highlight w:val="none"/>
        </w:rPr>
        <w:t>——过水断面面积；</w:t>
      </w:r>
    </w:p>
    <w:p w14:paraId="4918E408">
      <w:pPr>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ab/>
      </w:r>
      <w:r>
        <w:rPr>
          <w:rFonts w:hint="default" w:ascii="Times New Roman" w:hAnsi="Times New Roman" w:eastAsia="楷体" w:cs="Times New Roman"/>
          <w:color w:val="auto"/>
          <w:position w:val="-4"/>
          <w:sz w:val="28"/>
          <w:szCs w:val="28"/>
          <w:highlight w:val="none"/>
        </w:rPr>
        <w:object>
          <v:shape id="_x0000_i1043" o:spt="75" type="#_x0000_t75" style="height:13pt;width:12pt;" o:ole="t" filled="f" o:preferrelative="t" stroked="f" coordsize="21600,21600">
            <v:path/>
            <v:fill on="f" alignshape="1" focussize="0,0"/>
            <v:stroke on="f"/>
            <v:imagedata r:id="rId18" o:title=""/>
            <o:lock v:ext="edit" aspectratio="t"/>
            <w10:wrap type="none"/>
            <w10:anchorlock/>
          </v:shape>
          <o:OLEObject Type="Embed" ProgID="Equation.DSMT4" ShapeID="_x0000_i1043" DrawAspect="Content" ObjectID="_1468075743" r:id="rId44">
            <o:LockedField>false</o:LockedField>
          </o:OLEObject>
        </w:object>
      </w:r>
      <w:r>
        <w:rPr>
          <w:rFonts w:hint="default" w:ascii="Times New Roman" w:hAnsi="Times New Roman" w:eastAsia="楷体" w:cs="Times New Roman"/>
          <w:color w:val="auto"/>
          <w:sz w:val="28"/>
          <w:szCs w:val="28"/>
          <w:highlight w:val="none"/>
        </w:rPr>
        <w:t>——水力半径，m；</w:t>
      </w:r>
    </w:p>
    <w:p w14:paraId="0242F962">
      <w:pPr>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position w:val="-6"/>
          <w:sz w:val="28"/>
          <w:szCs w:val="28"/>
          <w:highlight w:val="none"/>
        </w:rPr>
        <w:object>
          <v:shape id="_x0000_i1044" o:spt="75" type="#_x0000_t75" style="height:13.95pt;width:6.95pt;" o:ole="t" filled="f" o:preferrelative="t" stroked="f" coordsize="21600,21600">
            <v:path/>
            <v:fill on="f" alignshape="1" focussize="0,0"/>
            <v:stroke on="f"/>
            <v:imagedata r:id="rId20" o:title=""/>
            <o:lock v:ext="edit" aspectratio="t"/>
            <w10:wrap type="none"/>
            <w10:anchorlock/>
          </v:shape>
          <o:OLEObject Type="Embed" ProgID="Equation.DSMT4" ShapeID="_x0000_i1044" DrawAspect="Content" ObjectID="_1468075744" r:id="rId45">
            <o:LockedField>false</o:LockedField>
          </o:OLEObject>
        </w:object>
      </w:r>
      <w:r>
        <w:rPr>
          <w:rFonts w:hint="default" w:ascii="Times New Roman" w:hAnsi="Times New Roman" w:eastAsia="楷体" w:cs="Times New Roman"/>
          <w:color w:val="auto"/>
          <w:sz w:val="28"/>
          <w:szCs w:val="28"/>
          <w:highlight w:val="none"/>
        </w:rPr>
        <w:t>——</w:t>
      </w:r>
      <w:r>
        <w:rPr>
          <w:rFonts w:hint="default" w:ascii="Times New Roman" w:hAnsi="Times New Roman" w:eastAsia="楷体" w:cs="Times New Roman"/>
          <w:color w:val="auto"/>
          <w:kern w:val="0"/>
          <w:sz w:val="28"/>
          <w:szCs w:val="28"/>
          <w:highlight w:val="none"/>
        </w:rPr>
        <w:t>底坡坡度，0.0026。</w:t>
      </w:r>
    </w:p>
    <w:p w14:paraId="67C6CDB8">
      <w:pPr>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kern w:val="0"/>
          <w:sz w:val="28"/>
          <w:szCs w:val="28"/>
          <w:highlight w:val="none"/>
        </w:rPr>
        <w:t>最后由计算求得丰收水库</w:t>
      </w:r>
      <w:r>
        <w:rPr>
          <w:rFonts w:hint="default" w:ascii="Times New Roman" w:hAnsi="Times New Roman" w:eastAsia="楷体" w:cs="Times New Roman"/>
          <w:color w:val="auto"/>
          <w:sz w:val="28"/>
          <w:szCs w:val="28"/>
          <w:highlight w:val="none"/>
        </w:rPr>
        <w:t>水位～泄流关系曲线如下表</w:t>
      </w: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w:t>
      </w: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所示：</w:t>
      </w:r>
    </w:p>
    <w:p w14:paraId="26D96B06">
      <w:pPr>
        <w:spacing w:before="156" w:beforeLines="50"/>
        <w:rPr>
          <w:rFonts w:hint="default" w:ascii="Times New Roman" w:hAnsi="Times New Roman" w:eastAsia="楷体" w:cs="Times New Roman"/>
          <w:b/>
          <w:color w:val="auto"/>
          <w:sz w:val="28"/>
          <w:szCs w:val="28"/>
          <w:highlight w:val="none"/>
        </w:rPr>
      </w:pPr>
      <w:r>
        <w:rPr>
          <w:rFonts w:hint="default" w:ascii="Times New Roman" w:hAnsi="Times New Roman" w:eastAsia="楷体" w:cs="Times New Roman"/>
          <w:b/>
          <w:color w:val="auto"/>
          <w:sz w:val="28"/>
          <w:szCs w:val="28"/>
          <w:highlight w:val="none"/>
        </w:rPr>
        <w:t>表2-2            丰收水库水位～下泄流量关系曲线</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6"/>
        <w:gridCol w:w="1289"/>
        <w:gridCol w:w="1289"/>
        <w:gridCol w:w="1289"/>
        <w:gridCol w:w="1289"/>
        <w:gridCol w:w="1285"/>
      </w:tblGrid>
      <w:tr w14:paraId="39725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2" w:hRule="atLeast"/>
          <w:jc w:val="center"/>
        </w:trPr>
        <w:tc>
          <w:tcPr>
            <w:tcW w:w="2846" w:type="dxa"/>
            <w:noWrap w:val="0"/>
            <w:vAlign w:val="center"/>
          </w:tcPr>
          <w:p w14:paraId="350DC302">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ign w:val="center"/>
          </w:tcPr>
          <w:p w14:paraId="26306F0C">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36.4</w:t>
            </w:r>
          </w:p>
        </w:tc>
        <w:tc>
          <w:tcPr>
            <w:tcW w:w="1289" w:type="dxa"/>
            <w:noWrap/>
            <w:vAlign w:val="center"/>
          </w:tcPr>
          <w:p w14:paraId="57A1F6D1">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36.5</w:t>
            </w:r>
          </w:p>
        </w:tc>
        <w:tc>
          <w:tcPr>
            <w:tcW w:w="1289" w:type="dxa"/>
            <w:noWrap/>
            <w:vAlign w:val="center"/>
          </w:tcPr>
          <w:p w14:paraId="69221318">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36.6</w:t>
            </w:r>
          </w:p>
        </w:tc>
        <w:tc>
          <w:tcPr>
            <w:tcW w:w="1289" w:type="dxa"/>
            <w:noWrap/>
            <w:vAlign w:val="center"/>
          </w:tcPr>
          <w:p w14:paraId="43F5E5F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36.7</w:t>
            </w:r>
          </w:p>
        </w:tc>
        <w:tc>
          <w:tcPr>
            <w:tcW w:w="1285" w:type="dxa"/>
            <w:noWrap/>
            <w:vAlign w:val="center"/>
          </w:tcPr>
          <w:p w14:paraId="7F4B2C6C">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36.8</w:t>
            </w:r>
          </w:p>
        </w:tc>
      </w:tr>
      <w:tr w14:paraId="7D78B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6" w:type="dxa"/>
            <w:noWrap w:val="0"/>
            <w:vAlign w:val="center"/>
          </w:tcPr>
          <w:p w14:paraId="7452AA10">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ign w:val="center"/>
          </w:tcPr>
          <w:p w14:paraId="110D3968">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 </w:t>
            </w:r>
          </w:p>
        </w:tc>
        <w:tc>
          <w:tcPr>
            <w:tcW w:w="1289" w:type="dxa"/>
            <w:noWrap/>
            <w:vAlign w:val="center"/>
          </w:tcPr>
          <w:p w14:paraId="68D1FBB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0.32 </w:t>
            </w:r>
          </w:p>
        </w:tc>
        <w:tc>
          <w:tcPr>
            <w:tcW w:w="1289" w:type="dxa"/>
            <w:noWrap/>
            <w:vAlign w:val="center"/>
          </w:tcPr>
          <w:p w14:paraId="36C141B9">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0.79 </w:t>
            </w:r>
          </w:p>
        </w:tc>
        <w:tc>
          <w:tcPr>
            <w:tcW w:w="1289" w:type="dxa"/>
            <w:noWrap/>
            <w:vAlign w:val="center"/>
          </w:tcPr>
          <w:p w14:paraId="79FA408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1.38 </w:t>
            </w:r>
          </w:p>
        </w:tc>
        <w:tc>
          <w:tcPr>
            <w:tcW w:w="1285" w:type="dxa"/>
            <w:noWrap/>
            <w:vAlign w:val="center"/>
          </w:tcPr>
          <w:p w14:paraId="1ACF5553">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2.06 </w:t>
            </w:r>
          </w:p>
        </w:tc>
      </w:tr>
      <w:tr w14:paraId="31B90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6" w:type="dxa"/>
            <w:noWrap w:val="0"/>
            <w:vAlign w:val="center"/>
          </w:tcPr>
          <w:p w14:paraId="69247058">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ign w:val="center"/>
          </w:tcPr>
          <w:p w14:paraId="1BC76F6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36.9</w:t>
            </w:r>
          </w:p>
        </w:tc>
        <w:tc>
          <w:tcPr>
            <w:tcW w:w="1289" w:type="dxa"/>
            <w:noWrap/>
            <w:vAlign w:val="center"/>
          </w:tcPr>
          <w:p w14:paraId="61E643F4">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w:t>
            </w:r>
          </w:p>
        </w:tc>
        <w:tc>
          <w:tcPr>
            <w:tcW w:w="1289" w:type="dxa"/>
            <w:noWrap/>
            <w:vAlign w:val="center"/>
          </w:tcPr>
          <w:p w14:paraId="21AE85E5">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37.1</w:t>
            </w:r>
          </w:p>
        </w:tc>
        <w:tc>
          <w:tcPr>
            <w:tcW w:w="1289" w:type="dxa"/>
            <w:noWrap/>
            <w:vAlign w:val="center"/>
          </w:tcPr>
          <w:p w14:paraId="766CCCE7">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37.2</w:t>
            </w:r>
          </w:p>
        </w:tc>
        <w:tc>
          <w:tcPr>
            <w:tcW w:w="1285" w:type="dxa"/>
            <w:noWrap/>
            <w:vAlign w:val="center"/>
          </w:tcPr>
          <w:p w14:paraId="050C2B65">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37.3</w:t>
            </w:r>
          </w:p>
        </w:tc>
      </w:tr>
      <w:tr w14:paraId="4EFC5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6" w:type="dxa"/>
            <w:noWrap w:val="0"/>
            <w:vAlign w:val="center"/>
          </w:tcPr>
          <w:p w14:paraId="5F9885EA">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ign w:val="center"/>
          </w:tcPr>
          <w:p w14:paraId="32B7C7D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2.81 </w:t>
            </w:r>
          </w:p>
        </w:tc>
        <w:tc>
          <w:tcPr>
            <w:tcW w:w="1289" w:type="dxa"/>
            <w:noWrap/>
            <w:vAlign w:val="center"/>
          </w:tcPr>
          <w:p w14:paraId="41F15BE0">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3.62 </w:t>
            </w:r>
          </w:p>
        </w:tc>
        <w:tc>
          <w:tcPr>
            <w:tcW w:w="1289" w:type="dxa"/>
            <w:noWrap/>
            <w:vAlign w:val="center"/>
          </w:tcPr>
          <w:p w14:paraId="53F4384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4.47 </w:t>
            </w:r>
          </w:p>
        </w:tc>
        <w:tc>
          <w:tcPr>
            <w:tcW w:w="1289" w:type="dxa"/>
            <w:noWrap/>
            <w:vAlign w:val="center"/>
          </w:tcPr>
          <w:p w14:paraId="416B463C">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5.35 </w:t>
            </w:r>
          </w:p>
        </w:tc>
        <w:tc>
          <w:tcPr>
            <w:tcW w:w="1285" w:type="dxa"/>
            <w:noWrap/>
            <w:vAlign w:val="center"/>
          </w:tcPr>
          <w:p w14:paraId="235E2D93">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6.27 </w:t>
            </w:r>
          </w:p>
        </w:tc>
      </w:tr>
      <w:tr w14:paraId="2B7A1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6" w:type="dxa"/>
            <w:noWrap w:val="0"/>
            <w:vAlign w:val="center"/>
          </w:tcPr>
          <w:p w14:paraId="35F203AB">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ign w:val="center"/>
          </w:tcPr>
          <w:p w14:paraId="78E20C43">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37.4</w:t>
            </w:r>
          </w:p>
        </w:tc>
        <w:tc>
          <w:tcPr>
            <w:tcW w:w="1289" w:type="dxa"/>
            <w:noWrap/>
            <w:vAlign w:val="center"/>
          </w:tcPr>
          <w:p w14:paraId="0898791C">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37.5</w:t>
            </w:r>
          </w:p>
        </w:tc>
        <w:tc>
          <w:tcPr>
            <w:tcW w:w="1289" w:type="dxa"/>
            <w:noWrap/>
            <w:vAlign w:val="center"/>
          </w:tcPr>
          <w:p w14:paraId="1257204C">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37.6</w:t>
            </w:r>
          </w:p>
        </w:tc>
        <w:tc>
          <w:tcPr>
            <w:tcW w:w="1289" w:type="dxa"/>
            <w:noWrap/>
            <w:vAlign w:val="center"/>
          </w:tcPr>
          <w:p w14:paraId="2925BB2F">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37.7</w:t>
            </w:r>
          </w:p>
        </w:tc>
        <w:tc>
          <w:tcPr>
            <w:tcW w:w="1285" w:type="dxa"/>
            <w:noWrap/>
            <w:vAlign w:val="center"/>
          </w:tcPr>
          <w:p w14:paraId="0E15F1C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37.8</w:t>
            </w:r>
          </w:p>
        </w:tc>
      </w:tr>
      <w:tr w14:paraId="2E992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6" w:type="dxa"/>
            <w:noWrap w:val="0"/>
            <w:vAlign w:val="center"/>
          </w:tcPr>
          <w:p w14:paraId="39FB8750">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ign w:val="center"/>
          </w:tcPr>
          <w:p w14:paraId="35E1FF40">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7.22 </w:t>
            </w:r>
          </w:p>
        </w:tc>
        <w:tc>
          <w:tcPr>
            <w:tcW w:w="1289" w:type="dxa"/>
            <w:noWrap/>
            <w:vAlign w:val="center"/>
          </w:tcPr>
          <w:p w14:paraId="2C21F4A1">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8.19 </w:t>
            </w:r>
          </w:p>
        </w:tc>
        <w:tc>
          <w:tcPr>
            <w:tcW w:w="1289" w:type="dxa"/>
            <w:noWrap/>
            <w:vAlign w:val="center"/>
          </w:tcPr>
          <w:p w14:paraId="5B17EE4E">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9.17 </w:t>
            </w:r>
          </w:p>
        </w:tc>
        <w:tc>
          <w:tcPr>
            <w:tcW w:w="1289" w:type="dxa"/>
            <w:noWrap/>
            <w:vAlign w:val="center"/>
          </w:tcPr>
          <w:p w14:paraId="1B542388">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10.18 </w:t>
            </w:r>
          </w:p>
        </w:tc>
        <w:tc>
          <w:tcPr>
            <w:tcW w:w="1285" w:type="dxa"/>
            <w:noWrap/>
            <w:vAlign w:val="center"/>
          </w:tcPr>
          <w:p w14:paraId="6AA9A492">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11.20 </w:t>
            </w:r>
          </w:p>
        </w:tc>
      </w:tr>
    </w:tbl>
    <w:p w14:paraId="1D02FB92">
      <w:pPr>
        <w:spacing w:line="520" w:lineRule="exact"/>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2.2.3 水库枢纽工程历次重大改建、扩建、加固基本情况</w:t>
      </w:r>
    </w:p>
    <w:p w14:paraId="19C8886C">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2012年3月，泉港区农林水局组织对丰收水库进行安全鉴定，鉴定结论为三类坝；2012年3月，泉港区农林水库委托设计单位进行水库大坝除险加固工程设计；2012年12月～2013年10月进行水库除险加固施工，主要工程措施：</w:t>
      </w:r>
    </w:p>
    <w:p w14:paraId="4F8213A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（1）大坝加固工程</w:t>
      </w:r>
    </w:p>
    <w:p w14:paraId="2CB426DC">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1）坝坡加固工程</w:t>
      </w:r>
    </w:p>
    <w:p w14:paraId="0DF6A0CC">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坝坡加固工程包括以下项目：</w:t>
      </w:r>
    </w:p>
    <w:p w14:paraId="3889261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①迎水坡：对29.34m高程以上的大坝迎水坡进行全面的翻砌，对平台以上坝坡按1:2进行削坡。然后在死水位即高程29.34m处设M7.5浆砌条石基础，从死水位开始从下往上依次铺设100mm厚的砂垫层、100mm厚的碎石垫层和250mm厚的干砌块石护坡（利旧率65%），迎水坡平台外侧设M7.5浆砌条石压顶，内侧设M7.5浆砌条石基础，再对正常蓄水位以上的干砌块石护坡采用M10水泥砂浆勾缝；在迎水坡桩号B0+074.5设M7.5浆砌条石下坝台阶，台阶设置高程范围38.30m～29.34m，台阶净宽1.0m，每级高0.18m，采用M7.5浆砌条石砌筑，浆砌片石填充。</w:t>
      </w:r>
    </w:p>
    <w:p w14:paraId="6B28F7D1">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②背水坡：对背水坡进行除草、整平并植草皮护坡，草种选用蜈蚣草。</w:t>
      </w:r>
    </w:p>
    <w:p w14:paraId="4C4D91C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为方便管理人员上下坝，在背水坡桩号B0+074.5设置下坝台阶，台阶设置高程范围38.30m～28.00m，台阶宽1.0m，每级高0.18m，采用M7.5浆砌条石砌筑，浆砌片石填充。</w:t>
      </w:r>
    </w:p>
    <w:p w14:paraId="30A4600B">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③排水棱体：对排水棱体破损处进行修复，排水棱体顶高程28.00m，下游坡坡度1:1.5；对排水棱体上的过坝渠道进行清淤。</w:t>
      </w:r>
    </w:p>
    <w:p w14:paraId="4C53B26E">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2）大坝坝顶加固工程</w:t>
      </w:r>
    </w:p>
    <w:p w14:paraId="57CEED8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本次加固先拆除坝顶的违建房，清除建筑垃圾，再利用迎水坡削坡所得土方加高坝顶，并进行平整、夯实，统一坝顶高程为38.30m，坝顶路面铺设50mm厚广场砖，下设100mm厚5%水泥碎石稳定层，路面向下游侧按2%放坡。坝顶两侧设置M7.5浆砌条石路肩，断面尺寸（宽×高）0.45m×0.45m。路肩每隔10m设一条20mm宽的沉降缝，采用沥青杉木板填缝，深度20cm。</w:t>
      </w:r>
    </w:p>
    <w:p w14:paraId="1EC2E36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3）坝坡排水</w:t>
      </w:r>
    </w:p>
    <w:p w14:paraId="1DC695A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根据背水坡排水的需要，对左右岸坡与背水坡结合处进行修整，设置岸坡排水沟，汇集排除岸坡的部分洪水，岸坡排水沟沿着结合处布置，断面为梯形，底宽0.3m、深0.4m、边坡为1:0.3，采用M7.5浆砌块石砌筑。 排水沟每隔10m设一条20mm宽的沉降缝，采用沥青杉木板填缝，深度20cm。</w:t>
      </w:r>
    </w:p>
    <w:p w14:paraId="3F015C7A">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4）其他</w:t>
      </w:r>
    </w:p>
    <w:p w14:paraId="4BF91A2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拆除原水位尺，在新建迎水坡台阶的右侧边框上设置搪瓷水位尺，水位尺间高差间距1.0m，设置高程范围为29.00m～37.00m，共5根；丰收水库大坝存在白蚁危害，本次加固设计采取坝端预防、坝面诱杀、坝面施药三种方法相结合彻底消灭蚁患。</w:t>
      </w:r>
    </w:p>
    <w:p w14:paraId="1CB0A5E8">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（2）溢洪道加固工程</w:t>
      </w:r>
    </w:p>
    <w:p w14:paraId="4C75C9F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清除杂草与灌木；Y0+000.0～Y0+058.8护砌部分采用M7.5水泥砂浆勾缝；Y0+058.8～Y0+086.0的底板与侧墙增设C25钢筋混凝土板衬砌；对Y0+058.8～Y0+086.0两侧侧墙顶加高，采用断面尺寸为0.25m×0.25m的M7.5浆砌条石砌筑；对消力池底部进行抛块石防冲处理。</w:t>
      </w:r>
    </w:p>
    <w:p w14:paraId="130BBC6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（3）输水设施工程</w:t>
      </w:r>
    </w:p>
    <w:p w14:paraId="72A39B2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将放水建筑物原进口消力井与转动门盖及相应启闭设备拆除，重建进口消力井，洞身套管，配套转动门盖、启闭钢筋、支墩、3t启闭机并新建启闭机房1座。</w:t>
      </w:r>
    </w:p>
    <w:p w14:paraId="66A49D7F">
      <w:pPr>
        <w:spacing w:line="520" w:lineRule="exact"/>
        <w:ind w:firstLine="560" w:firstLineChars="200"/>
        <w:rPr>
          <w:rFonts w:hint="eastAsia" w:ascii="Times New Roman" w:hAnsi="Times New Roman" w:eastAsia="楷体" w:cs="Times New Roman"/>
          <w:color w:val="FF0000"/>
          <w:sz w:val="28"/>
          <w:szCs w:val="28"/>
          <w:highlight w:val="none"/>
          <w:lang w:val="en-US" w:eastAsia="zh-CN"/>
        </w:rPr>
      </w:pPr>
      <w:r>
        <w:rPr>
          <w:rFonts w:hint="default" w:ascii="Times New Roman" w:hAnsi="Times New Roman" w:eastAsia="楷体" w:cs="Times New Roman"/>
          <w:color w:val="auto"/>
          <w:sz w:val="28"/>
          <w:szCs w:val="28"/>
          <w:highlight w:val="none"/>
        </w:rPr>
        <w:t>泉港区前黄镇丰收水库除险加固工程于2013年12月通过了法人主持的完工验收。</w:t>
      </w:r>
      <w:r>
        <w:rPr>
          <w:rFonts w:hint="eastAsia" w:ascii="Times New Roman" w:hAnsi="Times New Roman" w:eastAsia="楷体" w:cs="Times New Roman"/>
          <w:color w:val="auto"/>
          <w:sz w:val="28"/>
          <w:szCs w:val="28"/>
          <w:highlight w:val="none"/>
          <w:lang w:val="en-US" w:eastAsia="zh-CN"/>
        </w:rPr>
        <w:t>2018年经安全鉴定，丰收水库大坝为二类坝。</w:t>
      </w:r>
    </w:p>
    <w:p w14:paraId="27A1E419">
      <w:pPr>
        <w:adjustRightInd w:val="0"/>
        <w:snapToGrid w:val="0"/>
        <w:spacing w:line="520" w:lineRule="exact"/>
        <w:outlineLvl w:val="1"/>
        <w:rPr>
          <w:rFonts w:hint="default" w:ascii="Times New Roman" w:hAnsi="Times New Roman" w:eastAsia="楷体" w:cs="Times New Roman"/>
          <w:b/>
          <w:color w:val="auto"/>
          <w:sz w:val="32"/>
          <w:szCs w:val="30"/>
          <w:highlight w:val="none"/>
        </w:rPr>
      </w:pPr>
      <w:bookmarkStart w:id="35" w:name="_Toc13333"/>
      <w:r>
        <w:rPr>
          <w:rFonts w:hint="default" w:ascii="Times New Roman" w:hAnsi="Times New Roman" w:eastAsia="楷体" w:cs="Times New Roman"/>
          <w:b/>
          <w:color w:val="auto"/>
          <w:sz w:val="32"/>
          <w:szCs w:val="30"/>
          <w:highlight w:val="none"/>
        </w:rPr>
        <w:t>2.3 水文</w:t>
      </w:r>
      <w:bookmarkEnd w:id="35"/>
    </w:p>
    <w:p w14:paraId="3A6EE306">
      <w:pPr>
        <w:spacing w:line="520" w:lineRule="exact"/>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2.3.1水库流域暴雨、洪水特征</w:t>
      </w:r>
    </w:p>
    <w:p w14:paraId="0E585FEB">
      <w:pPr>
        <w:spacing w:line="520" w:lineRule="exact"/>
        <w:ind w:firstLine="56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该流域地处东南沿海，属亚热带海洋性季风气候，季风明显，气候温热，气温日差小，蒸发量大，降雨量集中在夏秋之间，台风影响频繁。本流域受热带季风影响，降水充沛，但存在明显的季风性变化。降水年际及年内变化大，最丰年份和最枯年份之比各站均在3倍左右。主要降水为3～4月的春雨、5～6月的锋面雨和8～9月的台风雨，平均每年有3～5此台风登陆或影响本流域，流域年平均降水量1325mm，5～8月4各月的降水量约占全年的60%，最大一日降雨量152.14mm。</w:t>
      </w:r>
    </w:p>
    <w:p w14:paraId="7B4AE4C7">
      <w:pPr>
        <w:spacing w:line="520" w:lineRule="exact"/>
        <w:ind w:firstLine="56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坝头溪流域较大洪水多由持续时间较短而强度大的暴雨所致，大暴雨主要来源于台风，台风活动频繁，平均每年台风影响5～6次，因而极易造成台风暴雨。一次暴雨持续时间不超过3天，连续2次暴雨有时也有发生，但一般均有1～2天的时间间隔。连续2次均为3天的较大暴雨发生的机会极少。台风多发生在6～9月，风力可达9～12级。</w:t>
      </w:r>
    </w:p>
    <w:p w14:paraId="51B25865">
      <w:pPr>
        <w:spacing w:line="520" w:lineRule="exact"/>
        <w:outlineLvl w:val="1"/>
        <w:rPr>
          <w:rFonts w:hint="default" w:ascii="Times New Roman" w:hAnsi="Times New Roman" w:eastAsia="楷体" w:cs="Times New Roman"/>
          <w:b/>
          <w:color w:val="auto"/>
          <w:sz w:val="32"/>
          <w:szCs w:val="30"/>
          <w:highlight w:val="none"/>
        </w:rPr>
      </w:pPr>
      <w:bookmarkStart w:id="36" w:name="_Toc2641"/>
      <w:r>
        <w:rPr>
          <w:rFonts w:hint="default" w:ascii="Times New Roman" w:hAnsi="Times New Roman" w:eastAsia="楷体" w:cs="Times New Roman"/>
          <w:b/>
          <w:color w:val="auto"/>
          <w:sz w:val="32"/>
          <w:szCs w:val="30"/>
          <w:highlight w:val="none"/>
        </w:rPr>
        <w:t>2.4  工程安全监测</w:t>
      </w:r>
      <w:bookmarkEnd w:id="36"/>
    </w:p>
    <w:p w14:paraId="28165EA5">
      <w:pPr>
        <w:autoSpaceDN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w:t>
      </w:r>
      <w:r>
        <w:rPr>
          <w:rFonts w:hint="eastAsia" w:ascii="Times New Roman" w:hAnsi="Times New Roman" w:eastAsia="楷体" w:cs="Times New Roman"/>
          <w:color w:val="auto"/>
          <w:sz w:val="28"/>
          <w:szCs w:val="28"/>
          <w:highlight w:val="none"/>
          <w:lang w:val="en-US" w:eastAsia="zh-CN"/>
        </w:rPr>
        <w:t>已设置自动监测雨量水位站</w:t>
      </w:r>
      <w:r>
        <w:rPr>
          <w:rFonts w:hint="default" w:ascii="Times New Roman" w:hAnsi="Times New Roman" w:eastAsia="楷体" w:cs="Times New Roman"/>
          <w:color w:val="auto"/>
          <w:sz w:val="28"/>
          <w:szCs w:val="28"/>
          <w:highlight w:val="none"/>
        </w:rPr>
        <w:t>。</w:t>
      </w:r>
    </w:p>
    <w:p w14:paraId="6A63F932">
      <w:pPr>
        <w:spacing w:line="520" w:lineRule="exact"/>
        <w:outlineLvl w:val="1"/>
        <w:rPr>
          <w:rFonts w:hint="default" w:ascii="Times New Roman" w:hAnsi="Times New Roman" w:eastAsia="楷体" w:cs="Times New Roman"/>
          <w:b/>
          <w:color w:val="auto"/>
          <w:sz w:val="32"/>
          <w:szCs w:val="30"/>
          <w:highlight w:val="none"/>
        </w:rPr>
      </w:pPr>
      <w:bookmarkStart w:id="37" w:name="_Toc5426"/>
      <w:r>
        <w:rPr>
          <w:rFonts w:hint="default" w:ascii="Times New Roman" w:hAnsi="Times New Roman" w:eastAsia="楷体" w:cs="Times New Roman"/>
          <w:b/>
          <w:color w:val="auto"/>
          <w:sz w:val="32"/>
          <w:szCs w:val="30"/>
          <w:highlight w:val="none"/>
        </w:rPr>
        <w:t>2.5 水库汛期调度运用计划</w:t>
      </w:r>
      <w:bookmarkEnd w:id="37"/>
    </w:p>
    <w:p w14:paraId="24764B5D">
      <w:pPr>
        <w:outlineLvl w:val="2"/>
        <w:rPr>
          <w:rFonts w:hint="default" w:ascii="Times New Roman" w:hAnsi="Times New Roman" w:eastAsia="楷体" w:cs="Times New Roman"/>
          <w:b/>
          <w:bCs/>
          <w:color w:val="auto"/>
          <w:sz w:val="32"/>
          <w:szCs w:val="30"/>
          <w:highlight w:val="none"/>
        </w:rPr>
      </w:pPr>
      <w:bookmarkStart w:id="38" w:name="_Toc477761804"/>
      <w:bookmarkStart w:id="39" w:name="_Toc11125"/>
      <w:r>
        <w:rPr>
          <w:rFonts w:hint="default" w:ascii="Times New Roman" w:hAnsi="Times New Roman" w:eastAsia="楷体" w:cs="Times New Roman"/>
          <w:b/>
          <w:bCs/>
          <w:color w:val="auto"/>
          <w:sz w:val="32"/>
          <w:szCs w:val="30"/>
          <w:highlight w:val="none"/>
        </w:rPr>
        <w:t>2.5.1汛期划分</w:t>
      </w:r>
      <w:bookmarkEnd w:id="38"/>
    </w:p>
    <w:p w14:paraId="28DB398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根据泉州市防洪防台风应急预案规定，4月1日至10月15日为汛期，其中前汛期为4月1日～6月30日，主汛期为7月1日～9月20日，后汛期为9月21日～10月15日。</w:t>
      </w:r>
    </w:p>
    <w:p w14:paraId="6D4A2B50">
      <w:pPr>
        <w:outlineLvl w:val="2"/>
        <w:rPr>
          <w:rFonts w:hint="default" w:ascii="Times New Roman" w:hAnsi="Times New Roman" w:eastAsia="楷体" w:cs="Times New Roman"/>
          <w:b/>
          <w:bCs/>
          <w:color w:val="auto"/>
          <w:sz w:val="32"/>
          <w:szCs w:val="30"/>
          <w:highlight w:val="none"/>
        </w:rPr>
      </w:pPr>
      <w:bookmarkStart w:id="40" w:name="_Toc477761805"/>
      <w:r>
        <w:rPr>
          <w:rFonts w:hint="default" w:ascii="Times New Roman" w:hAnsi="Times New Roman" w:eastAsia="楷体" w:cs="Times New Roman"/>
          <w:b/>
          <w:bCs/>
          <w:color w:val="auto"/>
          <w:sz w:val="32"/>
          <w:szCs w:val="30"/>
          <w:highlight w:val="none"/>
        </w:rPr>
        <w:t>2.5.2 洪水调度原则</w:t>
      </w:r>
      <w:bookmarkEnd w:id="40"/>
    </w:p>
    <w:p w14:paraId="4CC8B21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79EAC7A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根据时段不同，水库防洪调度原则如下：</w:t>
      </w:r>
    </w:p>
    <w:p w14:paraId="42729567">
      <w:pPr>
        <w:numPr>
          <w:ilvl w:val="0"/>
          <w:numId w:val="1"/>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非汛期防洪调度</w:t>
      </w:r>
    </w:p>
    <w:p w14:paraId="3F36C87F">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1、根据气象部门的气象预报及降雨数据，采取径流系数估算入库洪水，分析次洪的洪峰流量及其峰现时间，从而推求最高库水位，采取适当的调度手段防洪，做到防洪与水库利用两不误。</w:t>
      </w:r>
    </w:p>
    <w:p w14:paraId="2FBAB9D9">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2、加大工程巡查力度，对排洪启闭系统、通讯、交通、供电设备进行全面检查，始终保持良好状况，排除一切不安全因素，确保使用及时。</w:t>
      </w:r>
    </w:p>
    <w:p w14:paraId="609904F8">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（二）汛期防洪调度</w:t>
      </w:r>
    </w:p>
    <w:p w14:paraId="11803E2F">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1、水库遭遇洪水时，要根据雨情分析，判别洪水标准，推求洪峰流量、洪水总量，进行科学合理调度。</w:t>
      </w:r>
    </w:p>
    <w:p w14:paraId="1C01886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2、提前2小时通知下游村落及相关单位做好</w:t>
      </w:r>
      <w:r>
        <w:rPr>
          <w:rFonts w:hint="default" w:ascii="Times New Roman" w:hAnsi="Times New Roman" w:eastAsia="楷体" w:cs="Times New Roman"/>
          <w:color w:val="auto"/>
          <w:sz w:val="28"/>
          <w:szCs w:val="28"/>
          <w:highlight w:val="none"/>
          <w:lang w:val="en-US" w:eastAsia="zh-CN"/>
        </w:rPr>
        <w:t>防洪</w:t>
      </w:r>
      <w:r>
        <w:rPr>
          <w:rFonts w:hint="default" w:ascii="Times New Roman" w:hAnsi="Times New Roman" w:eastAsia="楷体" w:cs="Times New Roman"/>
          <w:color w:val="auto"/>
          <w:sz w:val="28"/>
          <w:szCs w:val="28"/>
          <w:highlight w:val="none"/>
        </w:rPr>
        <w:t>准备。</w:t>
      </w:r>
    </w:p>
    <w:p w14:paraId="3E85849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按照上级批准的调度计划进行调度，采用分段调洪方案，一是对于降雨强度不大，历时较短、降雨量不多的一般洪水（十年一遇以下洪水），控制原则为：在降雨产流阶段、洪峰来临之前，须及时通知下游村落做好防洪工作，水库准备小流量泄排洪。二是对于降雨强度大、历时长的暴雨调洪方案（十年至二十年一遇洪水）：根据采集的降雨资料进行分析，推算洪水量，采取有效措施，结合气象部门降雨预报，及时掌握气象趋势，在上级防汛部门统一指挥下，以保证安全、减少损失为原则，进行科学调度。</w:t>
      </w:r>
    </w:p>
    <w:p w14:paraId="3571ED6B">
      <w:pPr>
        <w:outlineLvl w:val="2"/>
        <w:rPr>
          <w:rFonts w:hint="default" w:ascii="Times New Roman" w:hAnsi="Times New Roman" w:eastAsia="楷体" w:cs="Times New Roman"/>
          <w:b/>
          <w:bCs/>
          <w:color w:val="auto"/>
          <w:sz w:val="32"/>
          <w:szCs w:val="30"/>
          <w:highlight w:val="none"/>
        </w:rPr>
      </w:pPr>
      <w:bookmarkStart w:id="41" w:name="_Toc477761806"/>
      <w:r>
        <w:rPr>
          <w:rFonts w:hint="default" w:ascii="Times New Roman" w:hAnsi="Times New Roman" w:eastAsia="楷体" w:cs="Times New Roman"/>
          <w:b/>
          <w:bCs/>
          <w:color w:val="auto"/>
          <w:sz w:val="32"/>
          <w:szCs w:val="30"/>
          <w:highlight w:val="none"/>
        </w:rPr>
        <w:t>2.5.3 汛限水位确定</w:t>
      </w:r>
      <w:bookmarkEnd w:id="41"/>
    </w:p>
    <w:p w14:paraId="6FCCB0B2">
      <w:pPr>
        <w:spacing w:line="520" w:lineRule="exact"/>
        <w:ind w:firstLine="560" w:firstLineChars="200"/>
        <w:rPr>
          <w:rFonts w:hint="default" w:ascii="Times New Roman" w:hAnsi="Times New Roman" w:eastAsia="楷体" w:cs="Times New Roman"/>
          <w:color w:val="auto"/>
          <w:sz w:val="28"/>
          <w:szCs w:val="28"/>
          <w:highlight w:val="none"/>
        </w:rPr>
      </w:pPr>
      <w:bookmarkStart w:id="42" w:name="_Toc477761807"/>
      <w:r>
        <w:rPr>
          <w:rFonts w:hint="default" w:ascii="Times New Roman" w:hAnsi="Times New Roman" w:eastAsia="楷体" w:cs="Times New Roman"/>
          <w:color w:val="auto"/>
          <w:sz w:val="28"/>
          <w:szCs w:val="28"/>
          <w:highlight w:val="none"/>
        </w:rPr>
        <w:t>汛限水位的确定从以下几个方面来确定：</w:t>
      </w:r>
    </w:p>
    <w:p w14:paraId="1FB8F7E4">
      <w:pPr>
        <w:numPr>
          <w:ilvl w:val="0"/>
          <w:numId w:val="2"/>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根据《泉港区前黄镇丰收水库除险加固工程初步设计报告（报批稿）》（泉州市水利水电勘测设计院</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2012年4月）的设计内容结论以及《丰收水库2018年防洪调度运用计划》的调度实际情况可知，丰收水库水位</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对应的库容为</w:t>
      </w:r>
      <w:r>
        <w:rPr>
          <w:rFonts w:hint="default" w:ascii="Times New Roman" w:hAnsi="Times New Roman" w:eastAsia="楷体" w:cs="Times New Roman"/>
          <w:color w:val="auto"/>
          <w:sz w:val="28"/>
          <w:szCs w:val="28"/>
          <w:highlight w:val="none"/>
          <w:lang w:val="en-US" w:eastAsia="zh-CN"/>
        </w:rPr>
        <w:t>18.36</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，201</w:t>
      </w:r>
      <w:r>
        <w:rPr>
          <w:rFonts w:hint="eastAsia" w:ascii="Times New Roman" w:hAnsi="Times New Roman" w:eastAsia="楷体" w:cs="Times New Roman"/>
          <w:color w:val="auto"/>
          <w:sz w:val="28"/>
          <w:szCs w:val="28"/>
          <w:highlight w:val="none"/>
          <w:lang w:val="en-US" w:eastAsia="zh-CN"/>
        </w:rPr>
        <w:t>9</w:t>
      </w:r>
      <w:r>
        <w:rPr>
          <w:rFonts w:hint="default" w:ascii="Times New Roman" w:hAnsi="Times New Roman" w:eastAsia="楷体" w:cs="Times New Roman"/>
          <w:color w:val="auto"/>
          <w:sz w:val="28"/>
          <w:szCs w:val="28"/>
          <w:highlight w:val="none"/>
        </w:rPr>
        <w:t>年丰收水库总体运行状况良好，即便在台风期，丰收水库仍很好的完成了防汛任务；</w:t>
      </w:r>
    </w:p>
    <w:p w14:paraId="32689C0E">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、丰收水库的正常蓄水位为</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m，根据丰收水库初步设计中的设计要求，丰收水库汛限水位设置为</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m，既符合水库防洪要求，又保障了丰收水库的兴利功能要求。</w:t>
      </w:r>
    </w:p>
    <w:p w14:paraId="1DC95978">
      <w:pPr>
        <w:spacing w:line="520" w:lineRule="exact"/>
        <w:ind w:firstLine="560" w:firstLineChars="20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sz w:val="28"/>
          <w:szCs w:val="28"/>
          <w:highlight w:val="none"/>
        </w:rPr>
        <w:t>因此，20</w:t>
      </w:r>
      <w:r>
        <w:rPr>
          <w:rFonts w:hint="eastAsia" w:ascii="Times New Roman" w:hAnsi="Times New Roman" w:eastAsia="楷体" w:cs="Times New Roman"/>
          <w:color w:val="auto"/>
          <w:sz w:val="28"/>
          <w:szCs w:val="28"/>
          <w:highlight w:val="none"/>
          <w:lang w:val="en-US" w:eastAsia="zh-CN"/>
        </w:rPr>
        <w:t>22</w:t>
      </w:r>
      <w:r>
        <w:rPr>
          <w:rFonts w:hint="default" w:ascii="Times New Roman" w:hAnsi="Times New Roman" w:eastAsia="楷体" w:cs="Times New Roman"/>
          <w:color w:val="auto"/>
          <w:sz w:val="28"/>
          <w:szCs w:val="28"/>
          <w:highlight w:val="none"/>
        </w:rPr>
        <w:t>年将</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m作为丰收水库的汛限水位。</w:t>
      </w:r>
    </w:p>
    <w:p w14:paraId="4B71BE00">
      <w:pPr>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2.5.4 汛期防洪调度方式</w:t>
      </w:r>
      <w:bookmarkEnd w:id="42"/>
    </w:p>
    <w:bookmarkEnd w:id="39"/>
    <w:p w14:paraId="789B8EBF">
      <w:pPr>
        <w:spacing w:line="520" w:lineRule="exact"/>
        <w:ind w:left="420" w:left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（1）水库调洪演算</w:t>
      </w:r>
    </w:p>
    <w:p w14:paraId="03728E0F">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调洪演算按水量平衡方程式逐时段进行试算，计算方程式如下：</w:t>
      </w:r>
    </w:p>
    <w:p w14:paraId="4C4B634B">
      <w:pPr>
        <w:ind w:firstLine="2520" w:firstLineChars="9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position w:val="-24"/>
          <w:sz w:val="28"/>
          <w:szCs w:val="28"/>
          <w:highlight w:val="none"/>
        </w:rPr>
        <w:object>
          <v:shape id="_x0000_i1045" o:spt="75" type="#_x0000_t75" style="height:33pt;width:162pt;" o:ole="t" filled="f" o:preferrelative="t" stroked="f" coordsize="21600,21600">
            <v:path/>
            <v:fill on="f" focussize="0,0"/>
            <v:stroke on="f" joinstyle="miter"/>
            <v:imagedata r:id="rId22" o:title=""/>
            <o:lock v:ext="edit" aspectratio="t"/>
            <w10:wrap type="none"/>
            <w10:anchorlock/>
          </v:shape>
          <o:OLEObject Type="Embed" ProgID="Equation.DSMT4" ShapeID="_x0000_i1045" DrawAspect="Content" ObjectID="_1468075745" r:id="rId46">
            <o:LockedField>false</o:LockedField>
          </o:OLEObject>
        </w:object>
      </w:r>
      <w:r>
        <w:rPr>
          <w:rFonts w:hint="default" w:ascii="Times New Roman" w:hAnsi="Times New Roman" w:eastAsia="楷体" w:cs="Times New Roman"/>
          <w:color w:val="auto"/>
          <w:sz w:val="28"/>
          <w:szCs w:val="28"/>
          <w:highlight w:val="none"/>
        </w:rPr>
        <w:t xml:space="preserve">          </w:t>
      </w:r>
    </w:p>
    <w:p w14:paraId="4226A9CE">
      <w:pPr>
        <w:spacing w:line="520" w:lineRule="exac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式中：</w:t>
      </w:r>
      <w:r>
        <w:rPr>
          <w:rFonts w:hint="default" w:ascii="Times New Roman" w:hAnsi="Times New Roman" w:eastAsia="楷体" w:cs="Times New Roman"/>
          <w:color w:val="auto"/>
          <w:position w:val="-12"/>
          <w:sz w:val="28"/>
          <w:szCs w:val="28"/>
          <w:highlight w:val="none"/>
        </w:rPr>
        <w:object>
          <v:shape id="_x0000_i1046" o:spt="75" type="#_x0000_t75" style="height:18pt;width:36.75pt;" o:ole="t" filled="f" o:preferrelative="t" stroked="f" coordsize="21600,21600">
            <v:path/>
            <v:fill on="f" focussize="0,0"/>
            <v:stroke on="f" joinstyle="miter"/>
            <v:imagedata r:id="rId24" o:title=""/>
            <o:lock v:ext="edit" aspectratio="t"/>
            <w10:wrap type="none"/>
            <w10:anchorlock/>
          </v:shape>
          <o:OLEObject Type="Embed" ProgID="Equation.DSMT4" ShapeID="_x0000_i1046" DrawAspect="Content" ObjectID="_1468075746" r:id="rId47">
            <o:LockedField>false</o:LockedField>
          </o:OLEObject>
        </w:object>
      </w:r>
      <w:r>
        <w:rPr>
          <w:rFonts w:hint="default" w:ascii="Times New Roman" w:hAnsi="Times New Roman" w:eastAsia="楷体" w:cs="Times New Roman"/>
          <w:color w:val="auto"/>
          <w:sz w:val="28"/>
          <w:szCs w:val="28"/>
          <w:highlight w:val="none"/>
        </w:rPr>
        <w:t>——时段</w:t>
      </w:r>
      <w:r>
        <w:rPr>
          <w:rFonts w:hint="default" w:ascii="Times New Roman" w:hAnsi="Times New Roman" w:eastAsia="楷体" w:cs="Times New Roman"/>
          <w:color w:val="auto"/>
          <w:position w:val="-6"/>
          <w:sz w:val="28"/>
          <w:szCs w:val="28"/>
          <w:highlight w:val="none"/>
        </w:rPr>
        <w:object>
          <v:shape id="_x0000_i1047" o:spt="75" type="#_x0000_t75" style="height:14.25pt;width:15pt;" o:ole="t" filled="f" o:preferrelative="t" stroked="f" coordsize="21600,21600">
            <v:path/>
            <v:fill on="f" focussize="0,0"/>
            <v:stroke on="f" joinstyle="miter"/>
            <v:imagedata r:id="rId26" o:title=""/>
            <o:lock v:ext="edit" aspectratio="t"/>
            <w10:wrap type="none"/>
            <w10:anchorlock/>
          </v:shape>
          <o:OLEObject Type="Embed" ProgID="Equation.DSMT4" ShapeID="_x0000_i1047" DrawAspect="Content" ObjectID="_1468075747" r:id="rId48">
            <o:LockedField>false</o:LockedField>
          </o:OLEObject>
        </w:object>
      </w:r>
      <w:r>
        <w:rPr>
          <w:rFonts w:hint="default" w:ascii="Times New Roman" w:hAnsi="Times New Roman" w:eastAsia="楷体" w:cs="Times New Roman"/>
          <w:color w:val="auto"/>
          <w:sz w:val="28"/>
          <w:szCs w:val="28"/>
          <w:highlight w:val="none"/>
        </w:rPr>
        <w:t>始、末的入库流量（</w:t>
      </w:r>
      <w:r>
        <w:rPr>
          <w:rFonts w:hint="default" w:ascii="Times New Roman" w:hAnsi="Times New Roman" w:eastAsia="楷体" w:cs="Times New Roman"/>
          <w:color w:val="auto"/>
          <w:position w:val="-6"/>
          <w:sz w:val="28"/>
          <w:szCs w:val="28"/>
          <w:highlight w:val="none"/>
        </w:rPr>
        <w:object>
          <v:shape id="_x0000_i1048" o:spt="75" type="#_x0000_t75" style="height:16.5pt;width:30pt;" o:ole="t" filled="f" o:preferrelative="t" stroked="f" coordsize="21600,21600">
            <v:path/>
            <v:fill on="f" focussize="0,0"/>
            <v:stroke on="f" joinstyle="miter"/>
            <v:imagedata r:id="rId28" o:title=""/>
            <o:lock v:ext="edit" aspectratio="t"/>
            <w10:wrap type="none"/>
            <w10:anchorlock/>
          </v:shape>
          <o:OLEObject Type="Embed" ProgID="Equation.DSMT4" ShapeID="_x0000_i1048" DrawAspect="Content" ObjectID="_1468075748" r:id="rId49">
            <o:LockedField>false</o:LockedField>
          </o:OLEObject>
        </w:object>
      </w:r>
      <w:r>
        <w:rPr>
          <w:rFonts w:hint="default" w:ascii="Times New Roman" w:hAnsi="Times New Roman" w:eastAsia="楷体" w:cs="Times New Roman"/>
          <w:color w:val="auto"/>
          <w:sz w:val="28"/>
          <w:szCs w:val="28"/>
          <w:highlight w:val="none"/>
        </w:rPr>
        <w:t>）;</w:t>
      </w:r>
    </w:p>
    <w:p w14:paraId="4CB0F601">
      <w:pPr>
        <w:spacing w:line="520" w:lineRule="exac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position w:val="-12"/>
          <w:sz w:val="28"/>
          <w:szCs w:val="28"/>
          <w:highlight w:val="none"/>
        </w:rPr>
        <w:object>
          <v:shape id="_x0000_i1049" o:spt="75" type="#_x0000_t75" style="height:18pt;width:33pt;" o:ole="t" filled="f" o:preferrelative="t" stroked="f" coordsize="21600,21600">
            <v:path/>
            <v:fill on="f" focussize="0,0"/>
            <v:stroke on="f" joinstyle="miter"/>
            <v:imagedata r:id="rId30" o:title=""/>
            <o:lock v:ext="edit" aspectratio="t"/>
            <w10:wrap type="none"/>
            <w10:anchorlock/>
          </v:shape>
          <o:OLEObject Type="Embed" ProgID="Equation.DSMT4" ShapeID="_x0000_i1049" DrawAspect="Content" ObjectID="_1468075749" r:id="rId50">
            <o:LockedField>false</o:LockedField>
          </o:OLEObject>
        </w:object>
      </w:r>
      <w:r>
        <w:rPr>
          <w:rFonts w:hint="default" w:ascii="Times New Roman" w:hAnsi="Times New Roman" w:eastAsia="楷体" w:cs="Times New Roman"/>
          <w:color w:val="auto"/>
          <w:sz w:val="28"/>
          <w:szCs w:val="28"/>
          <w:highlight w:val="none"/>
        </w:rPr>
        <w:t>——时段</w:t>
      </w:r>
      <w:r>
        <w:rPr>
          <w:rFonts w:hint="default" w:ascii="Times New Roman" w:hAnsi="Times New Roman" w:eastAsia="楷体" w:cs="Times New Roman"/>
          <w:color w:val="auto"/>
          <w:position w:val="-6"/>
          <w:sz w:val="28"/>
          <w:szCs w:val="28"/>
          <w:highlight w:val="none"/>
        </w:rPr>
        <w:object>
          <v:shape id="_x0000_i1050" o:spt="75" type="#_x0000_t75" style="height:14.25pt;width:15pt;" o:ole="t" filled="f" o:preferrelative="t" stroked="f" coordsize="21600,21600">
            <v:path/>
            <v:fill on="f" focussize="0,0"/>
            <v:stroke on="f" joinstyle="miter"/>
            <v:imagedata r:id="rId32" o:title=""/>
            <o:lock v:ext="edit" aspectratio="t"/>
            <w10:wrap type="none"/>
            <w10:anchorlock/>
          </v:shape>
          <o:OLEObject Type="Embed" ProgID="Equation.DSMT4" ShapeID="_x0000_i1050" DrawAspect="Content" ObjectID="_1468075750" r:id="rId51">
            <o:LockedField>false</o:LockedField>
          </o:OLEObject>
        </w:object>
      </w:r>
      <w:r>
        <w:rPr>
          <w:rFonts w:hint="default" w:ascii="Times New Roman" w:hAnsi="Times New Roman" w:eastAsia="楷体" w:cs="Times New Roman"/>
          <w:color w:val="auto"/>
          <w:sz w:val="28"/>
          <w:szCs w:val="28"/>
          <w:highlight w:val="none"/>
        </w:rPr>
        <w:t>始、末的出库流量（</w:t>
      </w:r>
      <w:r>
        <w:rPr>
          <w:rFonts w:hint="default" w:ascii="Times New Roman" w:hAnsi="Times New Roman" w:eastAsia="楷体" w:cs="Times New Roman"/>
          <w:color w:val="auto"/>
          <w:position w:val="-6"/>
          <w:sz w:val="28"/>
          <w:szCs w:val="28"/>
          <w:highlight w:val="none"/>
        </w:rPr>
        <w:object>
          <v:shape id="_x0000_i1051" o:spt="75" type="#_x0000_t75" style="height:16.5pt;width:30pt;" o:ole="t" filled="f" o:preferrelative="t" stroked="f" coordsize="21600,21600">
            <v:path/>
            <v:fill on="f" focussize="0,0"/>
            <v:stroke on="f" joinstyle="miter"/>
            <v:imagedata r:id="rId34" o:title=""/>
            <o:lock v:ext="edit" aspectratio="t"/>
            <w10:wrap type="none"/>
            <w10:anchorlock/>
          </v:shape>
          <o:OLEObject Type="Embed" ProgID="Equation.DSMT4" ShapeID="_x0000_i1051" DrawAspect="Content" ObjectID="_1468075751" r:id="rId52">
            <o:LockedField>false</o:LockedField>
          </o:OLEObject>
        </w:object>
      </w:r>
      <w:r>
        <w:rPr>
          <w:rFonts w:hint="default" w:ascii="Times New Roman" w:hAnsi="Times New Roman" w:eastAsia="楷体" w:cs="Times New Roman"/>
          <w:color w:val="auto"/>
          <w:sz w:val="28"/>
          <w:szCs w:val="28"/>
          <w:highlight w:val="none"/>
        </w:rPr>
        <w:t>）;</w:t>
      </w:r>
    </w:p>
    <w:p w14:paraId="51118E00">
      <w:pPr>
        <w:spacing w:line="520" w:lineRule="exac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position w:val="-12"/>
          <w:sz w:val="28"/>
          <w:szCs w:val="28"/>
          <w:highlight w:val="none"/>
        </w:rPr>
        <w:object>
          <v:shape id="_x0000_i1052" o:spt="75" type="#_x0000_t75" style="height:18pt;width:33.75pt;" o:ole="t" filled="f" o:preferrelative="t" stroked="f" coordsize="21600,21600">
            <v:path/>
            <v:fill on="f" focussize="0,0"/>
            <v:stroke on="f" joinstyle="miter"/>
            <v:imagedata r:id="rId36" o:title=""/>
            <o:lock v:ext="edit" aspectratio="t"/>
            <w10:wrap type="none"/>
            <w10:anchorlock/>
          </v:shape>
          <o:OLEObject Type="Embed" ProgID="Equation.DSMT4" ShapeID="_x0000_i1052" DrawAspect="Content" ObjectID="_1468075752" r:id="rId53">
            <o:LockedField>false</o:LockedField>
          </o:OLEObject>
        </w:object>
      </w:r>
      <w:r>
        <w:rPr>
          <w:rFonts w:hint="default" w:ascii="Times New Roman" w:hAnsi="Times New Roman" w:eastAsia="楷体" w:cs="Times New Roman"/>
          <w:color w:val="auto"/>
          <w:sz w:val="28"/>
          <w:szCs w:val="28"/>
          <w:highlight w:val="none"/>
        </w:rPr>
        <w:t>——时段</w:t>
      </w:r>
      <w:r>
        <w:rPr>
          <w:rFonts w:hint="default" w:ascii="Times New Roman" w:hAnsi="Times New Roman" w:eastAsia="楷体" w:cs="Times New Roman"/>
          <w:color w:val="auto"/>
          <w:position w:val="-6"/>
          <w:sz w:val="28"/>
          <w:szCs w:val="28"/>
          <w:highlight w:val="none"/>
        </w:rPr>
        <w:object>
          <v:shape id="_x0000_i1053" o:spt="75" type="#_x0000_t75" style="height:14.25pt;width:15pt;" o:ole="t" filled="f" o:preferrelative="t" stroked="f" coordsize="21600,21600">
            <v:path/>
            <v:fill on="f" focussize="0,0"/>
            <v:stroke on="f" joinstyle="miter"/>
            <v:imagedata r:id="rId38" o:title=""/>
            <o:lock v:ext="edit" aspectratio="t"/>
            <w10:wrap type="none"/>
            <w10:anchorlock/>
          </v:shape>
          <o:OLEObject Type="Embed" ProgID="Equation.DSMT4" ShapeID="_x0000_i1053" DrawAspect="Content" ObjectID="_1468075753" r:id="rId54">
            <o:LockedField>false</o:LockedField>
          </o:OLEObject>
        </w:object>
      </w:r>
      <w:r>
        <w:rPr>
          <w:rFonts w:hint="default" w:ascii="Times New Roman" w:hAnsi="Times New Roman" w:eastAsia="楷体" w:cs="Times New Roman"/>
          <w:color w:val="auto"/>
          <w:sz w:val="28"/>
          <w:szCs w:val="28"/>
          <w:highlight w:val="none"/>
        </w:rPr>
        <w:t>始、末的库容（万</w:t>
      </w:r>
      <w:r>
        <w:rPr>
          <w:rFonts w:hint="default" w:ascii="Times New Roman" w:hAnsi="Times New Roman" w:eastAsia="楷体" w:cs="Times New Roman"/>
          <w:i/>
          <w:color w:val="auto"/>
          <w:sz w:val="28"/>
          <w:szCs w:val="28"/>
          <w:highlight w:val="none"/>
        </w:rPr>
        <w:t xml:space="preserve"> </w:t>
      </w:r>
      <w:r>
        <w:rPr>
          <w:rFonts w:hint="default" w:ascii="Times New Roman" w:hAnsi="Times New Roman" w:eastAsia="楷体" w:cs="Times New Roman"/>
          <w:color w:val="auto"/>
          <w:position w:val="-6"/>
          <w:sz w:val="28"/>
          <w:szCs w:val="28"/>
          <w:highlight w:val="none"/>
        </w:rPr>
        <w:object>
          <v:shape id="_x0000_i1054" o:spt="75" type="#_x0000_t75" style="height:16.5pt;width:16.5pt;" o:ole="t" filled="f" o:preferrelative="t" stroked="f" coordsize="21600,21600">
            <v:path/>
            <v:fill on="f" focussize="0,0"/>
            <v:stroke on="f" joinstyle="miter"/>
            <v:imagedata r:id="rId40" o:title=""/>
            <o:lock v:ext="edit" aspectratio="t"/>
            <w10:wrap type="none"/>
            <w10:anchorlock/>
          </v:shape>
          <o:OLEObject Type="Embed" ProgID="Equation.DSMT4" ShapeID="_x0000_i1054" DrawAspect="Content" ObjectID="_1468075754" r:id="rId55">
            <o:LockedField>false</o:LockedField>
          </o:OLEObject>
        </w:object>
      </w:r>
      <w:r>
        <w:rPr>
          <w:rFonts w:hint="default" w:ascii="Times New Roman" w:hAnsi="Times New Roman" w:eastAsia="楷体" w:cs="Times New Roman"/>
          <w:color w:val="auto"/>
          <w:sz w:val="28"/>
          <w:szCs w:val="28"/>
          <w:highlight w:val="none"/>
        </w:rPr>
        <w:t>）</w:t>
      </w:r>
    </w:p>
    <w:p w14:paraId="472D6589">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丰收水库的正常蓄水位为</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m，汛期期间起调水位采用汛限水位</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m，经调洪演算求得P=</w:t>
      </w:r>
      <w:r>
        <w:rPr>
          <w:rFonts w:hint="default" w:ascii="Times New Roman" w:hAnsi="Times New Roman" w:eastAsia="楷体" w:cs="Times New Roman"/>
          <w:color w:val="auto"/>
          <w:sz w:val="28"/>
          <w:szCs w:val="28"/>
          <w:highlight w:val="none"/>
          <w:lang w:val="en-US" w:eastAsia="zh-CN"/>
        </w:rPr>
        <w:t>5</w:t>
      </w:r>
      <w:r>
        <w:rPr>
          <w:rFonts w:hint="default" w:ascii="Times New Roman" w:hAnsi="Times New Roman" w:eastAsia="楷体" w:cs="Times New Roman"/>
          <w:color w:val="auto"/>
          <w:sz w:val="28"/>
          <w:szCs w:val="28"/>
          <w:highlight w:val="none"/>
        </w:rPr>
        <w:t>%和P=0.</w:t>
      </w:r>
      <w:r>
        <w:rPr>
          <w:rFonts w:hint="default" w:ascii="Times New Roman" w:hAnsi="Times New Roman" w:eastAsia="楷体" w:cs="Times New Roman"/>
          <w:color w:val="auto"/>
          <w:sz w:val="28"/>
          <w:szCs w:val="28"/>
          <w:highlight w:val="none"/>
          <w:lang w:val="en-US" w:eastAsia="zh-CN"/>
        </w:rPr>
        <w:t>33</w:t>
      </w:r>
      <w:r>
        <w:rPr>
          <w:rFonts w:hint="default" w:ascii="Times New Roman" w:hAnsi="Times New Roman" w:eastAsia="楷体" w:cs="Times New Roman"/>
          <w:color w:val="auto"/>
          <w:sz w:val="28"/>
          <w:szCs w:val="28"/>
          <w:highlight w:val="none"/>
        </w:rPr>
        <w:t>%两种设计频率洪水的调洪演算成果详见表4-1。</w:t>
      </w:r>
    </w:p>
    <w:p w14:paraId="3B1AE1FE">
      <w:pPr>
        <w:spacing w:line="520" w:lineRule="exact"/>
        <w:rPr>
          <w:rFonts w:hint="default" w:ascii="Times New Roman" w:hAnsi="Times New Roman" w:eastAsia="楷体" w:cs="Times New Roman"/>
          <w:b/>
          <w:bCs/>
          <w:color w:val="auto"/>
          <w:kern w:val="0"/>
          <w:sz w:val="28"/>
          <w:szCs w:val="28"/>
          <w:highlight w:val="none"/>
        </w:rPr>
      </w:pPr>
      <w:r>
        <w:rPr>
          <w:rFonts w:hint="default" w:ascii="Times New Roman" w:hAnsi="Times New Roman" w:eastAsia="楷体" w:cs="Times New Roman"/>
          <w:b/>
          <w:bCs/>
          <w:color w:val="auto"/>
          <w:kern w:val="0"/>
          <w:sz w:val="28"/>
          <w:szCs w:val="28"/>
          <w:highlight w:val="none"/>
        </w:rPr>
        <w:t>表4-1            丰收水库调洪演算成果表</w:t>
      </w:r>
    </w:p>
    <w:tbl>
      <w:tblPr>
        <w:tblStyle w:val="18"/>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5"/>
        <w:gridCol w:w="2045"/>
        <w:gridCol w:w="1778"/>
        <w:gridCol w:w="1586"/>
        <w:gridCol w:w="1587"/>
      </w:tblGrid>
      <w:tr w14:paraId="13A3D8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5" w:type="dxa"/>
            <w:tcBorders>
              <w:tl2br w:val="nil"/>
              <w:tr2bl w:val="nil"/>
            </w:tcBorders>
            <w:noWrap w:val="0"/>
            <w:vAlign w:val="center"/>
          </w:tcPr>
          <w:p w14:paraId="2651ACAE">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设计频率</w:t>
            </w:r>
          </w:p>
        </w:tc>
        <w:tc>
          <w:tcPr>
            <w:tcW w:w="2045" w:type="dxa"/>
            <w:tcBorders>
              <w:tl2br w:val="nil"/>
              <w:tr2bl w:val="nil"/>
            </w:tcBorders>
            <w:noWrap w:val="0"/>
            <w:vAlign w:val="center"/>
          </w:tcPr>
          <w:p w14:paraId="259B3EA9">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最大入库流量(m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/s)</w:t>
            </w:r>
          </w:p>
        </w:tc>
        <w:tc>
          <w:tcPr>
            <w:tcW w:w="1778" w:type="dxa"/>
            <w:tcBorders>
              <w:tl2br w:val="nil"/>
              <w:tr2bl w:val="nil"/>
            </w:tcBorders>
            <w:noWrap w:val="0"/>
            <w:vAlign w:val="center"/>
          </w:tcPr>
          <w:p w14:paraId="2BC7F224">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最大下泄流量(m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/s)</w:t>
            </w:r>
          </w:p>
        </w:tc>
        <w:tc>
          <w:tcPr>
            <w:tcW w:w="1586" w:type="dxa"/>
            <w:tcBorders>
              <w:tl2br w:val="nil"/>
              <w:tr2bl w:val="nil"/>
            </w:tcBorders>
            <w:noWrap w:val="0"/>
            <w:vAlign w:val="center"/>
          </w:tcPr>
          <w:p w14:paraId="3F98B4C4">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最高库水位（m）</w:t>
            </w:r>
          </w:p>
        </w:tc>
        <w:tc>
          <w:tcPr>
            <w:tcW w:w="1587" w:type="dxa"/>
            <w:tcBorders>
              <w:tl2br w:val="nil"/>
              <w:tr2bl w:val="nil"/>
            </w:tcBorders>
            <w:noWrap w:val="0"/>
            <w:vAlign w:val="center"/>
          </w:tcPr>
          <w:p w14:paraId="4FCFBD9D">
            <w:pPr>
              <w:widowControl/>
              <w:spacing w:line="440" w:lineRule="exact"/>
              <w:jc w:val="center"/>
              <w:textAlignment w:val="center"/>
              <w:rPr>
                <w:rFonts w:hint="default" w:ascii="Times New Roman" w:hAnsi="Times New Roman" w:eastAsia="楷体" w:cs="Times New Roman"/>
                <w:b/>
                <w:color w:val="auto"/>
                <w:kern w:val="0"/>
                <w:sz w:val="24"/>
                <w:highlight w:val="none"/>
              </w:rPr>
            </w:pPr>
            <w:r>
              <w:rPr>
                <w:rFonts w:hint="default" w:ascii="Times New Roman" w:hAnsi="Times New Roman" w:eastAsia="楷体" w:cs="Times New Roman"/>
                <w:b/>
                <w:color w:val="auto"/>
                <w:kern w:val="0"/>
                <w:sz w:val="24"/>
                <w:highlight w:val="none"/>
              </w:rPr>
              <w:t>设计库容</w:t>
            </w:r>
          </w:p>
          <w:p w14:paraId="7F223421">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（万m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w:t>
            </w:r>
          </w:p>
        </w:tc>
      </w:tr>
      <w:tr w14:paraId="5558BA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4E8BEF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P=5%</w:t>
            </w:r>
          </w:p>
        </w:tc>
        <w:tc>
          <w:tcPr>
            <w:tcW w:w="2045" w:type="dxa"/>
            <w:tcBorders>
              <w:tl2br w:val="nil"/>
              <w:tr2bl w:val="nil"/>
            </w:tcBorders>
            <w:noWrap w:val="0"/>
            <w:vAlign w:val="center"/>
          </w:tcPr>
          <w:p w14:paraId="7D6775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6.35</w:t>
            </w:r>
          </w:p>
        </w:tc>
        <w:tc>
          <w:tcPr>
            <w:tcW w:w="1778" w:type="dxa"/>
            <w:tcBorders>
              <w:tl2br w:val="nil"/>
              <w:tr2bl w:val="nil"/>
            </w:tcBorders>
            <w:noWrap w:val="0"/>
            <w:vAlign w:val="center"/>
          </w:tcPr>
          <w:p w14:paraId="39148B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2.61</w:t>
            </w:r>
          </w:p>
        </w:tc>
        <w:tc>
          <w:tcPr>
            <w:tcW w:w="1586" w:type="dxa"/>
            <w:tcBorders>
              <w:tl2br w:val="nil"/>
              <w:tr2bl w:val="nil"/>
            </w:tcBorders>
            <w:noWrap w:val="0"/>
            <w:vAlign w:val="center"/>
          </w:tcPr>
          <w:p w14:paraId="4BB3F9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36.94</w:t>
            </w:r>
          </w:p>
        </w:tc>
        <w:tc>
          <w:tcPr>
            <w:tcW w:w="1587" w:type="dxa"/>
            <w:tcBorders>
              <w:tl2br w:val="nil"/>
              <w:tr2bl w:val="nil"/>
            </w:tcBorders>
            <w:noWrap w:val="0"/>
            <w:vAlign w:val="center"/>
          </w:tcPr>
          <w:p w14:paraId="026EE3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20.46</w:t>
            </w:r>
          </w:p>
        </w:tc>
      </w:tr>
      <w:tr w14:paraId="76D9CD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43EDE7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P=0.33%</w:t>
            </w:r>
          </w:p>
        </w:tc>
        <w:tc>
          <w:tcPr>
            <w:tcW w:w="2045" w:type="dxa"/>
            <w:tcBorders>
              <w:tl2br w:val="nil"/>
              <w:tr2bl w:val="nil"/>
            </w:tcBorders>
            <w:noWrap w:val="0"/>
            <w:vAlign w:val="center"/>
          </w:tcPr>
          <w:p w14:paraId="20FF6F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10.1</w:t>
            </w:r>
          </w:p>
        </w:tc>
        <w:tc>
          <w:tcPr>
            <w:tcW w:w="1778" w:type="dxa"/>
            <w:tcBorders>
              <w:tl2br w:val="nil"/>
              <w:tr2bl w:val="nil"/>
            </w:tcBorders>
            <w:noWrap w:val="0"/>
            <w:vAlign w:val="center"/>
          </w:tcPr>
          <w:p w14:paraId="6E7A1A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4.74</w:t>
            </w:r>
          </w:p>
        </w:tc>
        <w:tc>
          <w:tcPr>
            <w:tcW w:w="1586" w:type="dxa"/>
            <w:tcBorders>
              <w:tl2br w:val="nil"/>
              <w:tr2bl w:val="nil"/>
            </w:tcBorders>
            <w:noWrap w:val="0"/>
            <w:vAlign w:val="center"/>
          </w:tcPr>
          <w:p w14:paraId="6365B4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37.21</w:t>
            </w:r>
          </w:p>
        </w:tc>
        <w:tc>
          <w:tcPr>
            <w:tcW w:w="1587" w:type="dxa"/>
            <w:tcBorders>
              <w:tl2br w:val="nil"/>
              <w:tr2bl w:val="nil"/>
            </w:tcBorders>
            <w:noWrap w:val="0"/>
            <w:vAlign w:val="center"/>
          </w:tcPr>
          <w:p w14:paraId="4BE12E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21.6</w:t>
            </w:r>
          </w:p>
        </w:tc>
      </w:tr>
    </w:tbl>
    <w:p w14:paraId="48EAFAF3">
      <w:pPr>
        <w:spacing w:line="520" w:lineRule="exact"/>
        <w:ind w:left="420" w:left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（2）丰收水库防汛调度方案</w:t>
      </w:r>
    </w:p>
    <w:p w14:paraId="2BACABFE">
      <w:pPr>
        <w:numPr>
          <w:ilvl w:val="0"/>
          <w:numId w:val="3"/>
        </w:numPr>
        <w:spacing w:line="520" w:lineRule="exact"/>
        <w:ind w:firstLine="562" w:firstLine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丰收水库汛限水位为</w:t>
      </w:r>
      <w:r>
        <w:rPr>
          <w:rFonts w:hint="default" w:ascii="Times New Roman" w:hAnsi="Times New Roman" w:eastAsia="楷体" w:cs="Times New Roman"/>
          <w:b/>
          <w:bCs/>
          <w:color w:val="auto"/>
          <w:sz w:val="28"/>
          <w:szCs w:val="28"/>
          <w:highlight w:val="none"/>
          <w:lang w:eastAsia="zh-CN"/>
        </w:rPr>
        <w:t>36.37</w:t>
      </w:r>
      <w:r>
        <w:rPr>
          <w:rFonts w:hint="default" w:ascii="Times New Roman" w:hAnsi="Times New Roman" w:eastAsia="楷体" w:cs="Times New Roman"/>
          <w:b/>
          <w:bCs/>
          <w:color w:val="auto"/>
          <w:sz w:val="28"/>
          <w:szCs w:val="28"/>
          <w:highlight w:val="none"/>
        </w:rPr>
        <w:t>m，进入汛期前，若丰收水库水位大于</w:t>
      </w:r>
      <w:r>
        <w:rPr>
          <w:rFonts w:hint="default" w:ascii="Times New Roman" w:hAnsi="Times New Roman" w:eastAsia="楷体" w:cs="Times New Roman"/>
          <w:b/>
          <w:bCs/>
          <w:color w:val="auto"/>
          <w:sz w:val="28"/>
          <w:szCs w:val="28"/>
          <w:highlight w:val="none"/>
          <w:lang w:eastAsia="zh-CN"/>
        </w:rPr>
        <w:t>36.37</w:t>
      </w:r>
      <w:r>
        <w:rPr>
          <w:rFonts w:hint="default" w:ascii="Times New Roman" w:hAnsi="Times New Roman" w:eastAsia="楷体" w:cs="Times New Roman"/>
          <w:b/>
          <w:bCs/>
          <w:color w:val="auto"/>
          <w:sz w:val="28"/>
          <w:szCs w:val="28"/>
          <w:highlight w:val="none"/>
        </w:rPr>
        <w:t>m，则自由泄流，使丰收水库在汛期开始即4月1日前的水库水位控制在</w:t>
      </w:r>
      <w:r>
        <w:rPr>
          <w:rFonts w:hint="default" w:ascii="Times New Roman" w:hAnsi="Times New Roman" w:eastAsia="楷体" w:cs="Times New Roman"/>
          <w:b/>
          <w:bCs/>
          <w:color w:val="auto"/>
          <w:sz w:val="28"/>
          <w:szCs w:val="28"/>
          <w:highlight w:val="none"/>
          <w:lang w:eastAsia="zh-CN"/>
        </w:rPr>
        <w:t>36.37</w:t>
      </w:r>
      <w:r>
        <w:rPr>
          <w:rFonts w:hint="default" w:ascii="Times New Roman" w:hAnsi="Times New Roman" w:eastAsia="楷体" w:cs="Times New Roman"/>
          <w:b/>
          <w:bCs/>
          <w:color w:val="auto"/>
          <w:sz w:val="28"/>
          <w:szCs w:val="28"/>
          <w:highlight w:val="none"/>
        </w:rPr>
        <w:t>m以下；汛期期间，水库可根据需要进行蓄水，但不得超过</w:t>
      </w:r>
      <w:r>
        <w:rPr>
          <w:rFonts w:hint="default" w:ascii="Times New Roman" w:hAnsi="Times New Roman" w:eastAsia="楷体" w:cs="Times New Roman"/>
          <w:b/>
          <w:bCs/>
          <w:color w:val="auto"/>
          <w:sz w:val="28"/>
          <w:szCs w:val="28"/>
          <w:highlight w:val="none"/>
          <w:lang w:eastAsia="zh-CN"/>
        </w:rPr>
        <w:t>36.37</w:t>
      </w:r>
      <w:r>
        <w:rPr>
          <w:rFonts w:hint="default" w:ascii="Times New Roman" w:hAnsi="Times New Roman" w:eastAsia="楷体" w:cs="Times New Roman"/>
          <w:b/>
          <w:bCs/>
          <w:color w:val="auto"/>
          <w:sz w:val="28"/>
          <w:szCs w:val="28"/>
          <w:highlight w:val="none"/>
        </w:rPr>
        <w:t>m。</w:t>
      </w:r>
    </w:p>
    <w:p w14:paraId="11DDD0DF">
      <w:pPr>
        <w:numPr>
          <w:ilvl w:val="0"/>
          <w:numId w:val="3"/>
        </w:numPr>
        <w:spacing w:line="520" w:lineRule="exact"/>
        <w:ind w:firstLine="562" w:firstLine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lang w:val="en-US" w:eastAsia="zh-CN"/>
        </w:rPr>
        <w:t>考虑到丰收水库输水涵洞放水流量的限制，仅为0.43m</w:t>
      </w:r>
      <w:r>
        <w:rPr>
          <w:rFonts w:hint="default" w:ascii="Times New Roman" w:hAnsi="Times New Roman" w:eastAsia="楷体" w:cs="Times New Roman"/>
          <w:b/>
          <w:bCs/>
          <w:color w:val="auto"/>
          <w:sz w:val="28"/>
          <w:szCs w:val="28"/>
          <w:highlight w:val="none"/>
          <w:vertAlign w:val="superscript"/>
          <w:lang w:val="en-US" w:eastAsia="zh-CN"/>
        </w:rPr>
        <w:t>3</w:t>
      </w:r>
      <w:r>
        <w:rPr>
          <w:rFonts w:hint="default" w:ascii="Times New Roman" w:hAnsi="Times New Roman" w:eastAsia="楷体" w:cs="Times New Roman"/>
          <w:b/>
          <w:bCs/>
          <w:color w:val="auto"/>
          <w:sz w:val="28"/>
          <w:szCs w:val="28"/>
          <w:highlight w:val="none"/>
          <w:lang w:val="en-US" w:eastAsia="zh-CN"/>
        </w:rPr>
        <w:t>/s，每天的最大放水量为3.72万m</w:t>
      </w:r>
      <w:r>
        <w:rPr>
          <w:rFonts w:hint="default" w:ascii="Times New Roman" w:hAnsi="Times New Roman" w:eastAsia="楷体" w:cs="Times New Roman"/>
          <w:b/>
          <w:bCs/>
          <w:color w:val="auto"/>
          <w:sz w:val="28"/>
          <w:szCs w:val="28"/>
          <w:highlight w:val="none"/>
          <w:vertAlign w:val="superscript"/>
          <w:lang w:val="en-US" w:eastAsia="zh-CN"/>
        </w:rPr>
        <w:t>3</w:t>
      </w:r>
      <w:r>
        <w:rPr>
          <w:rFonts w:hint="default" w:ascii="Times New Roman" w:hAnsi="Times New Roman" w:eastAsia="楷体" w:cs="Times New Roman"/>
          <w:b/>
          <w:bCs/>
          <w:color w:val="auto"/>
          <w:sz w:val="28"/>
          <w:szCs w:val="28"/>
          <w:highlight w:val="none"/>
          <w:lang w:val="en-US" w:eastAsia="zh-CN"/>
        </w:rPr>
        <w:t>，在收到气象部门降雨预警后，应根据当前水位情况来确定是否放水及放水量。</w:t>
      </w:r>
    </w:p>
    <w:p w14:paraId="468A34B2">
      <w:pPr>
        <w:numPr>
          <w:ilvl w:val="0"/>
          <w:numId w:val="3"/>
        </w:numPr>
        <w:spacing w:line="520" w:lineRule="exact"/>
        <w:ind w:firstLine="562" w:firstLine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在汛期期间遇到短历时强降雨时</w:t>
      </w:r>
    </w:p>
    <w:p w14:paraId="1A2B72F0">
      <w:pPr>
        <w:numPr>
          <w:ilvl w:val="0"/>
          <w:numId w:val="4"/>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当丰收水库遇到短历时小于50mm的强降雨时，入库最大洪水总量为</w:t>
      </w:r>
      <w:r>
        <w:rPr>
          <w:rFonts w:hint="default" w:ascii="Times New Roman" w:hAnsi="Times New Roman" w:eastAsia="楷体" w:cs="Times New Roman"/>
          <w:color w:val="auto"/>
          <w:sz w:val="28"/>
          <w:szCs w:val="28"/>
          <w:highlight w:val="none"/>
          <w:lang w:val="en-US" w:eastAsia="zh-CN"/>
        </w:rPr>
        <w:t>1.34</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36.04</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36.04</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36.04</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时间约8.65h</w:t>
      </w:r>
      <w:r>
        <w:rPr>
          <w:rFonts w:hint="default" w:ascii="Times New Roman" w:hAnsi="Times New Roman" w:eastAsia="楷体" w:cs="Times New Roman"/>
          <w:color w:val="auto"/>
          <w:sz w:val="28"/>
          <w:szCs w:val="28"/>
          <w:highlight w:val="none"/>
        </w:rPr>
        <w:t>；</w:t>
      </w:r>
    </w:p>
    <w:p w14:paraId="3B1E77F3">
      <w:pPr>
        <w:numPr>
          <w:ilvl w:val="0"/>
          <w:numId w:val="4"/>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当遇到有短历时小于75mm的强降雨时，入库最大洪水总量为</w:t>
      </w: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35.98</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35.98</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35.98</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时间约12.92h</w:t>
      </w:r>
      <w:r>
        <w:rPr>
          <w:rFonts w:hint="default" w:ascii="Times New Roman" w:hAnsi="Times New Roman" w:eastAsia="楷体" w:cs="Times New Roman"/>
          <w:color w:val="auto"/>
          <w:sz w:val="28"/>
          <w:szCs w:val="28"/>
          <w:highlight w:val="none"/>
        </w:rPr>
        <w:t>；</w:t>
      </w:r>
    </w:p>
    <w:p w14:paraId="3DAC974D">
      <w:pPr>
        <w:numPr>
          <w:ilvl w:val="0"/>
          <w:numId w:val="4"/>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当遇到有短历时小于100mm的强降雨时，入库最大洪水总量为</w:t>
      </w:r>
      <w:r>
        <w:rPr>
          <w:rFonts w:hint="default" w:ascii="Times New Roman" w:hAnsi="Times New Roman" w:eastAsia="楷体" w:cs="Times New Roman"/>
          <w:color w:val="auto"/>
          <w:sz w:val="28"/>
          <w:szCs w:val="28"/>
          <w:highlight w:val="none"/>
          <w:lang w:val="en-US" w:eastAsia="zh-CN"/>
        </w:rPr>
        <w:t>2.68</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35.65</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35.65</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35.65</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时间约17.31h</w:t>
      </w:r>
      <w:r>
        <w:rPr>
          <w:rFonts w:hint="default" w:ascii="Times New Roman" w:hAnsi="Times New Roman" w:eastAsia="楷体" w:cs="Times New Roman"/>
          <w:color w:val="auto"/>
          <w:sz w:val="28"/>
          <w:szCs w:val="28"/>
          <w:highlight w:val="none"/>
        </w:rPr>
        <w:t>；</w:t>
      </w:r>
    </w:p>
    <w:p w14:paraId="3A0EF4CA">
      <w:pPr>
        <w:numPr>
          <w:ilvl w:val="0"/>
          <w:numId w:val="5"/>
        </w:numPr>
        <w:spacing w:line="520" w:lineRule="exact"/>
        <w:ind w:firstLine="562" w:firstLine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5F65A9CC">
      <w:pPr>
        <w:numPr>
          <w:ilvl w:val="0"/>
          <w:numId w:val="6"/>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当遇到台风对我市降雨影响预计达到100mm的强降雨时，单日入库最大洪水总量为</w:t>
      </w:r>
      <w:r>
        <w:rPr>
          <w:rFonts w:hint="default" w:ascii="Times New Roman" w:hAnsi="Times New Roman" w:eastAsia="楷体" w:cs="Times New Roman"/>
          <w:color w:val="auto"/>
          <w:sz w:val="28"/>
          <w:szCs w:val="28"/>
          <w:highlight w:val="none"/>
          <w:lang w:val="en-US" w:eastAsia="zh-CN"/>
        </w:rPr>
        <w:t>2.53</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35.8</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35.8</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35.8</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时间约16.34h</w:t>
      </w:r>
      <w:r>
        <w:rPr>
          <w:rFonts w:hint="default" w:ascii="Times New Roman" w:hAnsi="Times New Roman" w:eastAsia="楷体" w:cs="Times New Roman"/>
          <w:color w:val="auto"/>
          <w:sz w:val="28"/>
          <w:szCs w:val="28"/>
          <w:highlight w:val="none"/>
        </w:rPr>
        <w:t>。</w:t>
      </w:r>
    </w:p>
    <w:p w14:paraId="2CDBED3D">
      <w:pPr>
        <w:numPr>
          <w:ilvl w:val="0"/>
          <w:numId w:val="6"/>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当遇到台风对我市降雨影响预计达到150mm的强降雨时，单日入库最大洪水总量为</w:t>
      </w:r>
      <w:r>
        <w:rPr>
          <w:rFonts w:hint="default" w:ascii="Times New Roman" w:hAnsi="Times New Roman" w:eastAsia="楷体" w:cs="Times New Roman"/>
          <w:color w:val="auto"/>
          <w:sz w:val="28"/>
          <w:szCs w:val="28"/>
          <w:highlight w:val="none"/>
          <w:lang w:val="en-US" w:eastAsia="zh-CN"/>
        </w:rPr>
        <w:t>3.79</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35.39</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35.39</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35.39</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时间约24.48h</w:t>
      </w:r>
      <w:r>
        <w:rPr>
          <w:rFonts w:hint="default" w:ascii="Times New Roman" w:hAnsi="Times New Roman" w:eastAsia="楷体" w:cs="Times New Roman"/>
          <w:color w:val="auto"/>
          <w:sz w:val="28"/>
          <w:szCs w:val="28"/>
          <w:highlight w:val="none"/>
        </w:rPr>
        <w:t>。</w:t>
      </w:r>
    </w:p>
    <w:p w14:paraId="38DE2F6B">
      <w:pPr>
        <w:numPr>
          <w:ilvl w:val="0"/>
          <w:numId w:val="6"/>
        </w:numPr>
        <w:spacing w:line="520" w:lineRule="exact"/>
        <w:ind w:left="0" w:leftChars="0"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当遇到台风对我市降雨影响预计达到200mm的强降雨时，单日入库最大洪水总量为</w:t>
      </w:r>
      <w:r>
        <w:rPr>
          <w:rFonts w:hint="default" w:ascii="Times New Roman" w:hAnsi="Times New Roman" w:eastAsia="楷体" w:cs="Times New Roman"/>
          <w:color w:val="auto"/>
          <w:sz w:val="28"/>
          <w:szCs w:val="28"/>
          <w:highlight w:val="none"/>
          <w:lang w:val="en-US" w:eastAsia="zh-CN"/>
        </w:rPr>
        <w:t>5.04</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35.14</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35.14</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35.14</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时间约32.56h</w:t>
      </w:r>
      <w:r>
        <w:rPr>
          <w:rFonts w:hint="default" w:ascii="Times New Roman" w:hAnsi="Times New Roman" w:eastAsia="楷体" w:cs="Times New Roman"/>
          <w:color w:val="auto"/>
          <w:sz w:val="28"/>
          <w:szCs w:val="28"/>
          <w:highlight w:val="none"/>
        </w:rPr>
        <w:t>。</w:t>
      </w:r>
    </w:p>
    <w:p w14:paraId="4C1D05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4）当遇到台风对我市降雨影响预计达到250mm的强降雨时，单日入库最大洪水总量为</w:t>
      </w:r>
      <w:r>
        <w:rPr>
          <w:rFonts w:hint="default" w:ascii="Times New Roman" w:hAnsi="Times New Roman" w:eastAsia="楷体" w:cs="Times New Roman"/>
          <w:color w:val="auto"/>
          <w:sz w:val="28"/>
          <w:szCs w:val="28"/>
          <w:highlight w:val="none"/>
          <w:lang w:val="en-US" w:eastAsia="zh-CN"/>
        </w:rPr>
        <w:t>6.29</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，如水库水位在死水位</w:t>
      </w:r>
      <w:r>
        <w:rPr>
          <w:rFonts w:hint="default" w:ascii="Times New Roman" w:hAnsi="Times New Roman" w:eastAsia="楷体" w:cs="Times New Roman"/>
          <w:color w:val="auto"/>
          <w:sz w:val="28"/>
          <w:szCs w:val="28"/>
          <w:highlight w:val="none"/>
          <w:lang w:val="en-US" w:eastAsia="zh-CN"/>
        </w:rPr>
        <w:t>34.66</w:t>
      </w:r>
      <w:r>
        <w:rPr>
          <w:rFonts w:hint="default" w:ascii="Times New Roman" w:hAnsi="Times New Roman" w:eastAsia="楷体" w:cs="Times New Roman"/>
          <w:color w:val="auto"/>
          <w:sz w:val="28"/>
          <w:szCs w:val="28"/>
          <w:highlight w:val="none"/>
        </w:rPr>
        <w:t>m以下，可不考虑水库泄洪；如水库水位在死水位</w:t>
      </w:r>
      <w:r>
        <w:rPr>
          <w:rFonts w:hint="default" w:ascii="Times New Roman" w:hAnsi="Times New Roman" w:eastAsia="楷体" w:cs="Times New Roman"/>
          <w:color w:val="auto"/>
          <w:sz w:val="28"/>
          <w:szCs w:val="28"/>
          <w:highlight w:val="none"/>
          <w:lang w:val="en-US" w:eastAsia="zh-CN"/>
        </w:rPr>
        <w:t>34.66</w:t>
      </w:r>
      <w:r>
        <w:rPr>
          <w:rFonts w:hint="default" w:ascii="Times New Roman" w:hAnsi="Times New Roman" w:eastAsia="楷体" w:cs="Times New Roman"/>
          <w:color w:val="auto"/>
          <w:sz w:val="28"/>
          <w:szCs w:val="28"/>
          <w:highlight w:val="none"/>
        </w:rPr>
        <w:t>m以上，可在收到泉州市气象部门预警后，先预泄腾空库容迎峰，使水库水位降至死水位</w:t>
      </w:r>
      <w:r>
        <w:rPr>
          <w:rFonts w:hint="default" w:ascii="Times New Roman" w:hAnsi="Times New Roman" w:eastAsia="楷体" w:cs="Times New Roman"/>
          <w:color w:val="auto"/>
          <w:sz w:val="28"/>
          <w:szCs w:val="28"/>
          <w:highlight w:val="none"/>
          <w:lang w:val="en-US" w:eastAsia="zh-CN"/>
        </w:rPr>
        <w:t>34.66</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时间约40.63h</w:t>
      </w:r>
      <w:r>
        <w:rPr>
          <w:rFonts w:hint="default" w:ascii="Times New Roman" w:hAnsi="Times New Roman" w:eastAsia="楷体" w:cs="Times New Roman"/>
          <w:color w:val="auto"/>
          <w:sz w:val="28"/>
          <w:szCs w:val="28"/>
          <w:highlight w:val="none"/>
        </w:rPr>
        <w:t>。</w:t>
      </w:r>
    </w:p>
    <w:p w14:paraId="46926D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5）当遇到台风对我市降雨影响预计达到300mm的强降雨时，单日入库最大洪水总量为</w:t>
      </w:r>
      <w:r>
        <w:rPr>
          <w:rFonts w:hint="default" w:ascii="Times New Roman" w:hAnsi="Times New Roman" w:eastAsia="楷体" w:cs="Times New Roman"/>
          <w:color w:val="auto"/>
          <w:sz w:val="28"/>
          <w:szCs w:val="28"/>
          <w:highlight w:val="none"/>
          <w:lang w:val="en-US" w:eastAsia="zh-CN"/>
        </w:rPr>
        <w:t>7.56</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，如水库水位在死水位</w:t>
      </w:r>
      <w:r>
        <w:rPr>
          <w:rFonts w:hint="default" w:ascii="Times New Roman" w:hAnsi="Times New Roman" w:eastAsia="楷体" w:cs="Times New Roman"/>
          <w:color w:val="auto"/>
          <w:sz w:val="28"/>
          <w:szCs w:val="28"/>
          <w:highlight w:val="none"/>
          <w:lang w:val="en-US" w:eastAsia="zh-CN"/>
        </w:rPr>
        <w:t>34.16</w:t>
      </w:r>
      <w:r>
        <w:rPr>
          <w:rFonts w:hint="default" w:ascii="Times New Roman" w:hAnsi="Times New Roman" w:eastAsia="楷体" w:cs="Times New Roman"/>
          <w:color w:val="auto"/>
          <w:sz w:val="28"/>
          <w:szCs w:val="28"/>
          <w:highlight w:val="none"/>
        </w:rPr>
        <w:t>m以下，可不考虑水库泄洪；如水库水位在死水位</w:t>
      </w:r>
      <w:r>
        <w:rPr>
          <w:rFonts w:hint="default" w:ascii="Times New Roman" w:hAnsi="Times New Roman" w:eastAsia="楷体" w:cs="Times New Roman"/>
          <w:color w:val="auto"/>
          <w:sz w:val="28"/>
          <w:szCs w:val="28"/>
          <w:highlight w:val="none"/>
          <w:lang w:val="en-US" w:eastAsia="zh-CN"/>
        </w:rPr>
        <w:t>34.16</w:t>
      </w:r>
      <w:r>
        <w:rPr>
          <w:rFonts w:hint="default" w:ascii="Times New Roman" w:hAnsi="Times New Roman" w:eastAsia="楷体" w:cs="Times New Roman"/>
          <w:color w:val="auto"/>
          <w:sz w:val="28"/>
          <w:szCs w:val="28"/>
          <w:highlight w:val="none"/>
        </w:rPr>
        <w:t>m以上，可在收到泉州市气象部门预警后，先预泄腾空库容迎峰，使水库水位降至死水位</w:t>
      </w:r>
      <w:r>
        <w:rPr>
          <w:rFonts w:hint="default" w:ascii="Times New Roman" w:hAnsi="Times New Roman" w:eastAsia="楷体" w:cs="Times New Roman"/>
          <w:color w:val="auto"/>
          <w:sz w:val="28"/>
          <w:szCs w:val="28"/>
          <w:highlight w:val="none"/>
          <w:lang w:val="en-US" w:eastAsia="zh-CN"/>
        </w:rPr>
        <w:t>34.16</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时间约48.83h</w:t>
      </w:r>
      <w:r>
        <w:rPr>
          <w:rFonts w:hint="default" w:ascii="Times New Roman" w:hAnsi="Times New Roman" w:eastAsia="楷体" w:cs="Times New Roman"/>
          <w:color w:val="auto"/>
          <w:sz w:val="28"/>
          <w:szCs w:val="28"/>
          <w:highlight w:val="none"/>
        </w:rPr>
        <w:t>。</w:t>
      </w:r>
    </w:p>
    <w:p w14:paraId="16758B54">
      <w:pPr>
        <w:spacing w:line="520" w:lineRule="exact"/>
        <w:ind w:left="420" w:left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4、预警预报制度</w:t>
      </w:r>
    </w:p>
    <w:p w14:paraId="5B9CDEFF">
      <w:pPr>
        <w:spacing w:line="520" w:lineRule="exact"/>
        <w:ind w:firstLine="560" w:firstLineChars="200"/>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由于下游沿岸有一定的居民，沿河人类活动较为频繁，</w:t>
      </w:r>
      <w:r>
        <w:rPr>
          <w:rFonts w:hint="default" w:ascii="Times New Roman" w:hAnsi="Times New Roman" w:eastAsia="楷体" w:cs="Times New Roman"/>
          <w:color w:val="auto"/>
          <w:sz w:val="28"/>
          <w:szCs w:val="28"/>
          <w:highlight w:val="none"/>
          <w:lang w:val="en-US" w:eastAsia="zh-CN"/>
        </w:rPr>
        <w:t>考虑到下游河道能满足的防洪标准仅为5年一遇，</w:t>
      </w:r>
      <w:r>
        <w:rPr>
          <w:rFonts w:hint="default" w:ascii="Times New Roman" w:hAnsi="Times New Roman" w:eastAsia="楷体" w:cs="Times New Roman"/>
          <w:color w:val="auto"/>
          <w:sz w:val="28"/>
          <w:szCs w:val="28"/>
          <w:highlight w:val="none"/>
        </w:rPr>
        <w:t>为避免发生意外事件，若</w:t>
      </w:r>
      <w:r>
        <w:rPr>
          <w:rFonts w:hint="default" w:ascii="Times New Roman" w:hAnsi="Times New Roman" w:eastAsia="楷体" w:cs="Times New Roman"/>
          <w:color w:val="auto"/>
          <w:sz w:val="28"/>
          <w:szCs w:val="28"/>
          <w:highlight w:val="none"/>
          <w:lang w:val="en-US" w:eastAsia="zh-CN"/>
        </w:rPr>
        <w:t>水库水位达到36.57m时（即溢洪道泄洪水深达到0.2m时），应及时通知下游河道做好防洪工作</w:t>
      </w:r>
      <w:r>
        <w:rPr>
          <w:rFonts w:hint="default" w:ascii="Times New Roman" w:hAnsi="Times New Roman" w:eastAsia="楷体" w:cs="Times New Roman"/>
          <w:color w:val="auto"/>
          <w:sz w:val="28"/>
          <w:szCs w:val="28"/>
          <w:highlight w:val="none"/>
          <w:lang w:eastAsia="zh-CN"/>
        </w:rPr>
        <w:t>。</w:t>
      </w:r>
    </w:p>
    <w:p w14:paraId="383EDF37">
      <w:pPr>
        <w:spacing w:line="520" w:lineRule="exact"/>
        <w:ind w:firstLine="562" w:firstLine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5、丰收水库泄洪对下游河道的防洪调度影响</w:t>
      </w:r>
    </w:p>
    <w:p w14:paraId="2B11E326">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highlight w:val="none"/>
        </w:rPr>
        <w:t>丰收水库在一定程度上提高了下游坝头溪支流河道的防洪能力，起到了一定的削峰调洪作用。</w:t>
      </w:r>
    </w:p>
    <w:p w14:paraId="40AC3FDF">
      <w:pPr>
        <w:spacing w:line="520" w:lineRule="exact"/>
        <w:ind w:firstLine="562" w:firstLine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6、突发事件调度</w:t>
      </w:r>
    </w:p>
    <w:p w14:paraId="63DB177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一旦突发性事件发生时，立即启动应急预案，服从泉港区人民政府防汛抗旱指挥部调度安排，水库具体应急措施包括：</w:t>
      </w:r>
    </w:p>
    <w:p w14:paraId="27265D98">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036387AF">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2、提前2个小时通知下游的有关村落及有关单位等，主要是古县村及前黄镇政府。</w:t>
      </w:r>
    </w:p>
    <w:p w14:paraId="6278CAC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3、动员邻近乡村的抗洪抢险队伍编好梯队，并调动交通运输工具待命。</w:t>
      </w:r>
    </w:p>
    <w:p w14:paraId="1EA2B667">
      <w:pPr>
        <w:spacing w:line="520" w:lineRule="exact"/>
        <w:ind w:firstLine="562" w:firstLineChars="200"/>
        <w:rPr>
          <w:rFonts w:hint="default" w:ascii="Times New Roman" w:hAnsi="Times New Roman" w:eastAsia="楷体" w:cs="Times New Roman"/>
          <w:bCs/>
          <w:color w:val="auto"/>
          <w:sz w:val="28"/>
          <w:szCs w:val="28"/>
          <w:highlight w:val="none"/>
        </w:rPr>
      </w:pPr>
      <w:r>
        <w:rPr>
          <w:rFonts w:hint="default" w:ascii="Times New Roman" w:hAnsi="Times New Roman" w:eastAsia="楷体" w:cs="Times New Roman"/>
          <w:b/>
          <w:bCs/>
          <w:color w:val="auto"/>
          <w:sz w:val="28"/>
          <w:szCs w:val="28"/>
          <w:highlight w:val="none"/>
        </w:rPr>
        <w:t>防洪调度注意事项：</w:t>
      </w:r>
      <w:r>
        <w:rPr>
          <w:rFonts w:hint="default" w:ascii="Times New Roman" w:hAnsi="Times New Roman" w:eastAsia="楷体" w:cs="Times New Roman"/>
          <w:bCs/>
          <w:color w:val="auto"/>
          <w:sz w:val="28"/>
          <w:szCs w:val="28"/>
          <w:highlight w:val="none"/>
        </w:rPr>
        <w:t>丰收水库防洪调度注意事项：一是要严格执行上级防汛部门下达的调指</w:t>
      </w:r>
      <w:r>
        <w:rPr>
          <w:rFonts w:hint="default" w:ascii="Times New Roman" w:hAnsi="Times New Roman" w:eastAsia="楷体" w:cs="Times New Roman"/>
          <w:color w:val="auto"/>
          <w:sz w:val="28"/>
          <w:szCs w:val="28"/>
          <w:highlight w:val="none"/>
        </w:rPr>
        <w:t>令；二是要</w:t>
      </w:r>
      <w:r>
        <w:rPr>
          <w:rFonts w:hint="default" w:ascii="Times New Roman" w:hAnsi="Times New Roman" w:eastAsia="楷体" w:cs="Times New Roman"/>
          <w:bCs/>
          <w:color w:val="auto"/>
          <w:sz w:val="28"/>
          <w:szCs w:val="28"/>
          <w:highlight w:val="none"/>
        </w:rPr>
        <w:t>密切注意台风、暴雨的动态和降雨气象预报；三是要根据流域降雨汇流特性和水库水位以及上下游防洪排涝要求，对水库调度做科学研判，并制定预排预泄方案。四是要提早通知水库上下游防汛责任人，并做好记录</w:t>
      </w:r>
      <w:r>
        <w:rPr>
          <w:rFonts w:hint="eastAsia" w:ascii="Times New Roman" w:hAnsi="Times New Roman" w:eastAsia="楷体" w:cs="Times New Roman"/>
          <w:bCs/>
          <w:color w:val="auto"/>
          <w:sz w:val="28"/>
          <w:szCs w:val="28"/>
          <w:highlight w:val="none"/>
          <w:lang w:eastAsia="zh-CN"/>
        </w:rPr>
        <w:t>。</w:t>
      </w:r>
    </w:p>
    <w:p w14:paraId="3F6F4573">
      <w:pPr>
        <w:adjustRightInd w:val="0"/>
        <w:snapToGrid w:val="0"/>
        <w:spacing w:before="156" w:beforeLines="50" w:after="156" w:afterLines="50"/>
        <w:jc w:val="center"/>
        <w:outlineLvl w:val="0"/>
        <w:rPr>
          <w:rStyle w:val="48"/>
          <w:rFonts w:hint="default" w:ascii="Times New Roman" w:hAnsi="Times New Roman" w:eastAsia="楷体" w:cs="Times New Roman"/>
          <w:b/>
          <w:bCs/>
          <w:color w:val="auto"/>
          <w:sz w:val="36"/>
          <w:szCs w:val="36"/>
          <w:highlight w:val="none"/>
        </w:rPr>
      </w:pPr>
      <w:bookmarkStart w:id="43" w:name="_Toc21184"/>
      <w:r>
        <w:rPr>
          <w:rStyle w:val="48"/>
          <w:rFonts w:hint="default" w:ascii="Times New Roman" w:hAnsi="Times New Roman" w:eastAsia="楷体" w:cs="Times New Roman"/>
          <w:b/>
          <w:bCs/>
          <w:color w:val="auto"/>
          <w:sz w:val="36"/>
          <w:szCs w:val="36"/>
          <w:highlight w:val="none"/>
        </w:rPr>
        <w:t>3突发事件危害性分析</w:t>
      </w:r>
      <w:bookmarkEnd w:id="43"/>
    </w:p>
    <w:p w14:paraId="0E37DD0C">
      <w:pPr>
        <w:spacing w:before="156" w:beforeLines="50" w:after="156" w:afterLines="50"/>
        <w:outlineLvl w:val="1"/>
        <w:rPr>
          <w:rFonts w:hint="default" w:ascii="Times New Roman" w:hAnsi="Times New Roman" w:eastAsia="楷体" w:cs="Times New Roman"/>
          <w:b/>
          <w:color w:val="auto"/>
          <w:sz w:val="32"/>
          <w:szCs w:val="30"/>
          <w:highlight w:val="none"/>
        </w:rPr>
      </w:pPr>
      <w:bookmarkStart w:id="44" w:name="_Toc10930"/>
      <w:r>
        <w:rPr>
          <w:rFonts w:hint="default" w:ascii="Times New Roman" w:hAnsi="Times New Roman" w:eastAsia="楷体" w:cs="Times New Roman"/>
          <w:b/>
          <w:color w:val="auto"/>
          <w:sz w:val="32"/>
          <w:szCs w:val="30"/>
          <w:highlight w:val="none"/>
        </w:rPr>
        <w:t>3.1 重大工程险情分析</w:t>
      </w:r>
      <w:bookmarkEnd w:id="44"/>
    </w:p>
    <w:p w14:paraId="53A9DB0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属于小（2）型水库，根据以往水库运行情况，可能导致水库工程出现重大险情的主要因素有：超标准洪水、地质灾害、地震灾害等，以上因素可能导致水库出现重大险情的种类有：水库库区周边山体出现滑坡，坝基渗漏、失稳，溃坝。若出现水库周边山体滑坡，坝基渗漏、失稳，启闭设备失灵等重大险情，可能导致坝体受损变得单薄，水库水位迅速升高，大坝本身无法承受巨大压力而发生倾覆或溃决，致使水库工程受损无法发挥其效益，同时也会对下游的城镇、人民群众的生命及财产安全、电力设施、通讯设施造成不可估量的损失。</w:t>
      </w:r>
    </w:p>
    <w:p w14:paraId="626BDD99">
      <w:pPr>
        <w:spacing w:before="156" w:beforeLines="50" w:after="156" w:afterLines="50"/>
        <w:outlineLvl w:val="1"/>
        <w:rPr>
          <w:rFonts w:hint="default" w:ascii="Times New Roman" w:hAnsi="Times New Roman" w:eastAsia="楷体" w:cs="Times New Roman"/>
          <w:b/>
          <w:color w:val="auto"/>
          <w:sz w:val="32"/>
          <w:szCs w:val="30"/>
          <w:highlight w:val="none"/>
        </w:rPr>
      </w:pPr>
      <w:bookmarkStart w:id="45" w:name="_Toc12151"/>
      <w:r>
        <w:rPr>
          <w:rFonts w:hint="default" w:ascii="Times New Roman" w:hAnsi="Times New Roman" w:eastAsia="楷体" w:cs="Times New Roman"/>
          <w:b/>
          <w:color w:val="auto"/>
          <w:sz w:val="32"/>
          <w:szCs w:val="30"/>
          <w:highlight w:val="none"/>
        </w:rPr>
        <w:t>3.2 突发事件（溃坝）危害性分析</w:t>
      </w:r>
      <w:bookmarkEnd w:id="45"/>
    </w:p>
    <w:p w14:paraId="63FBAC7B">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丰收水库总库容21.60万m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，为小（2）型水库，主要建筑物的设计标准按洪水重现期为20年，相应的洪水位36.94m，校核标准按洪水重现期为300年，相应的洪水位37.21m。水库在正常蓄水位下运行，一般不会出现超标准洪水漫顶溃决的情况。</w:t>
      </w:r>
    </w:p>
    <w:p w14:paraId="1794BF38">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根据丰收水库近几年的运行情况，</w:t>
      </w:r>
      <w:r>
        <w:rPr>
          <w:rFonts w:hint="default" w:ascii="Times New Roman" w:hAnsi="Times New Roman" w:eastAsia="楷体" w:cs="Times New Roman"/>
          <w:sz w:val="28"/>
          <w:szCs w:val="28"/>
        </w:rPr>
        <w:t>根据加田水库近几年的运行情况，正常运行时发生溃坝的可能极小，可能导致水库大坝溃决的主要因素有：超标准洪水、工程隐患、地质灾害、地震灾害、战争或恐怖事件等，以上因素可能导致水库出现重大险情的种类有：水库库区周边山体出现滑坡，坝基渗漏、失稳，溃坝。</w:t>
      </w:r>
      <w:r>
        <w:rPr>
          <w:rFonts w:hint="default" w:ascii="Times New Roman" w:hAnsi="Times New Roman" w:eastAsia="楷体" w:cs="Times New Roman"/>
          <w:color w:val="auto"/>
          <w:sz w:val="28"/>
          <w:szCs w:val="28"/>
          <w:highlight w:val="none"/>
        </w:rPr>
        <w:t>溃坝洪水随着向下游的传播，洪峰不断衰减，过程线不断展宽，由于溃口不断扩大，出库流量急剧增加，同时下游水位不断升高，对出口流量形成顶托，抑制流量继续增加，当两种作用平衡时流量达到最大，此时溃口也达最大，而后流量由最大逐渐减小，由于下游水位顶托，流量衰减相应减慢，洪水波形成陡涨缓落型波形。</w:t>
      </w:r>
    </w:p>
    <w:p w14:paraId="1653F813">
      <w:pPr>
        <w:widowControl/>
        <w:spacing w:line="360" w:lineRule="auto"/>
        <w:ind w:firstLine="560"/>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大坝溃决过程是水流与坝体相互作用的一个复杂的过程。根据</w:t>
      </w:r>
      <w:r>
        <w:rPr>
          <w:rFonts w:hint="default" w:ascii="Times New Roman" w:hAnsi="Times New Roman" w:eastAsia="楷体" w:cs="Times New Roman"/>
          <w:kern w:val="0"/>
          <w:sz w:val="28"/>
          <w:szCs w:val="28"/>
          <w:lang w:val="en-US" w:eastAsia="zh-CN"/>
        </w:rPr>
        <w:t>加田</w:t>
      </w:r>
      <w:r>
        <w:rPr>
          <w:rFonts w:hint="default" w:ascii="Times New Roman" w:hAnsi="Times New Roman" w:eastAsia="楷体" w:cs="Times New Roman"/>
          <w:kern w:val="0"/>
          <w:sz w:val="28"/>
          <w:szCs w:val="28"/>
        </w:rPr>
        <w:t>水库大坝自身的结构、型式及筑坝材料预计最不利工况是：库水位为校核洪水位</w:t>
      </w:r>
      <w:r>
        <w:rPr>
          <w:rFonts w:hint="default" w:ascii="Times New Roman" w:hAnsi="Times New Roman" w:eastAsia="楷体" w:cs="Times New Roman"/>
          <w:kern w:val="0"/>
          <w:sz w:val="28"/>
          <w:szCs w:val="28"/>
          <w:lang w:val="en-US" w:eastAsia="zh-CN"/>
        </w:rPr>
        <w:t>38.3</w:t>
      </w:r>
      <w:r>
        <w:rPr>
          <w:rFonts w:hint="default" w:ascii="Times New Roman" w:hAnsi="Times New Roman" w:eastAsia="楷体" w:cs="Times New Roman"/>
          <w:kern w:val="0"/>
          <w:sz w:val="28"/>
          <w:szCs w:val="28"/>
        </w:rPr>
        <w:t>m，溃决底高程为</w:t>
      </w:r>
      <w:r>
        <w:rPr>
          <w:rFonts w:hint="default" w:ascii="Times New Roman" w:hAnsi="Times New Roman" w:eastAsia="楷体" w:cs="Times New Roman"/>
          <w:kern w:val="0"/>
          <w:sz w:val="28"/>
          <w:szCs w:val="28"/>
          <w:lang w:val="en-US" w:eastAsia="zh-CN"/>
        </w:rPr>
        <w:t>24</w:t>
      </w:r>
      <w:r>
        <w:rPr>
          <w:rFonts w:hint="default" w:ascii="Times New Roman" w:hAnsi="Times New Roman" w:eastAsia="楷体" w:cs="Times New Roman"/>
          <w:kern w:val="0"/>
          <w:sz w:val="28"/>
          <w:szCs w:val="28"/>
        </w:rPr>
        <w:t>m（即冲刷到大坝建基面）。</w:t>
      </w:r>
    </w:p>
    <w:p w14:paraId="32ACE1FE">
      <w:pPr>
        <w:widowControl/>
        <w:spacing w:line="360" w:lineRule="auto"/>
        <w:ind w:firstLine="560"/>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1、根据黄河水利委员会水利科学研究所的经验公式计算溃坝决口长度b值：</w:t>
      </w:r>
    </w:p>
    <w:p w14:paraId="5C84FB19">
      <w:pPr>
        <w:widowControl/>
        <w:spacing w:line="360" w:lineRule="auto"/>
        <w:ind w:firstLine="560"/>
        <w:jc w:val="center"/>
        <w:rPr>
          <w:rFonts w:hint="default" w:ascii="Times New Roman" w:hAnsi="Times New Roman" w:eastAsia="楷体" w:cs="Times New Roman"/>
          <w:sz w:val="28"/>
          <w:szCs w:val="28"/>
        </w:rPr>
      </w:pPr>
      <w:r>
        <w:rPr>
          <w:rFonts w:hint="default" w:ascii="Times New Roman" w:hAnsi="Times New Roman" w:eastAsia="楷体" w:cs="Times New Roman"/>
          <w:sz w:val="28"/>
          <w:szCs w:val="28"/>
        </w:rPr>
        <w:object>
          <v:shape id="_x0000_i1055" o:spt="75" type="#_x0000_t75" style="height:34.25pt;width:108.15pt;" o:ole="t" filled="f" o:preferrelative="t" stroked="f" coordsize="21600,21600">
            <v:path/>
            <v:fill on="f" focussize="0,0"/>
            <v:stroke on="f"/>
            <v:imagedata r:id="rId57" o:title=""/>
            <o:lock v:ext="edit" aspectratio="f"/>
            <w10:wrap type="none"/>
            <w10:anchorlock/>
          </v:shape>
          <o:OLEObject Type="Embed" ProgID="" ShapeID="_x0000_i1055" DrawAspect="Content" ObjectID="_1468075755" r:id="rId56">
            <o:LockedField>false</o:LockedField>
          </o:OLEObject>
        </w:object>
      </w:r>
    </w:p>
    <w:p w14:paraId="1EEF273E">
      <w:pPr>
        <w:widowControl/>
        <w:spacing w:line="360" w:lineRule="auto"/>
        <w:ind w:firstLine="560"/>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式中：b——溃坝决口平均宽度（m）；</w:t>
      </w:r>
    </w:p>
    <w:p w14:paraId="78C8A2C6">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W——溃坝时蓄水量（万m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w:t>
      </w:r>
    </w:p>
    <w:p w14:paraId="7A68E7AE">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B——溃坝时沿坝前水面宽度或坝顶长度（m）；</w:t>
      </w:r>
    </w:p>
    <w:p w14:paraId="2F58448E">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H——溃坝时水头或溃坝时坝前水深（m）；</w:t>
      </w:r>
    </w:p>
    <w:p w14:paraId="430EF5E0">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K——与坝体土质有关的系数，粘土取0.65。</w:t>
      </w:r>
    </w:p>
    <w:p w14:paraId="74C90638">
      <w:pPr>
        <w:widowControl/>
        <w:spacing w:line="360" w:lineRule="auto"/>
        <w:ind w:firstLine="560"/>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2、溃口坝址最大流量根据肖克列奇公式估算</w:t>
      </w:r>
    </w:p>
    <w:p w14:paraId="706F98D6">
      <w:pPr>
        <w:widowControl/>
        <w:spacing w:line="360" w:lineRule="auto"/>
        <w:ind w:firstLine="560"/>
        <w:jc w:val="center"/>
        <w:rPr>
          <w:rFonts w:hint="default" w:ascii="Times New Roman" w:hAnsi="Times New Roman" w:eastAsia="楷体" w:cs="Times New Roman"/>
          <w:sz w:val="28"/>
          <w:szCs w:val="28"/>
        </w:rPr>
      </w:pPr>
      <w:r>
        <w:rPr>
          <w:rFonts w:hint="default" w:ascii="Times New Roman" w:hAnsi="Times New Roman" w:eastAsia="楷体" w:cs="Times New Roman"/>
          <w:position w:val="-30"/>
          <w:sz w:val="28"/>
          <w:szCs w:val="28"/>
        </w:rPr>
        <w:object>
          <v:shape id="_x0000_i1056" o:spt="75" type="#_x0000_t75" style="height:37pt;width:135pt;" o:ole="t" filled="f" o:preferrelative="t" stroked="f" coordsize="21600,21600">
            <v:path/>
            <v:fill on="f" alignshape="1" focussize="0,0"/>
            <v:stroke on="f"/>
            <v:imagedata r:id="rId59" o:title=""/>
            <o:lock v:ext="edit" aspectratio="t"/>
            <w10:wrap type="none"/>
            <w10:anchorlock/>
          </v:shape>
          <o:OLEObject Type="Embed" ProgID="Equation.DSMT4" ShapeID="_x0000_i1056" DrawAspect="Content" ObjectID="_1468075756" r:id="rId58">
            <o:LockedField>false</o:LockedField>
          </o:OLEObject>
        </w:object>
      </w:r>
    </w:p>
    <w:p w14:paraId="3E054EE6">
      <w:pPr>
        <w:widowControl/>
        <w:spacing w:line="360" w:lineRule="auto"/>
        <w:ind w:firstLine="560"/>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式中：Q</w:t>
      </w:r>
      <w:r>
        <w:rPr>
          <w:rFonts w:hint="default" w:ascii="Times New Roman" w:hAnsi="Times New Roman" w:eastAsia="楷体" w:cs="Times New Roman"/>
          <w:sz w:val="28"/>
          <w:szCs w:val="28"/>
          <w:vertAlign w:val="subscript"/>
        </w:rPr>
        <w:t>m</w:t>
      </w:r>
      <w:r>
        <w:rPr>
          <w:rFonts w:hint="default" w:ascii="Times New Roman" w:hAnsi="Times New Roman" w:eastAsia="楷体" w:cs="Times New Roman"/>
          <w:sz w:val="28"/>
          <w:szCs w:val="28"/>
        </w:rPr>
        <w:t>——溃坝坝址最大流量（m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w:t>
      </w:r>
    </w:p>
    <w:p w14:paraId="6EA97387">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b</w:t>
      </w:r>
      <w:r>
        <w:rPr>
          <w:rFonts w:hint="default" w:ascii="Times New Roman" w:hAnsi="Times New Roman" w:eastAsia="楷体" w:cs="Times New Roman"/>
          <w:sz w:val="28"/>
          <w:szCs w:val="28"/>
          <w:vertAlign w:val="subscript"/>
        </w:rPr>
        <w:t>m</w:t>
      </w:r>
      <w:r>
        <w:rPr>
          <w:rFonts w:hint="default" w:ascii="Times New Roman" w:hAnsi="Times New Roman" w:eastAsia="楷体" w:cs="Times New Roman"/>
          <w:sz w:val="28"/>
          <w:szCs w:val="28"/>
        </w:rPr>
        <w:t>——溃坝决口宽度（m）；</w:t>
      </w:r>
    </w:p>
    <w:p w14:paraId="2C89B0D8">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B——坝顶长度（m）；</w:t>
      </w:r>
    </w:p>
    <w:p w14:paraId="766D7CB2">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H</w:t>
      </w:r>
      <w:r>
        <w:rPr>
          <w:rFonts w:hint="default" w:ascii="Times New Roman" w:hAnsi="Times New Roman" w:eastAsia="楷体" w:cs="Times New Roman"/>
          <w:sz w:val="28"/>
          <w:szCs w:val="28"/>
          <w:vertAlign w:val="subscript"/>
        </w:rPr>
        <w:t>0</w:t>
      </w:r>
      <w:r>
        <w:rPr>
          <w:rFonts w:hint="default" w:ascii="Times New Roman" w:hAnsi="Times New Roman" w:eastAsia="楷体" w:cs="Times New Roman"/>
          <w:sz w:val="28"/>
          <w:szCs w:val="28"/>
        </w:rPr>
        <w:t>——溃坝时坝前水深（m）；</w:t>
      </w:r>
    </w:p>
    <w:p w14:paraId="1B40EE97">
      <w:pPr>
        <w:widowControl/>
        <w:spacing w:line="360" w:lineRule="auto"/>
        <w:ind w:firstLine="560"/>
        <w:jc w:val="left"/>
        <w:rPr>
          <w:rFonts w:hint="default" w:ascii="Times New Roman" w:hAnsi="Times New Roman" w:eastAsia="楷体" w:cs="Times New Roman"/>
          <w:szCs w:val="28"/>
        </w:rPr>
      </w:pPr>
      <w:r>
        <w:rPr>
          <w:rFonts w:hint="default" w:ascii="Times New Roman" w:hAnsi="Times New Roman" w:eastAsia="楷体" w:cs="Times New Roman"/>
          <w:sz w:val="28"/>
          <w:szCs w:val="28"/>
        </w:rPr>
        <w:t>根据以上计算，</w:t>
      </w:r>
      <w:r>
        <w:rPr>
          <w:rFonts w:hint="default" w:ascii="Times New Roman" w:hAnsi="Times New Roman" w:eastAsia="楷体" w:cs="Times New Roman"/>
          <w:sz w:val="28"/>
          <w:szCs w:val="28"/>
          <w:lang w:val="en-US" w:eastAsia="zh-CN"/>
        </w:rPr>
        <w:t>加田</w:t>
      </w:r>
      <w:r>
        <w:rPr>
          <w:rFonts w:hint="default" w:ascii="Times New Roman" w:hAnsi="Times New Roman" w:eastAsia="楷体" w:cs="Times New Roman"/>
          <w:sz w:val="28"/>
          <w:szCs w:val="28"/>
        </w:rPr>
        <w:t>水库溃坝时决口长度为</w:t>
      </w:r>
      <w:r>
        <w:rPr>
          <w:rFonts w:hint="default" w:ascii="Times New Roman" w:hAnsi="Times New Roman" w:eastAsia="楷体" w:cs="Times New Roman"/>
          <w:sz w:val="28"/>
          <w:szCs w:val="28"/>
          <w:lang w:val="en-US" w:eastAsia="zh-CN"/>
        </w:rPr>
        <w:t>19.26</w:t>
      </w:r>
      <w:r>
        <w:rPr>
          <w:rFonts w:hint="default" w:ascii="Times New Roman" w:hAnsi="Times New Roman" w:eastAsia="楷体" w:cs="Times New Roman"/>
          <w:sz w:val="28"/>
          <w:szCs w:val="28"/>
        </w:rPr>
        <w:t>m，大坝全溃瞬间最大流量</w:t>
      </w:r>
      <w:r>
        <w:rPr>
          <w:rFonts w:hint="default" w:ascii="Times New Roman" w:hAnsi="Times New Roman" w:eastAsia="楷体" w:cs="Times New Roman"/>
          <w:sz w:val="28"/>
          <w:szCs w:val="28"/>
          <w:lang w:val="en-US" w:eastAsia="zh-CN"/>
        </w:rPr>
        <w:t>1640</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/s。对本工程而言，溃口底宽变化对溃坝流量、洪水传播时间、水深的影响作用有限。而溃坝时的坝前水位对溃坝流量、洪水传播时间、水深的影响有着重要作用。一旦发生溃坝洪水，预警时间不足1小时。</w:t>
      </w:r>
    </w:p>
    <w:p w14:paraId="46096CFE">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经计算，坝址下游最近居民距离约</w:t>
      </w:r>
      <w:r>
        <w:rPr>
          <w:rFonts w:hint="default" w:ascii="Times New Roman" w:hAnsi="Times New Roman" w:eastAsia="楷体" w:cs="Times New Roman"/>
          <w:sz w:val="28"/>
          <w:szCs w:val="28"/>
          <w:lang w:val="en-US" w:eastAsia="zh-CN"/>
        </w:rPr>
        <w:t>40</w:t>
      </w:r>
      <w:r>
        <w:rPr>
          <w:rFonts w:hint="default" w:ascii="Times New Roman" w:hAnsi="Times New Roman" w:eastAsia="楷体" w:cs="Times New Roman"/>
          <w:sz w:val="28"/>
          <w:szCs w:val="28"/>
        </w:rPr>
        <w:t>0m，Q</w:t>
      </w:r>
      <w:r>
        <w:rPr>
          <w:rFonts w:hint="default" w:ascii="Times New Roman" w:hAnsi="Times New Roman" w:eastAsia="楷体" w:cs="Times New Roman"/>
          <w:sz w:val="28"/>
          <w:szCs w:val="28"/>
          <w:vertAlign w:val="subscript"/>
        </w:rPr>
        <w:t>LM</w:t>
      </w:r>
      <w:r>
        <w:rPr>
          <w:rFonts w:hint="default" w:ascii="Times New Roman" w:hAnsi="Times New Roman" w:eastAsia="楷体" w:cs="Times New Roman"/>
          <w:sz w:val="28"/>
          <w:szCs w:val="28"/>
        </w:rPr>
        <w:t>约为</w:t>
      </w:r>
      <w:r>
        <w:rPr>
          <w:rFonts w:hint="default" w:ascii="Times New Roman" w:hAnsi="Times New Roman" w:eastAsia="楷体" w:cs="Times New Roman"/>
          <w:sz w:val="28"/>
          <w:szCs w:val="28"/>
          <w:lang w:val="en-US" w:eastAsia="zh-CN"/>
        </w:rPr>
        <w:t>836</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w:t>
      </w:r>
    </w:p>
    <w:p w14:paraId="28FA1BF7">
      <w:pPr>
        <w:spacing w:before="156" w:beforeLines="50" w:after="156" w:afterLines="50"/>
        <w:outlineLvl w:val="1"/>
        <w:rPr>
          <w:rFonts w:hint="default" w:ascii="Times New Roman" w:hAnsi="Times New Roman" w:eastAsia="楷体" w:cs="Times New Roman"/>
          <w:b/>
          <w:color w:val="auto"/>
          <w:sz w:val="32"/>
          <w:szCs w:val="30"/>
          <w:highlight w:val="none"/>
        </w:rPr>
      </w:pPr>
      <w:bookmarkStart w:id="46" w:name="_Toc13"/>
      <w:r>
        <w:rPr>
          <w:rFonts w:hint="default" w:ascii="Times New Roman" w:hAnsi="Times New Roman" w:eastAsia="楷体" w:cs="Times New Roman"/>
          <w:b/>
          <w:color w:val="auto"/>
          <w:sz w:val="32"/>
          <w:szCs w:val="30"/>
          <w:highlight w:val="none"/>
        </w:rPr>
        <w:t>3.3 溃坝失事造成下游经济和社会损失影响分析</w:t>
      </w:r>
      <w:bookmarkEnd w:id="46"/>
    </w:p>
    <w:p w14:paraId="680F7F4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丰收水库溃坝将直接威胁到水库下游</w:t>
      </w:r>
      <w:r>
        <w:rPr>
          <w:rFonts w:hint="default" w:ascii="Times New Roman" w:hAnsi="Times New Roman" w:eastAsia="楷体" w:cs="Times New Roman"/>
          <w:color w:val="auto"/>
          <w:sz w:val="28"/>
          <w:szCs w:val="28"/>
          <w:highlight w:val="none"/>
          <w:lang w:val="en-US" w:eastAsia="zh-CN"/>
        </w:rPr>
        <w:t xml:space="preserve">的 </w:t>
      </w:r>
      <w:r>
        <w:rPr>
          <w:rFonts w:hint="default" w:ascii="Times New Roman" w:hAnsi="Times New Roman" w:eastAsia="楷体" w:cs="Times New Roman"/>
          <w:color w:val="auto"/>
          <w:sz w:val="28"/>
          <w:szCs w:val="28"/>
          <w:highlight w:val="none"/>
        </w:rPr>
        <w:t>人民群众生命、财产的安全。通过丰收水库溃坝流量演算至下游，古县村处的流量将达到</w:t>
      </w:r>
      <w:r>
        <w:rPr>
          <w:rFonts w:hint="default" w:ascii="Times New Roman" w:hAnsi="Times New Roman" w:eastAsia="楷体" w:cs="Times New Roman"/>
          <w:sz w:val="28"/>
          <w:szCs w:val="28"/>
          <w:lang w:val="en-US" w:eastAsia="zh-CN"/>
        </w:rPr>
        <w:t>836</w:t>
      </w:r>
      <w:r>
        <w:rPr>
          <w:rFonts w:hint="default" w:ascii="Times New Roman" w:hAnsi="Times New Roman" w:eastAsia="楷体" w:cs="Times New Roman"/>
          <w:color w:val="auto"/>
          <w:sz w:val="28"/>
          <w:szCs w:val="28"/>
          <w:highlight w:val="none"/>
        </w:rPr>
        <w:t>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/s，超2000年一遇以上流量，可见，溃坝流量传播速度之快，流量之大，给下游造成损失是不可估量。</w:t>
      </w:r>
    </w:p>
    <w:p w14:paraId="58069EC3">
      <w:pPr>
        <w:spacing w:line="520" w:lineRule="exact"/>
        <w:ind w:firstLine="640" w:firstLineChars="200"/>
        <w:rPr>
          <w:rFonts w:hint="default" w:ascii="Times New Roman" w:hAnsi="Times New Roman" w:eastAsia="楷体" w:cs="Times New Roman"/>
          <w:color w:val="auto"/>
          <w:sz w:val="32"/>
          <w:szCs w:val="32"/>
          <w:highlight w:val="none"/>
        </w:rPr>
      </w:pPr>
    </w:p>
    <w:p w14:paraId="17561E74">
      <w:pPr>
        <w:spacing w:line="520" w:lineRule="exact"/>
        <w:ind w:firstLine="640" w:firstLineChars="200"/>
        <w:rPr>
          <w:rFonts w:hint="default" w:ascii="Times New Roman" w:hAnsi="Times New Roman" w:eastAsia="楷体" w:cs="Times New Roman"/>
          <w:color w:val="auto"/>
          <w:sz w:val="32"/>
          <w:szCs w:val="32"/>
          <w:highlight w:val="none"/>
        </w:rPr>
      </w:pPr>
    </w:p>
    <w:p w14:paraId="4881B742">
      <w:pPr>
        <w:spacing w:line="520" w:lineRule="exact"/>
        <w:ind w:firstLine="640" w:firstLineChars="200"/>
        <w:rPr>
          <w:rFonts w:hint="default" w:ascii="Times New Roman" w:hAnsi="Times New Roman" w:eastAsia="楷体" w:cs="Times New Roman"/>
          <w:color w:val="auto"/>
          <w:sz w:val="32"/>
          <w:szCs w:val="32"/>
          <w:highlight w:val="none"/>
        </w:rPr>
      </w:pPr>
    </w:p>
    <w:p w14:paraId="1056411F">
      <w:pPr>
        <w:spacing w:line="520" w:lineRule="exact"/>
        <w:ind w:firstLine="640" w:firstLineChars="200"/>
        <w:rPr>
          <w:rFonts w:hint="default" w:ascii="Times New Roman" w:hAnsi="Times New Roman" w:eastAsia="楷体" w:cs="Times New Roman"/>
          <w:color w:val="auto"/>
          <w:sz w:val="32"/>
          <w:szCs w:val="32"/>
          <w:highlight w:val="none"/>
        </w:rPr>
      </w:pPr>
    </w:p>
    <w:p w14:paraId="42702906">
      <w:pPr>
        <w:spacing w:line="520" w:lineRule="exact"/>
        <w:ind w:firstLine="640" w:firstLineChars="200"/>
        <w:rPr>
          <w:rFonts w:hint="default" w:ascii="Times New Roman" w:hAnsi="Times New Roman" w:eastAsia="楷体" w:cs="Times New Roman"/>
          <w:color w:val="auto"/>
          <w:sz w:val="32"/>
          <w:szCs w:val="32"/>
          <w:highlight w:val="none"/>
        </w:rPr>
      </w:pPr>
    </w:p>
    <w:p w14:paraId="3CA84E36">
      <w:pPr>
        <w:spacing w:line="520" w:lineRule="exact"/>
        <w:ind w:firstLine="640" w:firstLineChars="200"/>
        <w:rPr>
          <w:rFonts w:hint="default" w:ascii="Times New Roman" w:hAnsi="Times New Roman" w:eastAsia="楷体" w:cs="Times New Roman"/>
          <w:color w:val="auto"/>
          <w:sz w:val="32"/>
          <w:szCs w:val="32"/>
          <w:highlight w:val="none"/>
        </w:rPr>
      </w:pPr>
    </w:p>
    <w:p w14:paraId="771C035B">
      <w:pPr>
        <w:spacing w:line="520" w:lineRule="exact"/>
        <w:ind w:firstLine="640" w:firstLineChars="200"/>
        <w:rPr>
          <w:rFonts w:hint="default" w:ascii="Times New Roman" w:hAnsi="Times New Roman" w:eastAsia="楷体" w:cs="Times New Roman"/>
          <w:color w:val="auto"/>
          <w:sz w:val="32"/>
          <w:szCs w:val="32"/>
          <w:highlight w:val="none"/>
        </w:rPr>
      </w:pPr>
    </w:p>
    <w:p w14:paraId="7D8AA5D3">
      <w:pPr>
        <w:spacing w:line="520" w:lineRule="exact"/>
        <w:ind w:firstLine="640" w:firstLineChars="200"/>
        <w:rPr>
          <w:rFonts w:hint="default" w:ascii="Times New Roman" w:hAnsi="Times New Roman" w:eastAsia="楷体" w:cs="Times New Roman"/>
          <w:color w:val="auto"/>
          <w:sz w:val="32"/>
          <w:szCs w:val="32"/>
          <w:highlight w:val="none"/>
        </w:rPr>
      </w:pPr>
    </w:p>
    <w:p w14:paraId="29E27C92">
      <w:pPr>
        <w:spacing w:line="520" w:lineRule="exact"/>
        <w:ind w:firstLine="640" w:firstLineChars="200"/>
        <w:rPr>
          <w:rFonts w:hint="default" w:ascii="Times New Roman" w:hAnsi="Times New Roman" w:eastAsia="楷体" w:cs="Times New Roman"/>
          <w:color w:val="auto"/>
          <w:sz w:val="32"/>
          <w:szCs w:val="32"/>
          <w:highlight w:val="none"/>
        </w:rPr>
      </w:pPr>
    </w:p>
    <w:p w14:paraId="5823A0DD">
      <w:pPr>
        <w:spacing w:line="520" w:lineRule="exact"/>
        <w:ind w:firstLine="640" w:firstLineChars="200"/>
        <w:rPr>
          <w:rFonts w:hint="default" w:ascii="Times New Roman" w:hAnsi="Times New Roman" w:eastAsia="楷体" w:cs="Times New Roman"/>
          <w:color w:val="auto"/>
          <w:sz w:val="32"/>
          <w:szCs w:val="32"/>
          <w:highlight w:val="none"/>
        </w:rPr>
      </w:pPr>
    </w:p>
    <w:p w14:paraId="6A714C74">
      <w:pPr>
        <w:spacing w:line="520" w:lineRule="exact"/>
        <w:ind w:firstLine="640" w:firstLineChars="200"/>
        <w:rPr>
          <w:rFonts w:hint="default" w:ascii="Times New Roman" w:hAnsi="Times New Roman" w:eastAsia="楷体" w:cs="Times New Roman"/>
          <w:color w:val="auto"/>
          <w:sz w:val="32"/>
          <w:szCs w:val="32"/>
          <w:highlight w:val="none"/>
        </w:rPr>
      </w:pPr>
    </w:p>
    <w:p w14:paraId="6B28CF35">
      <w:pPr>
        <w:spacing w:line="520" w:lineRule="exact"/>
        <w:ind w:firstLine="640" w:firstLineChars="200"/>
        <w:rPr>
          <w:rFonts w:hint="default" w:ascii="Times New Roman" w:hAnsi="Times New Roman" w:eastAsia="楷体" w:cs="Times New Roman"/>
          <w:color w:val="auto"/>
          <w:sz w:val="32"/>
          <w:szCs w:val="32"/>
          <w:highlight w:val="none"/>
        </w:rPr>
      </w:pPr>
    </w:p>
    <w:p w14:paraId="65562AF5">
      <w:pPr>
        <w:spacing w:line="520" w:lineRule="exact"/>
        <w:ind w:firstLine="640" w:firstLineChars="200"/>
        <w:rPr>
          <w:rFonts w:hint="default" w:ascii="Times New Roman" w:hAnsi="Times New Roman" w:eastAsia="楷体" w:cs="Times New Roman"/>
          <w:color w:val="auto"/>
          <w:sz w:val="32"/>
          <w:szCs w:val="32"/>
          <w:highlight w:val="none"/>
        </w:rPr>
      </w:pPr>
    </w:p>
    <w:p w14:paraId="1CBBDA4E">
      <w:pPr>
        <w:spacing w:line="520" w:lineRule="exact"/>
        <w:ind w:firstLine="640" w:firstLineChars="200"/>
        <w:rPr>
          <w:rFonts w:hint="default" w:ascii="Times New Roman" w:hAnsi="Times New Roman" w:eastAsia="楷体" w:cs="Times New Roman"/>
          <w:color w:val="auto"/>
          <w:sz w:val="32"/>
          <w:szCs w:val="32"/>
          <w:highlight w:val="none"/>
        </w:rPr>
      </w:pPr>
    </w:p>
    <w:p w14:paraId="71E3C5B0">
      <w:pPr>
        <w:spacing w:line="520" w:lineRule="exact"/>
        <w:ind w:firstLine="640" w:firstLineChars="200"/>
        <w:rPr>
          <w:rFonts w:hint="default" w:ascii="Times New Roman" w:hAnsi="Times New Roman" w:eastAsia="楷体" w:cs="Times New Roman"/>
          <w:color w:val="auto"/>
          <w:sz w:val="32"/>
          <w:szCs w:val="32"/>
          <w:highlight w:val="none"/>
        </w:rPr>
      </w:pPr>
    </w:p>
    <w:p w14:paraId="7981EB0F">
      <w:pPr>
        <w:spacing w:line="520" w:lineRule="exact"/>
        <w:ind w:firstLine="640" w:firstLineChars="200"/>
        <w:rPr>
          <w:rFonts w:hint="default" w:ascii="Times New Roman" w:hAnsi="Times New Roman" w:eastAsia="楷体" w:cs="Times New Roman"/>
          <w:color w:val="auto"/>
          <w:sz w:val="32"/>
          <w:szCs w:val="32"/>
          <w:highlight w:val="none"/>
        </w:rPr>
      </w:pPr>
    </w:p>
    <w:p w14:paraId="3019FB47">
      <w:pPr>
        <w:spacing w:line="520" w:lineRule="exact"/>
        <w:ind w:firstLine="640" w:firstLineChars="200"/>
        <w:rPr>
          <w:rFonts w:hint="default" w:ascii="Times New Roman" w:hAnsi="Times New Roman" w:eastAsia="楷体" w:cs="Times New Roman"/>
          <w:color w:val="auto"/>
          <w:sz w:val="32"/>
          <w:szCs w:val="32"/>
          <w:highlight w:val="none"/>
        </w:rPr>
      </w:pPr>
    </w:p>
    <w:p w14:paraId="318B4245">
      <w:pPr>
        <w:spacing w:line="520" w:lineRule="exact"/>
        <w:ind w:firstLine="640" w:firstLineChars="200"/>
        <w:rPr>
          <w:rFonts w:hint="default" w:ascii="Times New Roman" w:hAnsi="Times New Roman" w:eastAsia="楷体" w:cs="Times New Roman"/>
          <w:color w:val="auto"/>
          <w:sz w:val="32"/>
          <w:szCs w:val="32"/>
          <w:highlight w:val="none"/>
        </w:rPr>
      </w:pPr>
    </w:p>
    <w:p w14:paraId="0D4135B9">
      <w:pPr>
        <w:spacing w:line="520" w:lineRule="exact"/>
        <w:ind w:firstLine="640" w:firstLineChars="200"/>
        <w:rPr>
          <w:rFonts w:hint="default" w:ascii="Times New Roman" w:hAnsi="Times New Roman" w:eastAsia="楷体" w:cs="Times New Roman"/>
          <w:color w:val="auto"/>
          <w:sz w:val="32"/>
          <w:szCs w:val="32"/>
          <w:highlight w:val="none"/>
        </w:rPr>
      </w:pPr>
    </w:p>
    <w:p w14:paraId="24C0453B">
      <w:pPr>
        <w:spacing w:line="520" w:lineRule="exact"/>
        <w:ind w:firstLine="640" w:firstLineChars="200"/>
        <w:rPr>
          <w:rFonts w:hint="default" w:ascii="Times New Roman" w:hAnsi="Times New Roman" w:eastAsia="楷体" w:cs="Times New Roman"/>
          <w:color w:val="auto"/>
          <w:sz w:val="32"/>
          <w:szCs w:val="32"/>
          <w:highlight w:val="none"/>
        </w:rPr>
      </w:pPr>
    </w:p>
    <w:p w14:paraId="15F9033A">
      <w:pPr>
        <w:adjustRightInd w:val="0"/>
        <w:snapToGrid w:val="0"/>
        <w:spacing w:line="520" w:lineRule="exact"/>
        <w:jc w:val="center"/>
        <w:outlineLvl w:val="0"/>
        <w:rPr>
          <w:rStyle w:val="48"/>
          <w:rFonts w:hint="default" w:ascii="Times New Roman" w:hAnsi="Times New Roman" w:eastAsia="楷体" w:cs="Times New Roman"/>
          <w:b/>
          <w:bCs/>
          <w:color w:val="auto"/>
          <w:sz w:val="36"/>
          <w:szCs w:val="36"/>
          <w:highlight w:val="none"/>
        </w:rPr>
      </w:pPr>
      <w:bookmarkStart w:id="47" w:name="_Toc9103"/>
      <w:r>
        <w:rPr>
          <w:rStyle w:val="48"/>
          <w:rFonts w:hint="default" w:ascii="Times New Roman" w:hAnsi="Times New Roman" w:eastAsia="楷体" w:cs="Times New Roman"/>
          <w:b/>
          <w:bCs/>
          <w:color w:val="auto"/>
          <w:sz w:val="36"/>
          <w:szCs w:val="36"/>
          <w:highlight w:val="none"/>
        </w:rPr>
        <w:t>4 险情监测与报告</w:t>
      </w:r>
      <w:bookmarkEnd w:id="47"/>
    </w:p>
    <w:p w14:paraId="66BD2192">
      <w:pPr>
        <w:spacing w:before="156" w:beforeLines="50" w:after="156" w:afterLines="50"/>
        <w:jc w:val="left"/>
        <w:outlineLvl w:val="1"/>
        <w:rPr>
          <w:rFonts w:hint="default" w:ascii="Times New Roman" w:hAnsi="Times New Roman" w:eastAsia="楷体" w:cs="Times New Roman"/>
          <w:b/>
          <w:color w:val="auto"/>
          <w:sz w:val="32"/>
          <w:szCs w:val="30"/>
          <w:highlight w:val="none"/>
        </w:rPr>
      </w:pPr>
      <w:bookmarkStart w:id="48" w:name="_Toc9065"/>
      <w:r>
        <w:rPr>
          <w:rFonts w:hint="default" w:ascii="Times New Roman" w:hAnsi="Times New Roman" w:eastAsia="楷体" w:cs="Times New Roman"/>
          <w:b/>
          <w:color w:val="auto"/>
          <w:sz w:val="32"/>
          <w:szCs w:val="30"/>
          <w:highlight w:val="none"/>
        </w:rPr>
        <w:t>4.1险情监测和巡视</w:t>
      </w:r>
      <w:bookmarkEnd w:id="48"/>
    </w:p>
    <w:p w14:paraId="7FB80E12">
      <w:pPr>
        <w:spacing w:before="156" w:beforeLines="50" w:after="156" w:afterLines="50"/>
        <w:jc w:val="left"/>
        <w:outlineLvl w:val="2"/>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4.1.1 水库工程险情监测、巡查</w:t>
      </w:r>
    </w:p>
    <w:p w14:paraId="36B8A925">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水库工程险情监测、巡查的部位主要为：水工建筑物、混凝土建筑物、金属结构、启闭机（有重叠）、水流形态、水库附属工程、动力、照明、交通、通讯、安全防护，避雷设施和观测设备等。</w:t>
      </w:r>
    </w:p>
    <w:p w14:paraId="35DDDE38">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水库工程险情监测、巡查的内容主要为：</w:t>
      </w:r>
    </w:p>
    <w:p w14:paraId="31957294">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（1）对水工建筑物的检查和观察中，应注意坝身有无裂缝、塌坑隆起现象；迎水坡有无风浪冲刷；背水坡有无散浸及集中渗漏；坝头岸坡有无绕渗；排水导渗设施有无堵塞、破坏、失效等。</w:t>
      </w:r>
    </w:p>
    <w:p w14:paraId="74991933">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对混凝土建筑物的检查和观察中，应针对不同的工程部位和容易发生的问题，注意有无裂缝、渗漏、剥蚀、冲刷、磨损、气蚀及脱碱等现象；伸缩缝止水有无损坏、填充物有无流失；基座岩体是否稳固；坝头岸坡及坝趾有无集中渗漏等。</w:t>
      </w:r>
    </w:p>
    <w:p w14:paraId="35898010">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（3）对金属结构的检查和观察，应结合构件部位受外界因素影响条件，注意结构有无变形、裂纹、锈蚀、气蚀、油漆剥落、磨损、振动以及焊缝开裂、铆钉或螺栓松动等现象。</w:t>
      </w:r>
    </w:p>
    <w:p w14:paraId="56497CA8">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对启闭机的检查和观察，除按金属结构的检查和观察内容外，主要应注意启闭机运转是否灵活，有无不正常音响和振动，丝杠是否弯曲、磨损、锈蚀；机械转动部分润滑油是否充足以及机电安全保护设施是否完好等。</w:t>
      </w:r>
    </w:p>
    <w:p w14:paraId="647EBAF7">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（5）水流形态的观察，主要应注意进口段水流是否平顺，堰后水流形态是否正常，水流是否平稳；有无不正常流态和冲刷淤积现象。拦污栅、拦鱼设施、漂浮物有否壅水或堵塞现象等。</w:t>
      </w:r>
    </w:p>
    <w:p w14:paraId="21139C4D">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（6）检查水库附属工程、动力、照明、交通、通讯、安全防护，避雷设施和观测设备等是否完好。</w:t>
      </w:r>
    </w:p>
    <w:p w14:paraId="1BB1CE4A">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水库工程险情监测、巡查的方式主要为：人工巡查和设备监测。</w:t>
      </w:r>
    </w:p>
    <w:p w14:paraId="19206338">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工程险情监测、巡查的频次严格按照水库工程管理规定执行，监测主要分：坝体表面水平位移、沉降根据实际情况定期进行观测；渗流量观测根据实际情况每月观测1次；监测数据应第一时间进行记录，整理分析，并归档成册。</w:t>
      </w:r>
    </w:p>
    <w:p w14:paraId="06118DB5">
      <w:pPr>
        <w:widowControl/>
        <w:spacing w:line="520" w:lineRule="exact"/>
        <w:ind w:firstLine="560" w:firstLineChars="200"/>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28"/>
          <w:szCs w:val="28"/>
          <w:highlight w:val="none"/>
        </w:rPr>
        <w:t>日常检查频次每周1次；定期检查分汛前检查和汛后检查，频次一般汛前检查为3月上旬，汛后检查为10月中旬；特别检查指遇特大洪水、台风、地震等需及时监测，频次不限；大坝巡查频次则根据库水位的变化相应调整。</w:t>
      </w:r>
    </w:p>
    <w:p w14:paraId="3D2B1D4A">
      <w:pPr>
        <w:spacing w:before="156" w:beforeLines="50" w:after="156" w:afterLines="50"/>
        <w:jc w:val="left"/>
        <w:outlineLvl w:val="2"/>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4.1.2 规定监测、巡查人员组成及监测、巡查结果的处理程序</w:t>
      </w:r>
    </w:p>
    <w:p w14:paraId="2FA2E45C">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监测、巡查人员由水库管理所关人员为主，必要时也可从其它部门抽调人员补充。</w:t>
      </w:r>
    </w:p>
    <w:p w14:paraId="37B4127D">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巡查结果必须要以书面形式形成文字材料存档和逐级上报，遇重大险情可先电话上报泉港区防汛抗旱指挥部。</w:t>
      </w:r>
    </w:p>
    <w:p w14:paraId="16C83E52">
      <w:pPr>
        <w:spacing w:before="156" w:beforeLines="50" w:after="156" w:afterLines="50"/>
        <w:jc w:val="left"/>
        <w:outlineLvl w:val="1"/>
        <w:rPr>
          <w:rFonts w:hint="default" w:ascii="Times New Roman" w:hAnsi="Times New Roman" w:eastAsia="楷体" w:cs="Times New Roman"/>
          <w:b/>
          <w:color w:val="auto"/>
          <w:sz w:val="32"/>
          <w:szCs w:val="30"/>
          <w:highlight w:val="none"/>
        </w:rPr>
      </w:pPr>
      <w:bookmarkStart w:id="49" w:name="_Toc9767"/>
      <w:r>
        <w:rPr>
          <w:rFonts w:hint="default" w:ascii="Times New Roman" w:hAnsi="Times New Roman" w:eastAsia="楷体" w:cs="Times New Roman"/>
          <w:b/>
          <w:color w:val="auto"/>
          <w:sz w:val="32"/>
          <w:szCs w:val="30"/>
          <w:highlight w:val="none"/>
        </w:rPr>
        <w:t>4.2 险情上报与通报</w:t>
      </w:r>
      <w:bookmarkEnd w:id="49"/>
    </w:p>
    <w:p w14:paraId="328434E2">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遇到突发事件时，管理处人员实行24小时汛情、工情、险情零汇报制度，险情上报、通报的方式一般采用书面形式汇报，遇重大险情可电话汇报。险情上报、通报的程序：险情发生后，要按照分级负责、条块结合，逐级向上汇报。水库防汛领导小组得到洪水灾害报告后，应及时向泉港区防汛防旱指挥部和泉州市防汛抗旱指挥部汇报。</w:t>
      </w:r>
    </w:p>
    <w:p w14:paraId="330111CF">
      <w:pPr>
        <w:widowControl/>
        <w:spacing w:line="360" w:lineRule="auto"/>
        <w:ind w:firstLine="560"/>
        <w:rPr>
          <w:rFonts w:hint="default" w:ascii="Times New Roman" w:hAnsi="Times New Roman" w:eastAsia="楷体" w:cs="Times New Roman"/>
          <w:color w:val="auto"/>
          <w:sz w:val="32"/>
          <w:szCs w:val="32"/>
          <w:highlight w:val="none"/>
        </w:rPr>
      </w:pPr>
    </w:p>
    <w:p w14:paraId="023D13B5">
      <w:pPr>
        <w:widowControl/>
        <w:spacing w:line="360" w:lineRule="auto"/>
        <w:ind w:firstLine="560"/>
        <w:rPr>
          <w:rFonts w:hint="default" w:ascii="Times New Roman" w:hAnsi="Times New Roman" w:eastAsia="楷体" w:cs="Times New Roman"/>
          <w:color w:val="auto"/>
          <w:sz w:val="32"/>
          <w:szCs w:val="32"/>
          <w:highlight w:val="none"/>
        </w:rPr>
      </w:pPr>
    </w:p>
    <w:p w14:paraId="2B56B53B">
      <w:pPr>
        <w:adjustRightInd w:val="0"/>
        <w:snapToGrid w:val="0"/>
        <w:spacing w:line="520" w:lineRule="exact"/>
        <w:jc w:val="center"/>
        <w:outlineLvl w:val="0"/>
        <w:rPr>
          <w:rStyle w:val="48"/>
          <w:rFonts w:hint="default" w:ascii="Times New Roman" w:hAnsi="Times New Roman" w:eastAsia="楷体" w:cs="Times New Roman"/>
          <w:b/>
          <w:bCs/>
          <w:color w:val="auto"/>
          <w:sz w:val="36"/>
          <w:szCs w:val="36"/>
          <w:highlight w:val="none"/>
        </w:rPr>
      </w:pPr>
      <w:bookmarkStart w:id="50" w:name="_Toc4797"/>
      <w:r>
        <w:rPr>
          <w:rStyle w:val="48"/>
          <w:rFonts w:hint="default" w:ascii="Times New Roman" w:hAnsi="Times New Roman" w:eastAsia="楷体" w:cs="Times New Roman"/>
          <w:b/>
          <w:bCs/>
          <w:color w:val="auto"/>
          <w:sz w:val="36"/>
          <w:szCs w:val="36"/>
          <w:highlight w:val="none"/>
        </w:rPr>
        <w:t>5 险情抢护</w:t>
      </w:r>
      <w:bookmarkEnd w:id="50"/>
    </w:p>
    <w:p w14:paraId="5F11CF8A">
      <w:pPr>
        <w:spacing w:before="156" w:beforeLines="50" w:after="156" w:afterLines="50"/>
        <w:outlineLvl w:val="1"/>
        <w:rPr>
          <w:rFonts w:hint="default" w:ascii="Times New Roman" w:hAnsi="Times New Roman" w:eastAsia="楷体" w:cs="Times New Roman"/>
          <w:b/>
          <w:color w:val="auto"/>
          <w:sz w:val="32"/>
          <w:szCs w:val="30"/>
          <w:highlight w:val="none"/>
        </w:rPr>
      </w:pPr>
      <w:bookmarkStart w:id="51" w:name="_Toc15232"/>
      <w:r>
        <w:rPr>
          <w:rFonts w:hint="default" w:ascii="Times New Roman" w:hAnsi="Times New Roman" w:eastAsia="楷体" w:cs="Times New Roman"/>
          <w:b/>
          <w:color w:val="auto"/>
          <w:sz w:val="32"/>
          <w:szCs w:val="30"/>
          <w:highlight w:val="none"/>
        </w:rPr>
        <w:t>5.1 抢险调度</w:t>
      </w:r>
      <w:bookmarkEnd w:id="51"/>
    </w:p>
    <w:p w14:paraId="2E18459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运行期间管理处人员应加强水库的管理和巡查，在巡查中发现险情，应将险情发生部位、范围、原因等具体情况以最有效的方式向水库防洪抢险应急指挥部汇报。当水库水位未超过汛限水位时，应做好对发生险情部位的监测和保护，防止险情进一步扩大，并积极组织抢险人员排除险情，一旦库水位超过汛限水位时，与市防办取得联系并下达开闸泄洪指令，管理处工情执行小组应立即执行指令开闸泄洪，确保水库工程安全，同时要向上级主管部门汇报，迅速组织相关人员对险情周围的群众进行疏散、转移，以免群众遭受不必要的损失。为保证泄洪时下游的安全。水库抢险、行洪调度指令严格按调度审批程序进行。</w:t>
      </w:r>
    </w:p>
    <w:p w14:paraId="0F366BAA">
      <w:pPr>
        <w:spacing w:before="156" w:beforeLines="50" w:after="156" w:afterLines="50"/>
        <w:outlineLvl w:val="1"/>
        <w:rPr>
          <w:rFonts w:hint="default" w:ascii="Times New Roman" w:hAnsi="Times New Roman" w:eastAsia="楷体" w:cs="Times New Roman"/>
          <w:b/>
          <w:color w:val="auto"/>
          <w:sz w:val="32"/>
          <w:szCs w:val="30"/>
          <w:highlight w:val="none"/>
        </w:rPr>
      </w:pPr>
      <w:bookmarkStart w:id="52" w:name="_Toc20185"/>
      <w:r>
        <w:rPr>
          <w:rFonts w:hint="default" w:ascii="Times New Roman" w:hAnsi="Times New Roman" w:eastAsia="楷体" w:cs="Times New Roman"/>
          <w:b/>
          <w:color w:val="auto"/>
          <w:sz w:val="32"/>
          <w:szCs w:val="30"/>
          <w:highlight w:val="none"/>
        </w:rPr>
        <w:t>5.2抢险措施</w:t>
      </w:r>
      <w:bookmarkEnd w:id="52"/>
    </w:p>
    <w:p w14:paraId="0EBD819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若水库发生如下险情时，由市水利局负责现场抢险部位的技术指导。</w:t>
      </w:r>
    </w:p>
    <w:p w14:paraId="1FFE7605">
      <w:pPr>
        <w:spacing w:before="156" w:beforeLines="50" w:after="156" w:afterLines="50"/>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5.2.1水库大坝坝体发生漏洞时应急抢险措施</w:t>
      </w:r>
    </w:p>
    <w:p w14:paraId="3D6CFAA4">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1.出现漏洞时应及时查清发生漏洞部位，并上报水库防洪抢险应急指挥部。</w:t>
      </w:r>
    </w:p>
    <w:p w14:paraId="1AB38F7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2.组织抢险人员在大坝迎水面抛填砂袋、块石封堵漏洞入口防止库水继续渗入，提高坝体与坝基的防渗能力；在大坝下游做好导流设施，防止险情进一步扩大。</w:t>
      </w:r>
    </w:p>
    <w:p w14:paraId="6ACC4B3B">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3.条件允许的情况下开启泄洪设施降低库水位，保证抢险工作顺利进行。</w:t>
      </w:r>
    </w:p>
    <w:p w14:paraId="069624A9">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4.拉响防洪警报，及时转移和疏散区域内的群众，保障人民生命、财产安全。</w:t>
      </w:r>
    </w:p>
    <w:p w14:paraId="4401831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5.险情排除后，工程管理单位应加强防洪期间的日常管理并派专人负责，防止再次出现险情。</w:t>
      </w:r>
    </w:p>
    <w:p w14:paraId="3C643536">
      <w:pPr>
        <w:spacing w:before="156" w:beforeLines="50" w:after="156" w:afterLines="50"/>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5.2.2 水库大坝上游发生滑坡时应急抢险措施</w:t>
      </w:r>
    </w:p>
    <w:p w14:paraId="2B3FA11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1.出现滑坡时应及时查清原因，并上报水库防洪抢险应急指挥部。</w:t>
      </w:r>
    </w:p>
    <w:p w14:paraId="0AF7EF7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2.因库水位骤降而引起的滑坡时，应立即停止放水或减缓放水速度，在不影响防汛安全的前提下，可在滑坡体上部削坡减载，在可能的滑坡底部位置抛投砂袋、石料进行压重固脚。</w:t>
      </w:r>
    </w:p>
    <w:p w14:paraId="061D518F">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3.在高水位作用下发生滑坡时，应开启泄洪设施尽可能降低库水位，但同时也要控制好库水降落的速度，防止因库水位骤降而影响上游坝坡的稳定。</w:t>
      </w:r>
    </w:p>
    <w:p w14:paraId="0D944018">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4.及时转移和疏散区域内的群众，保障人民生命、财产安全。</w:t>
      </w:r>
    </w:p>
    <w:p w14:paraId="06D345A4">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5.险情排除后，工程管理单位应加强防洪期间的日常管理并派专人负责，防止再次出现险情。</w:t>
      </w:r>
    </w:p>
    <w:p w14:paraId="61095049">
      <w:pPr>
        <w:spacing w:before="156" w:beforeLines="50" w:after="156" w:afterLines="50"/>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5.2.3 发生超标准洪水应急抢险措施</w:t>
      </w:r>
    </w:p>
    <w:p w14:paraId="63D29AC9">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1.出现超过设计的校核防洪标准的洪水时，应及时上报水库防洪抢险应急指挥部。</w:t>
      </w:r>
    </w:p>
    <w:p w14:paraId="1BDFCA76">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2.选择适宜的山凹破口泄洪，保障大坝避免洪水漫溢而发生溃决事故。</w:t>
      </w:r>
    </w:p>
    <w:p w14:paraId="003B8C4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3.及时转移和疏散泄洪区域内的群众，确保人民群众生命、财产安全。</w:t>
      </w:r>
    </w:p>
    <w:p w14:paraId="620FDB14">
      <w:pPr>
        <w:spacing w:before="156" w:beforeLines="50" w:after="156" w:afterLines="50"/>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5.2.4 发生库区山体滑坡导致水库水位严重壅高等危及大坝安全的险情抢险措施</w:t>
      </w:r>
    </w:p>
    <w:p w14:paraId="5CCDB40B">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1.出现库区山体滑坡导致水库水位严重壅高等危及大坝安全的险情时，应及时上报水库防洪应急指挥部。</w:t>
      </w:r>
    </w:p>
    <w:p w14:paraId="7BDE8291">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2.提前降低库水位，保障水库的安全运行。</w:t>
      </w:r>
    </w:p>
    <w:p w14:paraId="6B944B8C">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3.开启泄洪设施仍不能有效降低库水位时，选择适宜的山凹破口泄洪，保障水库及大坝的安全。</w:t>
      </w:r>
    </w:p>
    <w:p w14:paraId="63AB437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4.为防止再次滑坡，在滑坡体外围布置排水沟槽，截断流至滑坡体上水流，确保滑坡体的稳定。</w:t>
      </w:r>
    </w:p>
    <w:p w14:paraId="2AA97AAF">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5.对滑坡体进行削坡、减载，防止滑坡体产生进一步的滑动。</w:t>
      </w:r>
    </w:p>
    <w:p w14:paraId="02FD944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6.及时转移和疏散滑坡体周围的群众安全撤离，将险情带来的危害降低到最小程度。</w:t>
      </w:r>
    </w:p>
    <w:p w14:paraId="6329407B">
      <w:pPr>
        <w:spacing w:before="156" w:beforeLines="50" w:after="156" w:afterLines="50"/>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5.2.5 发生溃坝应急抢险措施</w:t>
      </w:r>
    </w:p>
    <w:p w14:paraId="3BE0DA93">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根据溃坝洪水演算成果分析，溃口坝址最大流量为</w:t>
      </w:r>
      <w:r>
        <w:rPr>
          <w:rFonts w:hint="default" w:ascii="Times New Roman" w:hAnsi="Times New Roman" w:eastAsia="楷体" w:cs="Times New Roman"/>
          <w:color w:val="auto"/>
          <w:sz w:val="28"/>
          <w:szCs w:val="28"/>
          <w:highlight w:val="none"/>
          <w:lang w:val="en-US" w:eastAsia="zh-CN"/>
        </w:rPr>
        <w:t>690</w:t>
      </w:r>
      <w:r>
        <w:rPr>
          <w:rFonts w:hint="default" w:ascii="Times New Roman" w:hAnsi="Times New Roman" w:eastAsia="楷体" w:cs="Times New Roman"/>
          <w:color w:val="auto"/>
          <w:sz w:val="28"/>
          <w:szCs w:val="28"/>
          <w:highlight w:val="none"/>
        </w:rPr>
        <w:t>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/s，可导致下游附近镇村被淹没，在接到撤离通知后相关部门应及时组织车辆、人员将淹没区内的群众在洪峰到达前撤离至安全高程以上，具体撤离方式和路线由地方防办制定并组织执行。</w:t>
      </w:r>
    </w:p>
    <w:p w14:paraId="0D27F3BB">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 xml:space="preserve">    如果出现超标准洪水重大突发事件，危及大坝的安全时，向社会发布紧急状态应采取以下预警措施：一是利用宣传媒体通过有线广播和电视台来发布；二是采用流动车宣传沿着水库下村庄进行广播；三是组成预警小组采用话筒深入到偏僻的村寨进行宣传；四是拉警报器或沿途敲锣打鼓进行预警。水库抢险队伍人员按照“水库防汛抢险应急预案”立即到位上岗，全力投入抗洪抢险，尽最大能力确保大坝的安全，减少洪水的危害，把下游人民群众的生命财产安全放在首位，力争把损失降到最低限度。</w:t>
      </w:r>
    </w:p>
    <w:p w14:paraId="06D6A95F">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 xml:space="preserve"> 1.警报形式</w:t>
      </w:r>
    </w:p>
    <w:p w14:paraId="54562973">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 xml:space="preserve"> 由泉港区防汛指挥部受权给广播电视部门向社会发出警报，采用广播、电视台、发信号弹。</w:t>
      </w:r>
    </w:p>
    <w:p w14:paraId="07C7EBFA">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 xml:space="preserve"> 2.出险标志</w:t>
      </w:r>
    </w:p>
    <w:p w14:paraId="79A416EE">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 xml:space="preserve"> 在险段部位用小红旗围住四周，在夜间可采用灯光预警提示。</w:t>
      </w:r>
    </w:p>
    <w:p w14:paraId="7561E3B2">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 xml:space="preserve"> 3.解除警报</w:t>
      </w:r>
    </w:p>
    <w:p w14:paraId="41BBCB6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警报解除时，由市防汛应急指挥部受权广播电视部门及有关乡镇通过电视、广播、发信号弹等形式，向社会宣布解除警报。</w:t>
      </w:r>
    </w:p>
    <w:p w14:paraId="51F64701">
      <w:pPr>
        <w:spacing w:line="520" w:lineRule="exact"/>
        <w:ind w:firstLine="560" w:firstLineChars="200"/>
        <w:rPr>
          <w:rFonts w:hint="default" w:ascii="Times New Roman" w:hAnsi="Times New Roman" w:eastAsia="楷体" w:cs="Times New Roman"/>
          <w:color w:val="auto"/>
          <w:sz w:val="28"/>
          <w:szCs w:val="28"/>
          <w:highlight w:val="none"/>
        </w:rPr>
      </w:pPr>
    </w:p>
    <w:p w14:paraId="7246C681">
      <w:pPr>
        <w:spacing w:line="520" w:lineRule="exact"/>
        <w:outlineLvl w:val="1"/>
        <w:rPr>
          <w:rFonts w:hint="default" w:ascii="Times New Roman" w:hAnsi="Times New Roman" w:eastAsia="楷体" w:cs="Times New Roman"/>
          <w:b/>
          <w:color w:val="auto"/>
          <w:sz w:val="32"/>
          <w:szCs w:val="30"/>
          <w:highlight w:val="none"/>
        </w:rPr>
      </w:pPr>
      <w:bookmarkStart w:id="53" w:name="_Toc8277"/>
      <w:r>
        <w:rPr>
          <w:rFonts w:hint="default" w:ascii="Times New Roman" w:hAnsi="Times New Roman" w:eastAsia="楷体" w:cs="Times New Roman"/>
          <w:b/>
          <w:color w:val="auto"/>
          <w:sz w:val="32"/>
          <w:szCs w:val="30"/>
          <w:highlight w:val="none"/>
        </w:rPr>
        <w:t>5.3 应急转移</w:t>
      </w:r>
      <w:bookmarkEnd w:id="53"/>
    </w:p>
    <w:p w14:paraId="616CAC31">
      <w:pPr>
        <w:spacing w:before="156" w:beforeLines="50" w:after="156" w:afterLines="50"/>
        <w:rPr>
          <w:rFonts w:hint="default" w:ascii="Times New Roman" w:hAnsi="Times New Roman" w:eastAsia="楷体" w:cs="Times New Roman"/>
          <w:color w:val="auto"/>
          <w:sz w:val="32"/>
          <w:szCs w:val="30"/>
          <w:highlight w:val="none"/>
        </w:rPr>
      </w:pPr>
      <w:r>
        <w:rPr>
          <w:rFonts w:hint="default" w:ascii="Times New Roman" w:hAnsi="Times New Roman" w:eastAsia="楷体" w:cs="Times New Roman"/>
          <w:b/>
          <w:bCs/>
          <w:color w:val="auto"/>
          <w:sz w:val="32"/>
          <w:szCs w:val="30"/>
          <w:highlight w:val="none"/>
        </w:rPr>
        <w:t>5.3.1转移安置方案</w:t>
      </w:r>
    </w:p>
    <w:p w14:paraId="46B27D5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险情发生时，及时做好下游人员、财产的转移，保证人民生命财产的安全，车辆调度由民政局负责。根据险村、险户、人口的分布分别向不同的地点、方向转移，根据具体情况就近选择地势高的宽广的平地安置，按各乡镇“预案到乡、预警到村”具体方案进行人员转移和安置。</w:t>
      </w:r>
    </w:p>
    <w:p w14:paraId="6A66D31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w:t>
      </w:r>
      <w:r>
        <w:rPr>
          <w:rFonts w:hint="default" w:ascii="Times New Roman" w:hAnsi="Times New Roman" w:eastAsia="楷体" w:cs="Times New Roman"/>
          <w:sz w:val="28"/>
          <w:szCs w:val="28"/>
          <w:lang w:eastAsia="zh-CN"/>
        </w:rPr>
        <w:t>丰收水库</w:t>
      </w:r>
      <w:r>
        <w:rPr>
          <w:rFonts w:hint="default" w:ascii="Times New Roman" w:hAnsi="Times New Roman" w:eastAsia="楷体" w:cs="Times New Roman"/>
          <w:sz w:val="28"/>
          <w:szCs w:val="28"/>
        </w:rPr>
        <w:t>发生危险时，下游受到威胁的区域</w:t>
      </w:r>
      <w:r>
        <w:rPr>
          <w:rFonts w:hint="default" w:ascii="Times New Roman" w:hAnsi="Times New Roman" w:eastAsia="楷体" w:cs="Times New Roman"/>
          <w:sz w:val="28"/>
          <w:szCs w:val="28"/>
          <w:lang w:val="en-US" w:eastAsia="zh-CN"/>
        </w:rPr>
        <w:t>为古县</w:t>
      </w:r>
      <w:r>
        <w:rPr>
          <w:rFonts w:hint="default" w:ascii="Times New Roman" w:hAnsi="Times New Roman" w:eastAsia="楷体" w:cs="Times New Roman"/>
          <w:sz w:val="28"/>
          <w:szCs w:val="28"/>
          <w:lang w:eastAsia="zh-CN"/>
        </w:rPr>
        <w:t>村</w:t>
      </w:r>
      <w:r>
        <w:rPr>
          <w:rFonts w:hint="default" w:ascii="Times New Roman" w:hAnsi="Times New Roman" w:eastAsia="楷体" w:cs="Times New Roman"/>
          <w:sz w:val="28"/>
          <w:szCs w:val="28"/>
        </w:rPr>
        <w:t>。</w:t>
      </w:r>
    </w:p>
    <w:p w14:paraId="7D2EC204">
      <w:pPr>
        <w:spacing w:before="156" w:beforeLines="50" w:after="156" w:afterLines="50"/>
        <w:rPr>
          <w:rFonts w:hint="default" w:ascii="Times New Roman" w:hAnsi="Times New Roman" w:eastAsia="楷体" w:cs="Times New Roman"/>
          <w:color w:val="auto"/>
          <w:sz w:val="32"/>
          <w:szCs w:val="30"/>
          <w:highlight w:val="none"/>
        </w:rPr>
      </w:pPr>
      <w:r>
        <w:rPr>
          <w:rFonts w:hint="default" w:ascii="Times New Roman" w:hAnsi="Times New Roman" w:eastAsia="楷体" w:cs="Times New Roman"/>
          <w:b/>
          <w:bCs/>
          <w:color w:val="auto"/>
          <w:sz w:val="32"/>
          <w:szCs w:val="30"/>
          <w:highlight w:val="none"/>
        </w:rPr>
        <w:t>5.3.2转移安置的组织实施</w:t>
      </w:r>
    </w:p>
    <w:p w14:paraId="0E01820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下游群众的转移，财产撤离由镇武装部负责</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抢险现场的警戒、安全保卫、非防汛的车辆和人员进入由公安局具体负责，同时负责抢险期间枢纽工程建筑物、财产等的安全保卫工作。根据受威胁区域现有交通状况、社区分布和安置点的分布情况，制定应急转移方案。</w:t>
      </w:r>
    </w:p>
    <w:p w14:paraId="15DD229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古县</w:t>
      </w:r>
      <w:r>
        <w:rPr>
          <w:rFonts w:hint="default" w:ascii="Times New Roman" w:hAnsi="Times New Roman" w:eastAsia="楷体" w:cs="Times New Roman"/>
          <w:sz w:val="28"/>
          <w:szCs w:val="28"/>
          <w:lang w:eastAsia="zh-CN"/>
        </w:rPr>
        <w:t>村沿</w:t>
      </w:r>
      <w:r>
        <w:rPr>
          <w:rFonts w:hint="default" w:ascii="Times New Roman" w:hAnsi="Times New Roman" w:eastAsia="楷体" w:cs="Times New Roman"/>
          <w:sz w:val="28"/>
          <w:szCs w:val="28"/>
          <w:lang w:val="en-US" w:eastAsia="zh-CN"/>
        </w:rPr>
        <w:t>坝头溪</w:t>
      </w:r>
      <w:r>
        <w:rPr>
          <w:rFonts w:hint="default" w:ascii="Times New Roman" w:hAnsi="Times New Roman" w:eastAsia="楷体" w:cs="Times New Roman"/>
          <w:sz w:val="28"/>
          <w:szCs w:val="28"/>
          <w:lang w:eastAsia="zh-CN"/>
        </w:rPr>
        <w:t>区域村民由乡、村道转移到古县村部避灾点，该避灾点可安置</w:t>
      </w:r>
      <w:r>
        <w:rPr>
          <w:rFonts w:hint="default" w:ascii="Times New Roman" w:hAnsi="Times New Roman" w:eastAsia="楷体" w:cs="Times New Roman"/>
          <w:sz w:val="28"/>
          <w:szCs w:val="28"/>
          <w:lang w:val="en-US" w:eastAsia="zh-CN"/>
        </w:rPr>
        <w:t>100人，其余人可就近安置于地势较高处居民房。</w:t>
      </w:r>
    </w:p>
    <w:p w14:paraId="6C8BC08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color w:val="auto"/>
          <w:kern w:val="0"/>
          <w:sz w:val="28"/>
          <w:szCs w:val="28"/>
          <w:highlight w:val="none"/>
        </w:rPr>
      </w:pPr>
      <w:r>
        <w:rPr>
          <w:rFonts w:hint="default" w:ascii="Times New Roman" w:hAnsi="Times New Roman" w:eastAsia="楷体" w:cs="Times New Roman"/>
          <w:b/>
          <w:bCs/>
          <w:color w:val="auto"/>
          <w:kern w:val="0"/>
          <w:sz w:val="28"/>
          <w:szCs w:val="28"/>
          <w:highlight w:val="none"/>
        </w:rPr>
        <w:t>表5-1               各威胁区域撤退点一览表</w:t>
      </w:r>
    </w:p>
    <w:tbl>
      <w:tblPr>
        <w:tblStyle w:val="18"/>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81"/>
        <w:gridCol w:w="2728"/>
        <w:gridCol w:w="3461"/>
        <w:gridCol w:w="2031"/>
      </w:tblGrid>
      <w:tr w14:paraId="15FC40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81" w:type="dxa"/>
            <w:tcBorders>
              <w:tl2br w:val="nil"/>
              <w:tr2bl w:val="nil"/>
            </w:tcBorders>
            <w:noWrap w:val="0"/>
            <w:tcMar>
              <w:top w:w="15" w:type="dxa"/>
              <w:left w:w="15" w:type="dxa"/>
              <w:right w:w="15" w:type="dxa"/>
            </w:tcMar>
            <w:vAlign w:val="center"/>
          </w:tcPr>
          <w:p w14:paraId="12F45AC2">
            <w:pPr>
              <w:keepNext w:val="0"/>
              <w:keepLines w:val="0"/>
              <w:widowControl/>
              <w:suppressLineNumbers w:val="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序号</w:t>
            </w:r>
          </w:p>
        </w:tc>
        <w:tc>
          <w:tcPr>
            <w:tcW w:w="2728" w:type="dxa"/>
            <w:tcBorders>
              <w:tl2br w:val="nil"/>
              <w:tr2bl w:val="nil"/>
            </w:tcBorders>
            <w:noWrap w:val="0"/>
            <w:tcMar>
              <w:top w:w="15" w:type="dxa"/>
              <w:left w:w="15" w:type="dxa"/>
              <w:right w:w="15" w:type="dxa"/>
            </w:tcMar>
            <w:vAlign w:val="center"/>
          </w:tcPr>
          <w:p w14:paraId="6F3B1BAF">
            <w:pPr>
              <w:keepNext w:val="0"/>
              <w:keepLines w:val="0"/>
              <w:widowControl/>
              <w:suppressLineNumbers w:val="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受威胁区域</w:t>
            </w:r>
          </w:p>
        </w:tc>
        <w:tc>
          <w:tcPr>
            <w:tcW w:w="3461" w:type="dxa"/>
            <w:tcBorders>
              <w:tl2br w:val="nil"/>
              <w:tr2bl w:val="nil"/>
            </w:tcBorders>
            <w:noWrap w:val="0"/>
            <w:tcMar>
              <w:top w:w="15" w:type="dxa"/>
              <w:left w:w="15" w:type="dxa"/>
              <w:right w:w="15" w:type="dxa"/>
            </w:tcMar>
            <w:vAlign w:val="center"/>
          </w:tcPr>
          <w:p w14:paraId="0169D02B">
            <w:pPr>
              <w:keepNext w:val="0"/>
              <w:keepLines w:val="0"/>
              <w:widowControl/>
              <w:suppressLineNumbers w:val="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撤退点</w:t>
            </w:r>
          </w:p>
        </w:tc>
        <w:tc>
          <w:tcPr>
            <w:tcW w:w="2031" w:type="dxa"/>
            <w:tcBorders>
              <w:tl2br w:val="nil"/>
              <w:tr2bl w:val="nil"/>
            </w:tcBorders>
            <w:noWrap w:val="0"/>
            <w:tcMar>
              <w:top w:w="15" w:type="dxa"/>
              <w:left w:w="15" w:type="dxa"/>
              <w:right w:w="15" w:type="dxa"/>
            </w:tcMar>
            <w:vAlign w:val="center"/>
          </w:tcPr>
          <w:p w14:paraId="46C26ED1">
            <w:pPr>
              <w:keepNext w:val="0"/>
              <w:keepLines w:val="0"/>
              <w:widowControl/>
              <w:suppressLineNumbers w:val="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备注</w:t>
            </w:r>
          </w:p>
        </w:tc>
      </w:tr>
      <w:tr w14:paraId="12B19D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81" w:type="dxa"/>
            <w:tcBorders>
              <w:tl2br w:val="nil"/>
              <w:tr2bl w:val="nil"/>
            </w:tcBorders>
            <w:noWrap w:val="0"/>
            <w:tcMar>
              <w:top w:w="15" w:type="dxa"/>
              <w:left w:w="15" w:type="dxa"/>
              <w:right w:w="15" w:type="dxa"/>
            </w:tcMar>
            <w:vAlign w:val="center"/>
          </w:tcPr>
          <w:p w14:paraId="239B5F50">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2728" w:type="dxa"/>
            <w:tcBorders>
              <w:tl2br w:val="nil"/>
              <w:tr2bl w:val="nil"/>
            </w:tcBorders>
            <w:noWrap w:val="0"/>
            <w:tcMar>
              <w:top w:w="15" w:type="dxa"/>
              <w:left w:w="15" w:type="dxa"/>
              <w:right w:w="15" w:type="dxa"/>
            </w:tcMar>
            <w:vAlign w:val="center"/>
          </w:tcPr>
          <w:p w14:paraId="68DF7A95">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古县村沿罗溪区域</w:t>
            </w:r>
          </w:p>
        </w:tc>
        <w:tc>
          <w:tcPr>
            <w:tcW w:w="3461" w:type="dxa"/>
            <w:tcBorders>
              <w:tl2br w:val="nil"/>
              <w:tr2bl w:val="nil"/>
            </w:tcBorders>
            <w:noWrap w:val="0"/>
            <w:tcMar>
              <w:top w:w="15" w:type="dxa"/>
              <w:left w:w="15" w:type="dxa"/>
              <w:right w:w="15" w:type="dxa"/>
            </w:tcMar>
            <w:vAlign w:val="center"/>
          </w:tcPr>
          <w:p w14:paraId="788C97C6">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古县村部避灾点及地势较高处居民房</w:t>
            </w:r>
          </w:p>
        </w:tc>
        <w:tc>
          <w:tcPr>
            <w:tcW w:w="2031" w:type="dxa"/>
            <w:tcBorders>
              <w:tl2br w:val="nil"/>
              <w:tr2bl w:val="nil"/>
            </w:tcBorders>
            <w:noWrap w:val="0"/>
            <w:tcMar>
              <w:top w:w="15" w:type="dxa"/>
              <w:left w:w="15" w:type="dxa"/>
              <w:right w:w="15" w:type="dxa"/>
            </w:tcMar>
            <w:vAlign w:val="center"/>
          </w:tcPr>
          <w:p w14:paraId="5B123204">
            <w:pPr>
              <w:jc w:val="center"/>
              <w:rPr>
                <w:rFonts w:hint="default" w:ascii="Times New Roman" w:hAnsi="Times New Roman" w:eastAsia="楷体" w:cs="Times New Roman"/>
                <w:i w:val="0"/>
                <w:color w:val="000000"/>
                <w:sz w:val="22"/>
                <w:szCs w:val="22"/>
                <w:u w:val="none"/>
              </w:rPr>
            </w:pPr>
          </w:p>
        </w:tc>
      </w:tr>
    </w:tbl>
    <w:p w14:paraId="28759E2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both"/>
        <w:textAlignment w:val="auto"/>
        <w:outlineLvl w:val="9"/>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5.3.4 确定组织和实施受威胁区域人员和财产转移、安置的责任部门和责任人</w:t>
      </w:r>
    </w:p>
    <w:p w14:paraId="6F20CAE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sz w:val="28"/>
          <w:szCs w:val="28"/>
        </w:rPr>
        <w:t>各受威胁区的转移安置责任部门为各受胁区所属的村委。责任人为各村村书记。</w:t>
      </w:r>
    </w:p>
    <w:p w14:paraId="1BD24F7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表5-2</w:t>
      </w:r>
      <w:r>
        <w:rPr>
          <w:rFonts w:hint="eastAsia" w:ascii="Times New Roman" w:hAnsi="Times New Roman" w:eastAsia="楷体" w:cs="Times New Roman"/>
          <w:b/>
          <w:bCs/>
          <w:sz w:val="28"/>
          <w:szCs w:val="28"/>
          <w:lang w:val="en-US" w:eastAsia="zh-CN"/>
        </w:rPr>
        <w:t xml:space="preserve">                </w:t>
      </w:r>
      <w:r>
        <w:rPr>
          <w:rFonts w:hint="default" w:ascii="Times New Roman" w:hAnsi="Times New Roman" w:eastAsia="楷体" w:cs="Times New Roman"/>
          <w:b/>
          <w:bCs/>
          <w:sz w:val="28"/>
          <w:szCs w:val="28"/>
        </w:rPr>
        <w:t>责任人一览表</w:t>
      </w:r>
    </w:p>
    <w:tbl>
      <w:tblPr>
        <w:tblStyle w:val="18"/>
        <w:tblW w:w="0" w:type="auto"/>
        <w:tblInd w:w="0" w:type="dxa"/>
        <w:tblLayout w:type="fixed"/>
        <w:tblCellMar>
          <w:top w:w="0" w:type="dxa"/>
          <w:left w:w="0" w:type="dxa"/>
          <w:bottom w:w="0" w:type="dxa"/>
          <w:right w:w="0" w:type="dxa"/>
        </w:tblCellMar>
      </w:tblPr>
      <w:tblGrid>
        <w:gridCol w:w="999"/>
        <w:gridCol w:w="3094"/>
        <w:gridCol w:w="2705"/>
        <w:gridCol w:w="2303"/>
      </w:tblGrid>
      <w:tr w14:paraId="2641D21E">
        <w:tblPrEx>
          <w:tblCellMar>
            <w:top w:w="0" w:type="dxa"/>
            <w:left w:w="0" w:type="dxa"/>
            <w:bottom w:w="0" w:type="dxa"/>
            <w:right w:w="0" w:type="dxa"/>
          </w:tblCellMar>
        </w:tblPrEx>
        <w:trPr>
          <w:trHeight w:val="285" w:hRule="atLeast"/>
        </w:trPr>
        <w:tc>
          <w:tcPr>
            <w:tcW w:w="999"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7DE4B9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bCs/>
                <w:i w:val="0"/>
                <w:color w:val="000000"/>
                <w:sz w:val="24"/>
                <w:szCs w:val="24"/>
                <w:u w:val="none"/>
              </w:rPr>
            </w:pPr>
            <w:r>
              <w:rPr>
                <w:rFonts w:hint="default" w:ascii="Times New Roman" w:hAnsi="Times New Roman" w:eastAsia="楷体" w:cs="Times New Roman"/>
                <w:b/>
                <w:bCs/>
                <w:i w:val="0"/>
                <w:color w:val="000000"/>
                <w:kern w:val="0"/>
                <w:sz w:val="24"/>
                <w:szCs w:val="24"/>
                <w:u w:val="none"/>
                <w:lang w:val="en-US" w:eastAsia="zh-CN" w:bidi="ar"/>
              </w:rPr>
              <w:t>序号</w:t>
            </w:r>
          </w:p>
        </w:tc>
        <w:tc>
          <w:tcPr>
            <w:tcW w:w="309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932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bCs/>
                <w:i w:val="0"/>
                <w:color w:val="000000"/>
                <w:sz w:val="24"/>
                <w:szCs w:val="24"/>
                <w:u w:val="none"/>
              </w:rPr>
            </w:pPr>
            <w:r>
              <w:rPr>
                <w:rFonts w:hint="default" w:ascii="Times New Roman" w:hAnsi="Times New Roman" w:eastAsia="楷体" w:cs="Times New Roman"/>
                <w:b/>
                <w:bCs/>
                <w:i w:val="0"/>
                <w:color w:val="000000"/>
                <w:kern w:val="0"/>
                <w:sz w:val="24"/>
                <w:szCs w:val="24"/>
                <w:u w:val="none"/>
                <w:lang w:val="en-US" w:eastAsia="zh-CN" w:bidi="ar"/>
              </w:rPr>
              <w:t>受威胁区域</w:t>
            </w:r>
          </w:p>
        </w:tc>
        <w:tc>
          <w:tcPr>
            <w:tcW w:w="270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FE3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bCs/>
                <w:i w:val="0"/>
                <w:color w:val="000000"/>
                <w:sz w:val="24"/>
                <w:szCs w:val="24"/>
                <w:u w:val="none"/>
              </w:rPr>
            </w:pPr>
            <w:r>
              <w:rPr>
                <w:rFonts w:hint="default" w:ascii="Times New Roman" w:hAnsi="Times New Roman" w:eastAsia="楷体" w:cs="Times New Roman"/>
                <w:b/>
                <w:bCs/>
                <w:i w:val="0"/>
                <w:color w:val="000000"/>
                <w:kern w:val="0"/>
                <w:sz w:val="24"/>
                <w:szCs w:val="24"/>
                <w:u w:val="none"/>
                <w:lang w:val="en-US" w:eastAsia="zh-CN" w:bidi="ar"/>
              </w:rPr>
              <w:t>责任人</w:t>
            </w:r>
          </w:p>
        </w:tc>
        <w:tc>
          <w:tcPr>
            <w:tcW w:w="2303"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69ABF5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bCs/>
                <w:i w:val="0"/>
                <w:color w:val="000000"/>
                <w:sz w:val="24"/>
                <w:szCs w:val="24"/>
                <w:u w:val="none"/>
              </w:rPr>
            </w:pPr>
            <w:r>
              <w:rPr>
                <w:rFonts w:hint="default" w:ascii="Times New Roman" w:hAnsi="Times New Roman" w:eastAsia="楷体" w:cs="Times New Roman"/>
                <w:b/>
                <w:bCs/>
                <w:i w:val="0"/>
                <w:color w:val="000000"/>
                <w:kern w:val="0"/>
                <w:sz w:val="24"/>
                <w:szCs w:val="24"/>
                <w:u w:val="none"/>
                <w:lang w:val="en-US" w:eastAsia="zh-CN" w:bidi="ar"/>
              </w:rPr>
              <w:t>联系方式</w:t>
            </w:r>
          </w:p>
        </w:tc>
      </w:tr>
      <w:tr w14:paraId="1D103773">
        <w:tblPrEx>
          <w:tblCellMar>
            <w:top w:w="0" w:type="dxa"/>
            <w:left w:w="0" w:type="dxa"/>
            <w:bottom w:w="0" w:type="dxa"/>
            <w:right w:w="0" w:type="dxa"/>
          </w:tblCellMar>
        </w:tblPrEx>
        <w:trPr>
          <w:trHeight w:val="285" w:hRule="atLeast"/>
        </w:trPr>
        <w:tc>
          <w:tcPr>
            <w:tcW w:w="99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ECB45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768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古县村沿坝头溪区域</w:t>
            </w:r>
          </w:p>
        </w:tc>
        <w:tc>
          <w:tcPr>
            <w:tcW w:w="2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8E9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黄细民</w:t>
            </w:r>
          </w:p>
        </w:tc>
        <w:tc>
          <w:tcPr>
            <w:tcW w:w="230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12866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15259597088</w:t>
            </w:r>
          </w:p>
        </w:tc>
      </w:tr>
    </w:tbl>
    <w:p w14:paraId="4D166F23">
      <w:pPr>
        <w:tabs>
          <w:tab w:val="left" w:pos="3238"/>
          <w:tab w:val="center" w:pos="4595"/>
        </w:tabs>
        <w:adjustRightInd w:val="0"/>
        <w:snapToGrid w:val="0"/>
        <w:spacing w:before="156" w:beforeLines="50" w:after="156" w:afterLines="50" w:line="360" w:lineRule="auto"/>
        <w:jc w:val="left"/>
        <w:outlineLvl w:val="0"/>
        <w:rPr>
          <w:rStyle w:val="48"/>
          <w:rFonts w:hint="default" w:ascii="Times New Roman" w:hAnsi="Times New Roman" w:eastAsia="楷体" w:cs="Times New Roman"/>
          <w:b/>
          <w:bCs/>
          <w:color w:val="auto"/>
          <w:sz w:val="36"/>
          <w:szCs w:val="36"/>
          <w:highlight w:val="none"/>
        </w:rPr>
      </w:pPr>
      <w:bookmarkStart w:id="54" w:name="_Toc11254"/>
      <w:r>
        <w:rPr>
          <w:rStyle w:val="48"/>
          <w:rFonts w:hint="eastAsia" w:ascii="Times New Roman" w:hAnsi="Times New Roman" w:eastAsia="楷体" w:cs="Times New Roman"/>
          <w:b/>
          <w:bCs/>
          <w:color w:val="auto"/>
          <w:sz w:val="36"/>
          <w:szCs w:val="36"/>
          <w:highlight w:val="none"/>
          <w:lang w:eastAsia="zh-CN"/>
        </w:rPr>
        <w:tab/>
      </w:r>
      <w:r>
        <w:rPr>
          <w:rStyle w:val="48"/>
          <w:rFonts w:hint="default" w:ascii="Times New Roman" w:hAnsi="Times New Roman" w:eastAsia="楷体" w:cs="Times New Roman"/>
          <w:b/>
          <w:bCs/>
          <w:color w:val="auto"/>
          <w:sz w:val="36"/>
          <w:szCs w:val="36"/>
          <w:highlight w:val="none"/>
        </w:rPr>
        <w:t>6 应急保障</w:t>
      </w:r>
      <w:bookmarkEnd w:id="54"/>
    </w:p>
    <w:p w14:paraId="13E2A6F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依照《防洪法》规定，防洪抢险必须实行行政首长负责，根据分级分部门负责的原则，成立丰收水库防洪抢险应急指挥部，指挥部成员由丰收水库防汛工作领导小组成员组成，具体负责水库防洪抢险、防灾减灾及灾后恢复工作的统一领导和指挥，在保障工作全面、有序开展的同时，各领导成员按照职责必须负责具体的工作。</w:t>
      </w:r>
    </w:p>
    <w:p w14:paraId="1223AFCD">
      <w:pPr>
        <w:spacing w:before="156" w:beforeLines="50" w:after="156" w:afterLines="50" w:line="360" w:lineRule="auto"/>
        <w:outlineLvl w:val="1"/>
        <w:rPr>
          <w:rFonts w:hint="default" w:ascii="Times New Roman" w:hAnsi="Times New Roman" w:eastAsia="楷体" w:cs="Times New Roman"/>
          <w:b/>
          <w:color w:val="auto"/>
          <w:sz w:val="32"/>
          <w:szCs w:val="30"/>
          <w:highlight w:val="none"/>
        </w:rPr>
      </w:pPr>
      <w:bookmarkStart w:id="55" w:name="_Toc24772"/>
      <w:r>
        <w:rPr>
          <w:rFonts w:hint="default" w:ascii="Times New Roman" w:hAnsi="Times New Roman" w:eastAsia="楷体" w:cs="Times New Roman"/>
          <w:b/>
          <w:color w:val="auto"/>
          <w:sz w:val="32"/>
          <w:szCs w:val="30"/>
          <w:highlight w:val="none"/>
        </w:rPr>
        <w:t>6.1 组织保障</w:t>
      </w:r>
      <w:bookmarkEnd w:id="55"/>
    </w:p>
    <w:p w14:paraId="04F9DF5C">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为保障</w:t>
      </w:r>
      <w:r>
        <w:rPr>
          <w:rFonts w:hint="eastAsia" w:ascii="Times New Roman" w:hAnsi="Times New Roman" w:eastAsia="楷体" w:cs="Times New Roman"/>
          <w:color w:val="auto"/>
          <w:sz w:val="28"/>
          <w:szCs w:val="28"/>
          <w:highlight w:val="none"/>
          <w:lang w:eastAsia="zh-CN"/>
        </w:rPr>
        <w:t>丰收</w:t>
      </w:r>
      <w:r>
        <w:rPr>
          <w:rFonts w:hint="default" w:ascii="Times New Roman" w:hAnsi="Times New Roman" w:eastAsia="楷体" w:cs="Times New Roman"/>
          <w:color w:val="auto"/>
          <w:sz w:val="28"/>
          <w:szCs w:val="28"/>
          <w:highlight w:val="none"/>
        </w:rPr>
        <w:t>水库20</w:t>
      </w:r>
      <w:r>
        <w:rPr>
          <w:rFonts w:hint="eastAsia" w:ascii="Times New Roman" w:hAnsi="Times New Roman" w:eastAsia="楷体" w:cs="Times New Roman"/>
          <w:color w:val="auto"/>
          <w:sz w:val="28"/>
          <w:szCs w:val="28"/>
          <w:highlight w:val="none"/>
          <w:lang w:val="en-US" w:eastAsia="zh-CN"/>
        </w:rPr>
        <w:t>22</w:t>
      </w:r>
      <w:r>
        <w:rPr>
          <w:rFonts w:hint="default" w:ascii="Times New Roman" w:hAnsi="Times New Roman" w:eastAsia="楷体" w:cs="Times New Roman"/>
          <w:color w:val="auto"/>
          <w:sz w:val="28"/>
          <w:szCs w:val="28"/>
          <w:highlight w:val="none"/>
        </w:rPr>
        <w:t>年防汛工作的顺利进行，成立</w:t>
      </w:r>
      <w:r>
        <w:rPr>
          <w:rFonts w:hint="eastAsia" w:ascii="Times New Roman" w:hAnsi="Times New Roman" w:eastAsia="楷体" w:cs="Times New Roman"/>
          <w:color w:val="auto"/>
          <w:sz w:val="28"/>
          <w:szCs w:val="28"/>
          <w:highlight w:val="none"/>
          <w:lang w:eastAsia="zh-CN"/>
        </w:rPr>
        <w:t>丰收</w:t>
      </w:r>
      <w:r>
        <w:rPr>
          <w:rFonts w:hint="default" w:ascii="Times New Roman" w:hAnsi="Times New Roman" w:eastAsia="楷体" w:cs="Times New Roman"/>
          <w:color w:val="auto"/>
          <w:sz w:val="28"/>
          <w:szCs w:val="28"/>
          <w:highlight w:val="none"/>
        </w:rPr>
        <w:t>水库大坝安全应急指挥部，明确水库防汛领导小组组长、副组长及成员单位负责人，明确实施《应急预案》的职责分工和工作方式。</w:t>
      </w:r>
    </w:p>
    <w:p w14:paraId="3B6D9FF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楷体" w:cs="Times New Roman"/>
          <w:b/>
          <w:bCs/>
          <w:color w:val="auto"/>
          <w:kern w:val="0"/>
          <w:sz w:val="28"/>
          <w:szCs w:val="28"/>
          <w:highlight w:val="none"/>
          <w:lang w:val="en-US" w:eastAsia="zh-CN"/>
        </w:rPr>
      </w:pPr>
      <w:r>
        <w:rPr>
          <w:rFonts w:hint="default" w:ascii="Times New Roman" w:hAnsi="Times New Roman" w:eastAsia="楷体" w:cs="Times New Roman"/>
          <w:b/>
          <w:bCs/>
          <w:color w:val="auto"/>
          <w:kern w:val="0"/>
          <w:sz w:val="28"/>
          <w:szCs w:val="28"/>
          <w:highlight w:val="none"/>
        </w:rPr>
        <w:t>表</w:t>
      </w:r>
      <w:r>
        <w:rPr>
          <w:rFonts w:hint="default" w:ascii="Times New Roman" w:hAnsi="Times New Roman" w:eastAsia="楷体" w:cs="Times New Roman"/>
          <w:b/>
          <w:bCs/>
          <w:color w:val="auto"/>
          <w:kern w:val="0"/>
          <w:sz w:val="28"/>
          <w:szCs w:val="28"/>
          <w:highlight w:val="none"/>
          <w:lang w:val="en-US" w:eastAsia="zh-CN"/>
        </w:rPr>
        <w:t>6-1         防汛领导小组有关单位及责任人名单</w:t>
      </w:r>
    </w:p>
    <w:tbl>
      <w:tblPr>
        <w:tblStyle w:val="18"/>
        <w:tblW w:w="92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1668"/>
        <w:gridCol w:w="3110"/>
        <w:gridCol w:w="1858"/>
      </w:tblGrid>
      <w:tr w14:paraId="5BE18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109F8BD9">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507" w:type="dxa"/>
            <w:noWrap w:val="0"/>
            <w:vAlign w:val="center"/>
          </w:tcPr>
          <w:p w14:paraId="3787DC5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1668" w:type="dxa"/>
            <w:noWrap w:val="0"/>
            <w:vAlign w:val="center"/>
          </w:tcPr>
          <w:p w14:paraId="4D3C1DDE">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3110" w:type="dxa"/>
            <w:noWrap w:val="0"/>
            <w:vAlign w:val="center"/>
          </w:tcPr>
          <w:p w14:paraId="2D3A63F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858" w:type="dxa"/>
            <w:noWrap w:val="0"/>
            <w:vAlign w:val="center"/>
          </w:tcPr>
          <w:p w14:paraId="6840F42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1739C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55AE8A8F">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507" w:type="dxa"/>
            <w:noWrap w:val="0"/>
            <w:vAlign w:val="center"/>
          </w:tcPr>
          <w:p w14:paraId="5842E0A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前黄镇</w:t>
            </w:r>
          </w:p>
        </w:tc>
        <w:tc>
          <w:tcPr>
            <w:tcW w:w="1668" w:type="dxa"/>
            <w:noWrap w:val="0"/>
            <w:vAlign w:val="center"/>
          </w:tcPr>
          <w:p w14:paraId="6C9F85FC">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国</w:t>
            </w:r>
          </w:p>
        </w:tc>
        <w:tc>
          <w:tcPr>
            <w:tcW w:w="3110" w:type="dxa"/>
            <w:noWrap w:val="0"/>
            <w:vAlign w:val="center"/>
          </w:tcPr>
          <w:p w14:paraId="2F2D3A65">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镇党委副书记、政法委员</w:t>
            </w:r>
          </w:p>
        </w:tc>
        <w:tc>
          <w:tcPr>
            <w:tcW w:w="1858" w:type="dxa"/>
            <w:noWrap w:val="0"/>
            <w:vAlign w:val="center"/>
          </w:tcPr>
          <w:p w14:paraId="656F9CA6">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18859737979</w:t>
            </w:r>
          </w:p>
        </w:tc>
      </w:tr>
      <w:tr w14:paraId="4BE67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32F1D73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507" w:type="dxa"/>
            <w:noWrap w:val="0"/>
            <w:vAlign w:val="center"/>
          </w:tcPr>
          <w:p w14:paraId="32A69BE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前黄镇</w:t>
            </w:r>
          </w:p>
        </w:tc>
        <w:tc>
          <w:tcPr>
            <w:tcW w:w="1668" w:type="dxa"/>
            <w:noWrap w:val="0"/>
            <w:vAlign w:val="center"/>
          </w:tcPr>
          <w:p w14:paraId="15DE15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eastAsia" w:ascii="仿宋_GB2312" w:hAnsi="仿宋_GB2312" w:eastAsia="仿宋_GB2312" w:cs="仿宋_GB2312"/>
                <w:color w:val="auto"/>
                <w:sz w:val="24"/>
                <w:szCs w:val="24"/>
                <w:highlight w:val="none"/>
                <w:lang w:eastAsia="zh-CN"/>
              </w:rPr>
              <w:t>冻</w:t>
            </w:r>
          </w:p>
        </w:tc>
        <w:tc>
          <w:tcPr>
            <w:tcW w:w="3110" w:type="dxa"/>
            <w:noWrap w:val="0"/>
            <w:vAlign w:val="center"/>
          </w:tcPr>
          <w:p w14:paraId="2F1D4D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镇党委委员、人武部部长、副镇长</w:t>
            </w:r>
          </w:p>
        </w:tc>
        <w:tc>
          <w:tcPr>
            <w:tcW w:w="1858" w:type="dxa"/>
            <w:noWrap w:val="0"/>
            <w:vAlign w:val="center"/>
          </w:tcPr>
          <w:p w14:paraId="025E878E">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13505050384</w:t>
            </w:r>
          </w:p>
        </w:tc>
      </w:tr>
      <w:tr w14:paraId="718D1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139D1BDD">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507" w:type="dxa"/>
            <w:noWrap w:val="0"/>
            <w:vAlign w:val="center"/>
          </w:tcPr>
          <w:p w14:paraId="74CA0FC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前黄镇</w:t>
            </w:r>
          </w:p>
        </w:tc>
        <w:tc>
          <w:tcPr>
            <w:tcW w:w="1668" w:type="dxa"/>
            <w:noWrap w:val="0"/>
            <w:vAlign w:val="center"/>
          </w:tcPr>
          <w:p w14:paraId="2D16A6D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高</w:t>
            </w:r>
            <w:r>
              <w:rPr>
                <w:rFonts w:hint="eastAsia" w:eastAsia="楷体" w:cs="Times New Roman"/>
                <w:i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坤</w:t>
            </w:r>
          </w:p>
        </w:tc>
        <w:tc>
          <w:tcPr>
            <w:tcW w:w="3110" w:type="dxa"/>
            <w:noWrap w:val="0"/>
            <w:vAlign w:val="center"/>
          </w:tcPr>
          <w:p w14:paraId="1B646C7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镇党委委员、秘书</w:t>
            </w:r>
          </w:p>
        </w:tc>
        <w:tc>
          <w:tcPr>
            <w:tcW w:w="1858" w:type="dxa"/>
            <w:noWrap w:val="0"/>
            <w:vAlign w:val="center"/>
          </w:tcPr>
          <w:p w14:paraId="510560CC">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15880798572</w:t>
            </w:r>
          </w:p>
        </w:tc>
      </w:tr>
      <w:tr w14:paraId="7E67C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3F5A814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507" w:type="dxa"/>
            <w:noWrap w:val="0"/>
            <w:vAlign w:val="center"/>
          </w:tcPr>
          <w:p w14:paraId="5618948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前黄镇</w:t>
            </w:r>
          </w:p>
        </w:tc>
        <w:tc>
          <w:tcPr>
            <w:tcW w:w="1668" w:type="dxa"/>
            <w:noWrap w:val="0"/>
            <w:vAlign w:val="center"/>
          </w:tcPr>
          <w:p w14:paraId="69B7E64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连</w:t>
            </w:r>
            <w:r>
              <w:rPr>
                <w:rFonts w:hint="eastAsia" w:eastAsia="楷体" w:cs="Times New Roman"/>
                <w:i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伟</w:t>
            </w:r>
          </w:p>
        </w:tc>
        <w:tc>
          <w:tcPr>
            <w:tcW w:w="3110" w:type="dxa"/>
            <w:noWrap w:val="0"/>
            <w:vAlign w:val="center"/>
          </w:tcPr>
          <w:p w14:paraId="6BCC10A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镇副镇长</w:t>
            </w:r>
          </w:p>
        </w:tc>
        <w:tc>
          <w:tcPr>
            <w:tcW w:w="1858" w:type="dxa"/>
            <w:noWrap w:val="0"/>
            <w:vAlign w:val="center"/>
          </w:tcPr>
          <w:p w14:paraId="22110E34">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18876218899</w:t>
            </w:r>
          </w:p>
        </w:tc>
      </w:tr>
      <w:tr w14:paraId="0420A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4B20206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5</w:t>
            </w:r>
          </w:p>
        </w:tc>
        <w:tc>
          <w:tcPr>
            <w:tcW w:w="1507" w:type="dxa"/>
            <w:noWrap w:val="0"/>
            <w:vAlign w:val="center"/>
          </w:tcPr>
          <w:p w14:paraId="6B6B429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668" w:type="dxa"/>
            <w:noWrap w:val="0"/>
            <w:vAlign w:val="center"/>
          </w:tcPr>
          <w:p w14:paraId="402DF0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平</w:t>
            </w:r>
          </w:p>
        </w:tc>
        <w:tc>
          <w:tcPr>
            <w:tcW w:w="3110" w:type="dxa"/>
            <w:noWrap w:val="0"/>
            <w:vAlign w:val="center"/>
          </w:tcPr>
          <w:p w14:paraId="3338CE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镇社会服务中心主任</w:t>
            </w:r>
          </w:p>
        </w:tc>
        <w:tc>
          <w:tcPr>
            <w:tcW w:w="1858" w:type="dxa"/>
            <w:noWrap w:val="0"/>
            <w:vAlign w:val="center"/>
          </w:tcPr>
          <w:p w14:paraId="741EED8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60025148">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水库管理单位要主动与各相关单位加强联系，确保各部门通力协作；完善防汛值班人员岗位责任制和信息反馈制度。同时，水库各职能部门要以防汛工作为重点，做到目标明确，任务落实，责任到人。</w:t>
      </w:r>
    </w:p>
    <w:p w14:paraId="722B2D92">
      <w:pPr>
        <w:spacing w:line="520" w:lineRule="exact"/>
        <w:ind w:firstLine="560" w:firstLineChars="200"/>
        <w:rPr>
          <w:rFonts w:hint="default" w:ascii="Times New Roman" w:hAnsi="Times New Roman" w:eastAsia="楷体" w:cs="Times New Roman"/>
          <w:bCs/>
          <w:color w:val="auto"/>
          <w:sz w:val="28"/>
          <w:szCs w:val="28"/>
          <w:highlight w:val="none"/>
        </w:rPr>
      </w:pPr>
      <w:r>
        <w:rPr>
          <w:rFonts w:hint="default" w:ascii="Times New Roman" w:hAnsi="Times New Roman" w:eastAsia="楷体" w:cs="Times New Roman"/>
          <w:bCs/>
          <w:color w:val="auto"/>
          <w:sz w:val="28"/>
          <w:szCs w:val="28"/>
          <w:highlight w:val="none"/>
        </w:rPr>
        <w:t>要制定汛期值班和工程的巡查制度，关注气象预报，掌握雨情、水情变化情况，认真执行本防洪调度方案措施。</w:t>
      </w:r>
    </w:p>
    <w:p w14:paraId="6DFCC405">
      <w:pPr>
        <w:widowControl/>
        <w:spacing w:line="520" w:lineRule="exact"/>
        <w:ind w:firstLine="560" w:firstLineChars="200"/>
        <w:jc w:val="lef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各部门的职责如下： </w:t>
      </w:r>
    </w:p>
    <w:p w14:paraId="1F2AFCE6">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水库管理单位：组织日常的防汛值班和水库大坝等三大建筑物的巡视检查等。</w:t>
      </w:r>
    </w:p>
    <w:p w14:paraId="5CD4E679">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水利部门：负责水库调度，作出具体的防洪度汛部署并监督检查确保其防汛体系的有效运转。</w:t>
      </w:r>
    </w:p>
    <w:p w14:paraId="590B5343">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电力部门：负责供电保障，主要负责抗洪抢险、救灾等方面的供电需要和应急求援现场的临时供电。</w:t>
      </w:r>
    </w:p>
    <w:p w14:paraId="621794D1">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交通部门：主要负责优先保证防汛抢险人员、防汛救灾物资运输和群众安全转移所需车辆的调配。</w:t>
      </w:r>
    </w:p>
    <w:p w14:paraId="552E6E70">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通讯与信息部门：维护通讯设施完好，出现突发事件，迅速调集力量抢修，确保信息畅通，必要时，调度应急通讯设备，为防汛通信和现场指挥提供通信保障。在紧急情况下，应充分利用公共广播和电视等媒体以及手机短信等手段发布信息，通知群众快速撤离，确保人民生命的安全。</w:t>
      </w:r>
    </w:p>
    <w:p w14:paraId="66FE4DC2">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卫生部门：主要负责灾区疾病防治的业务技术指导；组织医疗卫生队赴灾区巡医问诊，负责灾区防疫消毒、抢救伤员等工作。</w:t>
      </w:r>
    </w:p>
    <w:p w14:paraId="40928AC5">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公安部门：主要负责做好灾区的治安管理工作，依法严厉打击破坏抗洪救灾行动和工程设施安全的行为，保证抗灾救灾工作的顺利进行；负责组织搞好防汛抢险、分洪爆破时的戒严、警卫工作，维护灾区的社会治安秩序。</w:t>
      </w:r>
    </w:p>
    <w:p w14:paraId="043CA3A8">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宣传部门：负责思想政治工作。</w:t>
      </w:r>
    </w:p>
    <w:p w14:paraId="355A1776">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其它有关部门在汛期均应根据县级及以上防汛部门的抢险指令，无条件地提供服务，配合相关部门共同完成防汛抢险任务。</w:t>
      </w:r>
    </w:p>
    <w:p w14:paraId="67E5759B">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防汛领导小组下设调度组、情报组、维护组、巡逻组、后勤组等5个小组。应加强观测，密切关注水情、雨情、工情，坚持24小时值班，发现险情及时向县防汛抗旱指挥部汇报。</w:t>
      </w:r>
    </w:p>
    <w:p w14:paraId="5F9752B8">
      <w:pPr>
        <w:widowControl/>
        <w:spacing w:line="360" w:lineRule="auto"/>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水库抢险专家组由</w:t>
      </w:r>
      <w:r>
        <w:rPr>
          <w:rFonts w:hint="default" w:ascii="Times New Roman" w:hAnsi="Times New Roman" w:eastAsia="楷体" w:cs="Times New Roman"/>
          <w:color w:val="auto"/>
          <w:kern w:val="0"/>
          <w:sz w:val="28"/>
          <w:szCs w:val="28"/>
          <w:highlight w:val="none"/>
          <w:lang w:eastAsia="zh-CN"/>
        </w:rPr>
        <w:t>区农林水</w:t>
      </w:r>
      <w:r>
        <w:rPr>
          <w:rFonts w:hint="default" w:ascii="Times New Roman" w:hAnsi="Times New Roman" w:eastAsia="楷体" w:cs="Times New Roman"/>
          <w:color w:val="auto"/>
          <w:kern w:val="0"/>
          <w:sz w:val="28"/>
          <w:szCs w:val="28"/>
          <w:highlight w:val="none"/>
        </w:rPr>
        <w:t>局有关专家组成，必要时可请省、市权威专家。</w:t>
      </w:r>
    </w:p>
    <w:p w14:paraId="1E131C45">
      <w:pPr>
        <w:spacing w:before="156" w:beforeLines="50" w:after="156" w:afterLines="50" w:line="360" w:lineRule="auto"/>
        <w:outlineLvl w:val="1"/>
        <w:rPr>
          <w:rFonts w:hint="default" w:ascii="Times New Roman" w:hAnsi="Times New Roman" w:eastAsia="楷体" w:cs="Times New Roman"/>
          <w:b/>
          <w:color w:val="auto"/>
          <w:sz w:val="32"/>
          <w:szCs w:val="30"/>
          <w:highlight w:val="none"/>
        </w:rPr>
      </w:pPr>
      <w:bookmarkStart w:id="56" w:name="_Toc29561"/>
      <w:r>
        <w:rPr>
          <w:rFonts w:hint="default" w:ascii="Times New Roman" w:hAnsi="Times New Roman" w:eastAsia="楷体" w:cs="Times New Roman"/>
          <w:b/>
          <w:color w:val="auto"/>
          <w:sz w:val="32"/>
          <w:szCs w:val="30"/>
          <w:highlight w:val="none"/>
        </w:rPr>
        <w:t>6.2 队伍保障</w:t>
      </w:r>
      <w:bookmarkEnd w:id="56"/>
    </w:p>
    <w:p w14:paraId="0212D37D">
      <w:pPr>
        <w:spacing w:before="156" w:beforeLines="50" w:after="156" w:afterLines="50"/>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6.2.1 专业抢险队</w:t>
      </w:r>
    </w:p>
    <w:p w14:paraId="0E563EFD">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由水库行政主管部门、水库工程管理单位的技术人员、武装部、武警中队、属地乡镇民兵组成，主要负责对大坝、溢洪道重点部位的抢险，采取切实有效的保坝措施，保证大坝的安全，尽力减少洪水灾害。</w:t>
      </w:r>
    </w:p>
    <w:p w14:paraId="0B5AFF72">
      <w:pPr>
        <w:spacing w:before="156" w:beforeLines="50" w:after="156" w:afterLines="50"/>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6.2.2 群众抢险队</w:t>
      </w:r>
    </w:p>
    <w:p w14:paraId="6E32C9BB">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由前黄镇人民政府、各属村委会干部、广大群众和青年民兵组成，当水库大坝出现险情时，要配合专业抢险队共同做好出险重点部位的抢险工作。当水库大坝出现可能溃坝时，负责通知和做好水库下游人员、财产撤离，保证水库下游的人民生命财产安全。</w:t>
      </w:r>
    </w:p>
    <w:p w14:paraId="7A717A62">
      <w:pPr>
        <w:spacing w:before="156" w:beforeLines="50" w:after="156" w:afterLines="50"/>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6.2.3 人民解放军、武警部队</w:t>
      </w:r>
    </w:p>
    <w:p w14:paraId="370BA77A">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依据《中华人民共和国防洪法》第四十三条规定，人民解放军、武警部队应当执行国家赋予的抢险任务。在水库发生重大危险时，充分发挥主力军的作用，必要时加强防汛抗洪抢险演习，提高抗洪抢险的作战能力，随时做好抗洪抢险的思想准备，保证人民生命财产的安全。</w:t>
      </w:r>
    </w:p>
    <w:p w14:paraId="3D95018F">
      <w:pPr>
        <w:spacing w:before="156" w:beforeLines="50" w:after="156" w:afterLines="50" w:line="360" w:lineRule="auto"/>
        <w:outlineLvl w:val="1"/>
        <w:rPr>
          <w:rFonts w:hint="default" w:ascii="Times New Roman" w:hAnsi="Times New Roman" w:eastAsia="楷体" w:cs="Times New Roman"/>
          <w:b/>
          <w:color w:val="auto"/>
          <w:sz w:val="32"/>
          <w:szCs w:val="30"/>
          <w:highlight w:val="none"/>
        </w:rPr>
      </w:pPr>
      <w:bookmarkStart w:id="57" w:name="_Toc16237"/>
      <w:r>
        <w:rPr>
          <w:rFonts w:hint="default" w:ascii="Times New Roman" w:hAnsi="Times New Roman" w:eastAsia="楷体" w:cs="Times New Roman"/>
          <w:b/>
          <w:color w:val="auto"/>
          <w:sz w:val="32"/>
          <w:szCs w:val="30"/>
          <w:highlight w:val="none"/>
        </w:rPr>
        <w:t>6.3 物资保障</w:t>
      </w:r>
      <w:bookmarkEnd w:id="57"/>
    </w:p>
    <w:p w14:paraId="13CEA507">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防洪期间为保证抢险工作落到实处，抢险物资的储备是必不可少的。根据丰收水库工程情况，在水库防汛仓库派专人负责储备物资的管理工作。</w:t>
      </w:r>
    </w:p>
    <w:p w14:paraId="716D6E71">
      <w:pPr>
        <w:widowControl/>
        <w:spacing w:line="520" w:lineRule="exact"/>
        <w:ind w:firstLine="560"/>
        <w:rPr>
          <w:rFonts w:hint="default" w:ascii="Times New Roman" w:hAnsi="Times New Roman" w:eastAsia="楷体" w:cs="Times New Roman"/>
          <w:color w:val="auto"/>
          <w:kern w:val="0"/>
          <w:sz w:val="28"/>
          <w:szCs w:val="28"/>
          <w:highlight w:val="none"/>
        </w:rPr>
      </w:pPr>
    </w:p>
    <w:p w14:paraId="21B18786">
      <w:pPr>
        <w:widowControl/>
        <w:spacing w:line="520" w:lineRule="exact"/>
        <w:ind w:firstLine="560"/>
        <w:rPr>
          <w:rFonts w:hint="default" w:ascii="Times New Roman" w:hAnsi="Times New Roman" w:eastAsia="楷体" w:cs="Times New Roman"/>
          <w:color w:val="auto"/>
          <w:kern w:val="0"/>
          <w:sz w:val="28"/>
          <w:szCs w:val="28"/>
          <w:highlight w:val="none"/>
        </w:rPr>
      </w:pPr>
    </w:p>
    <w:p w14:paraId="5B2476C1">
      <w:pPr>
        <w:widowControl/>
        <w:spacing w:line="520" w:lineRule="exact"/>
        <w:ind w:firstLine="560"/>
        <w:rPr>
          <w:rFonts w:hint="default" w:ascii="Times New Roman" w:hAnsi="Times New Roman" w:eastAsia="楷体" w:cs="Times New Roman"/>
          <w:color w:val="auto"/>
          <w:kern w:val="0"/>
          <w:sz w:val="28"/>
          <w:szCs w:val="28"/>
          <w:highlight w:val="none"/>
        </w:rPr>
      </w:pPr>
    </w:p>
    <w:p w14:paraId="40073F83">
      <w:pPr>
        <w:widowControl/>
        <w:spacing w:line="520" w:lineRule="exact"/>
        <w:ind w:firstLine="914" w:firstLineChars="0"/>
        <w:rPr>
          <w:rFonts w:hint="default" w:ascii="Times New Roman" w:hAnsi="Times New Roman" w:eastAsia="楷体" w:cs="Times New Roman"/>
          <w:color w:val="auto"/>
          <w:kern w:val="0"/>
          <w:sz w:val="28"/>
          <w:szCs w:val="28"/>
          <w:highlight w:val="none"/>
        </w:rPr>
      </w:pPr>
    </w:p>
    <w:p w14:paraId="573201FF">
      <w:pPr>
        <w:widowControl/>
        <w:tabs>
          <w:tab w:val="left" w:pos="1798"/>
        </w:tabs>
        <w:spacing w:line="520" w:lineRule="exact"/>
        <w:ind w:firstLine="914" w:firstLineChars="0"/>
        <w:rPr>
          <w:rFonts w:hint="eastAsia" w:ascii="Times New Roman" w:hAnsi="Times New Roman" w:eastAsia="楷体" w:cs="Times New Roman"/>
          <w:color w:val="auto"/>
          <w:kern w:val="0"/>
          <w:sz w:val="28"/>
          <w:szCs w:val="28"/>
          <w:highlight w:val="none"/>
          <w:lang w:eastAsia="zh-CN"/>
        </w:rPr>
      </w:pPr>
      <w:r>
        <w:rPr>
          <w:rFonts w:hint="eastAsia" w:ascii="Times New Roman" w:hAnsi="Times New Roman" w:eastAsia="楷体" w:cs="Times New Roman"/>
          <w:color w:val="auto"/>
          <w:kern w:val="0"/>
          <w:sz w:val="28"/>
          <w:szCs w:val="28"/>
          <w:highlight w:val="none"/>
          <w:lang w:eastAsia="zh-CN"/>
        </w:rPr>
        <w:tab/>
      </w:r>
    </w:p>
    <w:p w14:paraId="30ABAA9C">
      <w:pPr>
        <w:widowControl/>
        <w:tabs>
          <w:tab w:val="left" w:pos="1798"/>
        </w:tabs>
        <w:spacing w:line="520" w:lineRule="exact"/>
        <w:ind w:firstLine="914" w:firstLineChars="0"/>
        <w:rPr>
          <w:rFonts w:hint="eastAsia" w:ascii="Times New Roman" w:hAnsi="Times New Roman" w:eastAsia="楷体" w:cs="Times New Roman"/>
          <w:color w:val="auto"/>
          <w:kern w:val="0"/>
          <w:sz w:val="28"/>
          <w:szCs w:val="28"/>
          <w:highlight w:val="none"/>
          <w:lang w:eastAsia="zh-CN"/>
        </w:rPr>
      </w:pPr>
    </w:p>
    <w:p w14:paraId="43DB9D7C">
      <w:pPr>
        <w:widowControl/>
        <w:spacing w:line="520" w:lineRule="exact"/>
        <w:ind w:firstLine="914" w:firstLineChars="0"/>
        <w:rPr>
          <w:rFonts w:hint="default" w:ascii="Times New Roman" w:hAnsi="Times New Roman" w:eastAsia="楷体" w:cs="Times New Roman"/>
          <w:color w:val="auto"/>
          <w:kern w:val="0"/>
          <w:sz w:val="28"/>
          <w:szCs w:val="28"/>
          <w:highlight w:val="none"/>
        </w:rPr>
      </w:pPr>
    </w:p>
    <w:p w14:paraId="126CFBE2">
      <w:pPr>
        <w:widowControl/>
        <w:spacing w:line="520" w:lineRule="exact"/>
        <w:ind w:firstLine="560"/>
        <w:rPr>
          <w:rFonts w:hint="default" w:ascii="Times New Roman" w:hAnsi="Times New Roman" w:eastAsia="楷体" w:cs="Times New Roman"/>
          <w:color w:val="auto"/>
          <w:kern w:val="0"/>
          <w:sz w:val="28"/>
          <w:szCs w:val="28"/>
          <w:highlight w:val="none"/>
        </w:rPr>
      </w:pPr>
    </w:p>
    <w:p w14:paraId="2B8F0879">
      <w:pPr>
        <w:widowControl/>
        <w:spacing w:line="520" w:lineRule="exact"/>
        <w:rPr>
          <w:rFonts w:hint="default" w:ascii="Times New Roman" w:hAnsi="Times New Roman" w:eastAsia="楷体" w:cs="Times New Roman"/>
          <w:b/>
          <w:bCs/>
          <w:color w:val="auto"/>
          <w:sz w:val="28"/>
          <w:szCs w:val="28"/>
          <w:highlight w:val="none"/>
        </w:rPr>
      </w:pPr>
      <w:bookmarkStart w:id="58" w:name="_Toc18695"/>
      <w:r>
        <w:rPr>
          <w:rFonts w:hint="default" w:ascii="Times New Roman" w:hAnsi="Times New Roman" w:eastAsia="楷体" w:cs="Times New Roman"/>
          <w:b/>
          <w:bCs/>
          <w:color w:val="auto"/>
          <w:sz w:val="28"/>
          <w:szCs w:val="28"/>
          <w:highlight w:val="none"/>
        </w:rPr>
        <w:t xml:space="preserve">表6-2         </w:t>
      </w:r>
      <w:r>
        <w:rPr>
          <w:rFonts w:hint="eastAsia" w:ascii="Times New Roman" w:hAnsi="Times New Roman" w:eastAsia="楷体" w:cs="Times New Roman"/>
          <w:b/>
          <w:bCs/>
          <w:color w:val="auto"/>
          <w:sz w:val="28"/>
          <w:szCs w:val="28"/>
          <w:highlight w:val="none"/>
          <w:lang w:val="en-US" w:eastAsia="zh-CN"/>
        </w:rPr>
        <w:t xml:space="preserve">  </w:t>
      </w:r>
      <w:r>
        <w:rPr>
          <w:rFonts w:hint="default" w:ascii="Times New Roman" w:hAnsi="Times New Roman" w:eastAsia="楷体" w:cs="Times New Roman"/>
          <w:b/>
          <w:bCs/>
          <w:color w:val="auto"/>
          <w:sz w:val="28"/>
          <w:szCs w:val="28"/>
          <w:highlight w:val="none"/>
        </w:rPr>
        <w:t xml:space="preserve">    水库现场抢险物资配备明细表</w:t>
      </w:r>
      <w:bookmarkEnd w:id="58"/>
    </w:p>
    <w:tbl>
      <w:tblPr>
        <w:tblStyle w:val="18"/>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858"/>
        <w:gridCol w:w="3367"/>
        <w:gridCol w:w="1937"/>
        <w:gridCol w:w="1939"/>
      </w:tblGrid>
      <w:tr w14:paraId="5935CC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E971C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bookmarkStart w:id="59" w:name="_Toc14017"/>
            <w:r>
              <w:rPr>
                <w:rFonts w:hint="default" w:ascii="Times New Roman" w:hAnsi="Times New Roman" w:eastAsia="楷体" w:cs="Times New Roman"/>
                <w:i w:val="0"/>
                <w:color w:val="auto"/>
                <w:kern w:val="0"/>
                <w:sz w:val="24"/>
                <w:szCs w:val="24"/>
                <w:highlight w:val="none"/>
                <w:u w:val="none"/>
                <w:lang w:val="en-US" w:eastAsia="zh-CN" w:bidi="ar"/>
              </w:rPr>
              <w:t>序号</w:t>
            </w:r>
          </w:p>
        </w:tc>
        <w:tc>
          <w:tcPr>
            <w:tcW w:w="3367" w:type="dxa"/>
            <w:tcBorders>
              <w:tl2br w:val="nil"/>
              <w:tr2bl w:val="nil"/>
            </w:tcBorders>
            <w:noWrap w:val="0"/>
            <w:vAlign w:val="center"/>
          </w:tcPr>
          <w:p w14:paraId="5720B7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品  名</w:t>
            </w:r>
          </w:p>
        </w:tc>
        <w:tc>
          <w:tcPr>
            <w:tcW w:w="1937" w:type="dxa"/>
            <w:tcBorders>
              <w:tl2br w:val="nil"/>
              <w:tr2bl w:val="nil"/>
            </w:tcBorders>
            <w:noWrap w:val="0"/>
            <w:vAlign w:val="center"/>
          </w:tcPr>
          <w:p w14:paraId="016243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单位</w:t>
            </w:r>
          </w:p>
        </w:tc>
        <w:tc>
          <w:tcPr>
            <w:tcW w:w="1939" w:type="dxa"/>
            <w:tcBorders>
              <w:tl2br w:val="nil"/>
              <w:tr2bl w:val="nil"/>
            </w:tcBorders>
            <w:noWrap w:val="0"/>
            <w:vAlign w:val="center"/>
          </w:tcPr>
          <w:p w14:paraId="507A2F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S</w:t>
            </w:r>
            <w:r>
              <w:rPr>
                <w:rFonts w:hint="default" w:ascii="Times New Roman" w:hAnsi="Times New Roman" w:eastAsia="楷体" w:cs="Times New Roman"/>
                <w:i w:val="0"/>
                <w:color w:val="auto"/>
                <w:kern w:val="0"/>
                <w:sz w:val="24"/>
                <w:szCs w:val="24"/>
                <w:highlight w:val="none"/>
                <w:u w:val="none"/>
                <w:vertAlign w:val="subscript"/>
                <w:lang w:val="en-US" w:eastAsia="zh-CN" w:bidi="ar"/>
              </w:rPr>
              <w:t>库</w:t>
            </w:r>
          </w:p>
        </w:tc>
      </w:tr>
      <w:tr w14:paraId="32853E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5FADE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一</w:t>
            </w:r>
          </w:p>
        </w:tc>
        <w:tc>
          <w:tcPr>
            <w:tcW w:w="3367" w:type="dxa"/>
            <w:tcBorders>
              <w:tl2br w:val="nil"/>
              <w:tr2bl w:val="nil"/>
            </w:tcBorders>
            <w:noWrap w:val="0"/>
            <w:vAlign w:val="center"/>
          </w:tcPr>
          <w:p w14:paraId="0E08A8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抢险物料</w:t>
            </w:r>
          </w:p>
        </w:tc>
        <w:tc>
          <w:tcPr>
            <w:tcW w:w="1937" w:type="dxa"/>
            <w:tcBorders>
              <w:tl2br w:val="nil"/>
              <w:tr2bl w:val="nil"/>
            </w:tcBorders>
            <w:noWrap w:val="0"/>
            <w:vAlign w:val="center"/>
          </w:tcPr>
          <w:p w14:paraId="5997BCB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4E9C6C3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04BC0D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9B9A7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6D94F6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袋类</w:t>
            </w:r>
          </w:p>
        </w:tc>
        <w:tc>
          <w:tcPr>
            <w:tcW w:w="1937" w:type="dxa"/>
            <w:tcBorders>
              <w:tl2br w:val="nil"/>
              <w:tr2bl w:val="nil"/>
            </w:tcBorders>
            <w:noWrap w:val="0"/>
            <w:vAlign w:val="center"/>
          </w:tcPr>
          <w:p w14:paraId="0D258B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条</w:t>
            </w:r>
          </w:p>
        </w:tc>
        <w:tc>
          <w:tcPr>
            <w:tcW w:w="1939" w:type="dxa"/>
            <w:tcBorders>
              <w:tl2br w:val="nil"/>
              <w:tr2bl w:val="nil"/>
            </w:tcBorders>
            <w:noWrap w:val="0"/>
            <w:vAlign w:val="center"/>
          </w:tcPr>
          <w:p w14:paraId="614EA9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4500</w:t>
            </w:r>
          </w:p>
        </w:tc>
      </w:tr>
      <w:tr w14:paraId="6E611C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5EC30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2484CF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土工布</w:t>
            </w:r>
          </w:p>
        </w:tc>
        <w:tc>
          <w:tcPr>
            <w:tcW w:w="1937" w:type="dxa"/>
            <w:tcBorders>
              <w:tl2br w:val="nil"/>
              <w:tr2bl w:val="nil"/>
            </w:tcBorders>
            <w:noWrap w:val="0"/>
            <w:vAlign w:val="center"/>
          </w:tcPr>
          <w:p w14:paraId="66AFC5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2</w:t>
            </w:r>
          </w:p>
        </w:tc>
        <w:tc>
          <w:tcPr>
            <w:tcW w:w="1939" w:type="dxa"/>
            <w:tcBorders>
              <w:tl2br w:val="nil"/>
              <w:tr2bl w:val="nil"/>
            </w:tcBorders>
            <w:noWrap w:val="0"/>
            <w:vAlign w:val="center"/>
          </w:tcPr>
          <w:p w14:paraId="79C774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2000</w:t>
            </w:r>
          </w:p>
        </w:tc>
      </w:tr>
      <w:tr w14:paraId="1012BA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E66A7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3</w:t>
            </w:r>
          </w:p>
        </w:tc>
        <w:tc>
          <w:tcPr>
            <w:tcW w:w="3367" w:type="dxa"/>
            <w:tcBorders>
              <w:tl2br w:val="nil"/>
              <w:tr2bl w:val="nil"/>
            </w:tcBorders>
            <w:noWrap w:val="0"/>
            <w:vAlign w:val="center"/>
          </w:tcPr>
          <w:p w14:paraId="3EAE44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砂石料</w:t>
            </w:r>
          </w:p>
        </w:tc>
        <w:tc>
          <w:tcPr>
            <w:tcW w:w="1937" w:type="dxa"/>
            <w:tcBorders>
              <w:tl2br w:val="nil"/>
              <w:tr2bl w:val="nil"/>
            </w:tcBorders>
            <w:noWrap w:val="0"/>
            <w:vAlign w:val="center"/>
          </w:tcPr>
          <w:p w14:paraId="23F6CC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272569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59B184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0D1D0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w:t>
            </w:r>
          </w:p>
        </w:tc>
        <w:tc>
          <w:tcPr>
            <w:tcW w:w="3367" w:type="dxa"/>
            <w:tcBorders>
              <w:tl2br w:val="nil"/>
              <w:tr2bl w:val="nil"/>
            </w:tcBorders>
            <w:noWrap w:val="0"/>
            <w:vAlign w:val="center"/>
          </w:tcPr>
          <w:p w14:paraId="3DD69A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块石</w:t>
            </w:r>
          </w:p>
        </w:tc>
        <w:tc>
          <w:tcPr>
            <w:tcW w:w="1937" w:type="dxa"/>
            <w:tcBorders>
              <w:tl2br w:val="nil"/>
              <w:tr2bl w:val="nil"/>
            </w:tcBorders>
            <w:noWrap w:val="0"/>
            <w:vAlign w:val="center"/>
          </w:tcPr>
          <w:p w14:paraId="6C8127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77C1DD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5C963E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B331E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w:t>
            </w:r>
          </w:p>
        </w:tc>
        <w:tc>
          <w:tcPr>
            <w:tcW w:w="3367" w:type="dxa"/>
            <w:tcBorders>
              <w:tl2br w:val="nil"/>
              <w:tr2bl w:val="nil"/>
            </w:tcBorders>
            <w:noWrap w:val="0"/>
            <w:vAlign w:val="center"/>
          </w:tcPr>
          <w:p w14:paraId="607EBD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铅丝</w:t>
            </w:r>
          </w:p>
        </w:tc>
        <w:tc>
          <w:tcPr>
            <w:tcW w:w="1937" w:type="dxa"/>
            <w:tcBorders>
              <w:tl2br w:val="nil"/>
              <w:tr2bl w:val="nil"/>
            </w:tcBorders>
            <w:noWrap w:val="0"/>
            <w:vAlign w:val="center"/>
          </w:tcPr>
          <w:p w14:paraId="0AC211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kg</w:t>
            </w:r>
          </w:p>
        </w:tc>
        <w:tc>
          <w:tcPr>
            <w:tcW w:w="1939" w:type="dxa"/>
            <w:tcBorders>
              <w:tl2br w:val="nil"/>
              <w:tr2bl w:val="nil"/>
            </w:tcBorders>
            <w:noWrap w:val="0"/>
            <w:vAlign w:val="center"/>
          </w:tcPr>
          <w:p w14:paraId="0F2A4D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679E95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33656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6</w:t>
            </w:r>
          </w:p>
        </w:tc>
        <w:tc>
          <w:tcPr>
            <w:tcW w:w="3367" w:type="dxa"/>
            <w:tcBorders>
              <w:tl2br w:val="nil"/>
              <w:tr2bl w:val="nil"/>
            </w:tcBorders>
            <w:noWrap w:val="0"/>
            <w:vAlign w:val="center"/>
          </w:tcPr>
          <w:p w14:paraId="4937EA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桩木</w:t>
            </w:r>
          </w:p>
        </w:tc>
        <w:tc>
          <w:tcPr>
            <w:tcW w:w="1937" w:type="dxa"/>
            <w:tcBorders>
              <w:tl2br w:val="nil"/>
              <w:tr2bl w:val="nil"/>
            </w:tcBorders>
            <w:noWrap w:val="0"/>
            <w:vAlign w:val="center"/>
          </w:tcPr>
          <w:p w14:paraId="23B09D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0206DD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r>
      <w:tr w14:paraId="7C1B81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83149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二</w:t>
            </w:r>
          </w:p>
        </w:tc>
        <w:tc>
          <w:tcPr>
            <w:tcW w:w="3367" w:type="dxa"/>
            <w:tcBorders>
              <w:tl2br w:val="nil"/>
              <w:tr2bl w:val="nil"/>
            </w:tcBorders>
            <w:noWrap w:val="0"/>
            <w:vAlign w:val="center"/>
          </w:tcPr>
          <w:p w14:paraId="1ED514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救生器材</w:t>
            </w:r>
          </w:p>
        </w:tc>
        <w:tc>
          <w:tcPr>
            <w:tcW w:w="1937" w:type="dxa"/>
            <w:tcBorders>
              <w:tl2br w:val="nil"/>
              <w:tr2bl w:val="nil"/>
            </w:tcBorders>
            <w:noWrap w:val="0"/>
            <w:vAlign w:val="center"/>
          </w:tcPr>
          <w:p w14:paraId="31096083">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6EC244E0">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2AD192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A37AC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0AC357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救生衣（圈）</w:t>
            </w:r>
          </w:p>
        </w:tc>
        <w:tc>
          <w:tcPr>
            <w:tcW w:w="1937" w:type="dxa"/>
            <w:tcBorders>
              <w:tl2br w:val="nil"/>
              <w:tr2bl w:val="nil"/>
            </w:tcBorders>
            <w:noWrap w:val="0"/>
            <w:vAlign w:val="center"/>
          </w:tcPr>
          <w:p w14:paraId="0DBEF5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件</w:t>
            </w:r>
          </w:p>
        </w:tc>
        <w:tc>
          <w:tcPr>
            <w:tcW w:w="1939" w:type="dxa"/>
            <w:tcBorders>
              <w:tl2br w:val="nil"/>
              <w:tr2bl w:val="nil"/>
            </w:tcBorders>
            <w:noWrap w:val="0"/>
            <w:vAlign w:val="center"/>
          </w:tcPr>
          <w:p w14:paraId="695E03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r w14:paraId="646A00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7DF6C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三</w:t>
            </w:r>
          </w:p>
        </w:tc>
        <w:tc>
          <w:tcPr>
            <w:tcW w:w="3367" w:type="dxa"/>
            <w:tcBorders>
              <w:tl2br w:val="nil"/>
              <w:tr2bl w:val="nil"/>
            </w:tcBorders>
            <w:noWrap w:val="0"/>
            <w:vAlign w:val="center"/>
          </w:tcPr>
          <w:p w14:paraId="5E5101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小型抢险机具</w:t>
            </w:r>
          </w:p>
        </w:tc>
        <w:tc>
          <w:tcPr>
            <w:tcW w:w="1937" w:type="dxa"/>
            <w:tcBorders>
              <w:tl2br w:val="nil"/>
              <w:tr2bl w:val="nil"/>
            </w:tcBorders>
            <w:noWrap w:val="0"/>
            <w:vAlign w:val="center"/>
          </w:tcPr>
          <w:p w14:paraId="7C4C36B5">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693B82AB">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17CC1C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FD65D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541624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发电机组</w:t>
            </w:r>
          </w:p>
        </w:tc>
        <w:tc>
          <w:tcPr>
            <w:tcW w:w="1937" w:type="dxa"/>
            <w:tcBorders>
              <w:tl2br w:val="nil"/>
              <w:tr2bl w:val="nil"/>
            </w:tcBorders>
            <w:noWrap w:val="0"/>
            <w:vAlign w:val="center"/>
          </w:tcPr>
          <w:p w14:paraId="210D5B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kw</w:t>
            </w:r>
          </w:p>
        </w:tc>
        <w:tc>
          <w:tcPr>
            <w:tcW w:w="1939" w:type="dxa"/>
            <w:tcBorders>
              <w:tl2br w:val="nil"/>
              <w:tr2bl w:val="nil"/>
            </w:tcBorders>
            <w:noWrap w:val="0"/>
            <w:vAlign w:val="center"/>
          </w:tcPr>
          <w:p w14:paraId="7A7B43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10</w:t>
            </w:r>
          </w:p>
        </w:tc>
      </w:tr>
      <w:tr w14:paraId="20CD7B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7661C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5B3F6A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便携式工作灯</w:t>
            </w:r>
          </w:p>
        </w:tc>
        <w:tc>
          <w:tcPr>
            <w:tcW w:w="1937" w:type="dxa"/>
            <w:tcBorders>
              <w:tl2br w:val="nil"/>
              <w:tr2bl w:val="nil"/>
            </w:tcBorders>
            <w:noWrap w:val="0"/>
            <w:vAlign w:val="center"/>
          </w:tcPr>
          <w:p w14:paraId="7674AD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只</w:t>
            </w:r>
          </w:p>
        </w:tc>
        <w:tc>
          <w:tcPr>
            <w:tcW w:w="1939" w:type="dxa"/>
            <w:tcBorders>
              <w:tl2br w:val="nil"/>
              <w:tr2bl w:val="nil"/>
            </w:tcBorders>
            <w:noWrap w:val="0"/>
            <w:vAlign w:val="center"/>
          </w:tcPr>
          <w:p w14:paraId="34BEFD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10</w:t>
            </w:r>
          </w:p>
        </w:tc>
      </w:tr>
      <w:tr w14:paraId="3DB1F8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ACF25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3</w:t>
            </w:r>
          </w:p>
        </w:tc>
        <w:tc>
          <w:tcPr>
            <w:tcW w:w="3367" w:type="dxa"/>
            <w:tcBorders>
              <w:tl2br w:val="nil"/>
              <w:tr2bl w:val="nil"/>
            </w:tcBorders>
            <w:noWrap w:val="0"/>
            <w:vAlign w:val="center"/>
          </w:tcPr>
          <w:p w14:paraId="4086A2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投光灯</w:t>
            </w:r>
          </w:p>
        </w:tc>
        <w:tc>
          <w:tcPr>
            <w:tcW w:w="1937" w:type="dxa"/>
            <w:tcBorders>
              <w:tl2br w:val="nil"/>
              <w:tr2bl w:val="nil"/>
            </w:tcBorders>
            <w:noWrap w:val="0"/>
            <w:vAlign w:val="center"/>
          </w:tcPr>
          <w:p w14:paraId="08D08D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只</w:t>
            </w:r>
          </w:p>
        </w:tc>
        <w:tc>
          <w:tcPr>
            <w:tcW w:w="1939" w:type="dxa"/>
            <w:tcBorders>
              <w:tl2br w:val="nil"/>
              <w:tr2bl w:val="nil"/>
            </w:tcBorders>
            <w:noWrap w:val="0"/>
            <w:vAlign w:val="center"/>
          </w:tcPr>
          <w:p w14:paraId="59BED6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r>
      <w:tr w14:paraId="72B680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66831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w:t>
            </w:r>
          </w:p>
        </w:tc>
        <w:tc>
          <w:tcPr>
            <w:tcW w:w="3367" w:type="dxa"/>
            <w:tcBorders>
              <w:tl2br w:val="nil"/>
              <w:tr2bl w:val="nil"/>
            </w:tcBorders>
            <w:noWrap w:val="0"/>
            <w:vAlign w:val="center"/>
          </w:tcPr>
          <w:p w14:paraId="1636A5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电缆</w:t>
            </w:r>
          </w:p>
        </w:tc>
        <w:tc>
          <w:tcPr>
            <w:tcW w:w="1937" w:type="dxa"/>
            <w:tcBorders>
              <w:tl2br w:val="nil"/>
              <w:tr2bl w:val="nil"/>
            </w:tcBorders>
            <w:noWrap w:val="0"/>
            <w:vAlign w:val="center"/>
          </w:tcPr>
          <w:p w14:paraId="296535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p>
        </w:tc>
        <w:tc>
          <w:tcPr>
            <w:tcW w:w="1939" w:type="dxa"/>
            <w:tcBorders>
              <w:tl2br w:val="nil"/>
              <w:tr2bl w:val="nil"/>
            </w:tcBorders>
            <w:noWrap w:val="0"/>
            <w:vAlign w:val="center"/>
          </w:tcPr>
          <w:p w14:paraId="3C174B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150</w:t>
            </w:r>
          </w:p>
        </w:tc>
      </w:tr>
      <w:tr w14:paraId="055DDF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CB03C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四</w:t>
            </w:r>
          </w:p>
        </w:tc>
        <w:tc>
          <w:tcPr>
            <w:tcW w:w="3367" w:type="dxa"/>
            <w:tcBorders>
              <w:tl2br w:val="nil"/>
              <w:tr2bl w:val="nil"/>
            </w:tcBorders>
            <w:noWrap w:val="0"/>
            <w:vAlign w:val="center"/>
          </w:tcPr>
          <w:p w14:paraId="71DFC6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其他专用设备及配件</w:t>
            </w:r>
          </w:p>
        </w:tc>
        <w:tc>
          <w:tcPr>
            <w:tcW w:w="1937" w:type="dxa"/>
            <w:tcBorders>
              <w:tl2br w:val="nil"/>
              <w:tr2bl w:val="nil"/>
            </w:tcBorders>
            <w:noWrap w:val="0"/>
            <w:vAlign w:val="center"/>
          </w:tcPr>
          <w:p w14:paraId="33C78190">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654E88B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1DDEC4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37444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4D9E86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雨衣</w:t>
            </w:r>
          </w:p>
        </w:tc>
        <w:tc>
          <w:tcPr>
            <w:tcW w:w="1937" w:type="dxa"/>
            <w:tcBorders>
              <w:tl2br w:val="nil"/>
              <w:tr2bl w:val="nil"/>
            </w:tcBorders>
            <w:noWrap w:val="0"/>
            <w:vAlign w:val="center"/>
          </w:tcPr>
          <w:p w14:paraId="2E66DD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件</w:t>
            </w:r>
          </w:p>
        </w:tc>
        <w:tc>
          <w:tcPr>
            <w:tcW w:w="1939" w:type="dxa"/>
            <w:tcBorders>
              <w:tl2br w:val="nil"/>
              <w:tr2bl w:val="nil"/>
            </w:tcBorders>
            <w:noWrap w:val="0"/>
            <w:vAlign w:val="center"/>
          </w:tcPr>
          <w:p w14:paraId="46D4E1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r w14:paraId="63C9C3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EC8F3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6CA9FB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雨鞋</w:t>
            </w:r>
          </w:p>
        </w:tc>
        <w:tc>
          <w:tcPr>
            <w:tcW w:w="1937" w:type="dxa"/>
            <w:tcBorders>
              <w:tl2br w:val="nil"/>
              <w:tr2bl w:val="nil"/>
            </w:tcBorders>
            <w:noWrap w:val="0"/>
            <w:vAlign w:val="center"/>
          </w:tcPr>
          <w:p w14:paraId="7A8972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双</w:t>
            </w:r>
          </w:p>
        </w:tc>
        <w:tc>
          <w:tcPr>
            <w:tcW w:w="1939" w:type="dxa"/>
            <w:tcBorders>
              <w:tl2br w:val="nil"/>
              <w:tr2bl w:val="nil"/>
            </w:tcBorders>
            <w:noWrap w:val="0"/>
            <w:vAlign w:val="center"/>
          </w:tcPr>
          <w:p w14:paraId="12E60D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bl>
    <w:p w14:paraId="722B6CF4">
      <w:pPr>
        <w:spacing w:before="156" w:beforeLines="50" w:after="156" w:afterLines="50" w:line="360" w:lineRule="auto"/>
        <w:outlineLvl w:val="1"/>
        <w:rPr>
          <w:rFonts w:hint="default" w:ascii="Times New Roman" w:hAnsi="Times New Roman" w:eastAsia="楷体" w:cs="Times New Roman"/>
          <w:b/>
          <w:color w:val="auto"/>
          <w:sz w:val="32"/>
          <w:szCs w:val="30"/>
          <w:highlight w:val="none"/>
        </w:rPr>
      </w:pPr>
      <w:r>
        <w:rPr>
          <w:rFonts w:hint="default" w:ascii="Times New Roman" w:hAnsi="Times New Roman" w:eastAsia="楷体" w:cs="Times New Roman"/>
          <w:b/>
          <w:color w:val="auto"/>
          <w:sz w:val="32"/>
          <w:szCs w:val="30"/>
          <w:highlight w:val="none"/>
        </w:rPr>
        <w:t>6.4通讯保障</w:t>
      </w:r>
      <w:bookmarkEnd w:id="59"/>
    </w:p>
    <w:p w14:paraId="335BD6B9">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丰收水库防洪期间一旦出现防洪险情，工程管理单位要以各种有效的方式（有线通讯、无线通讯、移动通讯）将情况上报丰收水库防洪抢险应急指挥部，并保持通讯畅通及时、准确传递水库应急指挥部的抢险指令，随时向指挥部汇报抢险情况，保证抢险工作的顺利进行。</w:t>
      </w:r>
    </w:p>
    <w:p w14:paraId="50B371E8">
      <w:pPr>
        <w:spacing w:before="156" w:beforeLines="50" w:after="156" w:afterLines="50" w:line="360" w:lineRule="auto"/>
        <w:outlineLvl w:val="1"/>
        <w:rPr>
          <w:rFonts w:hint="default" w:ascii="Times New Roman" w:hAnsi="Times New Roman" w:eastAsia="楷体" w:cs="Times New Roman"/>
          <w:b/>
          <w:color w:val="auto"/>
          <w:sz w:val="32"/>
          <w:szCs w:val="30"/>
          <w:highlight w:val="none"/>
        </w:rPr>
      </w:pPr>
      <w:bookmarkStart w:id="60" w:name="_Toc5419"/>
      <w:r>
        <w:rPr>
          <w:rFonts w:hint="default" w:ascii="Times New Roman" w:hAnsi="Times New Roman" w:eastAsia="楷体" w:cs="Times New Roman"/>
          <w:b/>
          <w:color w:val="auto"/>
          <w:sz w:val="32"/>
          <w:szCs w:val="30"/>
          <w:highlight w:val="none"/>
        </w:rPr>
        <w:t>6.5其他保障</w:t>
      </w:r>
      <w:bookmarkEnd w:id="60"/>
    </w:p>
    <w:p w14:paraId="38335A9B">
      <w:pPr>
        <w:spacing w:before="156" w:beforeLines="50" w:after="156" w:afterLines="50"/>
        <w:outlineLvl w:val="2"/>
        <w:rPr>
          <w:rFonts w:hint="default" w:ascii="Times New Roman" w:hAnsi="Times New Roman" w:eastAsia="楷体" w:cs="Times New Roman"/>
          <w:b/>
          <w:bCs/>
          <w:color w:val="auto"/>
          <w:sz w:val="32"/>
          <w:szCs w:val="30"/>
          <w:highlight w:val="none"/>
        </w:rPr>
      </w:pPr>
      <w:r>
        <w:rPr>
          <w:rFonts w:hint="default" w:ascii="Times New Roman" w:hAnsi="Times New Roman" w:eastAsia="楷体" w:cs="Times New Roman"/>
          <w:b/>
          <w:bCs/>
          <w:color w:val="auto"/>
          <w:sz w:val="32"/>
          <w:szCs w:val="30"/>
          <w:highlight w:val="none"/>
        </w:rPr>
        <w:t>6.5.1卫生保障</w:t>
      </w:r>
    </w:p>
    <w:p w14:paraId="19FA6078">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救灾防疫所需的物资、药品由所在地县级卫生防疫部门负责组织、调拨，并实行集中储存和管理，统一发放，确保救灾防疫物资和药品能够在发生灾害后及时、安全发放到每个受灾群众的手中，保障每个因发生灾害而受灾的群众能得到有效救助。</w:t>
      </w:r>
    </w:p>
    <w:p w14:paraId="7DE36970">
      <w:pPr>
        <w:spacing w:before="156" w:beforeLines="50" w:after="156" w:afterLines="50"/>
        <w:outlineLvl w:val="2"/>
        <w:rPr>
          <w:rFonts w:hint="default" w:ascii="Times New Roman" w:hAnsi="Times New Roman" w:eastAsia="楷体" w:cs="Times New Roman"/>
          <w:b/>
          <w:color w:val="auto"/>
          <w:sz w:val="32"/>
          <w:szCs w:val="30"/>
          <w:highlight w:val="none"/>
        </w:rPr>
      </w:pPr>
      <w:r>
        <w:rPr>
          <w:rFonts w:hint="default" w:ascii="Times New Roman" w:hAnsi="Times New Roman" w:eastAsia="楷体" w:cs="Times New Roman"/>
          <w:b/>
          <w:color w:val="auto"/>
          <w:sz w:val="32"/>
          <w:szCs w:val="30"/>
          <w:highlight w:val="none"/>
        </w:rPr>
        <w:t>6.5.2 交通保障</w:t>
      </w:r>
    </w:p>
    <w:p w14:paraId="7F088729">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救灾期间所需交通工具由所在地县级交通运输管理部门负责协商、落实安排相关事项。</w:t>
      </w:r>
    </w:p>
    <w:p w14:paraId="38E67FEF">
      <w:pPr>
        <w:spacing w:before="156" w:beforeLines="50" w:after="156" w:afterLines="50"/>
        <w:outlineLvl w:val="2"/>
        <w:rPr>
          <w:rFonts w:hint="default" w:ascii="Times New Roman" w:hAnsi="Times New Roman" w:eastAsia="楷体" w:cs="Times New Roman"/>
          <w:b/>
          <w:color w:val="auto"/>
          <w:sz w:val="32"/>
          <w:szCs w:val="30"/>
          <w:highlight w:val="none"/>
        </w:rPr>
      </w:pPr>
      <w:r>
        <w:rPr>
          <w:rFonts w:hint="default" w:ascii="Times New Roman" w:hAnsi="Times New Roman" w:eastAsia="楷体" w:cs="Times New Roman"/>
          <w:b/>
          <w:color w:val="auto"/>
          <w:sz w:val="32"/>
          <w:szCs w:val="30"/>
          <w:highlight w:val="none"/>
        </w:rPr>
        <w:t>6.5.3 安全保障</w:t>
      </w:r>
    </w:p>
    <w:p w14:paraId="25A38071">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救灾期间的安全保障，由所在地县级公安部门负责落实受灾转移群众的安全保卫和灾区的治安工作，维护社会治安秩序。有关抢险救灾情况的宣传报道实行统一管理，任何人未经防洪抢险指挥部门的批准不得擅自对外发布任何消息。</w:t>
      </w:r>
    </w:p>
    <w:p w14:paraId="5EDC064D">
      <w:pPr>
        <w:adjustRightInd w:val="0"/>
        <w:snapToGrid w:val="0"/>
        <w:spacing w:line="520" w:lineRule="exact"/>
        <w:jc w:val="center"/>
        <w:outlineLvl w:val="0"/>
        <w:rPr>
          <w:rStyle w:val="48"/>
          <w:rFonts w:hint="default" w:ascii="Times New Roman" w:hAnsi="Times New Roman" w:eastAsia="楷体" w:cs="Times New Roman"/>
          <w:b/>
          <w:bCs/>
          <w:color w:val="auto"/>
          <w:sz w:val="36"/>
          <w:szCs w:val="36"/>
          <w:highlight w:val="none"/>
        </w:rPr>
        <w:sectPr>
          <w:footerReference r:id="rId9" w:type="default"/>
          <w:pgSz w:w="11907" w:h="16840"/>
          <w:pgMar w:top="1418" w:right="1418" w:bottom="1418" w:left="1418" w:header="851" w:footer="992" w:gutter="0"/>
          <w:pgNumType w:fmt="numberInDash"/>
          <w:cols w:space="720" w:num="1"/>
          <w:docGrid w:type="lines" w:linePitch="312" w:charSpace="0"/>
        </w:sectPr>
      </w:pPr>
      <w:bookmarkStart w:id="61" w:name="_Toc28054"/>
    </w:p>
    <w:p w14:paraId="052BA771">
      <w:pPr>
        <w:adjustRightInd w:val="0"/>
        <w:snapToGrid w:val="0"/>
        <w:spacing w:line="520" w:lineRule="exact"/>
        <w:jc w:val="center"/>
        <w:outlineLvl w:val="0"/>
        <w:rPr>
          <w:rStyle w:val="48"/>
          <w:rFonts w:hint="default" w:ascii="Times New Roman" w:hAnsi="Times New Roman" w:eastAsia="楷体" w:cs="Times New Roman"/>
          <w:b/>
          <w:bCs/>
          <w:color w:val="auto"/>
          <w:sz w:val="36"/>
          <w:szCs w:val="36"/>
          <w:highlight w:val="none"/>
        </w:rPr>
      </w:pPr>
      <w:r>
        <w:rPr>
          <w:rStyle w:val="48"/>
          <w:rFonts w:hint="default" w:ascii="Times New Roman" w:hAnsi="Times New Roman" w:eastAsia="楷体" w:cs="Times New Roman"/>
          <w:b/>
          <w:bCs/>
          <w:color w:val="auto"/>
          <w:sz w:val="36"/>
          <w:szCs w:val="36"/>
          <w:highlight w:val="none"/>
        </w:rPr>
        <w:t>7 《应急预案》启动和结束</w:t>
      </w:r>
      <w:bookmarkEnd w:id="61"/>
    </w:p>
    <w:p w14:paraId="67862ADC">
      <w:pPr>
        <w:pStyle w:val="4"/>
        <w:spacing w:before="120" w:after="120" w:line="360" w:lineRule="auto"/>
        <w:rPr>
          <w:rFonts w:hint="default" w:ascii="Times New Roman" w:hAnsi="Times New Roman" w:eastAsia="楷体" w:cs="Times New Roman"/>
          <w:color w:val="auto"/>
          <w:kern w:val="0"/>
          <w:sz w:val="28"/>
          <w:szCs w:val="28"/>
          <w:highlight w:val="none"/>
        </w:rPr>
      </w:pPr>
      <w:bookmarkStart w:id="62" w:name="_Toc2574"/>
      <w:bookmarkStart w:id="63" w:name="_Toc475106539"/>
      <w:r>
        <w:rPr>
          <w:rFonts w:hint="default" w:ascii="Times New Roman" w:hAnsi="Times New Roman" w:eastAsia="楷体" w:cs="Times New Roman"/>
          <w:bCs w:val="0"/>
          <w:color w:val="auto"/>
          <w:highlight w:val="none"/>
        </w:rPr>
        <w:t>7.1 启动与结束条件</w:t>
      </w:r>
      <w:bookmarkEnd w:id="62"/>
      <w:bookmarkEnd w:id="63"/>
    </w:p>
    <w:p w14:paraId="582B082D">
      <w:pPr>
        <w:pStyle w:val="5"/>
        <w:spacing w:before="93" w:beforeLines="30" w:after="93" w:afterLines="30" w:line="360" w:lineRule="auto"/>
        <w:rPr>
          <w:rFonts w:hint="default" w:ascii="Times New Roman" w:hAnsi="Times New Roman" w:eastAsia="楷体" w:cs="Times New Roman"/>
          <w:bCs w:val="0"/>
          <w:color w:val="auto"/>
          <w:highlight w:val="none"/>
        </w:rPr>
      </w:pPr>
      <w:r>
        <w:rPr>
          <w:rFonts w:hint="default" w:ascii="Times New Roman" w:hAnsi="Times New Roman" w:eastAsia="楷体" w:cs="Times New Roman"/>
          <w:bCs w:val="0"/>
          <w:color w:val="auto"/>
          <w:highlight w:val="none"/>
        </w:rPr>
        <w:t>7.1.1 启动《应急预案》的条件</w:t>
      </w:r>
    </w:p>
    <w:p w14:paraId="5A37B9EB">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（1）大坝发生严重的贯穿性裂缝、滑坡、冲刷、坝肩失稳等可能导致决口、垮坝等重大险情。</w:t>
      </w:r>
    </w:p>
    <w:p w14:paraId="1797CA1A">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（2）水库库区内发生超标准洪水，导致水库水位超过校核洪水位以上的险情。</w:t>
      </w:r>
    </w:p>
    <w:p w14:paraId="2ACDEB3E">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（3）因地震、地质灾害可能导致水库大坝决口、垮坝等重大险情。</w:t>
      </w:r>
    </w:p>
    <w:p w14:paraId="6ED18264">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（4）因战争或恐怖活动而引发导致水库大坝决口、垮坝等重大险情。</w:t>
      </w:r>
    </w:p>
    <w:p w14:paraId="748B2904">
      <w:pPr>
        <w:pStyle w:val="5"/>
        <w:snapToGrid w:val="0"/>
        <w:spacing w:before="93" w:beforeLines="30" w:after="93" w:afterLines="30" w:line="360" w:lineRule="auto"/>
        <w:rPr>
          <w:rFonts w:hint="default" w:ascii="Times New Roman" w:hAnsi="Times New Roman" w:eastAsia="楷体" w:cs="Times New Roman"/>
          <w:bCs w:val="0"/>
          <w:color w:val="auto"/>
          <w:highlight w:val="none"/>
        </w:rPr>
      </w:pPr>
      <w:r>
        <w:rPr>
          <w:rFonts w:hint="default" w:ascii="Times New Roman" w:hAnsi="Times New Roman" w:eastAsia="楷体" w:cs="Times New Roman"/>
          <w:bCs w:val="0"/>
          <w:color w:val="auto"/>
          <w:highlight w:val="none"/>
        </w:rPr>
        <w:t>7.1.2 终止《应急预案》的条件</w:t>
      </w:r>
    </w:p>
    <w:p w14:paraId="5A47A465">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当洪水灾害、大坝险情、泄水建筑物险情、地震地质灾害导致水库大坝垮坝的险情、战争或恐怖活动而引发导致水库大坝垮坝的险情，得到有效控制。</w:t>
      </w:r>
    </w:p>
    <w:p w14:paraId="177307E3">
      <w:pPr>
        <w:pStyle w:val="4"/>
        <w:spacing w:before="120" w:after="120" w:line="360" w:lineRule="auto"/>
        <w:rPr>
          <w:rFonts w:hint="default" w:ascii="Times New Roman" w:hAnsi="Times New Roman" w:eastAsia="楷体" w:cs="Times New Roman"/>
          <w:bCs w:val="0"/>
          <w:color w:val="auto"/>
          <w:highlight w:val="none"/>
        </w:rPr>
      </w:pPr>
      <w:bookmarkStart w:id="64" w:name="_Toc475106540"/>
      <w:bookmarkStart w:id="65" w:name="_Toc369"/>
      <w:r>
        <w:rPr>
          <w:rFonts w:hint="default" w:ascii="Times New Roman" w:hAnsi="Times New Roman" w:eastAsia="楷体" w:cs="Times New Roman"/>
          <w:bCs w:val="0"/>
          <w:color w:val="auto"/>
          <w:highlight w:val="none"/>
        </w:rPr>
        <w:t>7.2 决策机构与程序</w:t>
      </w:r>
      <w:bookmarkEnd w:id="64"/>
      <w:bookmarkEnd w:id="65"/>
    </w:p>
    <w:p w14:paraId="4220F5C4">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7.2.1 启动《应急预案》的决策机构与程序</w:t>
      </w:r>
    </w:p>
    <w:p w14:paraId="5F7C1A47">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丰收水库《应急预案》的启动，是根据水库出现险情的危害性，由“防洪应急指挥部”研究决定启动《应急预案》。</w:t>
      </w:r>
    </w:p>
    <w:p w14:paraId="5E605E68">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7.2.2 终止《应急预案》的决策机构与程序</w:t>
      </w:r>
    </w:p>
    <w:p w14:paraId="24016185">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当水库险情通过科学调度抢险，使险情得到有效控制时，由“防洪应急指挥部”决定终止《应急预案》响应。</w:t>
      </w:r>
      <w:bookmarkStart w:id="66" w:name="_Toc133397989"/>
    </w:p>
    <w:p w14:paraId="5D21B392">
      <w:pPr>
        <w:widowControl/>
        <w:spacing w:line="360" w:lineRule="auto"/>
        <w:ind w:firstLine="560"/>
        <w:jc w:val="left"/>
        <w:rPr>
          <w:rFonts w:hint="default" w:ascii="Times New Roman" w:hAnsi="Times New Roman" w:eastAsia="楷体" w:cs="Times New Roman"/>
          <w:color w:val="auto"/>
          <w:sz w:val="32"/>
          <w:szCs w:val="32"/>
          <w:highlight w:val="none"/>
        </w:rPr>
      </w:pPr>
    </w:p>
    <w:p w14:paraId="6C864905">
      <w:pPr>
        <w:widowControl/>
        <w:spacing w:line="360" w:lineRule="auto"/>
        <w:ind w:firstLine="560"/>
        <w:jc w:val="left"/>
        <w:rPr>
          <w:rFonts w:hint="default" w:ascii="Times New Roman" w:hAnsi="Times New Roman" w:eastAsia="楷体" w:cs="Times New Roman"/>
          <w:color w:val="auto"/>
          <w:sz w:val="32"/>
          <w:szCs w:val="32"/>
          <w:highlight w:val="none"/>
        </w:rPr>
      </w:pPr>
    </w:p>
    <w:p w14:paraId="04C1EBFD">
      <w:pPr>
        <w:widowControl/>
        <w:spacing w:line="360" w:lineRule="auto"/>
        <w:ind w:firstLine="560"/>
        <w:jc w:val="left"/>
        <w:rPr>
          <w:rFonts w:hint="default" w:ascii="Times New Roman" w:hAnsi="Times New Roman" w:eastAsia="楷体" w:cs="Times New Roman"/>
          <w:color w:val="auto"/>
          <w:sz w:val="32"/>
          <w:szCs w:val="32"/>
          <w:highlight w:val="none"/>
        </w:rPr>
      </w:pPr>
    </w:p>
    <w:p w14:paraId="09B9F931">
      <w:pPr>
        <w:widowControl/>
        <w:spacing w:line="360" w:lineRule="auto"/>
        <w:ind w:firstLine="560"/>
        <w:jc w:val="left"/>
        <w:rPr>
          <w:rFonts w:hint="default" w:ascii="Times New Roman" w:hAnsi="Times New Roman" w:eastAsia="楷体" w:cs="Times New Roman"/>
          <w:color w:val="auto"/>
          <w:sz w:val="32"/>
          <w:szCs w:val="32"/>
          <w:highlight w:val="none"/>
        </w:rPr>
      </w:pPr>
    </w:p>
    <w:p w14:paraId="5873448C">
      <w:pPr>
        <w:adjustRightInd w:val="0"/>
        <w:snapToGrid w:val="0"/>
        <w:spacing w:line="520" w:lineRule="exact"/>
        <w:jc w:val="center"/>
        <w:outlineLvl w:val="0"/>
        <w:rPr>
          <w:rStyle w:val="48"/>
          <w:rFonts w:hint="default" w:ascii="Times New Roman" w:hAnsi="Times New Roman" w:eastAsia="楷体" w:cs="Times New Roman"/>
          <w:b/>
          <w:bCs/>
          <w:color w:val="auto"/>
          <w:sz w:val="36"/>
          <w:szCs w:val="36"/>
          <w:highlight w:val="none"/>
        </w:rPr>
      </w:pPr>
      <w:bookmarkStart w:id="67" w:name="_Toc15125"/>
      <w:r>
        <w:rPr>
          <w:rStyle w:val="48"/>
          <w:rFonts w:hint="default" w:ascii="Times New Roman" w:hAnsi="Times New Roman" w:eastAsia="楷体" w:cs="Times New Roman"/>
          <w:b/>
          <w:bCs/>
          <w:color w:val="auto"/>
          <w:sz w:val="36"/>
          <w:szCs w:val="36"/>
          <w:highlight w:val="none"/>
        </w:rPr>
        <w:t>8 附件</w:t>
      </w:r>
      <w:bookmarkEnd w:id="66"/>
      <w:bookmarkEnd w:id="67"/>
    </w:p>
    <w:p w14:paraId="2218FC08">
      <w:pPr>
        <w:jc w:val="center"/>
        <w:outlineLvl w:val="1"/>
        <w:rPr>
          <w:rFonts w:hint="default" w:ascii="Times New Roman" w:hAnsi="Times New Roman" w:eastAsia="楷体" w:cs="Times New Roman"/>
          <w:b/>
          <w:color w:val="auto"/>
          <w:sz w:val="28"/>
          <w:szCs w:val="28"/>
          <w:highlight w:val="none"/>
        </w:rPr>
      </w:pPr>
      <w:bookmarkStart w:id="68" w:name="_Toc23604"/>
      <w:bookmarkStart w:id="69" w:name="_Toc219720619"/>
      <w:bookmarkStart w:id="70" w:name="_Toc209594979"/>
      <w:bookmarkStart w:id="71" w:name="_Toc208810953"/>
      <w:bookmarkStart w:id="72" w:name="_Toc208384482"/>
      <w:r>
        <w:rPr>
          <w:rFonts w:hint="default" w:ascii="Times New Roman" w:hAnsi="Times New Roman" w:eastAsia="楷体" w:cs="Times New Roman"/>
          <w:b/>
          <w:color w:val="auto"/>
          <w:sz w:val="28"/>
          <w:szCs w:val="28"/>
          <w:highlight w:val="none"/>
        </w:rPr>
        <w:t>表1    丰收水库工程特性表</w:t>
      </w:r>
      <w:bookmarkEnd w:id="68"/>
    </w:p>
    <w:bookmarkEnd w:id="69"/>
    <w:bookmarkEnd w:id="70"/>
    <w:bookmarkEnd w:id="71"/>
    <w:bookmarkEnd w:id="72"/>
    <w:tbl>
      <w:tblPr>
        <w:tblStyle w:val="18"/>
        <w:tblW w:w="0" w:type="auto"/>
        <w:tblInd w:w="0" w:type="dxa"/>
        <w:tblLayout w:type="fixed"/>
        <w:tblCellMar>
          <w:top w:w="15" w:type="dxa"/>
          <w:left w:w="15" w:type="dxa"/>
          <w:bottom w:w="15" w:type="dxa"/>
          <w:right w:w="15" w:type="dxa"/>
        </w:tblCellMar>
      </w:tblPr>
      <w:tblGrid>
        <w:gridCol w:w="815"/>
        <w:gridCol w:w="369"/>
        <w:gridCol w:w="1041"/>
        <w:gridCol w:w="1655"/>
        <w:gridCol w:w="865"/>
        <w:gridCol w:w="1893"/>
        <w:gridCol w:w="1054"/>
        <w:gridCol w:w="1411"/>
      </w:tblGrid>
      <w:tr w14:paraId="6BC75D6E">
        <w:tblPrEx>
          <w:tblCellMar>
            <w:top w:w="15" w:type="dxa"/>
            <w:left w:w="15" w:type="dxa"/>
            <w:bottom w:w="15" w:type="dxa"/>
            <w:right w:w="15" w:type="dxa"/>
          </w:tblCellMar>
        </w:tblPrEx>
        <w:trPr>
          <w:trHeight w:val="286" w:hRule="atLeast"/>
        </w:trPr>
        <w:tc>
          <w:tcPr>
            <w:tcW w:w="2225" w:type="dxa"/>
            <w:gridSpan w:val="3"/>
            <w:tcBorders>
              <w:top w:val="single" w:color="000000" w:sz="12" w:space="0"/>
              <w:left w:val="single" w:color="000000" w:sz="12" w:space="0"/>
              <w:bottom w:val="single" w:color="000000" w:sz="4" w:space="0"/>
              <w:right w:val="single" w:color="000000" w:sz="4" w:space="0"/>
            </w:tcBorders>
            <w:noWrap w:val="0"/>
            <w:vAlign w:val="center"/>
          </w:tcPr>
          <w:p w14:paraId="27FA0B8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水库名称</w:t>
            </w:r>
          </w:p>
        </w:tc>
        <w:tc>
          <w:tcPr>
            <w:tcW w:w="1655" w:type="dxa"/>
            <w:tcBorders>
              <w:top w:val="single" w:color="000000" w:sz="12" w:space="0"/>
              <w:left w:val="single" w:color="000000" w:sz="4" w:space="0"/>
              <w:bottom w:val="single" w:color="000000" w:sz="4" w:space="0"/>
              <w:right w:val="single" w:color="000000" w:sz="4" w:space="0"/>
            </w:tcBorders>
            <w:noWrap w:val="0"/>
            <w:vAlign w:val="center"/>
          </w:tcPr>
          <w:p w14:paraId="08AFCF3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丰收水库</w:t>
            </w:r>
          </w:p>
        </w:tc>
        <w:tc>
          <w:tcPr>
            <w:tcW w:w="2758" w:type="dxa"/>
            <w:gridSpan w:val="2"/>
            <w:tcBorders>
              <w:top w:val="single" w:color="000000" w:sz="12" w:space="0"/>
              <w:left w:val="single" w:color="000000" w:sz="4" w:space="0"/>
              <w:bottom w:val="single" w:color="000000" w:sz="4" w:space="0"/>
              <w:right w:val="single" w:color="000000" w:sz="4" w:space="0"/>
            </w:tcBorders>
            <w:noWrap w:val="0"/>
            <w:vAlign w:val="center"/>
          </w:tcPr>
          <w:p w14:paraId="25ADEAA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主管部门</w:t>
            </w:r>
          </w:p>
        </w:tc>
        <w:tc>
          <w:tcPr>
            <w:tcW w:w="2465" w:type="dxa"/>
            <w:gridSpan w:val="2"/>
            <w:tcBorders>
              <w:top w:val="single" w:color="000000" w:sz="12" w:space="0"/>
              <w:left w:val="single" w:color="000000" w:sz="4" w:space="0"/>
              <w:bottom w:val="single" w:color="000000" w:sz="4" w:space="0"/>
              <w:right w:val="single" w:color="000000" w:sz="12" w:space="0"/>
            </w:tcBorders>
            <w:noWrap w:val="0"/>
            <w:vAlign w:val="center"/>
          </w:tcPr>
          <w:p w14:paraId="7F699932">
            <w:pPr>
              <w:widowControl/>
              <w:jc w:val="center"/>
              <w:textAlignment w:val="center"/>
              <w:rPr>
                <w:rFonts w:hint="default" w:ascii="Times New Roman" w:hAnsi="Times New Roman" w:eastAsia="楷体" w:cs="Times New Roman"/>
                <w:color w:val="auto"/>
                <w:sz w:val="18"/>
                <w:szCs w:val="18"/>
                <w:highlight w:val="none"/>
                <w:lang w:val="en-US" w:eastAsia="zh-CN"/>
              </w:rPr>
            </w:pPr>
            <w:r>
              <w:rPr>
                <w:rFonts w:hint="default" w:ascii="Times New Roman" w:hAnsi="Times New Roman" w:eastAsia="楷体" w:cs="Times New Roman"/>
                <w:color w:val="auto"/>
                <w:kern w:val="0"/>
                <w:sz w:val="18"/>
                <w:szCs w:val="18"/>
                <w:highlight w:val="none"/>
                <w:lang w:val="en-US" w:eastAsia="zh-CN" w:bidi="ar"/>
              </w:rPr>
              <w:t>前黄镇人民政府</w:t>
            </w:r>
          </w:p>
        </w:tc>
      </w:tr>
      <w:tr w14:paraId="53BC7A0C">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685271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管理机构名称</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9D4FF8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前黄镇古县村委会</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14:paraId="7B02469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所在地点</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67E1C05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前黄镇古县村</w:t>
            </w:r>
          </w:p>
        </w:tc>
      </w:tr>
      <w:tr w14:paraId="6F638586">
        <w:tblPrEx>
          <w:tblCellMar>
            <w:top w:w="15" w:type="dxa"/>
            <w:left w:w="15" w:type="dxa"/>
            <w:bottom w:w="15" w:type="dxa"/>
            <w:right w:w="15" w:type="dxa"/>
          </w:tblCellMar>
        </w:tblPrEx>
        <w:trPr>
          <w:trHeight w:val="286" w:hRule="atLeast"/>
        </w:trPr>
        <w:tc>
          <w:tcPr>
            <w:tcW w:w="1184" w:type="dxa"/>
            <w:gridSpan w:val="2"/>
            <w:tcBorders>
              <w:top w:val="single" w:color="000000" w:sz="4" w:space="0"/>
              <w:left w:val="single" w:color="000000" w:sz="12" w:space="0"/>
              <w:bottom w:val="single" w:color="000000" w:sz="4" w:space="0"/>
              <w:right w:val="single" w:color="000000" w:sz="4" w:space="0"/>
            </w:tcBorders>
            <w:noWrap w:val="0"/>
            <w:vAlign w:val="center"/>
          </w:tcPr>
          <w:p w14:paraId="6F9261B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地理</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F2DAF2F">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东经</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B7FBD9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118°51′22″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2B8100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开工日期</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4DF8262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1966年5月</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1094679C">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所在河流</w:t>
            </w:r>
          </w:p>
        </w:tc>
        <w:tc>
          <w:tcPr>
            <w:tcW w:w="1411" w:type="dxa"/>
            <w:tcBorders>
              <w:top w:val="single" w:color="000000" w:sz="4" w:space="0"/>
              <w:left w:val="single" w:color="000000" w:sz="4" w:space="0"/>
              <w:bottom w:val="single" w:color="000000" w:sz="4" w:space="0"/>
              <w:right w:val="single" w:color="000000" w:sz="12" w:space="0"/>
            </w:tcBorders>
            <w:noWrap w:val="0"/>
            <w:vAlign w:val="center"/>
          </w:tcPr>
          <w:p w14:paraId="16C7163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坝头溪支流</w:t>
            </w:r>
          </w:p>
        </w:tc>
      </w:tr>
      <w:tr w14:paraId="3EA98817">
        <w:tblPrEx>
          <w:tblCellMar>
            <w:top w:w="15" w:type="dxa"/>
            <w:left w:w="15" w:type="dxa"/>
            <w:bottom w:w="15" w:type="dxa"/>
            <w:right w:w="15" w:type="dxa"/>
          </w:tblCellMar>
        </w:tblPrEx>
        <w:trPr>
          <w:trHeight w:val="286" w:hRule="atLeast"/>
        </w:trPr>
        <w:tc>
          <w:tcPr>
            <w:tcW w:w="1184" w:type="dxa"/>
            <w:gridSpan w:val="2"/>
            <w:tcBorders>
              <w:top w:val="single" w:color="000000" w:sz="4" w:space="0"/>
              <w:left w:val="single" w:color="000000" w:sz="12" w:space="0"/>
              <w:bottom w:val="single" w:color="000000" w:sz="4" w:space="0"/>
              <w:right w:val="single" w:color="000000" w:sz="4" w:space="0"/>
            </w:tcBorders>
            <w:noWrap w:val="0"/>
            <w:vAlign w:val="center"/>
          </w:tcPr>
          <w:p w14:paraId="4AE150B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位置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F82AFF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北纬</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AFDFB7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25°10′03″</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5D2914C">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竣工日期</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4237AD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1971年2月</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281A883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高程基准</w:t>
            </w:r>
          </w:p>
        </w:tc>
        <w:tc>
          <w:tcPr>
            <w:tcW w:w="1411" w:type="dxa"/>
            <w:tcBorders>
              <w:top w:val="single" w:color="000000" w:sz="4" w:space="0"/>
              <w:left w:val="single" w:color="000000" w:sz="4" w:space="0"/>
              <w:bottom w:val="single" w:color="000000" w:sz="4" w:space="0"/>
              <w:right w:val="single" w:color="000000" w:sz="12" w:space="0"/>
            </w:tcBorders>
            <w:noWrap w:val="0"/>
            <w:vAlign w:val="center"/>
          </w:tcPr>
          <w:p w14:paraId="491F881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黄海高程</w:t>
            </w:r>
          </w:p>
        </w:tc>
      </w:tr>
      <w:tr w14:paraId="09A1832A">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5AE50B3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集雨面积(km</w:t>
            </w:r>
            <w:r>
              <w:rPr>
                <w:rStyle w:val="30"/>
                <w:rFonts w:hint="default" w:ascii="Times New Roman" w:hAnsi="Times New Roman" w:eastAsia="楷体" w:cs="Times New Roman"/>
                <w:color w:val="auto"/>
                <w:sz w:val="18"/>
                <w:szCs w:val="18"/>
                <w:highlight w:val="none"/>
                <w:lang w:bidi="ar"/>
              </w:rPr>
              <w:t>2</w:t>
            </w:r>
            <w:r>
              <w:rPr>
                <w:rStyle w:val="35"/>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8BFA6B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0.28</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64B24E">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主坝</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479C7A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坝型</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05ACC59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均质土坝</w:t>
            </w:r>
          </w:p>
        </w:tc>
      </w:tr>
      <w:tr w14:paraId="1BA7FE86">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1E4B0B9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河流比降(‰)</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B80759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36.2</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C94EE">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202CFA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坝顶高程(m)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3CA153D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38.30</w:t>
            </w:r>
          </w:p>
        </w:tc>
      </w:tr>
      <w:tr w14:paraId="4FAE36E9">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622C71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主河道长度(km)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0CA8D5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1.255</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C895E">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21064C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墙顶高程(m)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2F5ACE8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w:t>
            </w:r>
          </w:p>
        </w:tc>
      </w:tr>
      <w:tr w14:paraId="5EC135A3">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8CDFE4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多年平均降水量(mm)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5EA5F8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1325</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8EDB2">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ED8F54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最大坝高(m)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52ED53D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14.3</w:t>
            </w:r>
          </w:p>
        </w:tc>
      </w:tr>
      <w:tr w14:paraId="4B4265AF">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96D517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多年平均径流量(万m</w:t>
            </w:r>
            <w:r>
              <w:rPr>
                <w:rStyle w:val="30"/>
                <w:rFonts w:hint="default" w:ascii="Times New Roman" w:hAnsi="Times New Roman" w:eastAsia="楷体" w:cs="Times New Roman"/>
                <w:color w:val="auto"/>
                <w:sz w:val="18"/>
                <w:szCs w:val="18"/>
                <w:highlight w:val="none"/>
                <w:lang w:bidi="ar"/>
              </w:rPr>
              <w:t>3</w:t>
            </w:r>
            <w:r>
              <w:rPr>
                <w:rStyle w:val="35"/>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E6F638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E8145">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2F8E8B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坝顶长度(m)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2B6000C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181.9</w:t>
            </w:r>
          </w:p>
        </w:tc>
      </w:tr>
      <w:tr w14:paraId="32498439">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F81FFC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正常蓄水位(m)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5A3A1B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36.37</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FE7A9">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96105EC">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坝顶宽度(m)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7988602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6.8</w:t>
            </w:r>
          </w:p>
        </w:tc>
      </w:tr>
      <w:tr w14:paraId="6D31CF78">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2E95481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死水位(m)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1410DE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29.34</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F1992F">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副坝</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242704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坝型</w:t>
            </w:r>
          </w:p>
        </w:tc>
        <w:tc>
          <w:tcPr>
            <w:tcW w:w="2465" w:type="dxa"/>
            <w:gridSpan w:val="2"/>
            <w:vMerge w:val="restart"/>
            <w:tcBorders>
              <w:top w:val="single" w:color="000000" w:sz="4" w:space="0"/>
              <w:left w:val="single" w:color="000000" w:sz="4" w:space="0"/>
              <w:bottom w:val="single" w:color="000000" w:sz="4" w:space="0"/>
              <w:right w:val="single" w:color="000000" w:sz="12" w:space="0"/>
            </w:tcBorders>
            <w:noWrap w:val="0"/>
            <w:vAlign w:val="center"/>
          </w:tcPr>
          <w:p w14:paraId="1DFE14F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无</w:t>
            </w:r>
          </w:p>
        </w:tc>
      </w:tr>
      <w:tr w14:paraId="62507B81">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7D4920F">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设计重现期(年)</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FD2862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FC0AC">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4968887F">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坝顶高程(m)</w:t>
            </w:r>
          </w:p>
        </w:tc>
        <w:tc>
          <w:tcPr>
            <w:tcW w:w="2465" w:type="dxa"/>
            <w:gridSpan w:val="2"/>
            <w:vMerge w:val="continue"/>
            <w:tcBorders>
              <w:top w:val="single" w:color="000000" w:sz="4" w:space="0"/>
              <w:left w:val="single" w:color="000000" w:sz="4" w:space="0"/>
              <w:bottom w:val="single" w:color="000000" w:sz="4" w:space="0"/>
              <w:right w:val="single" w:color="000000" w:sz="12" w:space="0"/>
            </w:tcBorders>
            <w:noWrap w:val="0"/>
            <w:vAlign w:val="center"/>
          </w:tcPr>
          <w:p w14:paraId="2988A8C2">
            <w:pPr>
              <w:jc w:val="center"/>
              <w:rPr>
                <w:rFonts w:hint="default" w:ascii="Times New Roman" w:hAnsi="Times New Roman" w:eastAsia="楷体" w:cs="Times New Roman"/>
                <w:color w:val="auto"/>
                <w:sz w:val="18"/>
                <w:szCs w:val="18"/>
                <w:highlight w:val="none"/>
              </w:rPr>
            </w:pPr>
          </w:p>
        </w:tc>
      </w:tr>
      <w:tr w14:paraId="5137F390">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313F911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校核重现期(年)</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10B8DE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300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EEE52">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4D95181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墙顶高程(m)</w:t>
            </w:r>
          </w:p>
        </w:tc>
        <w:tc>
          <w:tcPr>
            <w:tcW w:w="2465" w:type="dxa"/>
            <w:gridSpan w:val="2"/>
            <w:vMerge w:val="continue"/>
            <w:tcBorders>
              <w:top w:val="single" w:color="000000" w:sz="4" w:space="0"/>
              <w:left w:val="single" w:color="000000" w:sz="4" w:space="0"/>
              <w:bottom w:val="single" w:color="000000" w:sz="4" w:space="0"/>
              <w:right w:val="single" w:color="000000" w:sz="12" w:space="0"/>
            </w:tcBorders>
            <w:noWrap w:val="0"/>
            <w:vAlign w:val="center"/>
          </w:tcPr>
          <w:p w14:paraId="165DBA54">
            <w:pPr>
              <w:jc w:val="center"/>
              <w:rPr>
                <w:rFonts w:hint="default" w:ascii="Times New Roman" w:hAnsi="Times New Roman" w:eastAsia="楷体" w:cs="Times New Roman"/>
                <w:color w:val="auto"/>
                <w:sz w:val="18"/>
                <w:szCs w:val="18"/>
                <w:highlight w:val="none"/>
              </w:rPr>
            </w:pPr>
          </w:p>
        </w:tc>
      </w:tr>
      <w:tr w14:paraId="33CAD258">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523DF34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设计洪水位(m)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95D087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36.94</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74716">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A93BF2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最大坝高(m)</w:t>
            </w:r>
          </w:p>
        </w:tc>
        <w:tc>
          <w:tcPr>
            <w:tcW w:w="2465" w:type="dxa"/>
            <w:gridSpan w:val="2"/>
            <w:vMerge w:val="continue"/>
            <w:tcBorders>
              <w:top w:val="single" w:color="000000" w:sz="4" w:space="0"/>
              <w:left w:val="single" w:color="000000" w:sz="4" w:space="0"/>
              <w:bottom w:val="single" w:color="000000" w:sz="4" w:space="0"/>
              <w:right w:val="single" w:color="000000" w:sz="12" w:space="0"/>
            </w:tcBorders>
            <w:noWrap w:val="0"/>
            <w:vAlign w:val="center"/>
          </w:tcPr>
          <w:p w14:paraId="7AC9D442">
            <w:pPr>
              <w:jc w:val="center"/>
              <w:rPr>
                <w:rFonts w:hint="default" w:ascii="Times New Roman" w:hAnsi="Times New Roman" w:eastAsia="楷体" w:cs="Times New Roman"/>
                <w:color w:val="auto"/>
                <w:sz w:val="18"/>
                <w:szCs w:val="18"/>
                <w:highlight w:val="none"/>
              </w:rPr>
            </w:pPr>
          </w:p>
        </w:tc>
      </w:tr>
      <w:tr w14:paraId="61E1D6F0">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3D38CF8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相应洪峰流量(m</w:t>
            </w:r>
            <w:r>
              <w:rPr>
                <w:rStyle w:val="30"/>
                <w:rFonts w:hint="default" w:ascii="Times New Roman" w:hAnsi="Times New Roman" w:eastAsia="楷体" w:cs="Times New Roman"/>
                <w:color w:val="auto"/>
                <w:sz w:val="18"/>
                <w:szCs w:val="18"/>
                <w:highlight w:val="none"/>
                <w:lang w:bidi="ar"/>
              </w:rPr>
              <w:t>3</w:t>
            </w:r>
            <w:r>
              <w:rPr>
                <w:rStyle w:val="35"/>
                <w:rFonts w:hint="default" w:ascii="Times New Roman" w:hAnsi="Times New Roman" w:eastAsia="楷体" w:cs="Times New Roman"/>
                <w:color w:val="auto"/>
                <w:sz w:val="18"/>
                <w:szCs w:val="18"/>
                <w:highlight w:val="none"/>
                <w:lang w:bidi="ar"/>
              </w:rPr>
              <w:t>/s)</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005120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6.35</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16824">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81109E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坝顶长度(m)</w:t>
            </w:r>
          </w:p>
        </w:tc>
        <w:tc>
          <w:tcPr>
            <w:tcW w:w="2465" w:type="dxa"/>
            <w:gridSpan w:val="2"/>
            <w:vMerge w:val="continue"/>
            <w:tcBorders>
              <w:top w:val="single" w:color="000000" w:sz="4" w:space="0"/>
              <w:left w:val="single" w:color="000000" w:sz="4" w:space="0"/>
              <w:bottom w:val="single" w:color="000000" w:sz="4" w:space="0"/>
              <w:right w:val="single" w:color="000000" w:sz="12" w:space="0"/>
            </w:tcBorders>
            <w:noWrap w:val="0"/>
            <w:vAlign w:val="center"/>
          </w:tcPr>
          <w:p w14:paraId="0F3124D4">
            <w:pPr>
              <w:jc w:val="center"/>
              <w:rPr>
                <w:rFonts w:hint="default" w:ascii="Times New Roman" w:hAnsi="Times New Roman" w:eastAsia="楷体" w:cs="Times New Roman"/>
                <w:color w:val="auto"/>
                <w:sz w:val="18"/>
                <w:szCs w:val="18"/>
                <w:highlight w:val="none"/>
              </w:rPr>
            </w:pPr>
          </w:p>
        </w:tc>
      </w:tr>
      <w:tr w14:paraId="15338E14">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0B1B7F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相应洪水总量(万m</w:t>
            </w:r>
            <w:r>
              <w:rPr>
                <w:rStyle w:val="30"/>
                <w:rFonts w:hint="default" w:ascii="Times New Roman" w:hAnsi="Times New Roman" w:eastAsia="楷体" w:cs="Times New Roman"/>
                <w:color w:val="auto"/>
                <w:sz w:val="18"/>
                <w:szCs w:val="18"/>
                <w:highlight w:val="none"/>
                <w:lang w:bidi="ar"/>
              </w:rPr>
              <w:t>3</w:t>
            </w:r>
            <w:r>
              <w:rPr>
                <w:rStyle w:val="35"/>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26760D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7.46</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20D3E">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44D569D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坝顶宽度(m)</w:t>
            </w:r>
          </w:p>
        </w:tc>
        <w:tc>
          <w:tcPr>
            <w:tcW w:w="2465" w:type="dxa"/>
            <w:gridSpan w:val="2"/>
            <w:vMerge w:val="continue"/>
            <w:tcBorders>
              <w:top w:val="single" w:color="000000" w:sz="4" w:space="0"/>
              <w:left w:val="single" w:color="000000" w:sz="4" w:space="0"/>
              <w:bottom w:val="single" w:color="000000" w:sz="4" w:space="0"/>
              <w:right w:val="single" w:color="000000" w:sz="12" w:space="0"/>
            </w:tcBorders>
            <w:noWrap w:val="0"/>
            <w:vAlign w:val="center"/>
          </w:tcPr>
          <w:p w14:paraId="273C7075">
            <w:pPr>
              <w:jc w:val="center"/>
              <w:rPr>
                <w:rFonts w:hint="default" w:ascii="Times New Roman" w:hAnsi="Times New Roman" w:eastAsia="楷体" w:cs="Times New Roman"/>
                <w:color w:val="auto"/>
                <w:sz w:val="18"/>
                <w:szCs w:val="18"/>
                <w:highlight w:val="none"/>
              </w:rPr>
            </w:pPr>
          </w:p>
        </w:tc>
      </w:tr>
      <w:tr w14:paraId="335F3BFD">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37702A1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校核洪水位(m)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FE57D7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37.21</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80A8C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溢洪道</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B74634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型式</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4CED0B4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宽顶</w:t>
            </w:r>
            <w:r>
              <w:rPr>
                <w:rStyle w:val="35"/>
                <w:rFonts w:hint="default" w:ascii="Times New Roman" w:hAnsi="Times New Roman" w:eastAsia="楷体" w:cs="Times New Roman"/>
                <w:color w:val="auto"/>
                <w:sz w:val="18"/>
                <w:szCs w:val="18"/>
                <w:highlight w:val="none"/>
                <w:lang w:bidi="ar"/>
              </w:rPr>
              <w:t>堰</w:t>
            </w:r>
          </w:p>
        </w:tc>
      </w:tr>
      <w:tr w14:paraId="7A0C7E72">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CE9682C">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相应洪峰流量(m</w:t>
            </w:r>
            <w:r>
              <w:rPr>
                <w:rStyle w:val="30"/>
                <w:rFonts w:hint="default" w:ascii="Times New Roman" w:hAnsi="Times New Roman" w:eastAsia="楷体" w:cs="Times New Roman"/>
                <w:color w:val="auto"/>
                <w:sz w:val="18"/>
                <w:szCs w:val="18"/>
                <w:highlight w:val="none"/>
                <w:lang w:bidi="ar"/>
              </w:rPr>
              <w:t>3</w:t>
            </w:r>
            <w:r>
              <w:rPr>
                <w:rStyle w:val="35"/>
                <w:rFonts w:hint="default" w:ascii="Times New Roman" w:hAnsi="Times New Roman" w:eastAsia="楷体" w:cs="Times New Roman"/>
                <w:color w:val="auto"/>
                <w:sz w:val="18"/>
                <w:szCs w:val="18"/>
                <w:highlight w:val="none"/>
                <w:lang w:bidi="ar"/>
              </w:rPr>
              <w:t>/s)</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ABF17C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10.10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B47E5">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C94A9E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堰顶高程(m)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7D0BDFC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36.37</w:t>
            </w:r>
          </w:p>
        </w:tc>
      </w:tr>
      <w:tr w14:paraId="5EB6FFFA">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7AA1DD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相应洪水总量(万m</w:t>
            </w:r>
            <w:r>
              <w:rPr>
                <w:rStyle w:val="30"/>
                <w:rFonts w:hint="default" w:ascii="Times New Roman" w:hAnsi="Times New Roman" w:eastAsia="楷体" w:cs="Times New Roman"/>
                <w:color w:val="auto"/>
                <w:sz w:val="18"/>
                <w:szCs w:val="18"/>
                <w:highlight w:val="none"/>
                <w:lang w:bidi="ar"/>
              </w:rPr>
              <w:t>3</w:t>
            </w:r>
            <w:r>
              <w:rPr>
                <w:rStyle w:val="35"/>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0E6C9E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12.23</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966F2">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E7444C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净宽(m)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6D6A08B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5.0</w:t>
            </w:r>
          </w:p>
        </w:tc>
      </w:tr>
      <w:tr w14:paraId="123237FC">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5E23FE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地震基本烈度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5294B0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VII</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4A68C">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112E55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最大下泄流量(m</w:t>
            </w:r>
            <w:r>
              <w:rPr>
                <w:rStyle w:val="30"/>
                <w:rFonts w:hint="default" w:ascii="Times New Roman" w:hAnsi="Times New Roman" w:eastAsia="楷体" w:cs="Times New Roman"/>
                <w:color w:val="auto"/>
                <w:sz w:val="18"/>
                <w:szCs w:val="18"/>
                <w:highlight w:val="none"/>
                <w:lang w:bidi="ar"/>
              </w:rPr>
              <w:t>3</w:t>
            </w:r>
            <w:r>
              <w:rPr>
                <w:rStyle w:val="35"/>
                <w:rFonts w:hint="default" w:ascii="Times New Roman" w:hAnsi="Times New Roman" w:eastAsia="楷体" w:cs="Times New Roman"/>
                <w:color w:val="auto"/>
                <w:sz w:val="18"/>
                <w:szCs w:val="18"/>
                <w:highlight w:val="none"/>
                <w:lang w:bidi="ar"/>
              </w:rPr>
              <w:t>/s)</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2182F4C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4.74</w:t>
            </w:r>
          </w:p>
        </w:tc>
      </w:tr>
      <w:tr w14:paraId="5EB33F12">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36A414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设计抗震烈度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6F40C2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VII</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41C56">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4C25002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最大单宽流量(m</w:t>
            </w:r>
            <w:r>
              <w:rPr>
                <w:rStyle w:val="30"/>
                <w:rFonts w:hint="default" w:ascii="Times New Roman" w:hAnsi="Times New Roman" w:eastAsia="楷体" w:cs="Times New Roman"/>
                <w:color w:val="auto"/>
                <w:sz w:val="18"/>
                <w:szCs w:val="18"/>
                <w:highlight w:val="none"/>
                <w:lang w:bidi="ar"/>
              </w:rPr>
              <w:t>3</w:t>
            </w:r>
            <w:r>
              <w:rPr>
                <w:rStyle w:val="35"/>
                <w:rFonts w:hint="default" w:ascii="Times New Roman" w:hAnsi="Times New Roman" w:eastAsia="楷体" w:cs="Times New Roman"/>
                <w:color w:val="auto"/>
                <w:sz w:val="18"/>
                <w:szCs w:val="18"/>
                <w:highlight w:val="none"/>
                <w:lang w:bidi="ar"/>
              </w:rPr>
              <w:t>/s.m)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04F842C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0.95</w:t>
            </w:r>
          </w:p>
        </w:tc>
      </w:tr>
      <w:tr w14:paraId="6A6847B2">
        <w:tblPrEx>
          <w:tblCellMar>
            <w:top w:w="15" w:type="dxa"/>
            <w:left w:w="15" w:type="dxa"/>
            <w:bottom w:w="15" w:type="dxa"/>
            <w:right w:w="15" w:type="dxa"/>
          </w:tblCellMar>
        </w:tblPrEx>
        <w:trPr>
          <w:trHeight w:val="286" w:hRule="atLeast"/>
        </w:trPr>
        <w:tc>
          <w:tcPr>
            <w:tcW w:w="815" w:type="dxa"/>
            <w:vMerge w:val="restart"/>
            <w:tcBorders>
              <w:top w:val="single" w:color="000000" w:sz="4" w:space="0"/>
              <w:left w:val="single" w:color="000000" w:sz="12" w:space="0"/>
              <w:bottom w:val="single" w:color="000000" w:sz="4" w:space="0"/>
              <w:right w:val="single" w:color="000000" w:sz="4" w:space="0"/>
            </w:tcBorders>
            <w:noWrap w:val="0"/>
            <w:vAlign w:val="center"/>
          </w:tcPr>
          <w:p w14:paraId="3ACD5B1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库容特性</w:t>
            </w: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1DFFC20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总库容(万m</w:t>
            </w:r>
            <w:r>
              <w:rPr>
                <w:rStyle w:val="30"/>
                <w:rFonts w:hint="default" w:ascii="Times New Roman" w:hAnsi="Times New Roman" w:eastAsia="楷体" w:cs="Times New Roman"/>
                <w:color w:val="auto"/>
                <w:sz w:val="18"/>
                <w:szCs w:val="18"/>
                <w:highlight w:val="none"/>
                <w:lang w:bidi="ar"/>
              </w:rPr>
              <w:t>3</w:t>
            </w:r>
            <w:r>
              <w:rPr>
                <w:rStyle w:val="35"/>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857301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21.60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A6F13">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1AC90B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消能型式</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4326A98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跌水消能</w:t>
            </w:r>
          </w:p>
        </w:tc>
      </w:tr>
      <w:tr w14:paraId="70273328">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4" w:space="0"/>
              <w:right w:val="single" w:color="000000" w:sz="4" w:space="0"/>
            </w:tcBorders>
            <w:noWrap w:val="0"/>
            <w:vAlign w:val="center"/>
          </w:tcPr>
          <w:p w14:paraId="65A41C2F">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68D4B3A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调洪库容(万m</w:t>
            </w:r>
            <w:r>
              <w:rPr>
                <w:rStyle w:val="30"/>
                <w:rFonts w:hint="default" w:ascii="Times New Roman" w:hAnsi="Times New Roman" w:eastAsia="楷体" w:cs="Times New Roman"/>
                <w:color w:val="auto"/>
                <w:sz w:val="18"/>
                <w:szCs w:val="18"/>
                <w:highlight w:val="none"/>
                <w:lang w:bidi="ar"/>
              </w:rPr>
              <w:t>3</w:t>
            </w:r>
            <w:r>
              <w:rPr>
                <w:rStyle w:val="35"/>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6C78C9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3.30</w:t>
            </w:r>
          </w:p>
        </w:tc>
        <w:tc>
          <w:tcPr>
            <w:tcW w:w="865" w:type="dxa"/>
            <w:vMerge w:val="restart"/>
            <w:tcBorders>
              <w:top w:val="single" w:color="000000" w:sz="4" w:space="0"/>
              <w:left w:val="single" w:color="000000" w:sz="4" w:space="0"/>
              <w:bottom w:val="single" w:color="000000" w:sz="12" w:space="0"/>
              <w:right w:val="single" w:color="000000" w:sz="4" w:space="0"/>
            </w:tcBorders>
            <w:noWrap w:val="0"/>
            <w:vAlign w:val="center"/>
          </w:tcPr>
          <w:p w14:paraId="3C99038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取水建筑物</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4B1A6C7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型式</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094A7AF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圬工无压箱涵套PE管</w:t>
            </w:r>
          </w:p>
        </w:tc>
      </w:tr>
      <w:tr w14:paraId="50FF031F">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4" w:space="0"/>
              <w:right w:val="single" w:color="000000" w:sz="4" w:space="0"/>
            </w:tcBorders>
            <w:noWrap w:val="0"/>
            <w:vAlign w:val="center"/>
          </w:tcPr>
          <w:p w14:paraId="1C277E76">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32265E0C">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兴利库容(万m</w:t>
            </w:r>
            <w:r>
              <w:rPr>
                <w:rStyle w:val="30"/>
                <w:rFonts w:hint="default" w:ascii="Times New Roman" w:hAnsi="Times New Roman" w:eastAsia="楷体" w:cs="Times New Roman"/>
                <w:color w:val="auto"/>
                <w:sz w:val="18"/>
                <w:szCs w:val="18"/>
                <w:highlight w:val="none"/>
                <w:lang w:bidi="ar"/>
              </w:rPr>
              <w:t>3</w:t>
            </w:r>
            <w:r>
              <w:rPr>
                <w:rStyle w:val="35"/>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9D1C8F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16.60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25B34498">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3B972A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长度(m)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18BA636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70.5</w:t>
            </w:r>
          </w:p>
        </w:tc>
      </w:tr>
      <w:tr w14:paraId="43931930">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4" w:space="0"/>
              <w:right w:val="single" w:color="000000" w:sz="4" w:space="0"/>
            </w:tcBorders>
            <w:noWrap w:val="0"/>
            <w:vAlign w:val="center"/>
          </w:tcPr>
          <w:p w14:paraId="16A5610B">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68E91EE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死库容(万m</w:t>
            </w:r>
            <w:r>
              <w:rPr>
                <w:rStyle w:val="30"/>
                <w:rFonts w:hint="default" w:ascii="Times New Roman" w:hAnsi="Times New Roman" w:eastAsia="楷体" w:cs="Times New Roman"/>
                <w:color w:val="auto"/>
                <w:sz w:val="18"/>
                <w:szCs w:val="18"/>
                <w:highlight w:val="none"/>
                <w:lang w:bidi="ar"/>
              </w:rPr>
              <w:t>3</w:t>
            </w:r>
            <w:r>
              <w:rPr>
                <w:rStyle w:val="35"/>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FA560E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1.70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081FBB1D">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49AE490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断面尺寸(m)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62A95DEE">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φ0.5</w:t>
            </w:r>
          </w:p>
        </w:tc>
      </w:tr>
      <w:tr w14:paraId="5863D408">
        <w:tblPrEx>
          <w:tblCellMar>
            <w:top w:w="15" w:type="dxa"/>
            <w:left w:w="15" w:type="dxa"/>
            <w:bottom w:w="15" w:type="dxa"/>
            <w:right w:w="15" w:type="dxa"/>
          </w:tblCellMar>
        </w:tblPrEx>
        <w:trPr>
          <w:trHeight w:val="286" w:hRule="atLeast"/>
        </w:trPr>
        <w:tc>
          <w:tcPr>
            <w:tcW w:w="815" w:type="dxa"/>
            <w:vMerge w:val="restart"/>
            <w:tcBorders>
              <w:top w:val="single" w:color="000000" w:sz="4" w:space="0"/>
              <w:left w:val="single" w:color="000000" w:sz="12" w:space="0"/>
              <w:bottom w:val="single" w:color="000000" w:sz="12" w:space="0"/>
              <w:right w:val="single" w:color="000000" w:sz="4" w:space="0"/>
            </w:tcBorders>
            <w:noWrap w:val="0"/>
            <w:vAlign w:val="center"/>
          </w:tcPr>
          <w:p w14:paraId="4A6B08D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工程效益</w:t>
            </w: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67FF935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有效灌溉面积（亩）</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B2E86B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60896221">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auto" w:sz="4" w:space="0"/>
              <w:right w:val="single" w:color="000000" w:sz="4" w:space="0"/>
            </w:tcBorders>
            <w:noWrap w:val="0"/>
            <w:vAlign w:val="center"/>
          </w:tcPr>
          <w:p w14:paraId="2241532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sz w:val="18"/>
                <w:szCs w:val="18"/>
                <w:highlight w:val="none"/>
              </w:rPr>
              <w:t>进口底高程(m)</w:t>
            </w:r>
          </w:p>
        </w:tc>
        <w:tc>
          <w:tcPr>
            <w:tcW w:w="2465" w:type="dxa"/>
            <w:gridSpan w:val="2"/>
            <w:tcBorders>
              <w:top w:val="single" w:color="000000" w:sz="4" w:space="0"/>
              <w:left w:val="single" w:color="000000" w:sz="4" w:space="0"/>
              <w:bottom w:val="single" w:color="auto" w:sz="4" w:space="0"/>
              <w:right w:val="single" w:color="000000" w:sz="12" w:space="0"/>
            </w:tcBorders>
            <w:noWrap w:val="0"/>
            <w:vAlign w:val="center"/>
          </w:tcPr>
          <w:p w14:paraId="14DB808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29.34</w:t>
            </w:r>
          </w:p>
        </w:tc>
      </w:tr>
      <w:tr w14:paraId="418ACB20">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13C75F04">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59FD4E4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设计灌溉面积（亩）</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AA87EA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2FB6E451">
            <w:pPr>
              <w:jc w:val="center"/>
              <w:rPr>
                <w:rFonts w:hint="default" w:ascii="Times New Roman" w:hAnsi="Times New Roman" w:eastAsia="楷体" w:cs="Times New Roman"/>
                <w:color w:val="auto"/>
                <w:sz w:val="18"/>
                <w:szCs w:val="18"/>
                <w:highlight w:val="none"/>
              </w:rPr>
            </w:pPr>
          </w:p>
        </w:tc>
        <w:tc>
          <w:tcPr>
            <w:tcW w:w="1893" w:type="dxa"/>
            <w:tcBorders>
              <w:top w:val="single" w:color="auto" w:sz="4" w:space="0"/>
              <w:left w:val="single" w:color="000000" w:sz="4" w:space="0"/>
              <w:bottom w:val="single" w:color="auto" w:sz="4" w:space="0"/>
              <w:right w:val="single" w:color="000000" w:sz="4" w:space="0"/>
            </w:tcBorders>
            <w:noWrap w:val="0"/>
            <w:vAlign w:val="center"/>
          </w:tcPr>
          <w:p w14:paraId="649DA243">
            <w:pPr>
              <w:jc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sz w:val="18"/>
                <w:szCs w:val="18"/>
                <w:highlight w:val="none"/>
              </w:rPr>
              <w:t>出口底高程(m)</w:t>
            </w:r>
          </w:p>
        </w:tc>
        <w:tc>
          <w:tcPr>
            <w:tcW w:w="2465" w:type="dxa"/>
            <w:gridSpan w:val="2"/>
            <w:tcBorders>
              <w:top w:val="single" w:color="auto" w:sz="4" w:space="0"/>
              <w:left w:val="single" w:color="000000" w:sz="4" w:space="0"/>
              <w:bottom w:val="single" w:color="auto" w:sz="4" w:space="0"/>
              <w:right w:val="single" w:color="000000" w:sz="12" w:space="0"/>
            </w:tcBorders>
            <w:noWrap w:val="0"/>
            <w:vAlign w:val="center"/>
          </w:tcPr>
          <w:p w14:paraId="0E34BF7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26.50</w:t>
            </w:r>
          </w:p>
        </w:tc>
      </w:tr>
      <w:tr w14:paraId="4900DA6B">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570007A3">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55C5F3E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保护人口（人）</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3B7F57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2000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32FD8BF9">
            <w:pPr>
              <w:jc w:val="center"/>
              <w:rPr>
                <w:rFonts w:hint="default" w:ascii="Times New Roman" w:hAnsi="Times New Roman" w:eastAsia="楷体" w:cs="Times New Roman"/>
                <w:color w:val="auto"/>
                <w:sz w:val="18"/>
                <w:szCs w:val="18"/>
                <w:highlight w:val="none"/>
              </w:rPr>
            </w:pPr>
          </w:p>
        </w:tc>
        <w:tc>
          <w:tcPr>
            <w:tcW w:w="1893" w:type="dxa"/>
            <w:tcBorders>
              <w:top w:val="single" w:color="auto" w:sz="4" w:space="0"/>
              <w:left w:val="single" w:color="000000" w:sz="4" w:space="0"/>
              <w:bottom w:val="single" w:color="000000" w:sz="4" w:space="0"/>
              <w:right w:val="single" w:color="000000" w:sz="4" w:space="0"/>
            </w:tcBorders>
            <w:noWrap w:val="0"/>
            <w:vAlign w:val="center"/>
          </w:tcPr>
          <w:p w14:paraId="6E7C45C0">
            <w:pPr>
              <w:jc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sz w:val="18"/>
                <w:szCs w:val="18"/>
                <w:highlight w:val="none"/>
              </w:rPr>
              <w:t>最大输水流量（m</w:t>
            </w:r>
            <w:r>
              <w:rPr>
                <w:rFonts w:hint="default" w:ascii="Times New Roman" w:hAnsi="Times New Roman" w:eastAsia="楷体" w:cs="Times New Roman"/>
                <w:color w:val="auto"/>
                <w:sz w:val="18"/>
                <w:szCs w:val="18"/>
                <w:highlight w:val="none"/>
                <w:vertAlign w:val="superscript"/>
              </w:rPr>
              <w:t>3</w:t>
            </w:r>
            <w:r>
              <w:rPr>
                <w:rFonts w:hint="default" w:ascii="Times New Roman" w:hAnsi="Times New Roman" w:eastAsia="楷体" w:cs="Times New Roman"/>
                <w:color w:val="auto"/>
                <w:sz w:val="18"/>
                <w:szCs w:val="18"/>
                <w:highlight w:val="none"/>
              </w:rPr>
              <w:t>/s）</w:t>
            </w:r>
          </w:p>
        </w:tc>
        <w:tc>
          <w:tcPr>
            <w:tcW w:w="2465" w:type="dxa"/>
            <w:gridSpan w:val="2"/>
            <w:tcBorders>
              <w:top w:val="single" w:color="auto" w:sz="4" w:space="0"/>
              <w:left w:val="single" w:color="000000" w:sz="4" w:space="0"/>
              <w:bottom w:val="single" w:color="000000" w:sz="4" w:space="0"/>
              <w:right w:val="single" w:color="000000" w:sz="12" w:space="0"/>
            </w:tcBorders>
            <w:noWrap w:val="0"/>
            <w:vAlign w:val="center"/>
          </w:tcPr>
          <w:p w14:paraId="0E97C8EE">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0.43</w:t>
            </w:r>
          </w:p>
        </w:tc>
      </w:tr>
      <w:tr w14:paraId="113BAE13">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64ED4CB5">
            <w:pPr>
              <w:jc w:val="center"/>
              <w:rPr>
                <w:rFonts w:hint="default" w:ascii="Times New Roman" w:hAnsi="Times New Roman" w:eastAsia="楷体" w:cs="Times New Roman"/>
                <w:color w:val="auto"/>
                <w:sz w:val="18"/>
                <w:szCs w:val="18"/>
                <w:highlight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C57A52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保护耕地（亩）</w:t>
            </w:r>
          </w:p>
        </w:tc>
        <w:tc>
          <w:tcPr>
            <w:tcW w:w="16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2F03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3500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6FAA05AC">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80F45E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放水型式</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2F55030F">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转动门盖</w:t>
            </w:r>
          </w:p>
        </w:tc>
      </w:tr>
      <w:tr w14:paraId="3C2ADE6C">
        <w:tblPrEx>
          <w:tblCellMar>
            <w:top w:w="15" w:type="dxa"/>
            <w:left w:w="15" w:type="dxa"/>
            <w:bottom w:w="15" w:type="dxa"/>
            <w:right w:w="15" w:type="dxa"/>
          </w:tblCellMar>
        </w:tblPrEx>
        <w:trPr>
          <w:trHeight w:val="312" w:hRule="atLeast"/>
        </w:trPr>
        <w:tc>
          <w:tcPr>
            <w:tcW w:w="815"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3A84F283">
            <w:pPr>
              <w:jc w:val="center"/>
              <w:rPr>
                <w:rFonts w:hint="default" w:ascii="Times New Roman" w:hAnsi="Times New Roman" w:eastAsia="楷体" w:cs="Times New Roman"/>
                <w:color w:val="auto"/>
                <w:sz w:val="18"/>
                <w:szCs w:val="18"/>
                <w:highlight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28E54A">
            <w:pPr>
              <w:jc w:val="center"/>
              <w:rPr>
                <w:rFonts w:hint="default" w:ascii="Times New Roman" w:hAnsi="Times New Roman" w:eastAsia="楷体" w:cs="Times New Roman"/>
                <w:color w:val="auto"/>
                <w:sz w:val="18"/>
                <w:szCs w:val="18"/>
                <w:highlight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F4665">
            <w:pPr>
              <w:jc w:val="center"/>
              <w:rPr>
                <w:rFonts w:hint="default" w:ascii="Times New Roman" w:hAnsi="Times New Roman" w:eastAsia="楷体" w:cs="Times New Roman"/>
                <w:color w:val="auto"/>
                <w:sz w:val="18"/>
                <w:szCs w:val="18"/>
                <w:highlight w:val="none"/>
              </w:rPr>
            </w:pP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637E58DF">
            <w:pPr>
              <w:jc w:val="center"/>
              <w:rPr>
                <w:rFonts w:hint="default" w:ascii="Times New Roman" w:hAnsi="Times New Roman" w:eastAsia="楷体" w:cs="Times New Roman"/>
                <w:color w:val="auto"/>
                <w:sz w:val="18"/>
                <w:szCs w:val="18"/>
                <w:highlight w:val="none"/>
              </w:rPr>
            </w:pPr>
          </w:p>
        </w:tc>
        <w:tc>
          <w:tcPr>
            <w:tcW w:w="1893" w:type="dxa"/>
            <w:vMerge w:val="restart"/>
            <w:tcBorders>
              <w:top w:val="single" w:color="000000" w:sz="4" w:space="0"/>
              <w:left w:val="single" w:color="000000" w:sz="4" w:space="0"/>
              <w:bottom w:val="single" w:color="000000" w:sz="12" w:space="0"/>
              <w:right w:val="single" w:color="000000" w:sz="4" w:space="0"/>
            </w:tcBorders>
            <w:noWrap w:val="0"/>
            <w:vAlign w:val="center"/>
          </w:tcPr>
          <w:p w14:paraId="32BEAA0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启闭设备</w:t>
            </w:r>
          </w:p>
        </w:tc>
        <w:tc>
          <w:tcPr>
            <w:tcW w:w="2465" w:type="dxa"/>
            <w:gridSpan w:val="2"/>
            <w:vMerge w:val="restart"/>
            <w:tcBorders>
              <w:top w:val="single" w:color="000000" w:sz="4" w:space="0"/>
              <w:left w:val="single" w:color="000000" w:sz="4" w:space="0"/>
              <w:bottom w:val="single" w:color="000000" w:sz="12" w:space="0"/>
              <w:right w:val="single" w:color="000000" w:sz="12" w:space="0"/>
            </w:tcBorders>
            <w:noWrap w:val="0"/>
            <w:vAlign w:val="center"/>
          </w:tcPr>
          <w:p w14:paraId="1F978BA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1台3t卷扬式启闭机</w:t>
            </w:r>
          </w:p>
        </w:tc>
      </w:tr>
      <w:tr w14:paraId="4E7267CE">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48DEF312">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12" w:space="0"/>
              <w:right w:val="single" w:color="000000" w:sz="4" w:space="0"/>
            </w:tcBorders>
            <w:noWrap w:val="0"/>
            <w:vAlign w:val="center"/>
          </w:tcPr>
          <w:p w14:paraId="3FDE849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总装机功率（kw）</w:t>
            </w:r>
          </w:p>
        </w:tc>
        <w:tc>
          <w:tcPr>
            <w:tcW w:w="1655" w:type="dxa"/>
            <w:tcBorders>
              <w:top w:val="single" w:color="000000" w:sz="4" w:space="0"/>
              <w:left w:val="single" w:color="000000" w:sz="4" w:space="0"/>
              <w:bottom w:val="single" w:color="000000" w:sz="12" w:space="0"/>
              <w:right w:val="single" w:color="000000" w:sz="4" w:space="0"/>
            </w:tcBorders>
            <w:noWrap w:val="0"/>
            <w:vAlign w:val="center"/>
          </w:tcPr>
          <w:p w14:paraId="38F5FEE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1D13D476">
            <w:pPr>
              <w:jc w:val="center"/>
              <w:rPr>
                <w:rFonts w:hint="default" w:ascii="Times New Roman" w:hAnsi="Times New Roman" w:eastAsia="楷体" w:cs="Times New Roman"/>
                <w:color w:val="auto"/>
                <w:sz w:val="18"/>
                <w:szCs w:val="18"/>
                <w:highlight w:val="none"/>
              </w:rPr>
            </w:pPr>
          </w:p>
        </w:tc>
        <w:tc>
          <w:tcPr>
            <w:tcW w:w="1893" w:type="dxa"/>
            <w:vMerge w:val="continue"/>
            <w:tcBorders>
              <w:top w:val="single" w:color="000000" w:sz="4" w:space="0"/>
              <w:left w:val="single" w:color="000000" w:sz="4" w:space="0"/>
              <w:bottom w:val="single" w:color="000000" w:sz="12" w:space="0"/>
              <w:right w:val="single" w:color="000000" w:sz="4" w:space="0"/>
            </w:tcBorders>
            <w:noWrap w:val="0"/>
            <w:vAlign w:val="center"/>
          </w:tcPr>
          <w:p w14:paraId="20CECD41">
            <w:pPr>
              <w:jc w:val="center"/>
              <w:rPr>
                <w:rFonts w:hint="default" w:ascii="Times New Roman" w:hAnsi="Times New Roman" w:eastAsia="楷体" w:cs="Times New Roman"/>
                <w:color w:val="auto"/>
                <w:sz w:val="18"/>
                <w:szCs w:val="18"/>
                <w:highlight w:val="none"/>
              </w:rPr>
            </w:pPr>
          </w:p>
        </w:tc>
        <w:tc>
          <w:tcPr>
            <w:tcW w:w="2465" w:type="dxa"/>
            <w:gridSpan w:val="2"/>
            <w:vMerge w:val="continue"/>
            <w:tcBorders>
              <w:top w:val="single" w:color="000000" w:sz="4" w:space="0"/>
              <w:left w:val="single" w:color="000000" w:sz="4" w:space="0"/>
              <w:bottom w:val="single" w:color="000000" w:sz="12" w:space="0"/>
              <w:right w:val="single" w:color="000000" w:sz="12" w:space="0"/>
            </w:tcBorders>
            <w:noWrap w:val="0"/>
            <w:vAlign w:val="center"/>
          </w:tcPr>
          <w:p w14:paraId="3386E446">
            <w:pPr>
              <w:jc w:val="center"/>
              <w:rPr>
                <w:rFonts w:hint="default" w:ascii="Times New Roman" w:hAnsi="Times New Roman" w:eastAsia="楷体" w:cs="Times New Roman"/>
                <w:color w:val="auto"/>
                <w:sz w:val="18"/>
                <w:szCs w:val="18"/>
                <w:highlight w:val="none"/>
              </w:rPr>
            </w:pPr>
          </w:p>
        </w:tc>
      </w:tr>
    </w:tbl>
    <w:p w14:paraId="171C5642">
      <w:pPr>
        <w:rPr>
          <w:rFonts w:hint="default" w:ascii="Times New Roman" w:hAnsi="Times New Roman" w:eastAsia="楷体" w:cs="Times New Roman"/>
          <w:vanish/>
          <w:color w:val="auto"/>
          <w:highlight w:val="none"/>
        </w:rPr>
      </w:pPr>
    </w:p>
    <w:p w14:paraId="6697D1C9">
      <w:pPr>
        <w:pStyle w:val="16"/>
        <w:keepNext w:val="0"/>
        <w:keepLines w:val="0"/>
        <w:pageBreakBefore w:val="0"/>
        <w:widowControl w:val="0"/>
        <w:kinsoku/>
        <w:wordWrap/>
        <w:overflowPunct/>
        <w:topLinePunct w:val="0"/>
        <w:autoSpaceDE/>
        <w:autoSpaceDN/>
        <w:bidi w:val="0"/>
        <w:adjustRightInd/>
        <w:snapToGrid/>
        <w:ind w:firstLine="641"/>
        <w:textAlignment w:val="auto"/>
        <w:outlineLvl w:val="9"/>
        <w:rPr>
          <w:rFonts w:hint="default" w:ascii="Times New Roman" w:hAnsi="Times New Roman" w:eastAsia="楷体" w:cs="Times New Roman"/>
          <w:color w:val="auto"/>
          <w:sz w:val="21"/>
          <w:szCs w:val="21"/>
          <w:highlight w:val="none"/>
          <w:lang w:val="en-US" w:eastAsia="zh-CN"/>
        </w:rPr>
      </w:pPr>
      <w:r>
        <w:rPr>
          <w:rFonts w:hint="default" w:ascii="Times New Roman" w:hAnsi="Times New Roman" w:eastAsia="楷体" w:cs="Times New Roman"/>
          <w:color w:val="auto"/>
          <w:sz w:val="21"/>
          <w:szCs w:val="21"/>
          <w:highlight w:val="none"/>
          <w:lang w:val="en-US" w:eastAsia="zh-CN"/>
        </w:rPr>
        <w:t>备注：引用《泉港区前黄镇丰收水库除险加固工程初步设计报告（报批稿）》（泉州市水利水电勘测设计院，2012年4月）资料</w:t>
      </w:r>
    </w:p>
    <w:p w14:paraId="3F0AFD82">
      <w:pPr>
        <w:jc w:val="center"/>
        <w:outlineLvl w:val="1"/>
        <w:rPr>
          <w:rFonts w:hint="default" w:ascii="Times New Roman" w:hAnsi="Times New Roman" w:eastAsia="楷体" w:cs="Times New Roman"/>
          <w:b/>
          <w:color w:val="auto"/>
          <w:sz w:val="28"/>
          <w:szCs w:val="28"/>
          <w:highlight w:val="none"/>
        </w:rPr>
      </w:pPr>
      <w:bookmarkStart w:id="73" w:name="_Toc18024"/>
      <w:r>
        <w:rPr>
          <w:rFonts w:hint="default" w:ascii="Times New Roman" w:hAnsi="Times New Roman" w:eastAsia="楷体" w:cs="Times New Roman"/>
          <w:b/>
          <w:color w:val="auto"/>
          <w:sz w:val="28"/>
          <w:szCs w:val="28"/>
          <w:highlight w:val="none"/>
        </w:rPr>
        <w:t>表2    丰收水库水位～库容关系曲线表</w:t>
      </w:r>
      <w:bookmarkEnd w:id="73"/>
    </w:p>
    <w:tbl>
      <w:tblPr>
        <w:tblStyle w:val="18"/>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65"/>
        <w:gridCol w:w="2265"/>
        <w:gridCol w:w="2266"/>
        <w:gridCol w:w="2264"/>
      </w:tblGrid>
      <w:tr w14:paraId="78006E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2265" w:type="dxa"/>
            <w:tcBorders>
              <w:tl2br w:val="nil"/>
              <w:tr2bl w:val="nil"/>
            </w:tcBorders>
            <w:noWrap w:val="0"/>
            <w:tcMar>
              <w:top w:w="15" w:type="dxa"/>
              <w:left w:w="15" w:type="dxa"/>
              <w:right w:w="15" w:type="dxa"/>
            </w:tcMar>
            <w:vAlign w:val="center"/>
          </w:tcPr>
          <w:p w14:paraId="45D8EF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高程(m)</w:t>
            </w:r>
          </w:p>
        </w:tc>
        <w:tc>
          <w:tcPr>
            <w:tcW w:w="2265" w:type="dxa"/>
            <w:tcBorders>
              <w:tl2br w:val="nil"/>
              <w:tr2bl w:val="nil"/>
            </w:tcBorders>
            <w:noWrap w:val="0"/>
            <w:tcMar>
              <w:top w:w="15" w:type="dxa"/>
              <w:left w:w="15" w:type="dxa"/>
              <w:right w:w="15" w:type="dxa"/>
            </w:tcMar>
            <w:vAlign w:val="center"/>
          </w:tcPr>
          <w:p w14:paraId="77C25C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库容(万m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w:t>
            </w:r>
          </w:p>
        </w:tc>
        <w:tc>
          <w:tcPr>
            <w:tcW w:w="2266" w:type="dxa"/>
            <w:tcBorders>
              <w:tl2br w:val="nil"/>
              <w:tr2bl w:val="nil"/>
            </w:tcBorders>
            <w:noWrap w:val="0"/>
            <w:tcMar>
              <w:top w:w="15" w:type="dxa"/>
              <w:left w:w="15" w:type="dxa"/>
              <w:right w:w="15" w:type="dxa"/>
            </w:tcMar>
            <w:vAlign w:val="center"/>
          </w:tcPr>
          <w:p w14:paraId="305FF5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高程(m)</w:t>
            </w:r>
          </w:p>
        </w:tc>
        <w:tc>
          <w:tcPr>
            <w:tcW w:w="2264" w:type="dxa"/>
            <w:tcBorders>
              <w:tl2br w:val="nil"/>
              <w:tr2bl w:val="nil"/>
            </w:tcBorders>
            <w:noWrap w:val="0"/>
            <w:tcMar>
              <w:top w:w="15" w:type="dxa"/>
              <w:left w:w="15" w:type="dxa"/>
              <w:right w:w="15" w:type="dxa"/>
            </w:tcMar>
            <w:vAlign w:val="center"/>
          </w:tcPr>
          <w:p w14:paraId="08C74C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库容(万m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w:t>
            </w:r>
          </w:p>
        </w:tc>
      </w:tr>
      <w:tr w14:paraId="2F73C1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25259C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24</w:t>
            </w:r>
          </w:p>
        </w:tc>
        <w:tc>
          <w:tcPr>
            <w:tcW w:w="2265" w:type="dxa"/>
            <w:tcBorders>
              <w:tl2br w:val="nil"/>
              <w:tr2bl w:val="nil"/>
            </w:tcBorders>
            <w:noWrap w:val="0"/>
            <w:tcMar>
              <w:top w:w="15" w:type="dxa"/>
              <w:left w:w="15" w:type="dxa"/>
              <w:right w:w="15" w:type="dxa"/>
            </w:tcMar>
            <w:vAlign w:val="center"/>
          </w:tcPr>
          <w:p w14:paraId="4F6C62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w:t>
            </w:r>
          </w:p>
        </w:tc>
        <w:tc>
          <w:tcPr>
            <w:tcW w:w="2266" w:type="dxa"/>
            <w:tcBorders>
              <w:tl2br w:val="nil"/>
              <w:tr2bl w:val="nil"/>
            </w:tcBorders>
            <w:noWrap w:val="0"/>
            <w:tcMar>
              <w:top w:w="15" w:type="dxa"/>
              <w:left w:w="15" w:type="dxa"/>
              <w:right w:w="15" w:type="dxa"/>
            </w:tcMar>
            <w:vAlign w:val="center"/>
          </w:tcPr>
          <w:p w14:paraId="712BA3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35.8</w:t>
            </w:r>
          </w:p>
        </w:tc>
        <w:tc>
          <w:tcPr>
            <w:tcW w:w="2264" w:type="dxa"/>
            <w:tcBorders>
              <w:tl2br w:val="nil"/>
              <w:tr2bl w:val="nil"/>
            </w:tcBorders>
            <w:noWrap w:val="0"/>
            <w:tcMar>
              <w:top w:w="15" w:type="dxa"/>
              <w:left w:w="15" w:type="dxa"/>
              <w:right w:w="15" w:type="dxa"/>
            </w:tcMar>
            <w:vAlign w:val="center"/>
          </w:tcPr>
          <w:p w14:paraId="008B36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16.16</w:t>
            </w:r>
          </w:p>
        </w:tc>
      </w:tr>
      <w:tr w14:paraId="6E7C52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376A24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25</w:t>
            </w:r>
          </w:p>
        </w:tc>
        <w:tc>
          <w:tcPr>
            <w:tcW w:w="2265" w:type="dxa"/>
            <w:tcBorders>
              <w:tl2br w:val="nil"/>
              <w:tr2bl w:val="nil"/>
            </w:tcBorders>
            <w:noWrap w:val="0"/>
            <w:tcMar>
              <w:top w:w="15" w:type="dxa"/>
              <w:left w:w="15" w:type="dxa"/>
              <w:right w:w="15" w:type="dxa"/>
            </w:tcMar>
            <w:vAlign w:val="center"/>
          </w:tcPr>
          <w:p w14:paraId="7B5859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0.01</w:t>
            </w:r>
          </w:p>
        </w:tc>
        <w:tc>
          <w:tcPr>
            <w:tcW w:w="2266" w:type="dxa"/>
            <w:tcBorders>
              <w:tl2br w:val="nil"/>
              <w:tr2bl w:val="nil"/>
            </w:tcBorders>
            <w:noWrap w:val="0"/>
            <w:tcMar>
              <w:top w:w="15" w:type="dxa"/>
              <w:left w:w="15" w:type="dxa"/>
              <w:right w:w="15" w:type="dxa"/>
            </w:tcMar>
            <w:vAlign w:val="center"/>
          </w:tcPr>
          <w:p w14:paraId="0741B7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35.9</w:t>
            </w:r>
          </w:p>
        </w:tc>
        <w:tc>
          <w:tcPr>
            <w:tcW w:w="2264" w:type="dxa"/>
            <w:tcBorders>
              <w:tl2br w:val="nil"/>
              <w:tr2bl w:val="nil"/>
            </w:tcBorders>
            <w:noWrap w:val="0"/>
            <w:tcMar>
              <w:top w:w="15" w:type="dxa"/>
              <w:left w:w="15" w:type="dxa"/>
              <w:right w:w="15" w:type="dxa"/>
            </w:tcMar>
            <w:vAlign w:val="center"/>
          </w:tcPr>
          <w:p w14:paraId="5A84F6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16.52</w:t>
            </w:r>
          </w:p>
        </w:tc>
      </w:tr>
      <w:tr w14:paraId="5462E5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58AFC7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26</w:t>
            </w:r>
          </w:p>
        </w:tc>
        <w:tc>
          <w:tcPr>
            <w:tcW w:w="2265" w:type="dxa"/>
            <w:tcBorders>
              <w:tl2br w:val="nil"/>
              <w:tr2bl w:val="nil"/>
            </w:tcBorders>
            <w:noWrap w:val="0"/>
            <w:tcMar>
              <w:top w:w="15" w:type="dxa"/>
              <w:left w:w="15" w:type="dxa"/>
              <w:right w:w="15" w:type="dxa"/>
            </w:tcMar>
            <w:vAlign w:val="center"/>
          </w:tcPr>
          <w:p w14:paraId="3F9016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0.09</w:t>
            </w:r>
          </w:p>
        </w:tc>
        <w:tc>
          <w:tcPr>
            <w:tcW w:w="2266" w:type="dxa"/>
            <w:tcBorders>
              <w:tl2br w:val="nil"/>
              <w:tr2bl w:val="nil"/>
            </w:tcBorders>
            <w:noWrap w:val="0"/>
            <w:tcMar>
              <w:top w:w="15" w:type="dxa"/>
              <w:left w:w="15" w:type="dxa"/>
              <w:right w:w="15" w:type="dxa"/>
            </w:tcMar>
            <w:vAlign w:val="center"/>
          </w:tcPr>
          <w:p w14:paraId="1C2F21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w:t>
            </w:r>
          </w:p>
        </w:tc>
        <w:tc>
          <w:tcPr>
            <w:tcW w:w="2264" w:type="dxa"/>
            <w:tcBorders>
              <w:tl2br w:val="nil"/>
              <w:tr2bl w:val="nil"/>
            </w:tcBorders>
            <w:noWrap w:val="0"/>
            <w:tcMar>
              <w:top w:w="15" w:type="dxa"/>
              <w:left w:w="15" w:type="dxa"/>
              <w:right w:w="15" w:type="dxa"/>
            </w:tcMar>
            <w:vAlign w:val="center"/>
          </w:tcPr>
          <w:p w14:paraId="13EC7D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16.88</w:t>
            </w:r>
          </w:p>
        </w:tc>
      </w:tr>
      <w:tr w14:paraId="378B25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06EFAA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265" w:type="dxa"/>
            <w:tcBorders>
              <w:tl2br w:val="nil"/>
              <w:tr2bl w:val="nil"/>
            </w:tcBorders>
            <w:noWrap w:val="0"/>
            <w:tcMar>
              <w:top w:w="15" w:type="dxa"/>
              <w:left w:w="15" w:type="dxa"/>
              <w:right w:w="15" w:type="dxa"/>
            </w:tcMar>
            <w:vAlign w:val="center"/>
          </w:tcPr>
          <w:p w14:paraId="6E0E6C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0.28</w:t>
            </w:r>
          </w:p>
        </w:tc>
        <w:tc>
          <w:tcPr>
            <w:tcW w:w="2266" w:type="dxa"/>
            <w:tcBorders>
              <w:tl2br w:val="nil"/>
              <w:tr2bl w:val="nil"/>
            </w:tcBorders>
            <w:noWrap w:val="0"/>
            <w:tcMar>
              <w:top w:w="15" w:type="dxa"/>
              <w:left w:w="15" w:type="dxa"/>
              <w:right w:w="15" w:type="dxa"/>
            </w:tcMar>
            <w:vAlign w:val="center"/>
          </w:tcPr>
          <w:p w14:paraId="6AEC5A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36.1</w:t>
            </w:r>
          </w:p>
        </w:tc>
        <w:tc>
          <w:tcPr>
            <w:tcW w:w="2264" w:type="dxa"/>
            <w:tcBorders>
              <w:tl2br w:val="nil"/>
              <w:tr2bl w:val="nil"/>
            </w:tcBorders>
            <w:noWrap w:val="0"/>
            <w:tcMar>
              <w:top w:w="15" w:type="dxa"/>
              <w:left w:w="15" w:type="dxa"/>
              <w:right w:w="15" w:type="dxa"/>
            </w:tcMar>
            <w:vAlign w:val="center"/>
          </w:tcPr>
          <w:p w14:paraId="059458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17.25</w:t>
            </w:r>
          </w:p>
        </w:tc>
      </w:tr>
      <w:tr w14:paraId="1A8813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1C7721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265" w:type="dxa"/>
            <w:tcBorders>
              <w:tl2br w:val="nil"/>
              <w:tr2bl w:val="nil"/>
            </w:tcBorders>
            <w:noWrap w:val="0"/>
            <w:tcMar>
              <w:top w:w="15" w:type="dxa"/>
              <w:left w:w="15" w:type="dxa"/>
              <w:right w:w="15" w:type="dxa"/>
            </w:tcMar>
            <w:vAlign w:val="center"/>
          </w:tcPr>
          <w:p w14:paraId="4980E1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0.68</w:t>
            </w:r>
          </w:p>
        </w:tc>
        <w:tc>
          <w:tcPr>
            <w:tcW w:w="2266" w:type="dxa"/>
            <w:tcBorders>
              <w:tl2br w:val="nil"/>
              <w:tr2bl w:val="nil"/>
            </w:tcBorders>
            <w:noWrap w:val="0"/>
            <w:tcMar>
              <w:top w:w="15" w:type="dxa"/>
              <w:left w:w="15" w:type="dxa"/>
              <w:right w:w="15" w:type="dxa"/>
            </w:tcMar>
            <w:vAlign w:val="center"/>
          </w:tcPr>
          <w:p w14:paraId="1BEEC7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36.2</w:t>
            </w:r>
          </w:p>
        </w:tc>
        <w:tc>
          <w:tcPr>
            <w:tcW w:w="2264" w:type="dxa"/>
            <w:tcBorders>
              <w:tl2br w:val="nil"/>
              <w:tr2bl w:val="nil"/>
            </w:tcBorders>
            <w:noWrap w:val="0"/>
            <w:tcMar>
              <w:top w:w="15" w:type="dxa"/>
              <w:left w:w="15" w:type="dxa"/>
              <w:right w:w="15" w:type="dxa"/>
            </w:tcMar>
            <w:vAlign w:val="center"/>
          </w:tcPr>
          <w:p w14:paraId="4CA9A7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17.62</w:t>
            </w:r>
          </w:p>
        </w:tc>
      </w:tr>
      <w:tr w14:paraId="7C9B4F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08E696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265" w:type="dxa"/>
            <w:tcBorders>
              <w:tl2br w:val="nil"/>
              <w:tr2bl w:val="nil"/>
            </w:tcBorders>
            <w:noWrap w:val="0"/>
            <w:tcMar>
              <w:top w:w="15" w:type="dxa"/>
              <w:left w:w="15" w:type="dxa"/>
              <w:right w:w="15" w:type="dxa"/>
            </w:tcMar>
            <w:vAlign w:val="center"/>
          </w:tcPr>
          <w:p w14:paraId="178CF7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2.35</w:t>
            </w:r>
          </w:p>
        </w:tc>
        <w:tc>
          <w:tcPr>
            <w:tcW w:w="2266" w:type="dxa"/>
            <w:tcBorders>
              <w:tl2br w:val="nil"/>
              <w:tr2bl w:val="nil"/>
            </w:tcBorders>
            <w:noWrap w:val="0"/>
            <w:tcMar>
              <w:top w:w="15" w:type="dxa"/>
              <w:left w:w="15" w:type="dxa"/>
              <w:right w:w="15" w:type="dxa"/>
            </w:tcMar>
            <w:vAlign w:val="center"/>
          </w:tcPr>
          <w:p w14:paraId="3E4CCC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36.3</w:t>
            </w:r>
          </w:p>
        </w:tc>
        <w:tc>
          <w:tcPr>
            <w:tcW w:w="2264" w:type="dxa"/>
            <w:tcBorders>
              <w:tl2br w:val="nil"/>
              <w:tr2bl w:val="nil"/>
            </w:tcBorders>
            <w:noWrap w:val="0"/>
            <w:tcMar>
              <w:top w:w="15" w:type="dxa"/>
              <w:left w:w="15" w:type="dxa"/>
              <w:right w:w="15" w:type="dxa"/>
            </w:tcMar>
            <w:vAlign w:val="center"/>
          </w:tcPr>
          <w:p w14:paraId="6D4721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w:t>
            </w:r>
          </w:p>
        </w:tc>
      </w:tr>
      <w:tr w14:paraId="51AC6C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4CAAD0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265" w:type="dxa"/>
            <w:tcBorders>
              <w:tl2br w:val="nil"/>
              <w:tr2bl w:val="nil"/>
            </w:tcBorders>
            <w:noWrap w:val="0"/>
            <w:tcMar>
              <w:top w:w="15" w:type="dxa"/>
              <w:left w:w="15" w:type="dxa"/>
              <w:right w:w="15" w:type="dxa"/>
            </w:tcMar>
            <w:vAlign w:val="center"/>
          </w:tcPr>
          <w:p w14:paraId="7BF011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3.77</w:t>
            </w:r>
          </w:p>
        </w:tc>
        <w:tc>
          <w:tcPr>
            <w:tcW w:w="2266" w:type="dxa"/>
            <w:tcBorders>
              <w:tl2br w:val="nil"/>
              <w:tr2bl w:val="nil"/>
            </w:tcBorders>
            <w:noWrap w:val="0"/>
            <w:tcMar>
              <w:top w:w="15" w:type="dxa"/>
              <w:left w:w="15" w:type="dxa"/>
              <w:right w:w="15" w:type="dxa"/>
            </w:tcMar>
            <w:vAlign w:val="center"/>
          </w:tcPr>
          <w:p w14:paraId="5F7449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36.4</w:t>
            </w:r>
          </w:p>
        </w:tc>
        <w:tc>
          <w:tcPr>
            <w:tcW w:w="2264" w:type="dxa"/>
            <w:tcBorders>
              <w:tl2br w:val="nil"/>
              <w:tr2bl w:val="nil"/>
            </w:tcBorders>
            <w:noWrap w:val="0"/>
            <w:tcMar>
              <w:top w:w="15" w:type="dxa"/>
              <w:left w:w="15" w:type="dxa"/>
              <w:right w:w="15" w:type="dxa"/>
            </w:tcMar>
            <w:vAlign w:val="center"/>
          </w:tcPr>
          <w:p w14:paraId="276F8B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18.38</w:t>
            </w:r>
          </w:p>
        </w:tc>
      </w:tr>
      <w:tr w14:paraId="68620A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24911A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265" w:type="dxa"/>
            <w:tcBorders>
              <w:tl2br w:val="nil"/>
              <w:tr2bl w:val="nil"/>
            </w:tcBorders>
            <w:noWrap w:val="0"/>
            <w:tcMar>
              <w:top w:w="15" w:type="dxa"/>
              <w:left w:w="15" w:type="dxa"/>
              <w:right w:w="15" w:type="dxa"/>
            </w:tcMar>
            <w:vAlign w:val="center"/>
          </w:tcPr>
          <w:p w14:paraId="529429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5.64</w:t>
            </w:r>
          </w:p>
        </w:tc>
        <w:tc>
          <w:tcPr>
            <w:tcW w:w="2266" w:type="dxa"/>
            <w:tcBorders>
              <w:tl2br w:val="nil"/>
              <w:tr2bl w:val="nil"/>
            </w:tcBorders>
            <w:noWrap w:val="0"/>
            <w:tcMar>
              <w:top w:w="15" w:type="dxa"/>
              <w:left w:w="15" w:type="dxa"/>
              <w:right w:w="15" w:type="dxa"/>
            </w:tcMar>
            <w:vAlign w:val="center"/>
          </w:tcPr>
          <w:p w14:paraId="78DD1D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36.5</w:t>
            </w:r>
          </w:p>
        </w:tc>
        <w:tc>
          <w:tcPr>
            <w:tcW w:w="2264" w:type="dxa"/>
            <w:tcBorders>
              <w:tl2br w:val="nil"/>
              <w:tr2bl w:val="nil"/>
            </w:tcBorders>
            <w:noWrap w:val="0"/>
            <w:tcMar>
              <w:top w:w="15" w:type="dxa"/>
              <w:left w:w="15" w:type="dxa"/>
              <w:right w:w="15" w:type="dxa"/>
            </w:tcMar>
            <w:vAlign w:val="center"/>
          </w:tcPr>
          <w:p w14:paraId="440DC2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18.76</w:t>
            </w:r>
          </w:p>
        </w:tc>
      </w:tr>
      <w:tr w14:paraId="58A36F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08423B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265" w:type="dxa"/>
            <w:tcBorders>
              <w:tl2br w:val="nil"/>
              <w:tr2bl w:val="nil"/>
            </w:tcBorders>
            <w:noWrap w:val="0"/>
            <w:tcMar>
              <w:top w:w="15" w:type="dxa"/>
              <w:left w:w="15" w:type="dxa"/>
              <w:right w:w="15" w:type="dxa"/>
            </w:tcMar>
            <w:vAlign w:val="center"/>
          </w:tcPr>
          <w:p w14:paraId="0E0B61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7.86</w:t>
            </w:r>
          </w:p>
        </w:tc>
        <w:tc>
          <w:tcPr>
            <w:tcW w:w="2266" w:type="dxa"/>
            <w:tcBorders>
              <w:tl2br w:val="nil"/>
              <w:tr2bl w:val="nil"/>
            </w:tcBorders>
            <w:noWrap w:val="0"/>
            <w:tcMar>
              <w:top w:w="15" w:type="dxa"/>
              <w:left w:w="15" w:type="dxa"/>
              <w:right w:w="15" w:type="dxa"/>
            </w:tcMar>
            <w:vAlign w:val="center"/>
          </w:tcPr>
          <w:p w14:paraId="348F72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36.6</w:t>
            </w:r>
          </w:p>
        </w:tc>
        <w:tc>
          <w:tcPr>
            <w:tcW w:w="2264" w:type="dxa"/>
            <w:tcBorders>
              <w:tl2br w:val="nil"/>
              <w:tr2bl w:val="nil"/>
            </w:tcBorders>
            <w:noWrap w:val="0"/>
            <w:tcMar>
              <w:top w:w="15" w:type="dxa"/>
              <w:left w:w="15" w:type="dxa"/>
              <w:right w:w="15" w:type="dxa"/>
            </w:tcMar>
            <w:vAlign w:val="center"/>
          </w:tcPr>
          <w:p w14:paraId="054B3B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19.15</w:t>
            </w:r>
          </w:p>
        </w:tc>
      </w:tr>
      <w:tr w14:paraId="188BC2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2440E8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265" w:type="dxa"/>
            <w:tcBorders>
              <w:tl2br w:val="nil"/>
              <w:tr2bl w:val="nil"/>
            </w:tcBorders>
            <w:noWrap w:val="0"/>
            <w:tcMar>
              <w:top w:w="15" w:type="dxa"/>
              <w:left w:w="15" w:type="dxa"/>
              <w:right w:w="15" w:type="dxa"/>
            </w:tcMar>
            <w:vAlign w:val="center"/>
          </w:tcPr>
          <w:p w14:paraId="7EAFA7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10.4</w:t>
            </w:r>
          </w:p>
        </w:tc>
        <w:tc>
          <w:tcPr>
            <w:tcW w:w="2266" w:type="dxa"/>
            <w:tcBorders>
              <w:tl2br w:val="nil"/>
              <w:tr2bl w:val="nil"/>
            </w:tcBorders>
            <w:noWrap w:val="0"/>
            <w:tcMar>
              <w:top w:w="15" w:type="dxa"/>
              <w:left w:w="15" w:type="dxa"/>
              <w:right w:w="15" w:type="dxa"/>
            </w:tcMar>
            <w:vAlign w:val="center"/>
          </w:tcPr>
          <w:p w14:paraId="633B4D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36.7</w:t>
            </w:r>
          </w:p>
        </w:tc>
        <w:tc>
          <w:tcPr>
            <w:tcW w:w="2264" w:type="dxa"/>
            <w:tcBorders>
              <w:tl2br w:val="nil"/>
              <w:tr2bl w:val="nil"/>
            </w:tcBorders>
            <w:noWrap w:val="0"/>
            <w:tcMar>
              <w:top w:w="15" w:type="dxa"/>
              <w:left w:w="15" w:type="dxa"/>
              <w:right w:w="15" w:type="dxa"/>
            </w:tcMar>
            <w:vAlign w:val="center"/>
          </w:tcPr>
          <w:p w14:paraId="46EDCF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19.54</w:t>
            </w:r>
          </w:p>
        </w:tc>
      </w:tr>
      <w:tr w14:paraId="0E4DE9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5314B5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265" w:type="dxa"/>
            <w:tcBorders>
              <w:tl2br w:val="nil"/>
              <w:tr2bl w:val="nil"/>
            </w:tcBorders>
            <w:noWrap w:val="0"/>
            <w:tcMar>
              <w:top w:w="15" w:type="dxa"/>
              <w:left w:w="15" w:type="dxa"/>
              <w:right w:w="15" w:type="dxa"/>
            </w:tcMar>
            <w:vAlign w:val="center"/>
          </w:tcPr>
          <w:p w14:paraId="0D73B0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13.41</w:t>
            </w:r>
          </w:p>
        </w:tc>
        <w:tc>
          <w:tcPr>
            <w:tcW w:w="2266" w:type="dxa"/>
            <w:tcBorders>
              <w:tl2br w:val="nil"/>
              <w:tr2bl w:val="nil"/>
            </w:tcBorders>
            <w:noWrap w:val="0"/>
            <w:tcMar>
              <w:top w:w="15" w:type="dxa"/>
              <w:left w:w="15" w:type="dxa"/>
              <w:right w:w="15" w:type="dxa"/>
            </w:tcMar>
            <w:vAlign w:val="center"/>
          </w:tcPr>
          <w:p w14:paraId="169136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36.8</w:t>
            </w:r>
          </w:p>
        </w:tc>
        <w:tc>
          <w:tcPr>
            <w:tcW w:w="2264" w:type="dxa"/>
            <w:tcBorders>
              <w:tl2br w:val="nil"/>
              <w:tr2bl w:val="nil"/>
            </w:tcBorders>
            <w:noWrap w:val="0"/>
            <w:tcMar>
              <w:top w:w="15" w:type="dxa"/>
              <w:left w:w="15" w:type="dxa"/>
              <w:right w:w="15" w:type="dxa"/>
            </w:tcMar>
            <w:vAlign w:val="center"/>
          </w:tcPr>
          <w:p w14:paraId="3815BF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19.94</w:t>
            </w:r>
          </w:p>
        </w:tc>
      </w:tr>
      <w:tr w14:paraId="255F5C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65A802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35.1</w:t>
            </w:r>
          </w:p>
        </w:tc>
        <w:tc>
          <w:tcPr>
            <w:tcW w:w="2265" w:type="dxa"/>
            <w:tcBorders>
              <w:tl2br w:val="nil"/>
              <w:tr2bl w:val="nil"/>
            </w:tcBorders>
            <w:noWrap w:val="0"/>
            <w:tcMar>
              <w:top w:w="15" w:type="dxa"/>
              <w:left w:w="15" w:type="dxa"/>
              <w:right w:w="15" w:type="dxa"/>
            </w:tcMar>
            <w:vAlign w:val="center"/>
          </w:tcPr>
          <w:p w14:paraId="6B48B0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13.74</w:t>
            </w:r>
          </w:p>
        </w:tc>
        <w:tc>
          <w:tcPr>
            <w:tcW w:w="2266" w:type="dxa"/>
            <w:tcBorders>
              <w:tl2br w:val="nil"/>
              <w:tr2bl w:val="nil"/>
            </w:tcBorders>
            <w:noWrap w:val="0"/>
            <w:tcMar>
              <w:top w:w="15" w:type="dxa"/>
              <w:left w:w="15" w:type="dxa"/>
              <w:right w:w="15" w:type="dxa"/>
            </w:tcMar>
            <w:vAlign w:val="center"/>
          </w:tcPr>
          <w:p w14:paraId="1BE2F1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36.9</w:t>
            </w:r>
          </w:p>
        </w:tc>
        <w:tc>
          <w:tcPr>
            <w:tcW w:w="2264" w:type="dxa"/>
            <w:tcBorders>
              <w:tl2br w:val="nil"/>
              <w:tr2bl w:val="nil"/>
            </w:tcBorders>
            <w:noWrap w:val="0"/>
            <w:tcMar>
              <w:top w:w="15" w:type="dxa"/>
              <w:left w:w="15" w:type="dxa"/>
              <w:right w:w="15" w:type="dxa"/>
            </w:tcMar>
            <w:vAlign w:val="center"/>
          </w:tcPr>
          <w:p w14:paraId="7007C1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20.34</w:t>
            </w:r>
          </w:p>
        </w:tc>
      </w:tr>
      <w:tr w14:paraId="79E53A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164469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35.2</w:t>
            </w:r>
          </w:p>
        </w:tc>
        <w:tc>
          <w:tcPr>
            <w:tcW w:w="2265" w:type="dxa"/>
            <w:tcBorders>
              <w:tl2br w:val="nil"/>
              <w:tr2bl w:val="nil"/>
            </w:tcBorders>
            <w:noWrap w:val="0"/>
            <w:tcMar>
              <w:top w:w="15" w:type="dxa"/>
              <w:left w:w="15" w:type="dxa"/>
              <w:right w:w="15" w:type="dxa"/>
            </w:tcMar>
            <w:vAlign w:val="center"/>
          </w:tcPr>
          <w:p w14:paraId="22CF8B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14.07</w:t>
            </w:r>
          </w:p>
        </w:tc>
        <w:tc>
          <w:tcPr>
            <w:tcW w:w="2266" w:type="dxa"/>
            <w:tcBorders>
              <w:tl2br w:val="nil"/>
              <w:tr2bl w:val="nil"/>
            </w:tcBorders>
            <w:noWrap w:val="0"/>
            <w:tcMar>
              <w:top w:w="15" w:type="dxa"/>
              <w:left w:w="15" w:type="dxa"/>
              <w:right w:w="15" w:type="dxa"/>
            </w:tcMar>
            <w:vAlign w:val="center"/>
          </w:tcPr>
          <w:p w14:paraId="7A7D43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264" w:type="dxa"/>
            <w:tcBorders>
              <w:tl2br w:val="nil"/>
              <w:tr2bl w:val="nil"/>
            </w:tcBorders>
            <w:noWrap w:val="0"/>
            <w:tcMar>
              <w:top w:w="15" w:type="dxa"/>
              <w:left w:w="15" w:type="dxa"/>
              <w:right w:w="15" w:type="dxa"/>
            </w:tcMar>
            <w:vAlign w:val="center"/>
          </w:tcPr>
          <w:p w14:paraId="21D2FC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20.74</w:t>
            </w:r>
          </w:p>
        </w:tc>
      </w:tr>
      <w:tr w14:paraId="0B848D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0B7F70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35.3</w:t>
            </w:r>
          </w:p>
        </w:tc>
        <w:tc>
          <w:tcPr>
            <w:tcW w:w="2265" w:type="dxa"/>
            <w:tcBorders>
              <w:tl2br w:val="nil"/>
              <w:tr2bl w:val="nil"/>
            </w:tcBorders>
            <w:noWrap w:val="0"/>
            <w:tcMar>
              <w:top w:w="15" w:type="dxa"/>
              <w:left w:w="15" w:type="dxa"/>
              <w:right w:w="15" w:type="dxa"/>
            </w:tcMar>
            <w:vAlign w:val="center"/>
          </w:tcPr>
          <w:p w14:paraId="78C50E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14.41</w:t>
            </w:r>
          </w:p>
        </w:tc>
        <w:tc>
          <w:tcPr>
            <w:tcW w:w="2266" w:type="dxa"/>
            <w:tcBorders>
              <w:tl2br w:val="nil"/>
              <w:tr2bl w:val="nil"/>
            </w:tcBorders>
            <w:noWrap w:val="0"/>
            <w:tcMar>
              <w:top w:w="15" w:type="dxa"/>
              <w:left w:w="15" w:type="dxa"/>
              <w:right w:w="15" w:type="dxa"/>
            </w:tcMar>
            <w:vAlign w:val="center"/>
          </w:tcPr>
          <w:p w14:paraId="27A0F8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37.1</w:t>
            </w:r>
          </w:p>
        </w:tc>
        <w:tc>
          <w:tcPr>
            <w:tcW w:w="2264" w:type="dxa"/>
            <w:tcBorders>
              <w:tl2br w:val="nil"/>
              <w:tr2bl w:val="nil"/>
            </w:tcBorders>
            <w:noWrap w:val="0"/>
            <w:tcMar>
              <w:top w:w="15" w:type="dxa"/>
              <w:left w:w="15" w:type="dxa"/>
              <w:right w:w="15" w:type="dxa"/>
            </w:tcMar>
            <w:vAlign w:val="center"/>
          </w:tcPr>
          <w:p w14:paraId="7DF371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21.14</w:t>
            </w:r>
          </w:p>
        </w:tc>
      </w:tr>
      <w:tr w14:paraId="69AB21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3AFE43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35.4</w:t>
            </w:r>
          </w:p>
        </w:tc>
        <w:tc>
          <w:tcPr>
            <w:tcW w:w="2265" w:type="dxa"/>
            <w:tcBorders>
              <w:tl2br w:val="nil"/>
              <w:tr2bl w:val="nil"/>
            </w:tcBorders>
            <w:noWrap w:val="0"/>
            <w:tcMar>
              <w:top w:w="15" w:type="dxa"/>
              <w:left w:w="15" w:type="dxa"/>
              <w:right w:w="15" w:type="dxa"/>
            </w:tcMar>
            <w:vAlign w:val="center"/>
          </w:tcPr>
          <w:p w14:paraId="32E247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14.75</w:t>
            </w:r>
          </w:p>
        </w:tc>
        <w:tc>
          <w:tcPr>
            <w:tcW w:w="2266" w:type="dxa"/>
            <w:tcBorders>
              <w:tl2br w:val="nil"/>
              <w:tr2bl w:val="nil"/>
            </w:tcBorders>
            <w:noWrap w:val="0"/>
            <w:tcMar>
              <w:top w:w="15" w:type="dxa"/>
              <w:left w:w="15" w:type="dxa"/>
              <w:right w:w="15" w:type="dxa"/>
            </w:tcMar>
            <w:vAlign w:val="center"/>
          </w:tcPr>
          <w:p w14:paraId="416A95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37.2</w:t>
            </w:r>
          </w:p>
        </w:tc>
        <w:tc>
          <w:tcPr>
            <w:tcW w:w="2264" w:type="dxa"/>
            <w:tcBorders>
              <w:tl2br w:val="nil"/>
              <w:tr2bl w:val="nil"/>
            </w:tcBorders>
            <w:noWrap w:val="0"/>
            <w:tcMar>
              <w:top w:w="15" w:type="dxa"/>
              <w:left w:w="15" w:type="dxa"/>
              <w:right w:w="15" w:type="dxa"/>
            </w:tcMar>
            <w:vAlign w:val="center"/>
          </w:tcPr>
          <w:p w14:paraId="5D2FDF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21.55 </w:t>
            </w:r>
          </w:p>
        </w:tc>
      </w:tr>
      <w:tr w14:paraId="188E2A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7304FC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35.5</w:t>
            </w:r>
          </w:p>
        </w:tc>
        <w:tc>
          <w:tcPr>
            <w:tcW w:w="2265" w:type="dxa"/>
            <w:tcBorders>
              <w:tl2br w:val="nil"/>
              <w:tr2bl w:val="nil"/>
            </w:tcBorders>
            <w:noWrap w:val="0"/>
            <w:tcMar>
              <w:top w:w="15" w:type="dxa"/>
              <w:left w:w="15" w:type="dxa"/>
              <w:right w:w="15" w:type="dxa"/>
            </w:tcMar>
            <w:vAlign w:val="center"/>
          </w:tcPr>
          <w:p w14:paraId="073410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15.1</w:t>
            </w:r>
          </w:p>
        </w:tc>
        <w:tc>
          <w:tcPr>
            <w:tcW w:w="2266" w:type="dxa"/>
            <w:tcBorders>
              <w:tl2br w:val="nil"/>
              <w:tr2bl w:val="nil"/>
            </w:tcBorders>
            <w:noWrap w:val="0"/>
            <w:tcMar>
              <w:top w:w="15" w:type="dxa"/>
              <w:left w:w="15" w:type="dxa"/>
              <w:right w:w="15" w:type="dxa"/>
            </w:tcMar>
            <w:vAlign w:val="center"/>
          </w:tcPr>
          <w:p w14:paraId="10B4E7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37.3</w:t>
            </w:r>
          </w:p>
        </w:tc>
        <w:tc>
          <w:tcPr>
            <w:tcW w:w="2264" w:type="dxa"/>
            <w:tcBorders>
              <w:tl2br w:val="nil"/>
              <w:tr2bl w:val="nil"/>
            </w:tcBorders>
            <w:noWrap w:val="0"/>
            <w:tcMar>
              <w:top w:w="15" w:type="dxa"/>
              <w:left w:w="15" w:type="dxa"/>
              <w:right w:w="15" w:type="dxa"/>
            </w:tcMar>
            <w:vAlign w:val="center"/>
          </w:tcPr>
          <w:p w14:paraId="2B83F0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21.97 </w:t>
            </w:r>
          </w:p>
        </w:tc>
      </w:tr>
      <w:tr w14:paraId="5B7B98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26C8EB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35.6</w:t>
            </w:r>
          </w:p>
        </w:tc>
        <w:tc>
          <w:tcPr>
            <w:tcW w:w="2265" w:type="dxa"/>
            <w:tcBorders>
              <w:tl2br w:val="nil"/>
              <w:tr2bl w:val="nil"/>
            </w:tcBorders>
            <w:noWrap w:val="0"/>
            <w:tcMar>
              <w:top w:w="15" w:type="dxa"/>
              <w:left w:w="15" w:type="dxa"/>
              <w:right w:w="15" w:type="dxa"/>
            </w:tcMar>
            <w:vAlign w:val="center"/>
          </w:tcPr>
          <w:p w14:paraId="3DC137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15.45</w:t>
            </w:r>
          </w:p>
        </w:tc>
        <w:tc>
          <w:tcPr>
            <w:tcW w:w="2266" w:type="dxa"/>
            <w:tcBorders>
              <w:tl2br w:val="nil"/>
              <w:tr2bl w:val="nil"/>
            </w:tcBorders>
            <w:noWrap w:val="0"/>
            <w:tcMar>
              <w:top w:w="15" w:type="dxa"/>
              <w:left w:w="15" w:type="dxa"/>
              <w:right w:w="15" w:type="dxa"/>
            </w:tcMar>
            <w:vAlign w:val="center"/>
          </w:tcPr>
          <w:p w14:paraId="220A07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37.4</w:t>
            </w:r>
          </w:p>
        </w:tc>
        <w:tc>
          <w:tcPr>
            <w:tcW w:w="2264" w:type="dxa"/>
            <w:tcBorders>
              <w:tl2br w:val="nil"/>
              <w:tr2bl w:val="nil"/>
            </w:tcBorders>
            <w:noWrap w:val="0"/>
            <w:tcMar>
              <w:top w:w="15" w:type="dxa"/>
              <w:left w:w="15" w:type="dxa"/>
              <w:right w:w="15" w:type="dxa"/>
            </w:tcMar>
            <w:vAlign w:val="center"/>
          </w:tcPr>
          <w:p w14:paraId="159485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22.39 </w:t>
            </w:r>
          </w:p>
        </w:tc>
      </w:tr>
      <w:tr w14:paraId="27A635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trPr>
        <w:tc>
          <w:tcPr>
            <w:tcW w:w="2265" w:type="dxa"/>
            <w:tcBorders>
              <w:tl2br w:val="nil"/>
              <w:tr2bl w:val="nil"/>
            </w:tcBorders>
            <w:noWrap w:val="0"/>
            <w:tcMar>
              <w:top w:w="15" w:type="dxa"/>
              <w:left w:w="15" w:type="dxa"/>
              <w:right w:w="15" w:type="dxa"/>
            </w:tcMar>
            <w:vAlign w:val="center"/>
          </w:tcPr>
          <w:p w14:paraId="39B9F1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35.7</w:t>
            </w:r>
          </w:p>
        </w:tc>
        <w:tc>
          <w:tcPr>
            <w:tcW w:w="2265" w:type="dxa"/>
            <w:tcBorders>
              <w:tl2br w:val="nil"/>
              <w:tr2bl w:val="nil"/>
            </w:tcBorders>
            <w:noWrap w:val="0"/>
            <w:tcMar>
              <w:top w:w="15" w:type="dxa"/>
              <w:left w:w="15" w:type="dxa"/>
              <w:right w:w="15" w:type="dxa"/>
            </w:tcMar>
            <w:vAlign w:val="center"/>
          </w:tcPr>
          <w:p w14:paraId="419C7B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15.8</w:t>
            </w:r>
          </w:p>
        </w:tc>
        <w:tc>
          <w:tcPr>
            <w:tcW w:w="2266" w:type="dxa"/>
            <w:tcBorders>
              <w:tl2br w:val="nil"/>
              <w:tr2bl w:val="nil"/>
            </w:tcBorders>
            <w:noWrap w:val="0"/>
            <w:tcMar>
              <w:top w:w="15" w:type="dxa"/>
              <w:left w:w="15" w:type="dxa"/>
              <w:right w:w="15" w:type="dxa"/>
            </w:tcMar>
            <w:vAlign w:val="center"/>
          </w:tcPr>
          <w:p w14:paraId="4345CB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37.5</w:t>
            </w:r>
          </w:p>
        </w:tc>
        <w:tc>
          <w:tcPr>
            <w:tcW w:w="2264" w:type="dxa"/>
            <w:tcBorders>
              <w:tl2br w:val="nil"/>
              <w:tr2bl w:val="nil"/>
            </w:tcBorders>
            <w:noWrap w:val="0"/>
            <w:tcMar>
              <w:top w:w="15" w:type="dxa"/>
              <w:left w:w="15" w:type="dxa"/>
              <w:right w:w="15" w:type="dxa"/>
            </w:tcMar>
            <w:vAlign w:val="center"/>
          </w:tcPr>
          <w:p w14:paraId="281F80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22.81 </w:t>
            </w:r>
          </w:p>
        </w:tc>
      </w:tr>
    </w:tbl>
    <w:p w14:paraId="017E529F">
      <w:pPr>
        <w:jc w:val="center"/>
        <w:outlineLvl w:val="1"/>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color w:val="auto"/>
          <w:highlight w:val="none"/>
        </w:rPr>
        <w:drawing>
          <wp:anchor distT="0" distB="0" distL="114300" distR="114300" simplePos="0" relativeHeight="251659264" behindDoc="0" locked="0" layoutInCell="1" allowOverlap="1">
            <wp:simplePos x="0" y="0"/>
            <wp:positionH relativeFrom="column">
              <wp:posOffset>10795</wp:posOffset>
            </wp:positionH>
            <wp:positionV relativeFrom="paragraph">
              <wp:posOffset>225425</wp:posOffset>
            </wp:positionV>
            <wp:extent cx="5757545" cy="3388360"/>
            <wp:effectExtent l="0" t="0" r="14605" b="254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0"/>
                    <a:stretch>
                      <a:fillRect/>
                    </a:stretch>
                  </pic:blipFill>
                  <pic:spPr>
                    <a:xfrm>
                      <a:off x="0" y="0"/>
                      <a:ext cx="5757545" cy="3388360"/>
                    </a:xfrm>
                    <a:prstGeom prst="rect">
                      <a:avLst/>
                    </a:prstGeom>
                    <a:noFill/>
                    <a:ln>
                      <a:noFill/>
                    </a:ln>
                  </pic:spPr>
                </pic:pic>
              </a:graphicData>
            </a:graphic>
          </wp:anchor>
        </w:drawing>
      </w:r>
      <w:bookmarkStart w:id="74" w:name="_Toc14341"/>
      <w:r>
        <w:rPr>
          <w:rFonts w:hint="default" w:ascii="Times New Roman" w:hAnsi="Times New Roman" w:eastAsia="楷体" w:cs="Times New Roman"/>
          <w:b/>
          <w:bCs/>
          <w:color w:val="auto"/>
          <w:sz w:val="28"/>
          <w:szCs w:val="28"/>
          <w:highlight w:val="none"/>
        </w:rPr>
        <w:t>表3    丰收水库溢洪道下泄流量表</w:t>
      </w:r>
      <w:bookmarkEnd w:id="74"/>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7"/>
        <w:gridCol w:w="1289"/>
        <w:gridCol w:w="1289"/>
        <w:gridCol w:w="1289"/>
        <w:gridCol w:w="1289"/>
        <w:gridCol w:w="1286"/>
      </w:tblGrid>
      <w:tr w14:paraId="3D0C1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30978AF5">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ign w:val="center"/>
          </w:tcPr>
          <w:p w14:paraId="1AB67CCF">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36.4</w:t>
            </w:r>
          </w:p>
        </w:tc>
        <w:tc>
          <w:tcPr>
            <w:tcW w:w="1289" w:type="dxa"/>
            <w:noWrap/>
            <w:vAlign w:val="center"/>
          </w:tcPr>
          <w:p w14:paraId="6BD720DA">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36.5</w:t>
            </w:r>
          </w:p>
        </w:tc>
        <w:tc>
          <w:tcPr>
            <w:tcW w:w="1289" w:type="dxa"/>
            <w:noWrap/>
            <w:vAlign w:val="center"/>
          </w:tcPr>
          <w:p w14:paraId="44785A68">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36.6</w:t>
            </w:r>
          </w:p>
        </w:tc>
        <w:tc>
          <w:tcPr>
            <w:tcW w:w="1289" w:type="dxa"/>
            <w:noWrap/>
            <w:vAlign w:val="center"/>
          </w:tcPr>
          <w:p w14:paraId="2736C10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36.7</w:t>
            </w:r>
          </w:p>
        </w:tc>
        <w:tc>
          <w:tcPr>
            <w:tcW w:w="1286" w:type="dxa"/>
            <w:noWrap/>
            <w:vAlign w:val="center"/>
          </w:tcPr>
          <w:p w14:paraId="52D22485">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36.8</w:t>
            </w:r>
          </w:p>
        </w:tc>
      </w:tr>
      <w:tr w14:paraId="7E874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6B2AC06C">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ign w:val="center"/>
          </w:tcPr>
          <w:p w14:paraId="4FC6308F">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 </w:t>
            </w:r>
          </w:p>
        </w:tc>
        <w:tc>
          <w:tcPr>
            <w:tcW w:w="1289" w:type="dxa"/>
            <w:noWrap/>
            <w:vAlign w:val="center"/>
          </w:tcPr>
          <w:p w14:paraId="147B7D8B">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0.32 </w:t>
            </w:r>
          </w:p>
        </w:tc>
        <w:tc>
          <w:tcPr>
            <w:tcW w:w="1289" w:type="dxa"/>
            <w:noWrap/>
            <w:vAlign w:val="center"/>
          </w:tcPr>
          <w:p w14:paraId="2BAFD6CF">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0.79 </w:t>
            </w:r>
          </w:p>
        </w:tc>
        <w:tc>
          <w:tcPr>
            <w:tcW w:w="1289" w:type="dxa"/>
            <w:noWrap/>
            <w:vAlign w:val="center"/>
          </w:tcPr>
          <w:p w14:paraId="26A70529">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1.38 </w:t>
            </w:r>
          </w:p>
        </w:tc>
        <w:tc>
          <w:tcPr>
            <w:tcW w:w="1286" w:type="dxa"/>
            <w:noWrap/>
            <w:vAlign w:val="center"/>
          </w:tcPr>
          <w:p w14:paraId="6652848B">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2.06 </w:t>
            </w:r>
          </w:p>
        </w:tc>
      </w:tr>
      <w:tr w14:paraId="30B52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65C772B7">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ign w:val="center"/>
          </w:tcPr>
          <w:p w14:paraId="47AC392B">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36.9</w:t>
            </w:r>
          </w:p>
        </w:tc>
        <w:tc>
          <w:tcPr>
            <w:tcW w:w="1289" w:type="dxa"/>
            <w:noWrap/>
            <w:vAlign w:val="center"/>
          </w:tcPr>
          <w:p w14:paraId="280F069A">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w:t>
            </w:r>
          </w:p>
        </w:tc>
        <w:tc>
          <w:tcPr>
            <w:tcW w:w="1289" w:type="dxa"/>
            <w:noWrap/>
            <w:vAlign w:val="center"/>
          </w:tcPr>
          <w:p w14:paraId="177C4C1F">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37.1</w:t>
            </w:r>
          </w:p>
        </w:tc>
        <w:tc>
          <w:tcPr>
            <w:tcW w:w="1289" w:type="dxa"/>
            <w:noWrap/>
            <w:vAlign w:val="center"/>
          </w:tcPr>
          <w:p w14:paraId="06481E85">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37.2</w:t>
            </w:r>
          </w:p>
        </w:tc>
        <w:tc>
          <w:tcPr>
            <w:tcW w:w="1286" w:type="dxa"/>
            <w:noWrap/>
            <w:vAlign w:val="center"/>
          </w:tcPr>
          <w:p w14:paraId="2AF27C64">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37.3</w:t>
            </w:r>
          </w:p>
        </w:tc>
      </w:tr>
      <w:tr w14:paraId="0EDF1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6A87B310">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ign w:val="center"/>
          </w:tcPr>
          <w:p w14:paraId="5117B585">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2.81 </w:t>
            </w:r>
          </w:p>
        </w:tc>
        <w:tc>
          <w:tcPr>
            <w:tcW w:w="1289" w:type="dxa"/>
            <w:noWrap/>
            <w:vAlign w:val="center"/>
          </w:tcPr>
          <w:p w14:paraId="790BBAA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3.62 </w:t>
            </w:r>
          </w:p>
        </w:tc>
        <w:tc>
          <w:tcPr>
            <w:tcW w:w="1289" w:type="dxa"/>
            <w:noWrap/>
            <w:vAlign w:val="center"/>
          </w:tcPr>
          <w:p w14:paraId="416AE147">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4.47 </w:t>
            </w:r>
          </w:p>
        </w:tc>
        <w:tc>
          <w:tcPr>
            <w:tcW w:w="1289" w:type="dxa"/>
            <w:noWrap/>
            <w:vAlign w:val="center"/>
          </w:tcPr>
          <w:p w14:paraId="4D1FBD51">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5.35 </w:t>
            </w:r>
          </w:p>
        </w:tc>
        <w:tc>
          <w:tcPr>
            <w:tcW w:w="1286" w:type="dxa"/>
            <w:noWrap/>
            <w:vAlign w:val="center"/>
          </w:tcPr>
          <w:p w14:paraId="3B39A673">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6.27 </w:t>
            </w:r>
          </w:p>
        </w:tc>
      </w:tr>
      <w:tr w14:paraId="597EA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502A8C2A">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ign w:val="center"/>
          </w:tcPr>
          <w:p w14:paraId="132898D9">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37.4</w:t>
            </w:r>
          </w:p>
        </w:tc>
        <w:tc>
          <w:tcPr>
            <w:tcW w:w="1289" w:type="dxa"/>
            <w:noWrap/>
            <w:vAlign w:val="center"/>
          </w:tcPr>
          <w:p w14:paraId="26330C10">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37.5</w:t>
            </w:r>
          </w:p>
        </w:tc>
        <w:tc>
          <w:tcPr>
            <w:tcW w:w="1289" w:type="dxa"/>
            <w:noWrap/>
            <w:vAlign w:val="center"/>
          </w:tcPr>
          <w:p w14:paraId="54C1B267">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37.6</w:t>
            </w:r>
          </w:p>
        </w:tc>
        <w:tc>
          <w:tcPr>
            <w:tcW w:w="1289" w:type="dxa"/>
            <w:noWrap/>
            <w:vAlign w:val="center"/>
          </w:tcPr>
          <w:p w14:paraId="10BEB581">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37.7</w:t>
            </w:r>
          </w:p>
        </w:tc>
        <w:tc>
          <w:tcPr>
            <w:tcW w:w="1286" w:type="dxa"/>
            <w:noWrap/>
            <w:vAlign w:val="center"/>
          </w:tcPr>
          <w:p w14:paraId="106433B2">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37.8</w:t>
            </w:r>
          </w:p>
        </w:tc>
      </w:tr>
      <w:tr w14:paraId="5DD11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5E867C0B">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ign w:val="center"/>
          </w:tcPr>
          <w:p w14:paraId="1B7382C3">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7.22 </w:t>
            </w:r>
          </w:p>
        </w:tc>
        <w:tc>
          <w:tcPr>
            <w:tcW w:w="1289" w:type="dxa"/>
            <w:noWrap/>
            <w:vAlign w:val="center"/>
          </w:tcPr>
          <w:p w14:paraId="5D0086CB">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8.19 </w:t>
            </w:r>
          </w:p>
        </w:tc>
        <w:tc>
          <w:tcPr>
            <w:tcW w:w="1289" w:type="dxa"/>
            <w:noWrap/>
            <w:vAlign w:val="center"/>
          </w:tcPr>
          <w:p w14:paraId="7B038547">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9.17 </w:t>
            </w:r>
          </w:p>
        </w:tc>
        <w:tc>
          <w:tcPr>
            <w:tcW w:w="1289" w:type="dxa"/>
            <w:noWrap/>
            <w:vAlign w:val="center"/>
          </w:tcPr>
          <w:p w14:paraId="4A29B00A">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10.18 </w:t>
            </w:r>
          </w:p>
        </w:tc>
        <w:tc>
          <w:tcPr>
            <w:tcW w:w="1286" w:type="dxa"/>
            <w:noWrap/>
            <w:vAlign w:val="center"/>
          </w:tcPr>
          <w:p w14:paraId="1CCEDC13">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11.20 </w:t>
            </w:r>
          </w:p>
        </w:tc>
      </w:tr>
    </w:tbl>
    <w:p w14:paraId="2EE8794A">
      <w:pPr>
        <w:spacing w:line="520" w:lineRule="exact"/>
        <w:jc w:val="both"/>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color w:val="auto"/>
          <w:highlight w:val="none"/>
        </w:rPr>
        <w:drawing>
          <wp:anchor distT="0" distB="0" distL="114300" distR="114300" simplePos="0" relativeHeight="251660288" behindDoc="0" locked="0" layoutInCell="1" allowOverlap="1">
            <wp:simplePos x="0" y="0"/>
            <wp:positionH relativeFrom="column">
              <wp:posOffset>-113665</wp:posOffset>
            </wp:positionH>
            <wp:positionV relativeFrom="paragraph">
              <wp:posOffset>495300</wp:posOffset>
            </wp:positionV>
            <wp:extent cx="5754370" cy="2727960"/>
            <wp:effectExtent l="0" t="0" r="17780" b="15240"/>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1"/>
                    <a:stretch>
                      <a:fillRect/>
                    </a:stretch>
                  </pic:blipFill>
                  <pic:spPr>
                    <a:xfrm>
                      <a:off x="0" y="0"/>
                      <a:ext cx="5754370" cy="2727960"/>
                    </a:xfrm>
                    <a:prstGeom prst="rect">
                      <a:avLst/>
                    </a:prstGeom>
                    <a:noFill/>
                    <a:ln>
                      <a:noFill/>
                    </a:ln>
                  </pic:spPr>
                </pic:pic>
              </a:graphicData>
            </a:graphic>
          </wp:anchor>
        </w:drawing>
      </w:r>
    </w:p>
    <w:p w14:paraId="25508D6E">
      <w:pPr>
        <w:spacing w:line="520" w:lineRule="exact"/>
        <w:jc w:val="center"/>
        <w:outlineLvl w:val="1"/>
        <w:rPr>
          <w:rFonts w:hint="default" w:ascii="Times New Roman" w:hAnsi="Times New Roman" w:eastAsia="楷体" w:cs="Times New Roman"/>
          <w:b/>
          <w:bCs/>
          <w:color w:val="auto"/>
          <w:sz w:val="28"/>
          <w:szCs w:val="28"/>
          <w:highlight w:val="none"/>
        </w:rPr>
      </w:pPr>
      <w:bookmarkStart w:id="75" w:name="_Toc18348"/>
      <w:r>
        <w:rPr>
          <w:rFonts w:hint="default" w:ascii="Times New Roman" w:hAnsi="Times New Roman" w:eastAsia="楷体" w:cs="Times New Roman"/>
          <w:b/>
          <w:bCs/>
          <w:color w:val="auto"/>
          <w:sz w:val="28"/>
          <w:szCs w:val="28"/>
          <w:highlight w:val="none"/>
        </w:rPr>
        <w:t>表4    丰收水库调洪演算成果表（</w:t>
      </w:r>
      <w:r>
        <w:rPr>
          <w:rFonts w:hint="default" w:ascii="Times New Roman" w:hAnsi="Times New Roman" w:eastAsia="楷体" w:cs="Times New Roman"/>
          <w:b/>
          <w:bCs/>
          <w:color w:val="auto"/>
          <w:sz w:val="28"/>
          <w:szCs w:val="28"/>
          <w:highlight w:val="none"/>
          <w:lang w:val="en-US" w:eastAsia="zh-CN"/>
        </w:rPr>
        <w:t>汛</w:t>
      </w:r>
      <w:r>
        <w:rPr>
          <w:rFonts w:hint="default" w:ascii="Times New Roman" w:hAnsi="Times New Roman" w:eastAsia="楷体" w:cs="Times New Roman"/>
          <w:b/>
          <w:bCs/>
          <w:color w:val="auto"/>
          <w:sz w:val="28"/>
          <w:szCs w:val="28"/>
          <w:highlight w:val="none"/>
        </w:rPr>
        <w:t>限水位</w:t>
      </w:r>
      <w:r>
        <w:rPr>
          <w:rFonts w:hint="default" w:ascii="Times New Roman" w:hAnsi="Times New Roman" w:eastAsia="楷体" w:cs="Times New Roman"/>
          <w:b/>
          <w:bCs/>
          <w:color w:val="auto"/>
          <w:sz w:val="28"/>
          <w:szCs w:val="28"/>
          <w:highlight w:val="none"/>
          <w:lang w:val="en-US" w:eastAsia="zh-CN"/>
        </w:rPr>
        <w:t>36.37</w:t>
      </w:r>
      <w:r>
        <w:rPr>
          <w:rFonts w:hint="default" w:ascii="Times New Roman" w:hAnsi="Times New Roman" w:eastAsia="楷体" w:cs="Times New Roman"/>
          <w:b/>
          <w:bCs/>
          <w:color w:val="auto"/>
          <w:sz w:val="28"/>
          <w:szCs w:val="28"/>
          <w:highlight w:val="none"/>
        </w:rPr>
        <w:t>m）</w:t>
      </w:r>
      <w:bookmarkEnd w:id="75"/>
    </w:p>
    <w:tbl>
      <w:tblPr>
        <w:tblStyle w:val="18"/>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5"/>
        <w:gridCol w:w="2045"/>
        <w:gridCol w:w="1778"/>
        <w:gridCol w:w="1586"/>
        <w:gridCol w:w="1587"/>
      </w:tblGrid>
      <w:tr w14:paraId="7179CE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5" w:type="dxa"/>
            <w:noWrap w:val="0"/>
            <w:vAlign w:val="center"/>
          </w:tcPr>
          <w:p w14:paraId="2D92BC26">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设计频率</w:t>
            </w:r>
          </w:p>
        </w:tc>
        <w:tc>
          <w:tcPr>
            <w:tcW w:w="2045" w:type="dxa"/>
            <w:noWrap w:val="0"/>
            <w:vAlign w:val="center"/>
          </w:tcPr>
          <w:p w14:paraId="424019DC">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最大入库流量(m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/s)</w:t>
            </w:r>
          </w:p>
        </w:tc>
        <w:tc>
          <w:tcPr>
            <w:tcW w:w="1778" w:type="dxa"/>
            <w:noWrap w:val="0"/>
            <w:vAlign w:val="center"/>
          </w:tcPr>
          <w:p w14:paraId="71888881">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最大下泄流量(m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/s)</w:t>
            </w:r>
          </w:p>
        </w:tc>
        <w:tc>
          <w:tcPr>
            <w:tcW w:w="1586" w:type="dxa"/>
            <w:noWrap w:val="0"/>
            <w:vAlign w:val="center"/>
          </w:tcPr>
          <w:p w14:paraId="19788791">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最高库水位（m）</w:t>
            </w:r>
          </w:p>
        </w:tc>
        <w:tc>
          <w:tcPr>
            <w:tcW w:w="1587" w:type="dxa"/>
            <w:noWrap w:val="0"/>
            <w:vAlign w:val="center"/>
          </w:tcPr>
          <w:p w14:paraId="0FBABA89">
            <w:pPr>
              <w:widowControl/>
              <w:spacing w:line="440" w:lineRule="exact"/>
              <w:jc w:val="center"/>
              <w:textAlignment w:val="center"/>
              <w:rPr>
                <w:rFonts w:hint="default" w:ascii="Times New Roman" w:hAnsi="Times New Roman" w:eastAsia="楷体" w:cs="Times New Roman"/>
                <w:b/>
                <w:color w:val="auto"/>
                <w:kern w:val="0"/>
                <w:sz w:val="24"/>
                <w:highlight w:val="none"/>
              </w:rPr>
            </w:pPr>
            <w:r>
              <w:rPr>
                <w:rFonts w:hint="default" w:ascii="Times New Roman" w:hAnsi="Times New Roman" w:eastAsia="楷体" w:cs="Times New Roman"/>
                <w:b/>
                <w:color w:val="auto"/>
                <w:kern w:val="0"/>
                <w:sz w:val="24"/>
                <w:highlight w:val="none"/>
              </w:rPr>
              <w:t>设计库容</w:t>
            </w:r>
          </w:p>
          <w:p w14:paraId="3499FC73">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（万m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w:t>
            </w:r>
          </w:p>
        </w:tc>
      </w:tr>
      <w:tr w14:paraId="332E2F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noWrap w:val="0"/>
            <w:vAlign w:val="center"/>
          </w:tcPr>
          <w:p w14:paraId="70AB29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P=5%</w:t>
            </w:r>
          </w:p>
        </w:tc>
        <w:tc>
          <w:tcPr>
            <w:tcW w:w="2045" w:type="dxa"/>
            <w:noWrap w:val="0"/>
            <w:vAlign w:val="center"/>
          </w:tcPr>
          <w:p w14:paraId="74FA12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6.35</w:t>
            </w:r>
          </w:p>
        </w:tc>
        <w:tc>
          <w:tcPr>
            <w:tcW w:w="1778" w:type="dxa"/>
            <w:noWrap w:val="0"/>
            <w:vAlign w:val="center"/>
          </w:tcPr>
          <w:p w14:paraId="0770D5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2.61</w:t>
            </w:r>
          </w:p>
        </w:tc>
        <w:tc>
          <w:tcPr>
            <w:tcW w:w="1586" w:type="dxa"/>
            <w:noWrap w:val="0"/>
            <w:vAlign w:val="center"/>
          </w:tcPr>
          <w:p w14:paraId="3BF62B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36.94</w:t>
            </w:r>
          </w:p>
        </w:tc>
        <w:tc>
          <w:tcPr>
            <w:tcW w:w="1587" w:type="dxa"/>
            <w:noWrap w:val="0"/>
            <w:vAlign w:val="center"/>
          </w:tcPr>
          <w:p w14:paraId="1C28A5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20.46</w:t>
            </w:r>
          </w:p>
        </w:tc>
      </w:tr>
      <w:tr w14:paraId="220EE9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noWrap w:val="0"/>
            <w:vAlign w:val="center"/>
          </w:tcPr>
          <w:p w14:paraId="18C21D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P=0.33%</w:t>
            </w:r>
          </w:p>
        </w:tc>
        <w:tc>
          <w:tcPr>
            <w:tcW w:w="2045" w:type="dxa"/>
            <w:noWrap w:val="0"/>
            <w:vAlign w:val="center"/>
          </w:tcPr>
          <w:p w14:paraId="459A0F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10.1</w:t>
            </w:r>
          </w:p>
        </w:tc>
        <w:tc>
          <w:tcPr>
            <w:tcW w:w="1778" w:type="dxa"/>
            <w:noWrap w:val="0"/>
            <w:vAlign w:val="center"/>
          </w:tcPr>
          <w:p w14:paraId="56DCE1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4.74</w:t>
            </w:r>
          </w:p>
        </w:tc>
        <w:tc>
          <w:tcPr>
            <w:tcW w:w="1586" w:type="dxa"/>
            <w:noWrap w:val="0"/>
            <w:vAlign w:val="center"/>
          </w:tcPr>
          <w:p w14:paraId="02D3E3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37.21</w:t>
            </w:r>
          </w:p>
        </w:tc>
        <w:tc>
          <w:tcPr>
            <w:tcW w:w="1587" w:type="dxa"/>
            <w:noWrap w:val="0"/>
            <w:vAlign w:val="center"/>
          </w:tcPr>
          <w:p w14:paraId="096FDB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21.6</w:t>
            </w:r>
          </w:p>
        </w:tc>
      </w:tr>
    </w:tbl>
    <w:p w14:paraId="48089784">
      <w:pPr>
        <w:tabs>
          <w:tab w:val="left" w:pos="2234"/>
        </w:tabs>
        <w:bidi w:val="0"/>
        <w:jc w:val="left"/>
        <w:rPr>
          <w:rFonts w:hint="default"/>
          <w:kern w:val="2"/>
          <w:sz w:val="21"/>
          <w:szCs w:val="24"/>
          <w:lang w:val="en-US" w:eastAsia="zh-CN" w:bidi="ar-SA"/>
        </w:rPr>
      </w:pPr>
      <w:bookmarkStart w:id="76" w:name="_Toc17772"/>
    </w:p>
    <w:p w14:paraId="0BE8D199">
      <w:pPr>
        <w:jc w:val="center"/>
        <w:outlineLvl w:val="1"/>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表5    丰收水库防洪抢险领导小组成员名单</w:t>
      </w:r>
      <w:bookmarkEnd w:id="76"/>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2233"/>
        <w:gridCol w:w="2545"/>
        <w:gridCol w:w="1858"/>
      </w:tblGrid>
      <w:tr w14:paraId="70C43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6036C2C9">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507" w:type="dxa"/>
            <w:noWrap w:val="0"/>
            <w:vAlign w:val="center"/>
          </w:tcPr>
          <w:p w14:paraId="6F5D02F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2233" w:type="dxa"/>
            <w:noWrap w:val="0"/>
            <w:vAlign w:val="center"/>
          </w:tcPr>
          <w:p w14:paraId="1146347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2545" w:type="dxa"/>
            <w:noWrap w:val="0"/>
            <w:vAlign w:val="center"/>
          </w:tcPr>
          <w:p w14:paraId="01167898">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858" w:type="dxa"/>
            <w:noWrap w:val="0"/>
            <w:vAlign w:val="center"/>
          </w:tcPr>
          <w:p w14:paraId="026BCF5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6D565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249F3E76">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507" w:type="dxa"/>
            <w:noWrap w:val="0"/>
            <w:vAlign w:val="center"/>
          </w:tcPr>
          <w:p w14:paraId="5EBE0A5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前黄镇</w:t>
            </w:r>
          </w:p>
        </w:tc>
        <w:tc>
          <w:tcPr>
            <w:tcW w:w="2233" w:type="dxa"/>
            <w:noWrap w:val="0"/>
            <w:vAlign w:val="center"/>
          </w:tcPr>
          <w:p w14:paraId="5CE4B34C">
            <w:pPr>
              <w:keepNext w:val="0"/>
              <w:keepLines w:val="0"/>
              <w:widowControl/>
              <w:suppressLineNumbers w:val="0"/>
              <w:jc w:val="center"/>
              <w:textAlignment w:val="center"/>
              <w:rPr>
                <w:rFonts w:hint="default" w:ascii="Times New Roman" w:hAnsi="Times New Roman" w:eastAsia="楷体" w:cs="Times New Roman"/>
                <w:color w:val="auto"/>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国</w:t>
            </w:r>
          </w:p>
        </w:tc>
        <w:tc>
          <w:tcPr>
            <w:tcW w:w="2545" w:type="dxa"/>
            <w:noWrap w:val="0"/>
            <w:vAlign w:val="center"/>
          </w:tcPr>
          <w:p w14:paraId="0FC68A25">
            <w:pPr>
              <w:keepNext w:val="0"/>
              <w:keepLines w:val="0"/>
              <w:widowControl/>
              <w:suppressLineNumbers w:val="0"/>
              <w:jc w:val="center"/>
              <w:textAlignment w:val="center"/>
              <w:rPr>
                <w:rFonts w:hint="default" w:ascii="Times New Roman" w:hAnsi="Times New Roman" w:eastAsia="楷体" w:cs="Times New Roman"/>
                <w:color w:val="auto"/>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镇党委副书记、政法委员</w:t>
            </w:r>
          </w:p>
        </w:tc>
        <w:tc>
          <w:tcPr>
            <w:tcW w:w="1858" w:type="dxa"/>
            <w:noWrap w:val="0"/>
            <w:vAlign w:val="center"/>
          </w:tcPr>
          <w:p w14:paraId="618BD9E4">
            <w:pPr>
              <w:keepNext w:val="0"/>
              <w:keepLines w:val="0"/>
              <w:widowControl/>
              <w:suppressLineNumbers w:val="0"/>
              <w:jc w:val="center"/>
              <w:textAlignment w:val="center"/>
              <w:rPr>
                <w:rFonts w:hint="default" w:ascii="Times New Roman" w:hAnsi="Times New Roman" w:eastAsia="楷体" w:cs="Times New Roman"/>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18859737979</w:t>
            </w:r>
          </w:p>
        </w:tc>
      </w:tr>
      <w:tr w14:paraId="689B8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7091FF96">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507" w:type="dxa"/>
            <w:noWrap w:val="0"/>
            <w:vAlign w:val="center"/>
          </w:tcPr>
          <w:p w14:paraId="556C2BC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eastAsia" w:ascii="仿宋_GB2312" w:hAnsi="仿宋_GB2312" w:eastAsia="仿宋_GB2312" w:cs="仿宋_GB2312"/>
                <w:color w:val="auto"/>
                <w:sz w:val="24"/>
                <w:szCs w:val="24"/>
                <w:highlight w:val="none"/>
                <w:lang w:eastAsia="zh-CN"/>
              </w:rPr>
              <w:t>前黄镇</w:t>
            </w:r>
          </w:p>
        </w:tc>
        <w:tc>
          <w:tcPr>
            <w:tcW w:w="2233" w:type="dxa"/>
            <w:noWrap w:val="0"/>
            <w:vAlign w:val="center"/>
          </w:tcPr>
          <w:p w14:paraId="6AD254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eastAsia" w:ascii="仿宋_GB2312" w:hAnsi="仿宋_GB2312" w:eastAsia="仿宋_GB2312" w:cs="仿宋_GB2312"/>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eastAsia" w:ascii="仿宋_GB2312" w:hAnsi="仿宋_GB2312" w:eastAsia="仿宋_GB2312" w:cs="仿宋_GB2312"/>
                <w:color w:val="auto"/>
                <w:sz w:val="24"/>
                <w:szCs w:val="24"/>
                <w:highlight w:val="none"/>
                <w:lang w:eastAsia="zh-CN"/>
              </w:rPr>
              <w:t>冻</w:t>
            </w:r>
          </w:p>
        </w:tc>
        <w:tc>
          <w:tcPr>
            <w:tcW w:w="2545" w:type="dxa"/>
            <w:noWrap w:val="0"/>
            <w:vAlign w:val="center"/>
          </w:tcPr>
          <w:p w14:paraId="3A886C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bidi="ar-SA"/>
              </w:rPr>
              <w:t>镇党委委员、人武部部长、副镇长</w:t>
            </w:r>
          </w:p>
        </w:tc>
        <w:tc>
          <w:tcPr>
            <w:tcW w:w="1858" w:type="dxa"/>
            <w:noWrap w:val="0"/>
            <w:vAlign w:val="center"/>
          </w:tcPr>
          <w:p w14:paraId="6745C3C6">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13505050384</w:t>
            </w:r>
          </w:p>
        </w:tc>
      </w:tr>
      <w:tr w14:paraId="43005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5F77DE48">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507" w:type="dxa"/>
            <w:noWrap w:val="0"/>
            <w:vAlign w:val="center"/>
          </w:tcPr>
          <w:p w14:paraId="57E7C97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eastAsia" w:ascii="仿宋_GB2312" w:hAnsi="仿宋_GB2312" w:eastAsia="仿宋_GB2312" w:cs="仿宋_GB2312"/>
                <w:color w:val="auto"/>
                <w:sz w:val="24"/>
                <w:szCs w:val="24"/>
                <w:highlight w:val="none"/>
                <w:lang w:eastAsia="zh-CN"/>
              </w:rPr>
              <w:t>前黄镇</w:t>
            </w:r>
          </w:p>
        </w:tc>
        <w:tc>
          <w:tcPr>
            <w:tcW w:w="2233" w:type="dxa"/>
            <w:noWrap w:val="0"/>
            <w:vAlign w:val="center"/>
          </w:tcPr>
          <w:p w14:paraId="7A1366A6">
            <w:pPr>
              <w:keepNext w:val="0"/>
              <w:keepLines w:val="0"/>
              <w:widowControl/>
              <w:suppressLineNumbers w:val="0"/>
              <w:jc w:val="center"/>
              <w:textAlignment w:val="center"/>
              <w:rPr>
                <w:rFonts w:hint="default" w:ascii="Times New Roman" w:hAnsi="Times New Roman" w:eastAsia="楷体" w:cs="Times New Roman"/>
                <w:color w:val="auto"/>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高</w:t>
            </w:r>
            <w:r>
              <w:rPr>
                <w:rFonts w:hint="eastAsia" w:eastAsia="楷体" w:cs="Times New Roman"/>
                <w:i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坤</w:t>
            </w:r>
          </w:p>
        </w:tc>
        <w:tc>
          <w:tcPr>
            <w:tcW w:w="2545" w:type="dxa"/>
            <w:noWrap w:val="0"/>
            <w:vAlign w:val="center"/>
          </w:tcPr>
          <w:p w14:paraId="0BD09F33">
            <w:pPr>
              <w:keepNext w:val="0"/>
              <w:keepLines w:val="0"/>
              <w:widowControl/>
              <w:suppressLineNumbers w:val="0"/>
              <w:jc w:val="center"/>
              <w:textAlignment w:val="center"/>
              <w:rPr>
                <w:rFonts w:hint="default" w:ascii="Times New Roman" w:hAnsi="Times New Roman" w:eastAsia="楷体" w:cs="Times New Roman"/>
                <w:color w:val="auto"/>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镇党委委员、秘书</w:t>
            </w:r>
          </w:p>
        </w:tc>
        <w:tc>
          <w:tcPr>
            <w:tcW w:w="1858" w:type="dxa"/>
            <w:noWrap w:val="0"/>
            <w:vAlign w:val="center"/>
          </w:tcPr>
          <w:p w14:paraId="0C764E40">
            <w:pPr>
              <w:keepNext w:val="0"/>
              <w:keepLines w:val="0"/>
              <w:widowControl/>
              <w:suppressLineNumbers w:val="0"/>
              <w:jc w:val="center"/>
              <w:textAlignment w:val="center"/>
              <w:rPr>
                <w:rFonts w:hint="default" w:ascii="Times New Roman" w:hAnsi="Times New Roman" w:eastAsia="楷体" w:cs="Times New Roman"/>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15880798572</w:t>
            </w:r>
          </w:p>
        </w:tc>
      </w:tr>
      <w:tr w14:paraId="0A713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50DD54E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507" w:type="dxa"/>
            <w:noWrap w:val="0"/>
            <w:vAlign w:val="center"/>
          </w:tcPr>
          <w:p w14:paraId="531838FE">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前黄镇</w:t>
            </w:r>
          </w:p>
        </w:tc>
        <w:tc>
          <w:tcPr>
            <w:tcW w:w="2233" w:type="dxa"/>
            <w:noWrap w:val="0"/>
            <w:vAlign w:val="center"/>
          </w:tcPr>
          <w:p w14:paraId="23917E07">
            <w:pPr>
              <w:keepNext w:val="0"/>
              <w:keepLines w:val="0"/>
              <w:widowControl/>
              <w:suppressLineNumbers w:val="0"/>
              <w:jc w:val="center"/>
              <w:textAlignment w:val="center"/>
              <w:rPr>
                <w:rFonts w:hint="default" w:ascii="Times New Roman" w:hAnsi="Times New Roman" w:eastAsia="楷体" w:cs="Times New Roman"/>
                <w:color w:val="auto"/>
                <w:sz w:val="24"/>
                <w:szCs w:val="24"/>
                <w:highlight w:val="none"/>
                <w:lang w:eastAsia="zh-CN"/>
              </w:rPr>
            </w:pPr>
            <w:r>
              <w:rPr>
                <w:rFonts w:hint="eastAsia" w:ascii="仿宋_GB2312" w:hAnsi="仿宋_GB2312" w:eastAsia="仿宋_GB2312" w:cs="仿宋_GB2312"/>
                <w:i w:val="0"/>
                <w:iCs w:val="0"/>
                <w:color w:val="auto"/>
                <w:kern w:val="0"/>
                <w:sz w:val="24"/>
                <w:szCs w:val="24"/>
                <w:u w:val="none"/>
                <w:lang w:val="en-US" w:eastAsia="zh-CN" w:bidi="ar"/>
              </w:rPr>
              <w:t>连</w:t>
            </w:r>
            <w:r>
              <w:rPr>
                <w:rFonts w:hint="eastAsia" w:eastAsia="楷体" w:cs="Times New Roman"/>
                <w:i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伟</w:t>
            </w:r>
          </w:p>
        </w:tc>
        <w:tc>
          <w:tcPr>
            <w:tcW w:w="2545" w:type="dxa"/>
            <w:noWrap w:val="0"/>
            <w:vAlign w:val="center"/>
          </w:tcPr>
          <w:p w14:paraId="6F97B9F5">
            <w:pPr>
              <w:keepNext w:val="0"/>
              <w:keepLines w:val="0"/>
              <w:widowControl/>
              <w:suppressLineNumbers w:val="0"/>
              <w:jc w:val="center"/>
              <w:textAlignment w:val="center"/>
              <w:rPr>
                <w:rFonts w:hint="eastAsia" w:ascii="Times New Roman" w:hAnsi="Times New Roman" w:eastAsia="楷体" w:cs="Times New Roman"/>
                <w:i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镇副镇长</w:t>
            </w:r>
          </w:p>
        </w:tc>
        <w:tc>
          <w:tcPr>
            <w:tcW w:w="1858" w:type="dxa"/>
            <w:noWrap w:val="0"/>
            <w:vAlign w:val="center"/>
          </w:tcPr>
          <w:p w14:paraId="13922B9A">
            <w:pPr>
              <w:keepNext w:val="0"/>
              <w:keepLines w:val="0"/>
              <w:widowControl/>
              <w:suppressLineNumbers w:val="0"/>
              <w:jc w:val="center"/>
              <w:textAlignment w:val="center"/>
              <w:rPr>
                <w:rFonts w:hint="default" w:ascii="Times New Roman" w:hAnsi="Times New Roman" w:eastAsia="楷体" w:cs="Times New Roman"/>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18876218899</w:t>
            </w:r>
          </w:p>
        </w:tc>
      </w:tr>
      <w:tr w14:paraId="045AA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189FF1A9">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5</w:t>
            </w:r>
          </w:p>
        </w:tc>
        <w:tc>
          <w:tcPr>
            <w:tcW w:w="1507" w:type="dxa"/>
            <w:noWrap w:val="0"/>
            <w:vAlign w:val="center"/>
          </w:tcPr>
          <w:p w14:paraId="17B1285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2233" w:type="dxa"/>
            <w:noWrap w:val="0"/>
            <w:vAlign w:val="center"/>
          </w:tcPr>
          <w:p w14:paraId="02AC05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i w:val="0"/>
                <w:color w:val="auto"/>
                <w:kern w:val="0"/>
                <w:sz w:val="24"/>
                <w:szCs w:val="24"/>
                <w:highlight w:val="none"/>
                <w:u w:val="none"/>
                <w:lang w:val="en-US" w:eastAsia="zh-CN" w:bidi="ar"/>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平</w:t>
            </w:r>
          </w:p>
        </w:tc>
        <w:tc>
          <w:tcPr>
            <w:tcW w:w="2545" w:type="dxa"/>
            <w:noWrap w:val="0"/>
            <w:vAlign w:val="center"/>
          </w:tcPr>
          <w:p w14:paraId="77760E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楷体" w:cs="Times New Roman"/>
                <w:i w:val="0"/>
                <w:color w:val="auto"/>
                <w:kern w:val="0"/>
                <w:sz w:val="24"/>
                <w:szCs w:val="24"/>
                <w:highlight w:val="none"/>
                <w:u w:val="none"/>
                <w:lang w:val="en-US" w:eastAsia="zh-CN" w:bidi="ar"/>
              </w:rPr>
            </w:pPr>
            <w:r>
              <w:rPr>
                <w:rFonts w:hint="default" w:ascii="Times New Roman" w:hAnsi="Times New Roman" w:eastAsia="楷体" w:cs="Times New Roman"/>
                <w:i w:val="0"/>
                <w:color w:val="auto"/>
                <w:kern w:val="0"/>
                <w:sz w:val="24"/>
                <w:szCs w:val="24"/>
                <w:highlight w:val="none"/>
                <w:u w:val="none"/>
                <w:lang w:val="en-US" w:eastAsia="zh-CN" w:bidi="ar"/>
              </w:rPr>
              <w:t>镇社会服务中心主任</w:t>
            </w:r>
          </w:p>
        </w:tc>
        <w:tc>
          <w:tcPr>
            <w:tcW w:w="1858" w:type="dxa"/>
            <w:noWrap w:val="0"/>
            <w:vAlign w:val="center"/>
          </w:tcPr>
          <w:p w14:paraId="7DAEBCDE">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7E44FE69">
      <w:pPr>
        <w:shd w:val="clear" w:color="auto" w:fill="FFFFFF"/>
        <w:rPr>
          <w:rFonts w:hint="default" w:ascii="Times New Roman" w:hAnsi="Times New Roman" w:eastAsia="楷体" w:cs="Times New Roman"/>
          <w:color w:val="auto"/>
          <w:sz w:val="32"/>
          <w:szCs w:val="32"/>
          <w:highlight w:val="none"/>
        </w:rPr>
      </w:pPr>
    </w:p>
    <w:p w14:paraId="389C65DD">
      <w:pPr>
        <w:jc w:val="center"/>
        <w:outlineLvl w:val="1"/>
        <w:rPr>
          <w:rFonts w:hint="default" w:ascii="Times New Roman" w:hAnsi="Times New Roman" w:eastAsia="楷体" w:cs="Times New Roman"/>
          <w:b/>
          <w:bCs/>
          <w:color w:val="auto"/>
          <w:sz w:val="28"/>
          <w:szCs w:val="28"/>
          <w:highlight w:val="none"/>
        </w:rPr>
      </w:pPr>
      <w:bookmarkStart w:id="77" w:name="_Toc10959"/>
      <w:r>
        <w:rPr>
          <w:rFonts w:hint="default" w:ascii="Times New Roman" w:hAnsi="Times New Roman" w:eastAsia="楷体" w:cs="Times New Roman"/>
          <w:b/>
          <w:bCs/>
          <w:color w:val="auto"/>
          <w:sz w:val="28"/>
          <w:szCs w:val="28"/>
          <w:highlight w:val="none"/>
        </w:rPr>
        <w:t>表</w:t>
      </w:r>
      <w:r>
        <w:rPr>
          <w:rFonts w:hint="default" w:ascii="Times New Roman" w:hAnsi="Times New Roman" w:eastAsia="楷体" w:cs="Times New Roman"/>
          <w:b/>
          <w:bCs/>
          <w:color w:val="auto"/>
          <w:sz w:val="28"/>
          <w:szCs w:val="28"/>
          <w:highlight w:val="none"/>
          <w:lang w:val="en-US" w:eastAsia="zh-CN"/>
        </w:rPr>
        <w:t>6</w:t>
      </w:r>
      <w:r>
        <w:rPr>
          <w:rFonts w:hint="default" w:ascii="Times New Roman" w:hAnsi="Times New Roman" w:eastAsia="楷体" w:cs="Times New Roman"/>
          <w:b/>
          <w:bCs/>
          <w:color w:val="auto"/>
          <w:sz w:val="28"/>
          <w:szCs w:val="28"/>
          <w:highlight w:val="none"/>
        </w:rPr>
        <w:t xml:space="preserve">    丰收水库防汛抗洪抢险救灾应急小组成员名单</w:t>
      </w:r>
      <w:bookmarkEnd w:id="77"/>
    </w:p>
    <w:tbl>
      <w:tblPr>
        <w:tblStyle w:val="18"/>
        <w:tblW w:w="933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7"/>
        <w:gridCol w:w="2151"/>
        <w:gridCol w:w="2058"/>
        <w:gridCol w:w="1005"/>
        <w:gridCol w:w="1468"/>
        <w:gridCol w:w="1808"/>
      </w:tblGrid>
      <w:tr w14:paraId="239DD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trPr>
        <w:tc>
          <w:tcPr>
            <w:tcW w:w="847" w:type="dxa"/>
            <w:noWrap w:val="0"/>
            <w:vAlign w:val="center"/>
          </w:tcPr>
          <w:p w14:paraId="1FBD4E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序号</w:t>
            </w:r>
          </w:p>
        </w:tc>
        <w:tc>
          <w:tcPr>
            <w:tcW w:w="2151" w:type="dxa"/>
            <w:noWrap w:val="0"/>
            <w:vAlign w:val="center"/>
          </w:tcPr>
          <w:p w14:paraId="385B96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名称</w:t>
            </w:r>
          </w:p>
        </w:tc>
        <w:tc>
          <w:tcPr>
            <w:tcW w:w="2058" w:type="dxa"/>
            <w:noWrap w:val="0"/>
            <w:vAlign w:val="center"/>
          </w:tcPr>
          <w:p w14:paraId="75FBD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组成单位</w:t>
            </w:r>
          </w:p>
        </w:tc>
        <w:tc>
          <w:tcPr>
            <w:tcW w:w="1005" w:type="dxa"/>
            <w:noWrap w:val="0"/>
            <w:vAlign w:val="center"/>
          </w:tcPr>
          <w:p w14:paraId="23A2E9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人数</w:t>
            </w:r>
          </w:p>
        </w:tc>
        <w:tc>
          <w:tcPr>
            <w:tcW w:w="1468" w:type="dxa"/>
            <w:noWrap w:val="0"/>
            <w:vAlign w:val="center"/>
          </w:tcPr>
          <w:p w14:paraId="0C8385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联系人</w:t>
            </w:r>
          </w:p>
        </w:tc>
        <w:tc>
          <w:tcPr>
            <w:tcW w:w="1808" w:type="dxa"/>
            <w:noWrap w:val="0"/>
            <w:vAlign w:val="center"/>
          </w:tcPr>
          <w:p w14:paraId="0BFAA3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联系电话</w:t>
            </w:r>
          </w:p>
        </w:tc>
      </w:tr>
      <w:tr w14:paraId="718D0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2" w:hRule="atLeast"/>
        </w:trPr>
        <w:tc>
          <w:tcPr>
            <w:tcW w:w="847" w:type="dxa"/>
            <w:noWrap w:val="0"/>
            <w:vAlign w:val="center"/>
          </w:tcPr>
          <w:p w14:paraId="2BA61A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lang w:val="en-US" w:eastAsia="zh-CN"/>
              </w:rPr>
            </w:pPr>
            <w:r>
              <w:rPr>
                <w:rFonts w:hint="default" w:ascii="Times New Roman" w:hAnsi="Times New Roman" w:eastAsia="楷体" w:cs="Times New Roman"/>
                <w:color w:val="auto"/>
                <w:sz w:val="24"/>
                <w:highlight w:val="none"/>
                <w:lang w:val="en-US" w:eastAsia="zh-CN"/>
              </w:rPr>
              <w:t>1</w:t>
            </w:r>
          </w:p>
        </w:tc>
        <w:tc>
          <w:tcPr>
            <w:tcW w:w="2151" w:type="dxa"/>
            <w:noWrap w:val="0"/>
            <w:vAlign w:val="center"/>
          </w:tcPr>
          <w:p w14:paraId="7FD3E8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lang w:eastAsia="zh-CN"/>
              </w:rPr>
            </w:pPr>
            <w:r>
              <w:rPr>
                <w:rFonts w:hint="default" w:ascii="Times New Roman" w:hAnsi="Times New Roman" w:eastAsia="楷体" w:cs="Times New Roman"/>
                <w:color w:val="auto"/>
                <w:sz w:val="24"/>
                <w:highlight w:val="none"/>
                <w:lang w:eastAsia="zh-CN"/>
              </w:rPr>
              <w:t>前黄镇机关抢险应急队伍</w:t>
            </w:r>
          </w:p>
        </w:tc>
        <w:tc>
          <w:tcPr>
            <w:tcW w:w="2058" w:type="dxa"/>
            <w:noWrap w:val="0"/>
            <w:vAlign w:val="center"/>
          </w:tcPr>
          <w:p w14:paraId="081B32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lang w:eastAsia="zh-CN"/>
              </w:rPr>
            </w:pPr>
            <w:r>
              <w:rPr>
                <w:rFonts w:hint="default" w:ascii="Times New Roman" w:hAnsi="Times New Roman" w:eastAsia="楷体" w:cs="Times New Roman"/>
                <w:color w:val="auto"/>
                <w:sz w:val="24"/>
                <w:highlight w:val="none"/>
                <w:lang w:eastAsia="zh-CN"/>
              </w:rPr>
              <w:t>镇机关和</w:t>
            </w:r>
            <w:r>
              <w:rPr>
                <w:rFonts w:hint="default" w:ascii="Times New Roman" w:hAnsi="Times New Roman" w:eastAsia="楷体" w:cs="Times New Roman"/>
                <w:color w:val="auto"/>
                <w:sz w:val="24"/>
                <w:highlight w:val="none"/>
                <w:lang w:val="en-US" w:eastAsia="zh-CN"/>
              </w:rPr>
              <w:t>13个行政村</w:t>
            </w:r>
          </w:p>
        </w:tc>
        <w:tc>
          <w:tcPr>
            <w:tcW w:w="1005" w:type="dxa"/>
            <w:noWrap w:val="0"/>
            <w:vAlign w:val="center"/>
          </w:tcPr>
          <w:p w14:paraId="736DC8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lang w:val="en-US" w:eastAsia="zh-CN"/>
              </w:rPr>
            </w:pPr>
            <w:r>
              <w:rPr>
                <w:rFonts w:hint="default" w:ascii="Times New Roman" w:hAnsi="Times New Roman" w:eastAsia="楷体" w:cs="Times New Roman"/>
                <w:color w:val="auto"/>
                <w:sz w:val="24"/>
                <w:highlight w:val="none"/>
                <w:lang w:val="en-US" w:eastAsia="zh-CN"/>
              </w:rPr>
              <w:t>200</w:t>
            </w:r>
          </w:p>
        </w:tc>
        <w:tc>
          <w:tcPr>
            <w:tcW w:w="1468" w:type="dxa"/>
            <w:noWrap w:val="0"/>
            <w:vAlign w:val="center"/>
          </w:tcPr>
          <w:p w14:paraId="2D29B7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lang w:eastAsia="zh-CN"/>
              </w:rPr>
            </w:pPr>
            <w:r>
              <w:rPr>
                <w:rFonts w:hint="default" w:ascii="Times New Roman" w:hAnsi="Times New Roman" w:eastAsia="楷体" w:cs="Times New Roman"/>
                <w:color w:val="auto"/>
                <w:sz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highlight w:val="none"/>
                <w:lang w:eastAsia="zh-CN"/>
              </w:rPr>
              <w:t>冻</w:t>
            </w:r>
          </w:p>
        </w:tc>
        <w:tc>
          <w:tcPr>
            <w:tcW w:w="1808" w:type="dxa"/>
            <w:noWrap w:val="0"/>
            <w:vAlign w:val="center"/>
          </w:tcPr>
          <w:p w14:paraId="613646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highlight w:val="none"/>
                <w:lang w:val="en-US" w:eastAsia="zh-CN"/>
              </w:rPr>
            </w:pPr>
            <w:r>
              <w:rPr>
                <w:rFonts w:hint="default" w:ascii="Times New Roman" w:hAnsi="Times New Roman" w:eastAsia="楷体" w:cs="Times New Roman"/>
                <w:color w:val="auto"/>
                <w:sz w:val="24"/>
                <w:highlight w:val="none"/>
                <w:lang w:val="en-US" w:eastAsia="zh-CN"/>
              </w:rPr>
              <w:t>13505050384</w:t>
            </w:r>
          </w:p>
        </w:tc>
      </w:tr>
    </w:tbl>
    <w:p w14:paraId="68460770">
      <w:pPr>
        <w:shd w:val="clear" w:color="auto" w:fill="FFFFFF"/>
        <w:spacing w:line="420" w:lineRule="exact"/>
        <w:jc w:val="center"/>
        <w:rPr>
          <w:rFonts w:hint="default" w:ascii="Times New Roman" w:hAnsi="Times New Roman" w:eastAsia="楷体" w:cs="Times New Roman"/>
          <w:color w:val="auto"/>
          <w:sz w:val="28"/>
          <w:szCs w:val="28"/>
          <w:highlight w:val="none"/>
        </w:rPr>
      </w:pPr>
    </w:p>
    <w:p w14:paraId="5124733F">
      <w:pPr>
        <w:shd w:val="clear" w:color="auto" w:fill="FFFFFF"/>
        <w:ind w:firstLine="640" w:firstLineChars="200"/>
        <w:rPr>
          <w:rFonts w:hint="default" w:ascii="Times New Roman" w:hAnsi="Times New Roman" w:eastAsia="楷体" w:cs="Times New Roman"/>
          <w:color w:val="auto"/>
          <w:sz w:val="32"/>
          <w:szCs w:val="32"/>
          <w:highlight w:val="none"/>
        </w:rPr>
      </w:pPr>
    </w:p>
    <w:p w14:paraId="3FED911A">
      <w:pPr>
        <w:shd w:val="clear" w:color="auto" w:fill="FFFFFF"/>
        <w:ind w:firstLine="640" w:firstLineChars="200"/>
        <w:rPr>
          <w:rFonts w:hint="default" w:ascii="Times New Roman" w:hAnsi="Times New Roman" w:eastAsia="楷体" w:cs="Times New Roman"/>
          <w:color w:val="auto"/>
          <w:sz w:val="32"/>
          <w:szCs w:val="32"/>
          <w:highlight w:val="none"/>
        </w:rPr>
      </w:pPr>
    </w:p>
    <w:p w14:paraId="04861695">
      <w:pPr>
        <w:shd w:val="clear" w:color="auto" w:fill="FFFFFF"/>
        <w:ind w:firstLine="640" w:firstLineChars="200"/>
        <w:rPr>
          <w:rFonts w:hint="default" w:ascii="Times New Roman" w:hAnsi="Times New Roman" w:eastAsia="楷体" w:cs="Times New Roman"/>
          <w:color w:val="auto"/>
          <w:sz w:val="32"/>
          <w:szCs w:val="32"/>
          <w:highlight w:val="none"/>
        </w:rPr>
      </w:pPr>
    </w:p>
    <w:p w14:paraId="2185614D">
      <w:pPr>
        <w:shd w:val="clear" w:color="auto" w:fill="FFFFFF"/>
        <w:tabs>
          <w:tab w:val="left" w:pos="840"/>
        </w:tabs>
        <w:spacing w:line="460" w:lineRule="exact"/>
        <w:rPr>
          <w:rFonts w:hint="default" w:ascii="Times New Roman" w:hAnsi="Times New Roman" w:eastAsia="楷体" w:cs="Times New Roman"/>
          <w:b/>
          <w:color w:val="auto"/>
          <w:spacing w:val="-10"/>
          <w:sz w:val="32"/>
          <w:szCs w:val="32"/>
          <w:highlight w:val="none"/>
        </w:rPr>
      </w:pPr>
    </w:p>
    <w:p w14:paraId="30798981">
      <w:pPr>
        <w:shd w:val="clear" w:color="auto" w:fill="FFFFFF"/>
        <w:tabs>
          <w:tab w:val="left" w:pos="840"/>
        </w:tabs>
        <w:spacing w:line="460" w:lineRule="exact"/>
        <w:rPr>
          <w:rFonts w:hint="default" w:ascii="Times New Roman" w:hAnsi="Times New Roman" w:eastAsia="楷体" w:cs="Times New Roman"/>
          <w:b/>
          <w:color w:val="auto"/>
          <w:spacing w:val="-10"/>
          <w:sz w:val="32"/>
          <w:szCs w:val="32"/>
          <w:highlight w:val="none"/>
        </w:rPr>
      </w:pPr>
    </w:p>
    <w:p w14:paraId="54508B92"/>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o?">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315E">
    <w:pPr>
      <w:pStyle w:val="11"/>
      <w:rPr>
        <w:rStyle w:val="21"/>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5F252">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F5F252">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7101316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E8C1">
    <w:pPr>
      <w:pStyle w:val="11"/>
      <w:framePr w:wrap="around" w:vAnchor="text" w:hAnchor="margin" w:xAlign="center" w:y="1"/>
      <w:rPr>
        <w:rStyle w:val="21"/>
      </w:rPr>
    </w:pPr>
    <w:r>
      <w:fldChar w:fldCharType="begin"/>
    </w:r>
    <w:r>
      <w:rPr>
        <w:rStyle w:val="21"/>
      </w:rPr>
      <w:instrText xml:space="preserve">PAGE  </w:instrText>
    </w:r>
    <w:r>
      <w:fldChar w:fldCharType="end"/>
    </w:r>
  </w:p>
  <w:p w14:paraId="3C8FD07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83DB9">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FDE0A">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3FDE0A">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9DAB">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EA83434">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Mz97nvmAQAAxwMA&#10;AA4AAAAAAAAAAQAgAAAAHgEAAGRycy9lMm9Eb2MueG1sUEsFBgAAAAAGAAYAWQEAAHYFAAAAAA==&#10;">
              <v:fill on="f" focussize="0,0"/>
              <v:stroke on="f"/>
              <v:imagedata o:title=""/>
              <o:lock v:ext="edit" aspectratio="f"/>
              <v:textbox inset="0mm,0mm,0mm,0mm" style="mso-fit-shape-to-text:t;">
                <w:txbxContent>
                  <w:p w14:paraId="7EA83434">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CC62">
    <w:pPr>
      <w:pStyle w:val="1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A791C">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3FA791C">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90EA">
    <w:pPr>
      <w:pStyle w:val="11"/>
      <w:ind w:right="360" w:firstLine="360"/>
      <w:rPr>
        <w:rStyle w:val="21"/>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F72693">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BF72693">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v:textbox>
            </v:shape>
          </w:pict>
        </mc:Fallback>
      </mc:AlternateContent>
    </w:r>
  </w:p>
  <w:p w14:paraId="39EB596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B800F">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52019"/>
    <w:multiLevelType w:val="singleLevel"/>
    <w:tmpl w:val="58C52019"/>
    <w:lvl w:ilvl="0" w:tentative="0">
      <w:start w:val="1"/>
      <w:numFmt w:val="decimal"/>
      <w:suff w:val="nothing"/>
      <w:lvlText w:val="%1、"/>
      <w:lvlJc w:val="left"/>
    </w:lvl>
  </w:abstractNum>
  <w:abstractNum w:abstractNumId="1">
    <w:nsid w:val="58C574CD"/>
    <w:multiLevelType w:val="singleLevel"/>
    <w:tmpl w:val="58C574CD"/>
    <w:lvl w:ilvl="0" w:tentative="0">
      <w:start w:val="1"/>
      <w:numFmt w:val="decimal"/>
      <w:suff w:val="nothing"/>
      <w:lvlText w:val="%1、"/>
      <w:lvlJc w:val="left"/>
    </w:lvl>
  </w:abstractNum>
  <w:abstractNum w:abstractNumId="2">
    <w:nsid w:val="58C57F7A"/>
    <w:multiLevelType w:val="singleLevel"/>
    <w:tmpl w:val="58C57F7A"/>
    <w:lvl w:ilvl="0" w:tentative="0">
      <w:start w:val="1"/>
      <w:numFmt w:val="decimal"/>
      <w:suff w:val="nothing"/>
      <w:lvlText w:val="%1）"/>
      <w:lvlJc w:val="left"/>
    </w:lvl>
  </w:abstractNum>
  <w:abstractNum w:abstractNumId="3">
    <w:nsid w:val="58C589AA"/>
    <w:multiLevelType w:val="singleLevel"/>
    <w:tmpl w:val="58C589AA"/>
    <w:lvl w:ilvl="0" w:tentative="0">
      <w:start w:val="3"/>
      <w:numFmt w:val="decimal"/>
      <w:suff w:val="nothing"/>
      <w:lvlText w:val="%1、"/>
      <w:lvlJc w:val="left"/>
    </w:lvl>
  </w:abstractNum>
  <w:abstractNum w:abstractNumId="4">
    <w:nsid w:val="58C58D27"/>
    <w:multiLevelType w:val="singleLevel"/>
    <w:tmpl w:val="58C58D27"/>
    <w:lvl w:ilvl="0" w:tentative="0">
      <w:start w:val="1"/>
      <w:numFmt w:val="decimal"/>
      <w:suff w:val="nothing"/>
      <w:lvlText w:val="%1）"/>
      <w:lvlJc w:val="left"/>
    </w:lvl>
  </w:abstractNum>
  <w:abstractNum w:abstractNumId="5">
    <w:nsid w:val="58C5BA32"/>
    <w:multiLevelType w:val="singleLevel"/>
    <w:tmpl w:val="58C5BA32"/>
    <w:lvl w:ilvl="0" w:tentative="0">
      <w:start w:val="1"/>
      <w:numFmt w:val="chineseCounting"/>
      <w:suff w:val="nothing"/>
      <w:lvlText w:val="（%1）"/>
      <w:lvlJc w:val="left"/>
    </w:lvl>
  </w:abstractNum>
  <w:abstractNum w:abstractNumId="6">
    <w:nsid w:val="58D6D257"/>
    <w:multiLevelType w:val="singleLevel"/>
    <w:tmpl w:val="58D6D257"/>
    <w:lvl w:ilvl="0" w:tentative="0">
      <w:start w:val="1"/>
      <w:numFmt w:val="decimal"/>
      <w:suff w:val="nothing"/>
      <w:lvlText w:val="（%1）"/>
      <w:lvlJc w:val="left"/>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N2Y5OWNjYWQxMTVlZWE1MjI3NTE2NzM5ZjE1N2MifQ=="/>
  </w:docVars>
  <w:rsids>
    <w:rsidRoot w:val="00AA2B0C"/>
    <w:rsid w:val="0000281A"/>
    <w:rsid w:val="00003A2D"/>
    <w:rsid w:val="0000437C"/>
    <w:rsid w:val="00007DD4"/>
    <w:rsid w:val="000103B9"/>
    <w:rsid w:val="00010715"/>
    <w:rsid w:val="00021F9E"/>
    <w:rsid w:val="0002204B"/>
    <w:rsid w:val="00023541"/>
    <w:rsid w:val="000243E9"/>
    <w:rsid w:val="000342E6"/>
    <w:rsid w:val="000422F9"/>
    <w:rsid w:val="000448A1"/>
    <w:rsid w:val="00045489"/>
    <w:rsid w:val="000533BC"/>
    <w:rsid w:val="00072A98"/>
    <w:rsid w:val="000779CA"/>
    <w:rsid w:val="000841C5"/>
    <w:rsid w:val="000868EA"/>
    <w:rsid w:val="000907F4"/>
    <w:rsid w:val="000940DE"/>
    <w:rsid w:val="000961AD"/>
    <w:rsid w:val="00096CDF"/>
    <w:rsid w:val="000A3177"/>
    <w:rsid w:val="000A51FE"/>
    <w:rsid w:val="000A6F6A"/>
    <w:rsid w:val="000D1DA7"/>
    <w:rsid w:val="000D4C19"/>
    <w:rsid w:val="000D77A4"/>
    <w:rsid w:val="000D799B"/>
    <w:rsid w:val="000E4364"/>
    <w:rsid w:val="000E7006"/>
    <w:rsid w:val="000F6E7D"/>
    <w:rsid w:val="00101C15"/>
    <w:rsid w:val="00102397"/>
    <w:rsid w:val="00107238"/>
    <w:rsid w:val="001076BE"/>
    <w:rsid w:val="001120DC"/>
    <w:rsid w:val="001160A7"/>
    <w:rsid w:val="00122FB9"/>
    <w:rsid w:val="00124946"/>
    <w:rsid w:val="00130607"/>
    <w:rsid w:val="00131399"/>
    <w:rsid w:val="00136A8B"/>
    <w:rsid w:val="0013706D"/>
    <w:rsid w:val="00137C71"/>
    <w:rsid w:val="00140C7E"/>
    <w:rsid w:val="00142508"/>
    <w:rsid w:val="00150EE3"/>
    <w:rsid w:val="00151D2E"/>
    <w:rsid w:val="00153260"/>
    <w:rsid w:val="00156182"/>
    <w:rsid w:val="00156567"/>
    <w:rsid w:val="001642E6"/>
    <w:rsid w:val="0018027F"/>
    <w:rsid w:val="00182C91"/>
    <w:rsid w:val="001B0661"/>
    <w:rsid w:val="001B6B8C"/>
    <w:rsid w:val="001C6D17"/>
    <w:rsid w:val="001D12D0"/>
    <w:rsid w:val="001D1AF3"/>
    <w:rsid w:val="001D6BB3"/>
    <w:rsid w:val="001E2E19"/>
    <w:rsid w:val="001F0C70"/>
    <w:rsid w:val="00205317"/>
    <w:rsid w:val="0021013F"/>
    <w:rsid w:val="00211B39"/>
    <w:rsid w:val="0022569A"/>
    <w:rsid w:val="00225CA9"/>
    <w:rsid w:val="00232628"/>
    <w:rsid w:val="002344D1"/>
    <w:rsid w:val="00235D56"/>
    <w:rsid w:val="002379F1"/>
    <w:rsid w:val="002454D9"/>
    <w:rsid w:val="002549A5"/>
    <w:rsid w:val="0025585F"/>
    <w:rsid w:val="00266389"/>
    <w:rsid w:val="0027098C"/>
    <w:rsid w:val="002733F2"/>
    <w:rsid w:val="002778AF"/>
    <w:rsid w:val="00280B7F"/>
    <w:rsid w:val="002945CE"/>
    <w:rsid w:val="0029519E"/>
    <w:rsid w:val="002A43A1"/>
    <w:rsid w:val="002B0B74"/>
    <w:rsid w:val="002B1D6C"/>
    <w:rsid w:val="002B2776"/>
    <w:rsid w:val="002B3722"/>
    <w:rsid w:val="002B5273"/>
    <w:rsid w:val="002B7973"/>
    <w:rsid w:val="002C1E18"/>
    <w:rsid w:val="002C3043"/>
    <w:rsid w:val="002C490C"/>
    <w:rsid w:val="002C79E8"/>
    <w:rsid w:val="002D7ADA"/>
    <w:rsid w:val="002E76C4"/>
    <w:rsid w:val="002F0782"/>
    <w:rsid w:val="002F1D23"/>
    <w:rsid w:val="0030182C"/>
    <w:rsid w:val="00302800"/>
    <w:rsid w:val="0030680D"/>
    <w:rsid w:val="00315F1D"/>
    <w:rsid w:val="00316665"/>
    <w:rsid w:val="00317498"/>
    <w:rsid w:val="0032428F"/>
    <w:rsid w:val="00330AA6"/>
    <w:rsid w:val="0033428F"/>
    <w:rsid w:val="00340788"/>
    <w:rsid w:val="003430A8"/>
    <w:rsid w:val="00351780"/>
    <w:rsid w:val="00355F0A"/>
    <w:rsid w:val="00356E75"/>
    <w:rsid w:val="00365619"/>
    <w:rsid w:val="00366617"/>
    <w:rsid w:val="003705D1"/>
    <w:rsid w:val="003803D7"/>
    <w:rsid w:val="0038457D"/>
    <w:rsid w:val="003908AF"/>
    <w:rsid w:val="0039727B"/>
    <w:rsid w:val="003A4FB6"/>
    <w:rsid w:val="003A5D88"/>
    <w:rsid w:val="003B046D"/>
    <w:rsid w:val="003B2D3D"/>
    <w:rsid w:val="003B30D6"/>
    <w:rsid w:val="003B68B3"/>
    <w:rsid w:val="003B6F20"/>
    <w:rsid w:val="003C28AD"/>
    <w:rsid w:val="003E09FB"/>
    <w:rsid w:val="003E6CEC"/>
    <w:rsid w:val="003E78D2"/>
    <w:rsid w:val="003F0F26"/>
    <w:rsid w:val="003F131E"/>
    <w:rsid w:val="003F1920"/>
    <w:rsid w:val="003F675B"/>
    <w:rsid w:val="004004D4"/>
    <w:rsid w:val="00401B14"/>
    <w:rsid w:val="00415F40"/>
    <w:rsid w:val="0042457E"/>
    <w:rsid w:val="00426FEB"/>
    <w:rsid w:val="00433270"/>
    <w:rsid w:val="004334EA"/>
    <w:rsid w:val="00435684"/>
    <w:rsid w:val="00437086"/>
    <w:rsid w:val="00446469"/>
    <w:rsid w:val="00454620"/>
    <w:rsid w:val="004607BA"/>
    <w:rsid w:val="00465F38"/>
    <w:rsid w:val="0046676F"/>
    <w:rsid w:val="00473A07"/>
    <w:rsid w:val="00483B93"/>
    <w:rsid w:val="00487C5C"/>
    <w:rsid w:val="0049286B"/>
    <w:rsid w:val="004961DC"/>
    <w:rsid w:val="004A43FA"/>
    <w:rsid w:val="004A7CD5"/>
    <w:rsid w:val="004C2439"/>
    <w:rsid w:val="004C3D6F"/>
    <w:rsid w:val="004C7924"/>
    <w:rsid w:val="004D099E"/>
    <w:rsid w:val="004D5522"/>
    <w:rsid w:val="004E3F97"/>
    <w:rsid w:val="00502949"/>
    <w:rsid w:val="0050463F"/>
    <w:rsid w:val="00511E0E"/>
    <w:rsid w:val="005266C7"/>
    <w:rsid w:val="00530295"/>
    <w:rsid w:val="00530AE6"/>
    <w:rsid w:val="00532A46"/>
    <w:rsid w:val="00536682"/>
    <w:rsid w:val="00542587"/>
    <w:rsid w:val="00542CE4"/>
    <w:rsid w:val="005462F1"/>
    <w:rsid w:val="00550FA9"/>
    <w:rsid w:val="005544BE"/>
    <w:rsid w:val="0055685C"/>
    <w:rsid w:val="005602E1"/>
    <w:rsid w:val="005623A0"/>
    <w:rsid w:val="00562FBD"/>
    <w:rsid w:val="00567DCB"/>
    <w:rsid w:val="005706AC"/>
    <w:rsid w:val="00571472"/>
    <w:rsid w:val="00577E58"/>
    <w:rsid w:val="0058215F"/>
    <w:rsid w:val="0058346E"/>
    <w:rsid w:val="00586AD6"/>
    <w:rsid w:val="005874CA"/>
    <w:rsid w:val="00591411"/>
    <w:rsid w:val="00593613"/>
    <w:rsid w:val="00597290"/>
    <w:rsid w:val="005A4518"/>
    <w:rsid w:val="005A5C2A"/>
    <w:rsid w:val="005B377E"/>
    <w:rsid w:val="005B5BEF"/>
    <w:rsid w:val="005C5BC1"/>
    <w:rsid w:val="005D148E"/>
    <w:rsid w:val="005D3404"/>
    <w:rsid w:val="005D6F90"/>
    <w:rsid w:val="005E1080"/>
    <w:rsid w:val="005F5E88"/>
    <w:rsid w:val="00605BD7"/>
    <w:rsid w:val="006065DA"/>
    <w:rsid w:val="00622EE0"/>
    <w:rsid w:val="00625F98"/>
    <w:rsid w:val="0063389E"/>
    <w:rsid w:val="00633930"/>
    <w:rsid w:val="00640096"/>
    <w:rsid w:val="00641030"/>
    <w:rsid w:val="00641952"/>
    <w:rsid w:val="00644732"/>
    <w:rsid w:val="006475E0"/>
    <w:rsid w:val="00651D54"/>
    <w:rsid w:val="006544F1"/>
    <w:rsid w:val="00661BDE"/>
    <w:rsid w:val="00662189"/>
    <w:rsid w:val="00662879"/>
    <w:rsid w:val="00665E23"/>
    <w:rsid w:val="00674A1C"/>
    <w:rsid w:val="0068618E"/>
    <w:rsid w:val="00692D10"/>
    <w:rsid w:val="006B6F24"/>
    <w:rsid w:val="006B70D8"/>
    <w:rsid w:val="006C4412"/>
    <w:rsid w:val="006D38FB"/>
    <w:rsid w:val="006D7501"/>
    <w:rsid w:val="006E0B0F"/>
    <w:rsid w:val="006E0E84"/>
    <w:rsid w:val="006E5050"/>
    <w:rsid w:val="006F5738"/>
    <w:rsid w:val="00717576"/>
    <w:rsid w:val="00725CCC"/>
    <w:rsid w:val="007260F4"/>
    <w:rsid w:val="0072653D"/>
    <w:rsid w:val="0073713D"/>
    <w:rsid w:val="00757DAD"/>
    <w:rsid w:val="00757DE9"/>
    <w:rsid w:val="007607B6"/>
    <w:rsid w:val="0077199B"/>
    <w:rsid w:val="007772F6"/>
    <w:rsid w:val="007842A7"/>
    <w:rsid w:val="00784DA3"/>
    <w:rsid w:val="00793514"/>
    <w:rsid w:val="007A4A55"/>
    <w:rsid w:val="007A749D"/>
    <w:rsid w:val="007B5D79"/>
    <w:rsid w:val="007B6198"/>
    <w:rsid w:val="007C1C7A"/>
    <w:rsid w:val="007C460F"/>
    <w:rsid w:val="007D3DD1"/>
    <w:rsid w:val="007E05D4"/>
    <w:rsid w:val="007E17CA"/>
    <w:rsid w:val="00800DEF"/>
    <w:rsid w:val="00801B63"/>
    <w:rsid w:val="00804729"/>
    <w:rsid w:val="0081671E"/>
    <w:rsid w:val="00817B9F"/>
    <w:rsid w:val="00830433"/>
    <w:rsid w:val="00832C80"/>
    <w:rsid w:val="0083650B"/>
    <w:rsid w:val="00842870"/>
    <w:rsid w:val="00846424"/>
    <w:rsid w:val="008464E0"/>
    <w:rsid w:val="008470F7"/>
    <w:rsid w:val="00851610"/>
    <w:rsid w:val="00854D26"/>
    <w:rsid w:val="00856C36"/>
    <w:rsid w:val="008625DE"/>
    <w:rsid w:val="00871C69"/>
    <w:rsid w:val="008822C7"/>
    <w:rsid w:val="008916B5"/>
    <w:rsid w:val="00895C22"/>
    <w:rsid w:val="008A3FF9"/>
    <w:rsid w:val="008B44A1"/>
    <w:rsid w:val="008C244B"/>
    <w:rsid w:val="008D0FC1"/>
    <w:rsid w:val="008D2DA9"/>
    <w:rsid w:val="008D628B"/>
    <w:rsid w:val="008D7412"/>
    <w:rsid w:val="008E31ED"/>
    <w:rsid w:val="008E6418"/>
    <w:rsid w:val="008E7594"/>
    <w:rsid w:val="008F27F8"/>
    <w:rsid w:val="008F3024"/>
    <w:rsid w:val="008F4F66"/>
    <w:rsid w:val="0090178C"/>
    <w:rsid w:val="00903A04"/>
    <w:rsid w:val="0090758F"/>
    <w:rsid w:val="0091252B"/>
    <w:rsid w:val="00914F4D"/>
    <w:rsid w:val="00915032"/>
    <w:rsid w:val="0091633A"/>
    <w:rsid w:val="009305AC"/>
    <w:rsid w:val="00932171"/>
    <w:rsid w:val="00942C26"/>
    <w:rsid w:val="009475A7"/>
    <w:rsid w:val="009528AA"/>
    <w:rsid w:val="00955B35"/>
    <w:rsid w:val="009563A8"/>
    <w:rsid w:val="0095687F"/>
    <w:rsid w:val="009771B7"/>
    <w:rsid w:val="0098353C"/>
    <w:rsid w:val="0098673A"/>
    <w:rsid w:val="00993A82"/>
    <w:rsid w:val="0099539F"/>
    <w:rsid w:val="009A7741"/>
    <w:rsid w:val="009B0641"/>
    <w:rsid w:val="009C06D5"/>
    <w:rsid w:val="009C2263"/>
    <w:rsid w:val="009C4F2D"/>
    <w:rsid w:val="009C6FBD"/>
    <w:rsid w:val="009D1898"/>
    <w:rsid w:val="009D2DB2"/>
    <w:rsid w:val="009D2DBC"/>
    <w:rsid w:val="009D413A"/>
    <w:rsid w:val="009D5747"/>
    <w:rsid w:val="009D72C1"/>
    <w:rsid w:val="009E55AA"/>
    <w:rsid w:val="009E655C"/>
    <w:rsid w:val="00A0125A"/>
    <w:rsid w:val="00A02673"/>
    <w:rsid w:val="00A06D41"/>
    <w:rsid w:val="00A13030"/>
    <w:rsid w:val="00A16F9A"/>
    <w:rsid w:val="00A2072F"/>
    <w:rsid w:val="00A264B1"/>
    <w:rsid w:val="00A27185"/>
    <w:rsid w:val="00A3594E"/>
    <w:rsid w:val="00A40024"/>
    <w:rsid w:val="00A4212D"/>
    <w:rsid w:val="00A43780"/>
    <w:rsid w:val="00A44A69"/>
    <w:rsid w:val="00A67FFC"/>
    <w:rsid w:val="00A74158"/>
    <w:rsid w:val="00A82DAD"/>
    <w:rsid w:val="00A85202"/>
    <w:rsid w:val="00A874ED"/>
    <w:rsid w:val="00A875FD"/>
    <w:rsid w:val="00A955D4"/>
    <w:rsid w:val="00AA17D6"/>
    <w:rsid w:val="00AA2B0C"/>
    <w:rsid w:val="00AA61B5"/>
    <w:rsid w:val="00AB3DB9"/>
    <w:rsid w:val="00AB502D"/>
    <w:rsid w:val="00AC39A9"/>
    <w:rsid w:val="00AC3AFA"/>
    <w:rsid w:val="00AC6333"/>
    <w:rsid w:val="00AD1603"/>
    <w:rsid w:val="00AE37DC"/>
    <w:rsid w:val="00AE4356"/>
    <w:rsid w:val="00AE6B35"/>
    <w:rsid w:val="00AF26B0"/>
    <w:rsid w:val="00B00BD4"/>
    <w:rsid w:val="00B01D45"/>
    <w:rsid w:val="00B03C62"/>
    <w:rsid w:val="00B10680"/>
    <w:rsid w:val="00B2193B"/>
    <w:rsid w:val="00B26E71"/>
    <w:rsid w:val="00B2786D"/>
    <w:rsid w:val="00B4580C"/>
    <w:rsid w:val="00B46E0C"/>
    <w:rsid w:val="00B46EB7"/>
    <w:rsid w:val="00B51982"/>
    <w:rsid w:val="00B617FF"/>
    <w:rsid w:val="00B6241A"/>
    <w:rsid w:val="00B64C78"/>
    <w:rsid w:val="00B64D0F"/>
    <w:rsid w:val="00B74EFD"/>
    <w:rsid w:val="00B82D17"/>
    <w:rsid w:val="00B84CEE"/>
    <w:rsid w:val="00B95270"/>
    <w:rsid w:val="00B95403"/>
    <w:rsid w:val="00BB08F4"/>
    <w:rsid w:val="00BB3278"/>
    <w:rsid w:val="00BB486F"/>
    <w:rsid w:val="00BC330F"/>
    <w:rsid w:val="00BC79B1"/>
    <w:rsid w:val="00BD074A"/>
    <w:rsid w:val="00BD3E88"/>
    <w:rsid w:val="00BE12A9"/>
    <w:rsid w:val="00BE1BC1"/>
    <w:rsid w:val="00BE294A"/>
    <w:rsid w:val="00BE29EB"/>
    <w:rsid w:val="00BE3459"/>
    <w:rsid w:val="00BE5372"/>
    <w:rsid w:val="00BE7C2E"/>
    <w:rsid w:val="00BF5791"/>
    <w:rsid w:val="00BF59FA"/>
    <w:rsid w:val="00BF5CAE"/>
    <w:rsid w:val="00C05DB1"/>
    <w:rsid w:val="00C108E0"/>
    <w:rsid w:val="00C10974"/>
    <w:rsid w:val="00C209E5"/>
    <w:rsid w:val="00C23E4D"/>
    <w:rsid w:val="00C25235"/>
    <w:rsid w:val="00C33DB0"/>
    <w:rsid w:val="00C42278"/>
    <w:rsid w:val="00C4450E"/>
    <w:rsid w:val="00C52E43"/>
    <w:rsid w:val="00C53775"/>
    <w:rsid w:val="00C758D2"/>
    <w:rsid w:val="00C75CD1"/>
    <w:rsid w:val="00C82EC3"/>
    <w:rsid w:val="00C845A2"/>
    <w:rsid w:val="00C90839"/>
    <w:rsid w:val="00C928B1"/>
    <w:rsid w:val="00C934C6"/>
    <w:rsid w:val="00C965E8"/>
    <w:rsid w:val="00C97358"/>
    <w:rsid w:val="00CB5C94"/>
    <w:rsid w:val="00CC2A23"/>
    <w:rsid w:val="00CD4075"/>
    <w:rsid w:val="00CD5640"/>
    <w:rsid w:val="00CE2AFE"/>
    <w:rsid w:val="00CE2FF6"/>
    <w:rsid w:val="00CE3A3F"/>
    <w:rsid w:val="00CE4431"/>
    <w:rsid w:val="00CE65E1"/>
    <w:rsid w:val="00CE7895"/>
    <w:rsid w:val="00CF31E4"/>
    <w:rsid w:val="00CF3AEA"/>
    <w:rsid w:val="00CF584D"/>
    <w:rsid w:val="00CF5B98"/>
    <w:rsid w:val="00D0040D"/>
    <w:rsid w:val="00D0514B"/>
    <w:rsid w:val="00D16037"/>
    <w:rsid w:val="00D1795E"/>
    <w:rsid w:val="00D2087F"/>
    <w:rsid w:val="00D21FE6"/>
    <w:rsid w:val="00D22333"/>
    <w:rsid w:val="00D238AE"/>
    <w:rsid w:val="00D23DBD"/>
    <w:rsid w:val="00D26252"/>
    <w:rsid w:val="00D27E82"/>
    <w:rsid w:val="00D32F6E"/>
    <w:rsid w:val="00D33CD4"/>
    <w:rsid w:val="00D36B13"/>
    <w:rsid w:val="00D37960"/>
    <w:rsid w:val="00D5508A"/>
    <w:rsid w:val="00D5647D"/>
    <w:rsid w:val="00D64828"/>
    <w:rsid w:val="00D67047"/>
    <w:rsid w:val="00D67C10"/>
    <w:rsid w:val="00D67EAD"/>
    <w:rsid w:val="00D76E61"/>
    <w:rsid w:val="00D814EC"/>
    <w:rsid w:val="00D82B9B"/>
    <w:rsid w:val="00D90FC4"/>
    <w:rsid w:val="00D95BE4"/>
    <w:rsid w:val="00D96345"/>
    <w:rsid w:val="00DA22B7"/>
    <w:rsid w:val="00DE1267"/>
    <w:rsid w:val="00DE54AD"/>
    <w:rsid w:val="00DF2E17"/>
    <w:rsid w:val="00DF48DE"/>
    <w:rsid w:val="00DF61E0"/>
    <w:rsid w:val="00E01974"/>
    <w:rsid w:val="00E01CEE"/>
    <w:rsid w:val="00E03469"/>
    <w:rsid w:val="00E13B13"/>
    <w:rsid w:val="00E1553C"/>
    <w:rsid w:val="00E1684C"/>
    <w:rsid w:val="00E2086E"/>
    <w:rsid w:val="00E31559"/>
    <w:rsid w:val="00E41D50"/>
    <w:rsid w:val="00E465B0"/>
    <w:rsid w:val="00E504C4"/>
    <w:rsid w:val="00E553DB"/>
    <w:rsid w:val="00E60705"/>
    <w:rsid w:val="00E60C0D"/>
    <w:rsid w:val="00E62431"/>
    <w:rsid w:val="00E735C8"/>
    <w:rsid w:val="00E826A6"/>
    <w:rsid w:val="00E8691A"/>
    <w:rsid w:val="00E91CA6"/>
    <w:rsid w:val="00E95E83"/>
    <w:rsid w:val="00EA014F"/>
    <w:rsid w:val="00EA1CF4"/>
    <w:rsid w:val="00EA4A15"/>
    <w:rsid w:val="00EB3A30"/>
    <w:rsid w:val="00EB3A6F"/>
    <w:rsid w:val="00EB3D40"/>
    <w:rsid w:val="00EB65FC"/>
    <w:rsid w:val="00EB799E"/>
    <w:rsid w:val="00EC2D0E"/>
    <w:rsid w:val="00EC3AD0"/>
    <w:rsid w:val="00EC408E"/>
    <w:rsid w:val="00EF55A5"/>
    <w:rsid w:val="00EF5AAF"/>
    <w:rsid w:val="00EF74E2"/>
    <w:rsid w:val="00F00DF7"/>
    <w:rsid w:val="00F07A6E"/>
    <w:rsid w:val="00F107C8"/>
    <w:rsid w:val="00F12122"/>
    <w:rsid w:val="00F12A12"/>
    <w:rsid w:val="00F23FC6"/>
    <w:rsid w:val="00F2487B"/>
    <w:rsid w:val="00F27E37"/>
    <w:rsid w:val="00F363B8"/>
    <w:rsid w:val="00F44EF3"/>
    <w:rsid w:val="00F45B06"/>
    <w:rsid w:val="00F4615E"/>
    <w:rsid w:val="00F5114B"/>
    <w:rsid w:val="00F51A52"/>
    <w:rsid w:val="00F54EBD"/>
    <w:rsid w:val="00F66CEF"/>
    <w:rsid w:val="00F676AA"/>
    <w:rsid w:val="00F85830"/>
    <w:rsid w:val="00F87FB6"/>
    <w:rsid w:val="00FA7F58"/>
    <w:rsid w:val="00FB486E"/>
    <w:rsid w:val="00FC549B"/>
    <w:rsid w:val="00FC60F9"/>
    <w:rsid w:val="00FC7366"/>
    <w:rsid w:val="00FD5803"/>
    <w:rsid w:val="00FE3689"/>
    <w:rsid w:val="00FE49C9"/>
    <w:rsid w:val="00FE5EDF"/>
    <w:rsid w:val="00FE6C64"/>
    <w:rsid w:val="00FF5CAA"/>
    <w:rsid w:val="015D6E58"/>
    <w:rsid w:val="01AB0576"/>
    <w:rsid w:val="021757A8"/>
    <w:rsid w:val="022F0ADE"/>
    <w:rsid w:val="026248D6"/>
    <w:rsid w:val="028C0A7F"/>
    <w:rsid w:val="029354C7"/>
    <w:rsid w:val="03601DA2"/>
    <w:rsid w:val="046661F9"/>
    <w:rsid w:val="047449F0"/>
    <w:rsid w:val="04DE5ED7"/>
    <w:rsid w:val="05562CBE"/>
    <w:rsid w:val="0591506E"/>
    <w:rsid w:val="05D46E1E"/>
    <w:rsid w:val="064C519F"/>
    <w:rsid w:val="068209B6"/>
    <w:rsid w:val="07035D6C"/>
    <w:rsid w:val="074515E4"/>
    <w:rsid w:val="07DF1ACE"/>
    <w:rsid w:val="07F06BDD"/>
    <w:rsid w:val="08507FB0"/>
    <w:rsid w:val="09300CE7"/>
    <w:rsid w:val="099C0A5F"/>
    <w:rsid w:val="0A5E5AA8"/>
    <w:rsid w:val="0A7951ED"/>
    <w:rsid w:val="0AA061ED"/>
    <w:rsid w:val="0C470242"/>
    <w:rsid w:val="0C5763FA"/>
    <w:rsid w:val="0CD213F4"/>
    <w:rsid w:val="0D096064"/>
    <w:rsid w:val="0DA0526B"/>
    <w:rsid w:val="0DD95603"/>
    <w:rsid w:val="0E1C2404"/>
    <w:rsid w:val="0F142FC0"/>
    <w:rsid w:val="0F437D21"/>
    <w:rsid w:val="0F7F5B43"/>
    <w:rsid w:val="0F8A6382"/>
    <w:rsid w:val="0FE556DD"/>
    <w:rsid w:val="100622FB"/>
    <w:rsid w:val="104A54E6"/>
    <w:rsid w:val="10AD6992"/>
    <w:rsid w:val="113B74A7"/>
    <w:rsid w:val="1193199C"/>
    <w:rsid w:val="11CD5499"/>
    <w:rsid w:val="124E60FD"/>
    <w:rsid w:val="13332192"/>
    <w:rsid w:val="13EF523B"/>
    <w:rsid w:val="14E07D02"/>
    <w:rsid w:val="159909F2"/>
    <w:rsid w:val="15E07D39"/>
    <w:rsid w:val="165E3617"/>
    <w:rsid w:val="16E14C06"/>
    <w:rsid w:val="16E86A22"/>
    <w:rsid w:val="17200731"/>
    <w:rsid w:val="19736AB7"/>
    <w:rsid w:val="198056A4"/>
    <w:rsid w:val="1A7B6BBD"/>
    <w:rsid w:val="1A9F06F1"/>
    <w:rsid w:val="1B9B5855"/>
    <w:rsid w:val="1CA13798"/>
    <w:rsid w:val="1CB714B2"/>
    <w:rsid w:val="1D3E449E"/>
    <w:rsid w:val="1D430EE8"/>
    <w:rsid w:val="1D5D3E22"/>
    <w:rsid w:val="1DB24E91"/>
    <w:rsid w:val="1E854CF7"/>
    <w:rsid w:val="1EC163F4"/>
    <w:rsid w:val="1F1F6F3D"/>
    <w:rsid w:val="1F53687C"/>
    <w:rsid w:val="1FA35D9E"/>
    <w:rsid w:val="1FCD42F0"/>
    <w:rsid w:val="226A334C"/>
    <w:rsid w:val="22902B0D"/>
    <w:rsid w:val="23036D75"/>
    <w:rsid w:val="24861B18"/>
    <w:rsid w:val="24B85D48"/>
    <w:rsid w:val="24E67AB1"/>
    <w:rsid w:val="25E728CE"/>
    <w:rsid w:val="25F96E1B"/>
    <w:rsid w:val="262926AC"/>
    <w:rsid w:val="26C46D02"/>
    <w:rsid w:val="274D5270"/>
    <w:rsid w:val="27AD16D4"/>
    <w:rsid w:val="28E42AA2"/>
    <w:rsid w:val="28E51BD4"/>
    <w:rsid w:val="28F226C0"/>
    <w:rsid w:val="29A1582A"/>
    <w:rsid w:val="29E827CD"/>
    <w:rsid w:val="29F874BE"/>
    <w:rsid w:val="2A903DB7"/>
    <w:rsid w:val="2B2868AC"/>
    <w:rsid w:val="2B9B57ED"/>
    <w:rsid w:val="2BEF61A7"/>
    <w:rsid w:val="2CAC5213"/>
    <w:rsid w:val="2CED4CB5"/>
    <w:rsid w:val="2EC60FEB"/>
    <w:rsid w:val="2F0F26EB"/>
    <w:rsid w:val="2F1E3FA5"/>
    <w:rsid w:val="2F831E3D"/>
    <w:rsid w:val="30C146B2"/>
    <w:rsid w:val="31C17CF5"/>
    <w:rsid w:val="31DE72F5"/>
    <w:rsid w:val="31EF11FF"/>
    <w:rsid w:val="32070885"/>
    <w:rsid w:val="32A37BA3"/>
    <w:rsid w:val="32CB595D"/>
    <w:rsid w:val="333733C6"/>
    <w:rsid w:val="33542CED"/>
    <w:rsid w:val="33B421B0"/>
    <w:rsid w:val="33D73218"/>
    <w:rsid w:val="34277944"/>
    <w:rsid w:val="3540622A"/>
    <w:rsid w:val="36094D92"/>
    <w:rsid w:val="3649112A"/>
    <w:rsid w:val="36786D80"/>
    <w:rsid w:val="36902D68"/>
    <w:rsid w:val="36917127"/>
    <w:rsid w:val="36A55E0F"/>
    <w:rsid w:val="370C62F6"/>
    <w:rsid w:val="375354EA"/>
    <w:rsid w:val="3814286A"/>
    <w:rsid w:val="38322202"/>
    <w:rsid w:val="39C64FE7"/>
    <w:rsid w:val="3A660764"/>
    <w:rsid w:val="3AB04A71"/>
    <w:rsid w:val="3ADA4015"/>
    <w:rsid w:val="3B215DF5"/>
    <w:rsid w:val="3B9072EB"/>
    <w:rsid w:val="3BF81D44"/>
    <w:rsid w:val="3C420A1D"/>
    <w:rsid w:val="3C7012CE"/>
    <w:rsid w:val="3D165958"/>
    <w:rsid w:val="3EA83BA8"/>
    <w:rsid w:val="3F55424D"/>
    <w:rsid w:val="3F94362D"/>
    <w:rsid w:val="3F9541CB"/>
    <w:rsid w:val="3FD11298"/>
    <w:rsid w:val="40092D76"/>
    <w:rsid w:val="40946000"/>
    <w:rsid w:val="409F639E"/>
    <w:rsid w:val="40EB31A1"/>
    <w:rsid w:val="411503AC"/>
    <w:rsid w:val="41975DC7"/>
    <w:rsid w:val="422B78F1"/>
    <w:rsid w:val="422D664D"/>
    <w:rsid w:val="42C877CA"/>
    <w:rsid w:val="42E96772"/>
    <w:rsid w:val="43D4284C"/>
    <w:rsid w:val="44C202B7"/>
    <w:rsid w:val="45A804F9"/>
    <w:rsid w:val="45C11439"/>
    <w:rsid w:val="46141F6E"/>
    <w:rsid w:val="467158E2"/>
    <w:rsid w:val="46D96E4E"/>
    <w:rsid w:val="472A4B7C"/>
    <w:rsid w:val="47AE18B4"/>
    <w:rsid w:val="47B32636"/>
    <w:rsid w:val="480650F3"/>
    <w:rsid w:val="491007A0"/>
    <w:rsid w:val="499F7CDC"/>
    <w:rsid w:val="4B0A6F17"/>
    <w:rsid w:val="4B1B365C"/>
    <w:rsid w:val="4B222FCB"/>
    <w:rsid w:val="4B315C0A"/>
    <w:rsid w:val="4BFB5D0A"/>
    <w:rsid w:val="4C1755A9"/>
    <w:rsid w:val="4CA91451"/>
    <w:rsid w:val="4DB740DA"/>
    <w:rsid w:val="4EA6085D"/>
    <w:rsid w:val="4EE0086B"/>
    <w:rsid w:val="4F9F573D"/>
    <w:rsid w:val="50502E09"/>
    <w:rsid w:val="509121AF"/>
    <w:rsid w:val="516A63C4"/>
    <w:rsid w:val="52444766"/>
    <w:rsid w:val="527A22E7"/>
    <w:rsid w:val="52D14A5C"/>
    <w:rsid w:val="52E221CE"/>
    <w:rsid w:val="53530B3F"/>
    <w:rsid w:val="54EC3FA9"/>
    <w:rsid w:val="54FD6109"/>
    <w:rsid w:val="55A123A2"/>
    <w:rsid w:val="564C1425"/>
    <w:rsid w:val="565F7B78"/>
    <w:rsid w:val="568C5EE3"/>
    <w:rsid w:val="56D107A2"/>
    <w:rsid w:val="56F13B75"/>
    <w:rsid w:val="577D35F2"/>
    <w:rsid w:val="578802D4"/>
    <w:rsid w:val="58920158"/>
    <w:rsid w:val="58937AF9"/>
    <w:rsid w:val="58E31CED"/>
    <w:rsid w:val="59096878"/>
    <w:rsid w:val="590F1F34"/>
    <w:rsid w:val="590F2362"/>
    <w:rsid w:val="591F4B60"/>
    <w:rsid w:val="5927253A"/>
    <w:rsid w:val="5AB96AF3"/>
    <w:rsid w:val="5B155648"/>
    <w:rsid w:val="5B3E70A0"/>
    <w:rsid w:val="5B9C7856"/>
    <w:rsid w:val="5C395242"/>
    <w:rsid w:val="5C7A72D9"/>
    <w:rsid w:val="5C9415E1"/>
    <w:rsid w:val="5CD36654"/>
    <w:rsid w:val="5CD84257"/>
    <w:rsid w:val="5D367887"/>
    <w:rsid w:val="5D5B1970"/>
    <w:rsid w:val="5DED4379"/>
    <w:rsid w:val="5DF32742"/>
    <w:rsid w:val="5E970ABE"/>
    <w:rsid w:val="5EB24B3F"/>
    <w:rsid w:val="5F523165"/>
    <w:rsid w:val="5FF31500"/>
    <w:rsid w:val="6038782C"/>
    <w:rsid w:val="604C6EB0"/>
    <w:rsid w:val="604F1695"/>
    <w:rsid w:val="607F71C7"/>
    <w:rsid w:val="6191199B"/>
    <w:rsid w:val="61CD156E"/>
    <w:rsid w:val="625E7CB8"/>
    <w:rsid w:val="63116D7D"/>
    <w:rsid w:val="63196B9D"/>
    <w:rsid w:val="63633C6B"/>
    <w:rsid w:val="639612EC"/>
    <w:rsid w:val="63D66C44"/>
    <w:rsid w:val="65337489"/>
    <w:rsid w:val="662F576A"/>
    <w:rsid w:val="667D658F"/>
    <w:rsid w:val="672919DC"/>
    <w:rsid w:val="67C36D0F"/>
    <w:rsid w:val="682E5E74"/>
    <w:rsid w:val="691C5476"/>
    <w:rsid w:val="691F7321"/>
    <w:rsid w:val="692371D7"/>
    <w:rsid w:val="695A1CAE"/>
    <w:rsid w:val="69D848F4"/>
    <w:rsid w:val="6A420AF4"/>
    <w:rsid w:val="6A48383C"/>
    <w:rsid w:val="6A624445"/>
    <w:rsid w:val="6AF73DED"/>
    <w:rsid w:val="6C500FF2"/>
    <w:rsid w:val="6C5742AA"/>
    <w:rsid w:val="6D1F0A9D"/>
    <w:rsid w:val="6E1450A3"/>
    <w:rsid w:val="6E754337"/>
    <w:rsid w:val="6F071687"/>
    <w:rsid w:val="6F2476EC"/>
    <w:rsid w:val="6F70346C"/>
    <w:rsid w:val="6FD60D0C"/>
    <w:rsid w:val="700F42B3"/>
    <w:rsid w:val="70910DD4"/>
    <w:rsid w:val="71BC2F3C"/>
    <w:rsid w:val="71D81C31"/>
    <w:rsid w:val="722C4B31"/>
    <w:rsid w:val="72937E18"/>
    <w:rsid w:val="72E81490"/>
    <w:rsid w:val="75500617"/>
    <w:rsid w:val="76645A15"/>
    <w:rsid w:val="769C7581"/>
    <w:rsid w:val="778A2458"/>
    <w:rsid w:val="77A7747E"/>
    <w:rsid w:val="78E42BB8"/>
    <w:rsid w:val="79C44629"/>
    <w:rsid w:val="7A6567BF"/>
    <w:rsid w:val="7A70257F"/>
    <w:rsid w:val="7AA9382F"/>
    <w:rsid w:val="7BCD36E4"/>
    <w:rsid w:val="7CEB0E90"/>
    <w:rsid w:val="7D041489"/>
    <w:rsid w:val="7D1A5A27"/>
    <w:rsid w:val="7D4A6DFA"/>
    <w:rsid w:val="7DFA2721"/>
    <w:rsid w:val="7E5C3917"/>
    <w:rsid w:val="7F2F2B07"/>
    <w:rsid w:val="7F9254FC"/>
    <w:rsid w:val="7FDB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6">
    <w:name w:val="Document Map"/>
    <w:basedOn w:val="1"/>
    <w:semiHidden/>
    <w:qFormat/>
    <w:uiPriority w:val="0"/>
    <w:pPr>
      <w:shd w:val="clear" w:color="auto" w:fill="000080"/>
    </w:pPr>
  </w:style>
  <w:style w:type="paragraph" w:styleId="7">
    <w:name w:val="annotation text"/>
    <w:basedOn w:val="1"/>
    <w:link w:val="29"/>
    <w:qFormat/>
    <w:uiPriority w:val="0"/>
    <w:pPr>
      <w:jc w:val="left"/>
    </w:pPr>
  </w:style>
  <w:style w:type="paragraph" w:styleId="8">
    <w:name w:val="Body Text"/>
    <w:basedOn w:val="1"/>
    <w:link w:val="33"/>
    <w:qFormat/>
    <w:uiPriority w:val="0"/>
    <w:pPr>
      <w:spacing w:after="120"/>
    </w:pPr>
  </w:style>
  <w:style w:type="paragraph" w:styleId="9">
    <w:name w:val="Date"/>
    <w:basedOn w:val="1"/>
    <w:next w:val="1"/>
    <w:qFormat/>
    <w:uiPriority w:val="0"/>
    <w:pPr>
      <w:ind w:left="100" w:leftChars="2500"/>
    </w:pPr>
  </w:style>
  <w:style w:type="paragraph" w:styleId="10">
    <w:name w:val="Body Text Indent 2"/>
    <w:basedOn w:val="1"/>
    <w:link w:val="32"/>
    <w:qFormat/>
    <w:uiPriority w:val="0"/>
    <w:pPr>
      <w:tabs>
        <w:tab w:val="left" w:pos="0"/>
      </w:tabs>
      <w:ind w:firstLine="555"/>
    </w:pPr>
    <w:rPr>
      <w:rFonts w:hint="eastAsia" w:ascii="仿宋_GB2312" w:eastAsia="仿宋_GB2312"/>
      <w:sz w:val="3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96"/>
      </w:tabs>
    </w:pPr>
    <w:rPr>
      <w:rFonts w:ascii="仿宋_GB2312" w:eastAsia="仿宋_GB2312"/>
      <w:b/>
      <w:sz w:val="28"/>
      <w:szCs w:val="28"/>
    </w:rPr>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Title"/>
    <w:basedOn w:val="1"/>
    <w:next w:val="1"/>
    <w:qFormat/>
    <w:uiPriority w:val="10"/>
    <w:pPr>
      <w:spacing w:before="240" w:after="240"/>
      <w:jc w:val="left"/>
      <w:outlineLvl w:val="0"/>
    </w:pPr>
    <w:rPr>
      <w:rFonts w:ascii="Cambria" w:hAnsi="Cambria"/>
      <w:b/>
      <w:bCs/>
      <w:sz w:val="32"/>
      <w:szCs w:val="32"/>
    </w:rPr>
  </w:style>
  <w:style w:type="paragraph" w:styleId="17">
    <w:name w:val="annotation subject"/>
    <w:basedOn w:val="7"/>
    <w:next w:val="7"/>
    <w:link w:val="40"/>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表头文字"/>
    <w:basedOn w:val="1"/>
    <w:qFormat/>
    <w:uiPriority w:val="0"/>
    <w:rPr>
      <w:rFonts w:ascii="宋体" w:hAnsi="宋体"/>
      <w:b/>
    </w:rPr>
  </w:style>
  <w:style w:type="paragraph" w:customStyle="1" w:styleId="25">
    <w:name w:val="Char Char Char1 Char Char Char Char Char1 Char"/>
    <w:basedOn w:val="1"/>
    <w:qFormat/>
    <w:uiPriority w:val="0"/>
  </w:style>
  <w:style w:type="paragraph" w:customStyle="1" w:styleId="26">
    <w:name w:val="_Style 1"/>
    <w:basedOn w:val="1"/>
    <w:qFormat/>
    <w:uiPriority w:val="34"/>
    <w:pPr>
      <w:ind w:firstLine="420" w:firstLineChars="200"/>
    </w:pPr>
  </w:style>
  <w:style w:type="paragraph" w:customStyle="1" w:styleId="27">
    <w:name w:val="表格文字"/>
    <w:basedOn w:val="24"/>
    <w:qFormat/>
    <w:uiPriority w:val="0"/>
    <w:pPr>
      <w:spacing w:line="440" w:lineRule="exact"/>
      <w:jc w:val="center"/>
    </w:pPr>
    <w:rPr>
      <w:b w:val="0"/>
      <w:sz w:val="24"/>
    </w:rPr>
  </w:style>
  <w:style w:type="paragraph" w:customStyle="1" w:styleId="28">
    <w:name w:val="正文首行缩进2"/>
    <w:basedOn w:val="1"/>
    <w:link w:val="42"/>
    <w:qFormat/>
    <w:uiPriority w:val="0"/>
    <w:pPr>
      <w:spacing w:line="520" w:lineRule="exact"/>
      <w:ind w:firstLine="560" w:firstLineChars="200"/>
    </w:pPr>
    <w:rPr>
      <w:rFonts w:eastAsia="仿宋_GB2312"/>
      <w:kern w:val="0"/>
      <w:sz w:val="28"/>
      <w:szCs w:val="28"/>
    </w:rPr>
  </w:style>
  <w:style w:type="character" w:customStyle="1" w:styleId="29">
    <w:name w:val="批注文字 Char"/>
    <w:link w:val="7"/>
    <w:qFormat/>
    <w:uiPriority w:val="0"/>
    <w:rPr>
      <w:kern w:val="2"/>
      <w:sz w:val="21"/>
      <w:szCs w:val="24"/>
    </w:rPr>
  </w:style>
  <w:style w:type="character" w:customStyle="1" w:styleId="30">
    <w:name w:val="font01"/>
    <w:basedOn w:val="20"/>
    <w:qFormat/>
    <w:uiPriority w:val="0"/>
    <w:rPr>
      <w:rFonts w:hint="eastAsia" w:ascii="宋体" w:hAnsi="宋体" w:eastAsia="宋体" w:cs="宋体"/>
      <w:color w:val="000000"/>
      <w:sz w:val="24"/>
      <w:szCs w:val="24"/>
      <w:u w:val="none"/>
    </w:rPr>
  </w:style>
  <w:style w:type="character" w:customStyle="1" w:styleId="31">
    <w:name w:val="font71"/>
    <w:basedOn w:val="20"/>
    <w:qFormat/>
    <w:uiPriority w:val="0"/>
    <w:rPr>
      <w:rFonts w:hint="default" w:ascii="Times New Roman" w:hAnsi="Times New Roman" w:cs="Times New Roman"/>
      <w:color w:val="auto"/>
      <w:sz w:val="24"/>
      <w:szCs w:val="24"/>
      <w:u w:val="none"/>
    </w:rPr>
  </w:style>
  <w:style w:type="character" w:customStyle="1" w:styleId="32">
    <w:name w:val="正文文本缩进 2 Char"/>
    <w:link w:val="10"/>
    <w:qFormat/>
    <w:uiPriority w:val="0"/>
    <w:rPr>
      <w:rFonts w:hint="eastAsia" w:ascii="仿宋_GB2312" w:eastAsia="仿宋_GB2312" w:cs="仿宋_GB2312"/>
      <w:kern w:val="2"/>
      <w:sz w:val="30"/>
      <w:szCs w:val="24"/>
    </w:rPr>
  </w:style>
  <w:style w:type="character" w:customStyle="1" w:styleId="33">
    <w:name w:val="正文文本 Char"/>
    <w:link w:val="8"/>
    <w:qFormat/>
    <w:uiPriority w:val="0"/>
    <w:rPr>
      <w:kern w:val="2"/>
      <w:sz w:val="21"/>
      <w:szCs w:val="24"/>
    </w:rPr>
  </w:style>
  <w:style w:type="character" w:customStyle="1" w:styleId="34">
    <w:name w:val="font21"/>
    <w:basedOn w:val="20"/>
    <w:qFormat/>
    <w:uiPriority w:val="0"/>
    <w:rPr>
      <w:rFonts w:hint="eastAsia" w:ascii="宋体" w:hAnsi="宋体" w:eastAsia="宋体" w:cs="宋体"/>
      <w:color w:val="000000"/>
      <w:sz w:val="24"/>
      <w:szCs w:val="24"/>
      <w:u w:val="none"/>
      <w:vertAlign w:val="superscript"/>
    </w:rPr>
  </w:style>
  <w:style w:type="character" w:customStyle="1" w:styleId="35">
    <w:name w:val="font11"/>
    <w:basedOn w:val="20"/>
    <w:qFormat/>
    <w:uiPriority w:val="0"/>
    <w:rPr>
      <w:rFonts w:hint="default" w:ascii="Times New Roman" w:hAnsi="Times New Roman" w:cs="Times New Roman"/>
      <w:color w:val="000000"/>
      <w:sz w:val="22"/>
      <w:szCs w:val="22"/>
      <w:u w:val="none"/>
      <w:vertAlign w:val="superscript"/>
    </w:rPr>
  </w:style>
  <w:style w:type="character" w:customStyle="1" w:styleId="36">
    <w:name w:val="font31"/>
    <w:basedOn w:val="20"/>
    <w:qFormat/>
    <w:uiPriority w:val="0"/>
    <w:rPr>
      <w:rFonts w:hint="default" w:ascii="Times New Roman" w:hAnsi="Times New Roman" w:cs="Times New Roman"/>
      <w:color w:val="000000"/>
      <w:sz w:val="22"/>
      <w:szCs w:val="22"/>
      <w:u w:val="none"/>
    </w:rPr>
  </w:style>
  <w:style w:type="character" w:customStyle="1" w:styleId="37">
    <w:name w:val="font41"/>
    <w:basedOn w:val="20"/>
    <w:qFormat/>
    <w:uiPriority w:val="0"/>
    <w:rPr>
      <w:rFonts w:hint="default" w:ascii="仿宋_GB2312" w:eastAsia="仿宋_GB2312" w:cs="仿宋_GB2312"/>
      <w:color w:val="000000"/>
      <w:sz w:val="21"/>
      <w:szCs w:val="21"/>
      <w:u w:val="none"/>
      <w:vertAlign w:val="subscript"/>
    </w:rPr>
  </w:style>
  <w:style w:type="character" w:customStyle="1" w:styleId="38">
    <w:name w:val="font81"/>
    <w:basedOn w:val="20"/>
    <w:qFormat/>
    <w:uiPriority w:val="0"/>
    <w:rPr>
      <w:rFonts w:hint="eastAsia" w:ascii="宋体" w:hAnsi="宋体" w:eastAsia="宋体" w:cs="宋体"/>
      <w:b/>
      <w:color w:val="auto"/>
      <w:sz w:val="24"/>
      <w:szCs w:val="24"/>
      <w:u w:val="none"/>
    </w:rPr>
  </w:style>
  <w:style w:type="character" w:customStyle="1" w:styleId="39">
    <w:name w:val="font51"/>
    <w:basedOn w:val="20"/>
    <w:qFormat/>
    <w:uiPriority w:val="0"/>
    <w:rPr>
      <w:rFonts w:hint="default" w:ascii="Times New Roman" w:hAnsi="Times New Roman" w:cs="Times New Roman"/>
      <w:b/>
      <w:color w:val="000000"/>
      <w:sz w:val="24"/>
      <w:szCs w:val="24"/>
      <w:u w:val="none"/>
    </w:rPr>
  </w:style>
  <w:style w:type="character" w:customStyle="1" w:styleId="40">
    <w:name w:val="批注主题 Char"/>
    <w:link w:val="17"/>
    <w:qFormat/>
    <w:uiPriority w:val="0"/>
    <w:rPr>
      <w:b/>
      <w:bCs/>
      <w:kern w:val="2"/>
      <w:sz w:val="21"/>
      <w:szCs w:val="24"/>
    </w:rPr>
  </w:style>
  <w:style w:type="character" w:customStyle="1" w:styleId="41">
    <w:name w:val="font61"/>
    <w:basedOn w:val="20"/>
    <w:qFormat/>
    <w:uiPriority w:val="0"/>
    <w:rPr>
      <w:rFonts w:hint="default" w:ascii="Times New Roman" w:hAnsi="Times New Roman" w:cs="Times New Roman"/>
      <w:color w:val="auto"/>
      <w:sz w:val="24"/>
      <w:szCs w:val="24"/>
      <w:u w:val="none"/>
    </w:rPr>
  </w:style>
  <w:style w:type="character" w:customStyle="1" w:styleId="42">
    <w:name w:val="正文首行缩进2 Char"/>
    <w:link w:val="28"/>
    <w:qFormat/>
    <w:uiPriority w:val="0"/>
    <w:rPr>
      <w:rFonts w:eastAsia="仿宋_GB2312"/>
      <w:sz w:val="28"/>
      <w:szCs w:val="28"/>
      <w:lang w:val="en-US" w:eastAsia="zh-CN" w:bidi="ar-SA"/>
    </w:rPr>
  </w:style>
  <w:style w:type="character" w:customStyle="1" w:styleId="43">
    <w:name w:val="正文（郑） Char"/>
    <w:basedOn w:val="20"/>
    <w:link w:val="44"/>
    <w:qFormat/>
    <w:uiPriority w:val="0"/>
    <w:rPr>
      <w:rFonts w:cs="宋体"/>
      <w:sz w:val="30"/>
      <w:szCs w:val="20"/>
    </w:rPr>
  </w:style>
  <w:style w:type="paragraph" w:customStyle="1" w:styleId="44">
    <w:name w:val="正文（郑）"/>
    <w:basedOn w:val="1"/>
    <w:link w:val="43"/>
    <w:qFormat/>
    <w:uiPriority w:val="0"/>
    <w:pPr>
      <w:spacing w:line="560" w:lineRule="exact"/>
      <w:ind w:firstLine="600"/>
    </w:pPr>
    <w:rPr>
      <w:rFonts w:cs="宋体"/>
      <w:sz w:val="30"/>
      <w:szCs w:val="20"/>
    </w:rPr>
  </w:style>
  <w:style w:type="paragraph" w:customStyle="1" w:styleId="45">
    <w:name w:val="表格"/>
    <w:basedOn w:val="1"/>
    <w:qFormat/>
    <w:uiPriority w:val="0"/>
    <w:pPr>
      <w:spacing w:line="560" w:lineRule="exact"/>
      <w:jc w:val="center"/>
    </w:pPr>
    <w:rPr>
      <w:rFonts w:eastAsia="方正大标宋简体"/>
      <w:sz w:val="30"/>
    </w:rPr>
  </w:style>
  <w:style w:type="paragraph" w:customStyle="1" w:styleId="46">
    <w:name w:val="表号码"/>
    <w:basedOn w:val="1"/>
    <w:qFormat/>
    <w:uiPriority w:val="0"/>
    <w:pPr>
      <w:spacing w:line="560" w:lineRule="exact"/>
      <w:jc w:val="left"/>
    </w:pPr>
    <w:rPr>
      <w:rFonts w:eastAsia="方正楷体简体"/>
      <w:sz w:val="24"/>
    </w:rPr>
  </w:style>
  <w:style w:type="character" w:customStyle="1" w:styleId="47">
    <w:name w:val="fred1"/>
    <w:qFormat/>
    <w:uiPriority w:val="0"/>
    <w:rPr>
      <w:rFonts w:hint="default" w:ascii="o?" w:hAnsi="o?"/>
      <w:color w:val="CC0000"/>
      <w:sz w:val="24"/>
      <w:szCs w:val="24"/>
    </w:rPr>
  </w:style>
  <w:style w:type="character" w:customStyle="1" w:styleId="48">
    <w:name w:val="fonta951"/>
    <w:qFormat/>
    <w:uiPriority w:val="0"/>
    <w:rPr>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5" Type="http://schemas.openxmlformats.org/officeDocument/2006/relationships/fontTable" Target="fontTable.xml"/><Relationship Id="rId64" Type="http://schemas.openxmlformats.org/officeDocument/2006/relationships/customXml" Target="../customXml/item2.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image" Target="media/image19.png"/><Relationship Id="rId60" Type="http://schemas.openxmlformats.org/officeDocument/2006/relationships/image" Target="media/image18.png"/><Relationship Id="rId6" Type="http://schemas.openxmlformats.org/officeDocument/2006/relationships/footer" Target="footer4.xml"/><Relationship Id="rId59" Type="http://schemas.openxmlformats.org/officeDocument/2006/relationships/image" Target="media/image17.wmf"/><Relationship Id="rId58" Type="http://schemas.openxmlformats.org/officeDocument/2006/relationships/oleObject" Target="embeddings/oleObject32.bin"/><Relationship Id="rId57" Type="http://schemas.openxmlformats.org/officeDocument/2006/relationships/image" Target="media/image16.wmf"/><Relationship Id="rId56" Type="http://schemas.openxmlformats.org/officeDocument/2006/relationships/oleObject" Target="embeddings/oleObject31.bin"/><Relationship Id="rId55" Type="http://schemas.openxmlformats.org/officeDocument/2006/relationships/oleObject" Target="embeddings/oleObject30.bin"/><Relationship Id="rId54" Type="http://schemas.openxmlformats.org/officeDocument/2006/relationships/oleObject" Target="embeddings/oleObject29.bin"/><Relationship Id="rId53" Type="http://schemas.openxmlformats.org/officeDocument/2006/relationships/oleObject" Target="embeddings/oleObject28.bin"/><Relationship Id="rId52" Type="http://schemas.openxmlformats.org/officeDocument/2006/relationships/oleObject" Target="embeddings/oleObject27.bin"/><Relationship Id="rId51" Type="http://schemas.openxmlformats.org/officeDocument/2006/relationships/oleObject" Target="embeddings/oleObject26.bin"/><Relationship Id="rId50" Type="http://schemas.openxmlformats.org/officeDocument/2006/relationships/oleObject" Target="embeddings/oleObject25.bin"/><Relationship Id="rId5" Type="http://schemas.openxmlformats.org/officeDocument/2006/relationships/footer" Target="footer3.xml"/><Relationship Id="rId49" Type="http://schemas.openxmlformats.org/officeDocument/2006/relationships/oleObject" Target="embeddings/oleObject24.bin"/><Relationship Id="rId48" Type="http://schemas.openxmlformats.org/officeDocument/2006/relationships/oleObject" Target="embeddings/oleObject23.bin"/><Relationship Id="rId47" Type="http://schemas.openxmlformats.org/officeDocument/2006/relationships/oleObject" Target="embeddings/oleObject22.bin"/><Relationship Id="rId46" Type="http://schemas.openxmlformats.org/officeDocument/2006/relationships/oleObject" Target="embeddings/oleObject21.bin"/><Relationship Id="rId45" Type="http://schemas.openxmlformats.org/officeDocument/2006/relationships/oleObject" Target="embeddings/oleObject20.bin"/><Relationship Id="rId44" Type="http://schemas.openxmlformats.org/officeDocument/2006/relationships/oleObject" Target="embeddings/oleObject19.bin"/><Relationship Id="rId43" Type="http://schemas.openxmlformats.org/officeDocument/2006/relationships/oleObject" Target="embeddings/oleObject18.bin"/><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image" Target="media/image15.wmf"/><Relationship Id="rId4" Type="http://schemas.openxmlformats.org/officeDocument/2006/relationships/footer" Target="footer2.xml"/><Relationship Id="rId39" Type="http://schemas.openxmlformats.org/officeDocument/2006/relationships/oleObject" Target="embeddings/oleObject15.bin"/><Relationship Id="rId38" Type="http://schemas.openxmlformats.org/officeDocument/2006/relationships/image" Target="media/image14.wmf"/><Relationship Id="rId37" Type="http://schemas.openxmlformats.org/officeDocument/2006/relationships/oleObject" Target="embeddings/oleObject14.bin"/><Relationship Id="rId36" Type="http://schemas.openxmlformats.org/officeDocument/2006/relationships/image" Target="media/image13.wmf"/><Relationship Id="rId35" Type="http://schemas.openxmlformats.org/officeDocument/2006/relationships/oleObject" Target="embeddings/oleObject13.bin"/><Relationship Id="rId34" Type="http://schemas.openxmlformats.org/officeDocument/2006/relationships/image" Target="media/image12.wmf"/><Relationship Id="rId33" Type="http://schemas.openxmlformats.org/officeDocument/2006/relationships/oleObject" Target="embeddings/oleObject12.bin"/><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D7696-AC33-4DE2-A851-74F3B85D53EC}">
  <ds:schemaRefs/>
</ds:datastoreItem>
</file>

<file path=docProps/app.xml><?xml version="1.0" encoding="utf-8"?>
<Properties xmlns="http://schemas.openxmlformats.org/officeDocument/2006/extended-properties" xmlns:vt="http://schemas.openxmlformats.org/officeDocument/2006/docPropsVTypes">
  <Template>Normal</Template>
  <Pages>56</Pages>
  <Words>1425</Words>
  <Characters>1993</Characters>
  <Lines>92</Lines>
  <Paragraphs>26</Paragraphs>
  <TotalTime>0</TotalTime>
  <ScaleCrop>false</ScaleCrop>
  <LinksUpToDate>false</LinksUpToDate>
  <CharactersWithSpaces>2079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2017-02-09T03:34:00Z</dcterms:created>
  <dc:creator>LENOVO</dc:creator>
  <cp:lastModifiedBy>ω偽谁婷镏</cp:lastModifiedBy>
  <cp:lastPrinted>2022-05-25T03:50:00Z</cp:lastPrinted>
  <dcterms:modified xsi:type="dcterms:W3CDTF">2026-06-01T02:22:43Z</dcterms:modified>
  <dc:title>福州市闽侯县</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A8039C01E9404EC0BED0317E5279F570</vt:lpwstr>
  </property>
  <property fmtid="{D5CDD505-2E9C-101B-9397-08002B2CF9AE}" pid="5" name="KSOTemplateDocerSaveRecord">
    <vt:lpwstr>eyJoZGlkIjoiY2QwNmY0NDU1M2MwM2Y4M2JmOTFjYzQzZjIzMGQ0NmIiLCJ1c2VySWQiOiIyNDE4OTgzMTYifQ==</vt:lpwstr>
  </property>
</Properties>
</file>