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5D37C3">
      <w:pPr>
        <w:keepNext w:val="0"/>
        <w:keepLines w:val="0"/>
        <w:pageBreakBefore w:val="0"/>
        <w:widowControl w:val="0"/>
        <w:kinsoku w:val="0"/>
        <w:wordWrap/>
        <w:overflowPunct/>
        <w:autoSpaceDE w:val="0"/>
        <w:autoSpaceDN w:val="0"/>
        <w:bidi w:val="0"/>
        <w:adjustRightInd w:val="0"/>
        <w:snapToGrid w:val="0"/>
        <w:spacing w:line="252" w:lineRule="auto"/>
        <w:jc w:val="left"/>
        <w:textAlignment w:val="baseline"/>
        <w:rPr>
          <w:rFonts w:hint="eastAsia" w:ascii="黑体" w:hAnsi="黑体" w:eastAsia="黑体" w:cs="黑体"/>
          <w:snapToGrid w:val="0"/>
          <w:color w:val="000000"/>
          <w:kern w:val="0"/>
          <w:sz w:val="32"/>
          <w:szCs w:val="32"/>
          <w:lang w:val="en-US" w:eastAsia="zh-CN"/>
        </w:rPr>
      </w:pPr>
      <w:r>
        <w:rPr>
          <w:rFonts w:hint="eastAsia" w:ascii="黑体" w:hAnsi="黑体" w:eastAsia="黑体" w:cs="黑体"/>
          <w:snapToGrid w:val="0"/>
          <w:color w:val="000000"/>
          <w:kern w:val="0"/>
          <w:sz w:val="32"/>
          <w:szCs w:val="32"/>
          <w:lang w:val="en-US" w:eastAsia="zh-CN"/>
        </w:rPr>
        <w:t>附件</w:t>
      </w:r>
    </w:p>
    <w:p w14:paraId="775C9BD0">
      <w:pPr>
        <w:keepNext w:val="0"/>
        <w:keepLines w:val="0"/>
        <w:pageBreakBefore w:val="0"/>
        <w:widowControl w:val="0"/>
        <w:wordWrap/>
        <w:overflowPunct/>
        <w:bidi w:val="0"/>
        <w:rPr>
          <w:rFonts w:hint="eastAsia"/>
        </w:rPr>
      </w:pPr>
    </w:p>
    <w:p w14:paraId="6624F9D2">
      <w:pPr>
        <w:keepNext w:val="0"/>
        <w:keepLines w:val="0"/>
        <w:pageBreakBefore w:val="0"/>
        <w:widowControl w:val="0"/>
        <w:wordWrap/>
        <w:overflowPunct/>
        <w:bidi w:val="0"/>
        <w:rPr>
          <w:rFonts w:hint="eastAsia"/>
        </w:rPr>
      </w:pPr>
    </w:p>
    <w:p w14:paraId="57DFCA9F">
      <w:pPr>
        <w:keepNext w:val="0"/>
        <w:keepLines w:val="0"/>
        <w:pageBreakBefore w:val="0"/>
        <w:widowControl w:val="0"/>
        <w:wordWrap/>
        <w:overflowPunct/>
        <w:bidi w:val="0"/>
        <w:rPr>
          <w:rFonts w:hint="eastAsia"/>
        </w:rPr>
      </w:pPr>
    </w:p>
    <w:p w14:paraId="3C6B44C1">
      <w:pPr>
        <w:keepNext w:val="0"/>
        <w:keepLines w:val="0"/>
        <w:pageBreakBefore w:val="0"/>
        <w:widowControl w:val="0"/>
        <w:wordWrap/>
        <w:overflowPunct/>
        <w:bidi w:val="0"/>
        <w:rPr>
          <w:rFonts w:hint="eastAsia"/>
        </w:rPr>
      </w:pPr>
    </w:p>
    <w:p w14:paraId="3F001C43">
      <w:pPr>
        <w:keepNext w:val="0"/>
        <w:keepLines w:val="0"/>
        <w:pageBreakBefore w:val="0"/>
        <w:widowControl w:val="0"/>
        <w:wordWrap/>
        <w:overflowPunct/>
        <w:bidi w:val="0"/>
        <w:rPr>
          <w:rFonts w:hint="eastAsia"/>
        </w:rPr>
      </w:pPr>
    </w:p>
    <w:p w14:paraId="17DA36AC">
      <w:pPr>
        <w:keepNext w:val="0"/>
        <w:keepLines w:val="0"/>
        <w:pageBreakBefore w:val="0"/>
        <w:widowControl w:val="0"/>
        <w:wordWrap/>
        <w:overflowPunct/>
        <w:bidi w:val="0"/>
        <w:rPr>
          <w:rFonts w:hint="eastAsia"/>
        </w:rPr>
      </w:pPr>
    </w:p>
    <w:p w14:paraId="075A1782">
      <w:pPr>
        <w:keepNext w:val="0"/>
        <w:keepLines w:val="0"/>
        <w:pageBreakBefore w:val="0"/>
        <w:widowControl w:val="0"/>
        <w:wordWrap/>
        <w:overflowPunct/>
        <w:bidi w:val="0"/>
        <w:rPr>
          <w:rFonts w:hint="eastAsia"/>
        </w:rPr>
      </w:pPr>
    </w:p>
    <w:p w14:paraId="29BAD953">
      <w:pPr>
        <w:keepNext w:val="0"/>
        <w:keepLines w:val="0"/>
        <w:pageBreakBefore w:val="0"/>
        <w:widowControl w:val="0"/>
        <w:wordWrap/>
        <w:overflowPunct/>
        <w:bidi w:val="0"/>
        <w:rPr>
          <w:rFonts w:hint="eastAsia"/>
        </w:rPr>
      </w:pPr>
    </w:p>
    <w:p w14:paraId="266A6FB1">
      <w:pPr>
        <w:keepNext w:val="0"/>
        <w:keepLines w:val="0"/>
        <w:pageBreakBefore w:val="0"/>
        <w:widowControl w:val="0"/>
        <w:kinsoku w:val="0"/>
        <w:wordWrap/>
        <w:overflowPunct/>
        <w:autoSpaceDE w:val="0"/>
        <w:autoSpaceDN w:val="0"/>
        <w:bidi w:val="0"/>
        <w:adjustRightInd w:val="0"/>
        <w:snapToGrid w:val="0"/>
        <w:spacing w:before="192" w:line="370" w:lineRule="auto"/>
        <w:ind w:left="2627" w:hanging="2546"/>
        <w:jc w:val="center"/>
        <w:textAlignment w:val="baseline"/>
        <w:rPr>
          <w:rFonts w:hint="eastAsia" w:ascii="宋体" w:hAnsi="宋体" w:eastAsia="宋体" w:cs="宋体"/>
          <w:snapToGrid w:val="0"/>
          <w:color w:val="000000"/>
          <w:spacing w:val="0"/>
          <w:kern w:val="0"/>
          <w:sz w:val="52"/>
          <w:szCs w:val="52"/>
        </w:rPr>
      </w:pPr>
      <w:r>
        <w:rPr>
          <w:rFonts w:hint="eastAsia" w:ascii="宋体" w:hAnsi="宋体" w:eastAsia="宋体" w:cs="宋体"/>
          <w:snapToGrid w:val="0"/>
          <w:color w:val="000000"/>
          <w:spacing w:val="0"/>
          <w:kern w:val="0"/>
          <w:sz w:val="52"/>
          <w:szCs w:val="52"/>
        </w:rPr>
        <w:t>福建泉港新材料高新技术产业园区</w:t>
      </w:r>
    </w:p>
    <w:p w14:paraId="18223426">
      <w:pPr>
        <w:keepNext w:val="0"/>
        <w:keepLines w:val="0"/>
        <w:pageBreakBefore w:val="0"/>
        <w:widowControl w:val="0"/>
        <w:kinsoku w:val="0"/>
        <w:wordWrap/>
        <w:overflowPunct/>
        <w:autoSpaceDE w:val="0"/>
        <w:autoSpaceDN w:val="0"/>
        <w:bidi w:val="0"/>
        <w:adjustRightInd w:val="0"/>
        <w:snapToGrid w:val="0"/>
        <w:spacing w:before="192" w:line="370" w:lineRule="auto"/>
        <w:ind w:left="2627" w:hanging="2546"/>
        <w:jc w:val="center"/>
        <w:textAlignment w:val="baseline"/>
        <w:rPr>
          <w:rFonts w:hint="eastAsia" w:ascii="宋体" w:hAnsi="宋体" w:eastAsia="宋体" w:cs="宋体"/>
          <w:snapToGrid w:val="0"/>
          <w:color w:val="000000"/>
          <w:spacing w:val="0"/>
          <w:kern w:val="0"/>
          <w:sz w:val="52"/>
          <w:szCs w:val="52"/>
        </w:rPr>
      </w:pPr>
      <w:r>
        <w:rPr>
          <w:rFonts w:hint="eastAsia" w:ascii="宋体" w:hAnsi="宋体" w:eastAsia="宋体" w:cs="宋体"/>
          <w:snapToGrid w:val="0"/>
          <w:color w:val="000000"/>
          <w:spacing w:val="0"/>
          <w:kern w:val="0"/>
          <w:sz w:val="52"/>
          <w:szCs w:val="52"/>
        </w:rPr>
        <w:t>总体发展规划</w:t>
      </w:r>
    </w:p>
    <w:p w14:paraId="48D3F73A">
      <w:pPr>
        <w:keepNext w:val="0"/>
        <w:keepLines w:val="0"/>
        <w:pageBreakBefore w:val="0"/>
        <w:widowControl w:val="0"/>
        <w:kinsoku w:val="0"/>
        <w:wordWrap/>
        <w:overflowPunct/>
        <w:autoSpaceDE w:val="0"/>
        <w:autoSpaceDN w:val="0"/>
        <w:bidi w:val="0"/>
        <w:adjustRightInd w:val="0"/>
        <w:snapToGrid w:val="0"/>
        <w:spacing w:before="192" w:line="370" w:lineRule="auto"/>
        <w:ind w:left="2627" w:hanging="2546"/>
        <w:jc w:val="center"/>
        <w:textAlignment w:val="baseline"/>
        <w:rPr>
          <w:rFonts w:hint="eastAsia" w:ascii="宋体" w:hAnsi="宋体" w:eastAsia="宋体" w:cs="宋体"/>
          <w:snapToGrid w:val="0"/>
          <w:color w:val="000000"/>
          <w:spacing w:val="0"/>
          <w:kern w:val="0"/>
          <w:sz w:val="52"/>
          <w:szCs w:val="52"/>
        </w:rPr>
      </w:pPr>
      <w:r>
        <w:rPr>
          <w:rFonts w:hint="eastAsia" w:ascii="宋体" w:hAnsi="宋体" w:eastAsia="宋体" w:cs="宋体"/>
          <w:snapToGrid w:val="0"/>
          <w:color w:val="000000"/>
          <w:spacing w:val="0"/>
          <w:kern w:val="0"/>
          <w:sz w:val="52"/>
          <w:szCs w:val="52"/>
        </w:rPr>
        <w:t>（2023年修订版）</w:t>
      </w:r>
    </w:p>
    <w:p w14:paraId="2BA2DF0E">
      <w:pPr>
        <w:pStyle w:val="2"/>
        <w:keepNext w:val="0"/>
        <w:keepLines w:val="0"/>
        <w:pageBreakBefore w:val="0"/>
        <w:widowControl w:val="0"/>
        <w:wordWrap/>
        <w:overflowPunct/>
        <w:bidi w:val="0"/>
        <w:rPr>
          <w:rFonts w:hint="eastAsia" w:ascii="宋体" w:hAnsi="宋体" w:eastAsia="宋体" w:cs="宋体"/>
          <w:snapToGrid w:val="0"/>
          <w:color w:val="000000"/>
          <w:spacing w:val="28"/>
          <w:kern w:val="0"/>
          <w:sz w:val="52"/>
          <w:szCs w:val="52"/>
        </w:rPr>
      </w:pPr>
    </w:p>
    <w:p w14:paraId="150DF5D4">
      <w:pPr>
        <w:pStyle w:val="2"/>
        <w:keepNext w:val="0"/>
        <w:keepLines w:val="0"/>
        <w:pageBreakBefore w:val="0"/>
        <w:widowControl w:val="0"/>
        <w:wordWrap/>
        <w:overflowPunct/>
        <w:bidi w:val="0"/>
        <w:rPr>
          <w:rFonts w:hint="eastAsia" w:ascii="宋体" w:hAnsi="宋体" w:eastAsia="宋体" w:cs="宋体"/>
          <w:snapToGrid w:val="0"/>
          <w:color w:val="000000"/>
          <w:spacing w:val="28"/>
          <w:kern w:val="0"/>
          <w:sz w:val="52"/>
          <w:szCs w:val="52"/>
        </w:rPr>
      </w:pPr>
    </w:p>
    <w:p w14:paraId="736911C9">
      <w:pPr>
        <w:pStyle w:val="2"/>
        <w:keepNext w:val="0"/>
        <w:keepLines w:val="0"/>
        <w:pageBreakBefore w:val="0"/>
        <w:widowControl w:val="0"/>
        <w:wordWrap/>
        <w:overflowPunct/>
        <w:bidi w:val="0"/>
        <w:rPr>
          <w:rFonts w:hint="eastAsia" w:ascii="宋体" w:hAnsi="宋体" w:eastAsia="宋体" w:cs="宋体"/>
          <w:snapToGrid w:val="0"/>
          <w:color w:val="000000"/>
          <w:spacing w:val="28"/>
          <w:kern w:val="0"/>
          <w:sz w:val="52"/>
          <w:szCs w:val="52"/>
        </w:rPr>
      </w:pPr>
    </w:p>
    <w:p w14:paraId="3E59EBAD">
      <w:pPr>
        <w:pStyle w:val="2"/>
        <w:keepNext w:val="0"/>
        <w:keepLines w:val="0"/>
        <w:pageBreakBefore w:val="0"/>
        <w:widowControl w:val="0"/>
        <w:wordWrap/>
        <w:overflowPunct/>
        <w:bidi w:val="0"/>
        <w:rPr>
          <w:rFonts w:hint="eastAsia" w:ascii="宋体" w:hAnsi="宋体" w:eastAsia="宋体" w:cs="宋体"/>
          <w:snapToGrid w:val="0"/>
          <w:color w:val="000000"/>
          <w:spacing w:val="28"/>
          <w:kern w:val="0"/>
          <w:sz w:val="52"/>
          <w:szCs w:val="52"/>
        </w:rPr>
      </w:pPr>
    </w:p>
    <w:p w14:paraId="7AE31997">
      <w:pPr>
        <w:pStyle w:val="2"/>
        <w:keepNext w:val="0"/>
        <w:keepLines w:val="0"/>
        <w:pageBreakBefore w:val="0"/>
        <w:widowControl w:val="0"/>
        <w:wordWrap/>
        <w:overflowPunct/>
        <w:bidi w:val="0"/>
        <w:rPr>
          <w:rFonts w:hint="eastAsia" w:ascii="宋体" w:hAnsi="宋体" w:eastAsia="宋体" w:cs="宋体"/>
          <w:snapToGrid w:val="0"/>
          <w:color w:val="000000"/>
          <w:spacing w:val="28"/>
          <w:kern w:val="0"/>
          <w:sz w:val="52"/>
          <w:szCs w:val="52"/>
        </w:rPr>
      </w:pPr>
    </w:p>
    <w:p w14:paraId="5EC26DA0">
      <w:pPr>
        <w:pStyle w:val="2"/>
        <w:keepNext w:val="0"/>
        <w:keepLines w:val="0"/>
        <w:pageBreakBefore w:val="0"/>
        <w:widowControl w:val="0"/>
        <w:wordWrap/>
        <w:overflowPunct/>
        <w:bidi w:val="0"/>
        <w:ind w:left="0" w:leftChars="0" w:firstLine="0" w:firstLineChars="0"/>
        <w:rPr>
          <w:rFonts w:hint="eastAsia" w:ascii="宋体" w:hAnsi="宋体" w:eastAsia="宋体" w:cs="宋体"/>
          <w:snapToGrid w:val="0"/>
          <w:color w:val="000000"/>
          <w:spacing w:val="28"/>
          <w:kern w:val="0"/>
          <w:sz w:val="52"/>
          <w:szCs w:val="52"/>
        </w:rPr>
      </w:pPr>
    </w:p>
    <w:p w14:paraId="21575930">
      <w:pPr>
        <w:pStyle w:val="2"/>
        <w:keepNext w:val="0"/>
        <w:keepLines w:val="0"/>
        <w:pageBreakBefore w:val="0"/>
        <w:widowControl w:val="0"/>
        <w:wordWrap/>
        <w:overflowPunct/>
        <w:topLinePunct w:val="0"/>
        <w:bidi w:val="0"/>
        <w:spacing w:before="0" w:beforeAutospacing="0" w:line="540" w:lineRule="exact"/>
        <w:ind w:left="0" w:leftChars="0" w:firstLine="0" w:firstLineChars="0"/>
        <w:jc w:val="center"/>
        <w:rPr>
          <w:rFonts w:hint="eastAsia" w:ascii="黑体" w:hAnsi="黑体" w:eastAsia="黑体" w:cs="黑体"/>
          <w:snapToGrid w:val="0"/>
          <w:color w:val="000000"/>
          <w:spacing w:val="0"/>
          <w:kern w:val="0"/>
          <w:sz w:val="35"/>
          <w:szCs w:val="35"/>
        </w:rPr>
      </w:pPr>
      <w:r>
        <w:rPr>
          <w:rFonts w:hint="eastAsia" w:ascii="黑体" w:hAnsi="黑体" w:eastAsia="黑体" w:cs="黑体"/>
          <w:snapToGrid w:val="0"/>
          <w:color w:val="000000"/>
          <w:spacing w:val="0"/>
          <w:kern w:val="0"/>
          <w:sz w:val="35"/>
          <w:szCs w:val="35"/>
        </w:rPr>
        <w:t>目</w:t>
      </w:r>
      <w:r>
        <w:rPr>
          <w:rFonts w:hint="eastAsia" w:ascii="黑体" w:hAnsi="黑体" w:eastAsia="黑体" w:cs="黑体"/>
          <w:snapToGrid w:val="0"/>
          <w:color w:val="000000"/>
          <w:spacing w:val="0"/>
          <w:kern w:val="0"/>
          <w:sz w:val="35"/>
          <w:szCs w:val="35"/>
          <w:lang w:val="en-US" w:eastAsia="zh-CN"/>
        </w:rPr>
        <w:t xml:space="preserve">  </w:t>
      </w:r>
      <w:r>
        <w:rPr>
          <w:rFonts w:hint="eastAsia" w:ascii="黑体" w:hAnsi="黑体" w:eastAsia="黑体" w:cs="黑体"/>
          <w:snapToGrid w:val="0"/>
          <w:color w:val="000000"/>
          <w:spacing w:val="0"/>
          <w:kern w:val="0"/>
          <w:sz w:val="35"/>
          <w:szCs w:val="35"/>
        </w:rPr>
        <w:t>录</w:t>
      </w:r>
    </w:p>
    <w:p w14:paraId="1C406E78">
      <w:pPr>
        <w:keepNext w:val="0"/>
        <w:keepLines w:val="0"/>
        <w:pageBreakBefore w:val="0"/>
        <w:widowControl w:val="0"/>
        <w:tabs>
          <w:tab w:val="right" w:leader="dot" w:pos="8997"/>
        </w:tabs>
        <w:kinsoku w:val="0"/>
        <w:wordWrap/>
        <w:overflowPunct/>
        <w:topLinePunct w:val="0"/>
        <w:autoSpaceDE w:val="0"/>
        <w:autoSpaceDN w:val="0"/>
        <w:bidi w:val="0"/>
        <w:adjustRightInd w:val="0"/>
        <w:snapToGrid w:val="0"/>
        <w:spacing w:beforeAutospacing="0" w:line="540" w:lineRule="exact"/>
        <w:ind w:left="19"/>
        <w:textAlignment w:val="baseline"/>
        <w:rPr>
          <w:rFonts w:ascii="Arial" w:hAnsi="Arial" w:eastAsia="Arial" w:cs="Arial"/>
          <w:spacing w:val="0"/>
          <w:sz w:val="28"/>
          <w:szCs w:val="28"/>
        </w:rPr>
      </w:pPr>
      <w:r>
        <w:rPr>
          <w:spacing w:val="0"/>
        </w:rPr>
        <w:fldChar w:fldCharType="begin"/>
      </w:r>
      <w:r>
        <w:rPr>
          <w:spacing w:val="0"/>
        </w:rPr>
        <w:instrText xml:space="preserve">HYPERLINK\l"_bookmark1"</w:instrText>
      </w:r>
      <w:r>
        <w:rPr>
          <w:spacing w:val="0"/>
        </w:rPr>
        <w:fldChar w:fldCharType="separate"/>
      </w:r>
      <w:r>
        <w:rPr>
          <w:rFonts w:ascii="仿宋" w:hAnsi="仿宋" w:eastAsia="仿宋" w:cs="仿宋"/>
          <w:spacing w:val="0"/>
          <w:sz w:val="28"/>
          <w:szCs w:val="28"/>
        </w:rPr>
        <w:t>第一部分总体发展战略</w:t>
      </w:r>
      <w:r>
        <w:rPr>
          <w:rFonts w:ascii="仿宋" w:hAnsi="仿宋" w:eastAsia="仿宋" w:cs="仿宋"/>
          <w:b/>
          <w:bCs/>
          <w:spacing w:val="0"/>
          <w:sz w:val="28"/>
          <w:szCs w:val="28"/>
        </w:rPr>
        <w:tab/>
      </w:r>
      <w:r>
        <w:rPr>
          <w:rFonts w:hint="default" w:ascii="Arial" w:hAnsi="Arial" w:eastAsia="宋体" w:cs="Arial"/>
          <w:b/>
          <w:bCs/>
          <w:spacing w:val="0"/>
          <w:sz w:val="28"/>
          <w:szCs w:val="28"/>
          <w:lang w:val="en-US" w:eastAsia="zh-CN"/>
        </w:rPr>
        <w:t>7</w:t>
      </w:r>
      <w:r>
        <w:rPr>
          <w:rFonts w:ascii="Arial" w:hAnsi="Arial" w:eastAsia="Arial" w:cs="Arial"/>
          <w:b/>
          <w:bCs/>
          <w:spacing w:val="0"/>
          <w:sz w:val="28"/>
          <w:szCs w:val="28"/>
        </w:rPr>
        <w:fldChar w:fldCharType="end"/>
      </w:r>
    </w:p>
    <w:p w14:paraId="1C76F265">
      <w:pPr>
        <w:keepNext w:val="0"/>
        <w:keepLines w:val="0"/>
        <w:pageBreakBefore w:val="0"/>
        <w:widowControl w:val="0"/>
        <w:tabs>
          <w:tab w:val="right" w:leader="dot" w:pos="8997"/>
        </w:tabs>
        <w:kinsoku w:val="0"/>
        <w:wordWrap/>
        <w:overflowPunct/>
        <w:topLinePunct w:val="0"/>
        <w:autoSpaceDE w:val="0"/>
        <w:autoSpaceDN w:val="0"/>
        <w:bidi w:val="0"/>
        <w:adjustRightInd w:val="0"/>
        <w:snapToGrid w:val="0"/>
        <w:spacing w:beforeAutospacing="0" w:line="540" w:lineRule="exact"/>
        <w:ind w:left="16"/>
        <w:textAlignment w:val="baseline"/>
        <w:rPr>
          <w:rFonts w:ascii="Arial" w:hAnsi="Arial" w:eastAsia="Arial" w:cs="Arial"/>
          <w:spacing w:val="0"/>
          <w:sz w:val="28"/>
          <w:szCs w:val="28"/>
        </w:rPr>
      </w:pPr>
      <w:r>
        <w:rPr>
          <w:spacing w:val="0"/>
        </w:rPr>
        <w:fldChar w:fldCharType="begin"/>
      </w:r>
      <w:r>
        <w:rPr>
          <w:spacing w:val="0"/>
        </w:rPr>
        <w:instrText xml:space="preserve">HYPERLINK\l"_bookmark2"</w:instrText>
      </w:r>
      <w:r>
        <w:rPr>
          <w:spacing w:val="0"/>
        </w:rPr>
        <w:fldChar w:fldCharType="separate"/>
      </w:r>
      <w:r>
        <w:rPr>
          <w:rFonts w:ascii="Arial" w:hAnsi="Arial" w:eastAsia="Arial" w:cs="Arial"/>
          <w:b/>
          <w:bCs/>
          <w:spacing w:val="0"/>
          <w:sz w:val="28"/>
          <w:szCs w:val="28"/>
        </w:rPr>
        <w:t>1</w:t>
      </w:r>
      <w:r>
        <w:rPr>
          <w:rFonts w:ascii="仿宋" w:hAnsi="仿宋" w:eastAsia="仿宋" w:cs="仿宋"/>
          <w:spacing w:val="0"/>
          <w:sz w:val="28"/>
          <w:szCs w:val="28"/>
        </w:rPr>
        <w:t>总则</w:t>
      </w:r>
      <w:r>
        <w:rPr>
          <w:rFonts w:ascii="Arial" w:hAnsi="Arial" w:eastAsia="Arial" w:cs="Arial"/>
          <w:b/>
          <w:bCs/>
          <w:spacing w:val="0"/>
          <w:sz w:val="28"/>
          <w:szCs w:val="28"/>
        </w:rPr>
        <w:tab/>
      </w:r>
      <w:r>
        <w:rPr>
          <w:rFonts w:hint="eastAsia" w:ascii="Arial" w:hAnsi="Arial" w:eastAsia="宋体" w:cs="Arial"/>
          <w:b/>
          <w:bCs/>
          <w:spacing w:val="0"/>
          <w:sz w:val="28"/>
          <w:szCs w:val="28"/>
          <w:lang w:val="en-US" w:eastAsia="zh-CN"/>
        </w:rPr>
        <w:t>8</w:t>
      </w:r>
      <w:r>
        <w:rPr>
          <w:rFonts w:ascii="Arial" w:hAnsi="Arial" w:eastAsia="Arial" w:cs="Arial"/>
          <w:b/>
          <w:bCs/>
          <w:spacing w:val="0"/>
          <w:sz w:val="28"/>
          <w:szCs w:val="28"/>
        </w:rPr>
        <w:fldChar w:fldCharType="end"/>
      </w:r>
    </w:p>
    <w:p w14:paraId="668101A6">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w:instrText>
      </w:r>
      <w:r>
        <w:rPr>
          <w:spacing w:val="0"/>
        </w:rPr>
        <w:fldChar w:fldCharType="separate"/>
      </w:r>
      <w:r>
        <w:rPr>
          <w:rFonts w:ascii="Arial" w:hAnsi="Arial" w:eastAsia="Arial" w:cs="Arial"/>
          <w:spacing w:val="0"/>
          <w:sz w:val="28"/>
          <w:szCs w:val="28"/>
        </w:rPr>
        <w:t>1.1</w:t>
      </w:r>
      <w:r>
        <w:rPr>
          <w:rFonts w:ascii="仿宋" w:hAnsi="仿宋" w:eastAsia="仿宋" w:cs="仿宋"/>
          <w:spacing w:val="0"/>
          <w:sz w:val="28"/>
          <w:szCs w:val="28"/>
        </w:rPr>
        <w:t>发展历程</w:t>
      </w:r>
      <w:r>
        <w:rPr>
          <w:rFonts w:ascii="Arial" w:hAnsi="Arial" w:eastAsia="Arial" w:cs="Arial"/>
          <w:spacing w:val="0"/>
          <w:sz w:val="28"/>
          <w:szCs w:val="28"/>
        </w:rPr>
        <w:tab/>
      </w:r>
      <w:r>
        <w:rPr>
          <w:rFonts w:hint="default" w:ascii="Arial" w:hAnsi="Arial" w:eastAsia="宋体" w:cs="Arial"/>
          <w:spacing w:val="0"/>
          <w:sz w:val="28"/>
          <w:szCs w:val="28"/>
          <w:lang w:val="en-US" w:eastAsia="zh-CN"/>
        </w:rPr>
        <w:t>8</w:t>
      </w:r>
      <w:r>
        <w:rPr>
          <w:rFonts w:ascii="Arial" w:hAnsi="Arial" w:eastAsia="Arial" w:cs="Arial"/>
          <w:spacing w:val="0"/>
          <w:sz w:val="28"/>
          <w:szCs w:val="28"/>
        </w:rPr>
        <w:fldChar w:fldCharType="end"/>
      </w:r>
    </w:p>
    <w:p w14:paraId="123925AA">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HYPERLINK\l"_bookmark4"</w:instrText>
      </w:r>
      <w:r>
        <w:rPr>
          <w:spacing w:val="0"/>
        </w:rPr>
        <w:fldChar w:fldCharType="separate"/>
      </w:r>
      <w:r>
        <w:rPr>
          <w:rFonts w:ascii="Arial" w:hAnsi="Arial" w:eastAsia="Arial" w:cs="Arial"/>
          <w:spacing w:val="0"/>
          <w:sz w:val="28"/>
          <w:szCs w:val="28"/>
        </w:rPr>
        <w:t>1.2</w:t>
      </w:r>
      <w:r>
        <w:rPr>
          <w:rFonts w:ascii="仿宋" w:hAnsi="仿宋" w:eastAsia="仿宋" w:cs="仿宋"/>
          <w:spacing w:val="0"/>
          <w:sz w:val="28"/>
          <w:szCs w:val="28"/>
        </w:rPr>
        <w:t>规划背景</w:t>
      </w:r>
      <w:r>
        <w:rPr>
          <w:rFonts w:ascii="Arial" w:hAnsi="Arial" w:eastAsia="Arial" w:cs="Arial"/>
          <w:spacing w:val="0"/>
          <w:sz w:val="28"/>
          <w:szCs w:val="28"/>
        </w:rPr>
        <w:tab/>
      </w:r>
      <w:r>
        <w:rPr>
          <w:rFonts w:hint="eastAsia" w:ascii="Arial" w:hAnsi="Arial" w:eastAsia="宋体" w:cs="Arial"/>
          <w:spacing w:val="0"/>
          <w:sz w:val="28"/>
          <w:szCs w:val="28"/>
          <w:lang w:val="en-US" w:eastAsia="zh-CN"/>
        </w:rPr>
        <w:t>8</w:t>
      </w:r>
      <w:r>
        <w:rPr>
          <w:rFonts w:ascii="Arial" w:hAnsi="Arial" w:eastAsia="Arial" w:cs="Arial"/>
          <w:spacing w:val="0"/>
          <w:sz w:val="28"/>
          <w:szCs w:val="28"/>
        </w:rPr>
        <w:fldChar w:fldCharType="end"/>
      </w:r>
    </w:p>
    <w:p w14:paraId="284E2499">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hint="eastAsia" w:ascii="Arial" w:hAnsi="Arial" w:eastAsia="宋体" w:cs="Arial"/>
          <w:b/>
          <w:bCs/>
          <w:spacing w:val="0"/>
          <w:sz w:val="28"/>
          <w:szCs w:val="28"/>
          <w:lang w:val="en-US" w:eastAsia="zh-CN"/>
        </w:rPr>
      </w:pPr>
      <w:r>
        <w:rPr>
          <w:spacing w:val="0"/>
        </w:rPr>
        <w:fldChar w:fldCharType="begin"/>
      </w:r>
      <w:r>
        <w:rPr>
          <w:spacing w:val="0"/>
        </w:rPr>
        <w:instrText xml:space="preserve">HYPERLINK\l"_bookmark5"</w:instrText>
      </w:r>
      <w:r>
        <w:rPr>
          <w:spacing w:val="0"/>
        </w:rPr>
        <w:fldChar w:fldCharType="separate"/>
      </w:r>
      <w:r>
        <w:rPr>
          <w:rFonts w:ascii="Arial" w:hAnsi="Arial" w:eastAsia="Arial" w:cs="Arial"/>
          <w:spacing w:val="0"/>
          <w:sz w:val="28"/>
          <w:szCs w:val="28"/>
        </w:rPr>
        <w:t>1.3</w:t>
      </w:r>
      <w:r>
        <w:rPr>
          <w:rFonts w:ascii="仿宋" w:hAnsi="仿宋" w:eastAsia="仿宋" w:cs="仿宋"/>
          <w:spacing w:val="0"/>
          <w:sz w:val="28"/>
          <w:szCs w:val="28"/>
        </w:rPr>
        <w:t>规划范围、时限与依据</w:t>
      </w:r>
      <w:r>
        <w:rPr>
          <w:rFonts w:ascii="Arial" w:hAnsi="Arial" w:eastAsia="Arial" w:cs="Arial"/>
          <w:spacing w:val="0"/>
          <w:sz w:val="28"/>
          <w:szCs w:val="28"/>
        </w:rPr>
        <w:tab/>
      </w:r>
      <w:r>
        <w:rPr>
          <w:rFonts w:hint="eastAsia" w:ascii="Arial" w:hAnsi="Arial" w:eastAsia="宋体" w:cs="Arial"/>
          <w:spacing w:val="0"/>
          <w:sz w:val="28"/>
          <w:szCs w:val="28"/>
          <w:lang w:val="en-US" w:eastAsia="zh-CN"/>
        </w:rPr>
        <w:t>1</w:t>
      </w:r>
      <w:r>
        <w:rPr>
          <w:rFonts w:ascii="Arial" w:hAnsi="Arial" w:eastAsia="Arial" w:cs="Arial"/>
          <w:spacing w:val="0"/>
          <w:sz w:val="28"/>
          <w:szCs w:val="28"/>
        </w:rPr>
        <w:fldChar w:fldCharType="end"/>
      </w:r>
      <w:r>
        <w:rPr>
          <w:rFonts w:hint="eastAsia" w:ascii="Arial" w:hAnsi="Arial" w:eastAsia="宋体" w:cs="Arial"/>
          <w:spacing w:val="0"/>
          <w:sz w:val="28"/>
          <w:szCs w:val="28"/>
          <w:lang w:val="en-US" w:eastAsia="zh-CN"/>
        </w:rPr>
        <w:t>0</w:t>
      </w:r>
    </w:p>
    <w:p w14:paraId="683614DA">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HYPERLINK\l"_bookmark6"</w:instrText>
      </w:r>
      <w:r>
        <w:rPr>
          <w:spacing w:val="0"/>
        </w:rPr>
        <w:fldChar w:fldCharType="separate"/>
      </w:r>
      <w:r>
        <w:rPr>
          <w:rFonts w:ascii="Arial" w:hAnsi="Arial" w:eastAsia="Arial" w:cs="Arial"/>
          <w:spacing w:val="0"/>
          <w:sz w:val="28"/>
          <w:szCs w:val="28"/>
        </w:rPr>
        <w:t>1.4</w:t>
      </w:r>
      <w:r>
        <w:rPr>
          <w:rFonts w:ascii="仿宋" w:hAnsi="仿宋" w:eastAsia="仿宋" w:cs="仿宋"/>
          <w:spacing w:val="0"/>
          <w:sz w:val="28"/>
          <w:szCs w:val="28"/>
        </w:rPr>
        <w:t>重点关注问题</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2</w:t>
      </w:r>
      <w:r>
        <w:rPr>
          <w:rFonts w:hint="default" w:ascii="Arial" w:hAnsi="Arial" w:eastAsia="宋体" w:cs="Arial"/>
          <w:spacing w:val="0"/>
          <w:sz w:val="28"/>
          <w:szCs w:val="28"/>
          <w:lang w:val="en-US" w:eastAsia="zh-CN"/>
        </w:rPr>
        <w:fldChar w:fldCharType="end"/>
      </w:r>
    </w:p>
    <w:p w14:paraId="0533E264">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1"/>
        <w:textAlignment w:val="baseline"/>
        <w:rPr>
          <w:rFonts w:ascii="Arial" w:hAnsi="Arial" w:eastAsia="Arial" w:cs="Arial"/>
          <w:spacing w:val="0"/>
          <w:sz w:val="28"/>
          <w:szCs w:val="28"/>
        </w:rPr>
      </w:pPr>
      <w:r>
        <w:rPr>
          <w:spacing w:val="0"/>
        </w:rPr>
        <w:fldChar w:fldCharType="begin"/>
      </w:r>
      <w:r>
        <w:rPr>
          <w:spacing w:val="0"/>
        </w:rPr>
        <w:instrText xml:space="preserve">HYPERLINK\l"_bookmark7"</w:instrText>
      </w:r>
      <w:r>
        <w:rPr>
          <w:spacing w:val="0"/>
        </w:rPr>
        <w:fldChar w:fldCharType="separate"/>
      </w:r>
      <w:r>
        <w:rPr>
          <w:rFonts w:ascii="Arial" w:hAnsi="Arial" w:eastAsia="Arial" w:cs="Arial"/>
          <w:b/>
          <w:bCs/>
          <w:spacing w:val="0"/>
          <w:sz w:val="28"/>
          <w:szCs w:val="28"/>
        </w:rPr>
        <w:t>2</w:t>
      </w:r>
      <w:r>
        <w:rPr>
          <w:rFonts w:ascii="仿宋" w:hAnsi="仿宋" w:eastAsia="仿宋" w:cs="仿宋"/>
          <w:spacing w:val="0"/>
          <w:sz w:val="28"/>
          <w:szCs w:val="28"/>
        </w:rPr>
        <w:t>规划与现状解读</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1</w:t>
      </w:r>
      <w:r>
        <w:rPr>
          <w:rFonts w:hint="eastAsia" w:ascii="Arial" w:hAnsi="Arial" w:eastAsia="宋体" w:cs="Arial"/>
          <w:b/>
          <w:bCs/>
          <w:spacing w:val="0"/>
          <w:sz w:val="28"/>
          <w:szCs w:val="28"/>
          <w:lang w:val="en-US" w:eastAsia="zh-CN"/>
        </w:rPr>
        <w:t>4</w:t>
      </w:r>
      <w:r>
        <w:rPr>
          <w:rFonts w:ascii="Arial" w:hAnsi="Arial" w:eastAsia="Arial" w:cs="Arial"/>
          <w:b/>
          <w:bCs/>
          <w:spacing w:val="0"/>
          <w:sz w:val="28"/>
          <w:szCs w:val="28"/>
        </w:rPr>
        <w:fldChar w:fldCharType="end"/>
      </w:r>
    </w:p>
    <w:p w14:paraId="4BB32E8F">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HYPERLINK\l"_bookmark8"</w:instrText>
      </w:r>
      <w:r>
        <w:rPr>
          <w:spacing w:val="0"/>
        </w:rPr>
        <w:fldChar w:fldCharType="separate"/>
      </w:r>
      <w:r>
        <w:rPr>
          <w:rFonts w:ascii="Arial" w:hAnsi="Arial" w:eastAsia="Arial" w:cs="Arial"/>
          <w:spacing w:val="0"/>
          <w:sz w:val="28"/>
          <w:szCs w:val="28"/>
        </w:rPr>
        <w:t>2.1</w:t>
      </w:r>
      <w:r>
        <w:rPr>
          <w:rFonts w:ascii="仿宋" w:hAnsi="仿宋" w:eastAsia="仿宋" w:cs="仿宋"/>
          <w:spacing w:val="0"/>
          <w:sz w:val="28"/>
          <w:szCs w:val="28"/>
        </w:rPr>
        <w:t>上位规划解读</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4</w:t>
      </w:r>
      <w:r>
        <w:rPr>
          <w:rFonts w:hint="default" w:ascii="Arial" w:hAnsi="Arial" w:eastAsia="宋体" w:cs="Arial"/>
          <w:spacing w:val="0"/>
          <w:sz w:val="28"/>
          <w:szCs w:val="28"/>
          <w:lang w:val="en-US" w:eastAsia="zh-CN"/>
        </w:rPr>
        <w:fldChar w:fldCharType="end"/>
      </w:r>
    </w:p>
    <w:p w14:paraId="0557592B">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HYPERLINK\l"_bookmark9"</w:instrText>
      </w:r>
      <w:r>
        <w:rPr>
          <w:spacing w:val="0"/>
        </w:rPr>
        <w:fldChar w:fldCharType="separate"/>
      </w:r>
      <w:r>
        <w:rPr>
          <w:rFonts w:ascii="Arial" w:hAnsi="Arial" w:eastAsia="Arial" w:cs="Arial"/>
          <w:spacing w:val="0"/>
          <w:sz w:val="28"/>
          <w:szCs w:val="28"/>
        </w:rPr>
        <w:t>2.2</w:t>
      </w:r>
      <w:r>
        <w:rPr>
          <w:rFonts w:ascii="仿宋" w:hAnsi="仿宋" w:eastAsia="仿宋" w:cs="仿宋"/>
          <w:spacing w:val="0"/>
          <w:sz w:val="28"/>
          <w:szCs w:val="28"/>
        </w:rPr>
        <w:t>现状解读</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8</w:t>
      </w:r>
      <w:r>
        <w:rPr>
          <w:rFonts w:hint="default" w:ascii="Arial" w:hAnsi="Arial" w:eastAsia="宋体" w:cs="Arial"/>
          <w:spacing w:val="0"/>
          <w:sz w:val="28"/>
          <w:szCs w:val="28"/>
          <w:lang w:val="en-US" w:eastAsia="zh-CN"/>
        </w:rPr>
        <w:fldChar w:fldCharType="end"/>
      </w:r>
    </w:p>
    <w:p w14:paraId="573F21D3">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5"/>
        <w:textAlignment w:val="baseline"/>
        <w:rPr>
          <w:rFonts w:ascii="Arial" w:hAnsi="Arial" w:eastAsia="Arial" w:cs="Arial"/>
          <w:spacing w:val="0"/>
          <w:sz w:val="28"/>
          <w:szCs w:val="28"/>
        </w:rPr>
      </w:pPr>
      <w:r>
        <w:rPr>
          <w:spacing w:val="0"/>
        </w:rPr>
        <w:fldChar w:fldCharType="begin"/>
      </w:r>
      <w:r>
        <w:rPr>
          <w:spacing w:val="0"/>
        </w:rPr>
        <w:instrText xml:space="preserve">HYPERLINK\l"_bookmark10"</w:instrText>
      </w:r>
      <w:r>
        <w:rPr>
          <w:spacing w:val="0"/>
        </w:rPr>
        <w:fldChar w:fldCharType="separate"/>
      </w:r>
      <w:r>
        <w:rPr>
          <w:rFonts w:ascii="Arial" w:hAnsi="Arial" w:eastAsia="Arial" w:cs="Arial"/>
          <w:b/>
          <w:bCs/>
          <w:spacing w:val="0"/>
          <w:sz w:val="28"/>
          <w:szCs w:val="28"/>
        </w:rPr>
        <w:t>3</w:t>
      </w:r>
      <w:r>
        <w:rPr>
          <w:rFonts w:ascii="仿宋" w:hAnsi="仿宋" w:eastAsia="仿宋" w:cs="仿宋"/>
          <w:spacing w:val="0"/>
          <w:sz w:val="28"/>
          <w:szCs w:val="28"/>
        </w:rPr>
        <w:t>发展目标与路径</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2</w:t>
      </w:r>
      <w:r>
        <w:rPr>
          <w:rFonts w:hint="eastAsia" w:ascii="Arial" w:hAnsi="Arial" w:eastAsia="宋体" w:cs="Arial"/>
          <w:b/>
          <w:bCs/>
          <w:spacing w:val="0"/>
          <w:sz w:val="28"/>
          <w:szCs w:val="28"/>
          <w:lang w:val="en-US" w:eastAsia="zh-CN"/>
        </w:rPr>
        <w:t>4</w:t>
      </w:r>
      <w:r>
        <w:rPr>
          <w:rFonts w:ascii="Arial" w:hAnsi="Arial" w:eastAsia="Arial" w:cs="Arial"/>
          <w:b/>
          <w:bCs/>
          <w:spacing w:val="0"/>
          <w:sz w:val="28"/>
          <w:szCs w:val="28"/>
        </w:rPr>
        <w:fldChar w:fldCharType="end"/>
      </w:r>
    </w:p>
    <w:p w14:paraId="53AC9298">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HYPERLINK\l"_bookmark11"</w:instrText>
      </w:r>
      <w:r>
        <w:rPr>
          <w:spacing w:val="0"/>
        </w:rPr>
        <w:fldChar w:fldCharType="separate"/>
      </w:r>
      <w:r>
        <w:rPr>
          <w:rFonts w:ascii="Arial" w:hAnsi="Arial" w:eastAsia="Arial" w:cs="Arial"/>
          <w:spacing w:val="0"/>
          <w:sz w:val="28"/>
          <w:szCs w:val="28"/>
        </w:rPr>
        <w:t>3.1</w:t>
      </w:r>
      <w:r>
        <w:rPr>
          <w:rFonts w:ascii="仿宋" w:hAnsi="仿宋" w:eastAsia="仿宋" w:cs="仿宋"/>
          <w:spacing w:val="0"/>
          <w:sz w:val="28"/>
          <w:szCs w:val="28"/>
        </w:rPr>
        <w:t>目标定位</w:t>
      </w:r>
      <w:r>
        <w:rPr>
          <w:rFonts w:ascii="Arial" w:hAnsi="Arial" w:eastAsia="Arial" w:cs="Arial"/>
          <w:spacing w:val="0"/>
          <w:sz w:val="28"/>
          <w:szCs w:val="28"/>
        </w:rPr>
        <w:tab/>
      </w:r>
      <w:r>
        <w:rPr>
          <w:rFonts w:hint="default" w:ascii="Arial" w:hAnsi="Arial" w:eastAsia="宋体" w:cs="Arial"/>
          <w:spacing w:val="0"/>
          <w:sz w:val="28"/>
          <w:szCs w:val="28"/>
          <w:lang w:val="en-US" w:eastAsia="zh-CN"/>
        </w:rPr>
        <w:t>2</w:t>
      </w:r>
      <w:r>
        <w:rPr>
          <w:rFonts w:hint="eastAsia" w:ascii="Arial" w:hAnsi="Arial" w:eastAsia="宋体" w:cs="Arial"/>
          <w:spacing w:val="0"/>
          <w:sz w:val="28"/>
          <w:szCs w:val="28"/>
          <w:lang w:val="en-US" w:eastAsia="zh-CN"/>
        </w:rPr>
        <w:t>4</w:t>
      </w:r>
      <w:r>
        <w:rPr>
          <w:rFonts w:ascii="Arial" w:hAnsi="Arial" w:eastAsia="Arial" w:cs="Arial"/>
          <w:spacing w:val="0"/>
          <w:sz w:val="28"/>
          <w:szCs w:val="28"/>
        </w:rPr>
        <w:fldChar w:fldCharType="end"/>
      </w:r>
    </w:p>
    <w:p w14:paraId="66681F9F">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HYPERLINK\l"_bookmark12"</w:instrText>
      </w:r>
      <w:r>
        <w:rPr>
          <w:spacing w:val="0"/>
        </w:rPr>
        <w:fldChar w:fldCharType="separate"/>
      </w:r>
      <w:r>
        <w:rPr>
          <w:rFonts w:ascii="Arial" w:hAnsi="Arial" w:eastAsia="Arial" w:cs="Arial"/>
          <w:spacing w:val="0"/>
          <w:sz w:val="28"/>
          <w:szCs w:val="28"/>
        </w:rPr>
        <w:t>3.2</w:t>
      </w:r>
      <w:r>
        <w:rPr>
          <w:rFonts w:ascii="仿宋" w:hAnsi="仿宋" w:eastAsia="仿宋" w:cs="仿宋"/>
          <w:spacing w:val="0"/>
          <w:sz w:val="28"/>
          <w:szCs w:val="28"/>
        </w:rPr>
        <w:t>路径战略</w:t>
      </w:r>
      <w:r>
        <w:rPr>
          <w:rFonts w:ascii="Arial" w:hAnsi="Arial" w:eastAsia="Arial" w:cs="Arial"/>
          <w:spacing w:val="0"/>
          <w:sz w:val="28"/>
          <w:szCs w:val="28"/>
        </w:rPr>
        <w:tab/>
      </w:r>
      <w:r>
        <w:rPr>
          <w:rFonts w:hint="default" w:ascii="Arial" w:hAnsi="Arial" w:eastAsia="宋体" w:cs="Arial"/>
          <w:spacing w:val="0"/>
          <w:sz w:val="28"/>
          <w:szCs w:val="28"/>
          <w:lang w:val="en-US" w:eastAsia="zh-CN"/>
        </w:rPr>
        <w:t>2</w:t>
      </w:r>
      <w:r>
        <w:rPr>
          <w:rFonts w:hint="eastAsia" w:ascii="Arial" w:hAnsi="Arial" w:eastAsia="宋体" w:cs="Arial"/>
          <w:spacing w:val="0"/>
          <w:sz w:val="28"/>
          <w:szCs w:val="28"/>
          <w:lang w:val="en-US" w:eastAsia="zh-CN"/>
        </w:rPr>
        <w:t>5</w:t>
      </w:r>
      <w:r>
        <w:rPr>
          <w:rFonts w:ascii="Arial" w:hAnsi="Arial" w:eastAsia="Arial" w:cs="Arial"/>
          <w:spacing w:val="0"/>
          <w:sz w:val="28"/>
          <w:szCs w:val="28"/>
        </w:rPr>
        <w:fldChar w:fldCharType="end"/>
      </w:r>
    </w:p>
    <w:p w14:paraId="282B1B25">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textAlignment w:val="baseline"/>
        <w:rPr>
          <w:rFonts w:ascii="Arial" w:hAnsi="Arial" w:eastAsia="Arial" w:cs="Arial"/>
          <w:spacing w:val="0"/>
          <w:sz w:val="28"/>
          <w:szCs w:val="28"/>
        </w:rPr>
      </w:pPr>
      <w:r>
        <w:rPr>
          <w:spacing w:val="0"/>
        </w:rPr>
        <w:fldChar w:fldCharType="begin"/>
      </w:r>
      <w:r>
        <w:rPr>
          <w:spacing w:val="0"/>
        </w:rPr>
        <w:instrText xml:space="preserve">HYPERLINK\l"_bookmark13"</w:instrText>
      </w:r>
      <w:r>
        <w:rPr>
          <w:spacing w:val="0"/>
        </w:rPr>
        <w:fldChar w:fldCharType="separate"/>
      </w:r>
      <w:r>
        <w:rPr>
          <w:rFonts w:ascii="Arial" w:hAnsi="Arial" w:eastAsia="Arial" w:cs="Arial"/>
          <w:b/>
          <w:bCs/>
          <w:spacing w:val="0"/>
          <w:sz w:val="28"/>
          <w:szCs w:val="28"/>
        </w:rPr>
        <w:t>4</w:t>
      </w:r>
      <w:r>
        <w:rPr>
          <w:rFonts w:ascii="仿宋" w:hAnsi="仿宋" w:eastAsia="仿宋" w:cs="仿宋"/>
          <w:spacing w:val="0"/>
          <w:sz w:val="28"/>
          <w:szCs w:val="28"/>
        </w:rPr>
        <w:t>发展规模</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3</w:t>
      </w:r>
      <w:r>
        <w:rPr>
          <w:rFonts w:hint="eastAsia" w:ascii="Arial" w:hAnsi="Arial" w:eastAsia="宋体" w:cs="Arial"/>
          <w:b/>
          <w:bCs/>
          <w:spacing w:val="0"/>
          <w:sz w:val="28"/>
          <w:szCs w:val="28"/>
          <w:lang w:val="en-US" w:eastAsia="zh-CN"/>
        </w:rPr>
        <w:t>4</w:t>
      </w:r>
      <w:r>
        <w:rPr>
          <w:rFonts w:ascii="Arial" w:hAnsi="Arial" w:eastAsia="Arial" w:cs="Arial"/>
          <w:b/>
          <w:bCs/>
          <w:spacing w:val="0"/>
          <w:sz w:val="28"/>
          <w:szCs w:val="28"/>
        </w:rPr>
        <w:fldChar w:fldCharType="end"/>
      </w:r>
    </w:p>
    <w:p w14:paraId="473F5E34">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HYPERLINK\l"_bookmark14"</w:instrText>
      </w:r>
      <w:r>
        <w:rPr>
          <w:spacing w:val="0"/>
        </w:rPr>
        <w:fldChar w:fldCharType="separate"/>
      </w:r>
      <w:r>
        <w:rPr>
          <w:rFonts w:ascii="Arial" w:hAnsi="Arial" w:eastAsia="Arial" w:cs="Arial"/>
          <w:spacing w:val="0"/>
          <w:sz w:val="28"/>
          <w:szCs w:val="28"/>
        </w:rPr>
        <w:t>4.1</w:t>
      </w:r>
      <w:r>
        <w:rPr>
          <w:rFonts w:ascii="仿宋" w:hAnsi="仿宋" w:eastAsia="仿宋" w:cs="仿宋"/>
          <w:spacing w:val="0"/>
          <w:sz w:val="28"/>
          <w:szCs w:val="28"/>
        </w:rPr>
        <w:t>产业规模</w:t>
      </w:r>
      <w:r>
        <w:rPr>
          <w:rFonts w:ascii="Arial" w:hAnsi="Arial" w:eastAsia="Arial" w:cs="Arial"/>
          <w:spacing w:val="0"/>
          <w:sz w:val="28"/>
          <w:szCs w:val="28"/>
        </w:rPr>
        <w:tab/>
      </w:r>
      <w:r>
        <w:rPr>
          <w:rFonts w:hint="default" w:ascii="Arial" w:hAnsi="Arial" w:eastAsia="宋体" w:cs="Arial"/>
          <w:spacing w:val="0"/>
          <w:sz w:val="28"/>
          <w:szCs w:val="28"/>
          <w:lang w:val="en-US" w:eastAsia="zh-CN"/>
        </w:rPr>
        <w:t>3</w:t>
      </w:r>
      <w:r>
        <w:rPr>
          <w:rFonts w:hint="eastAsia" w:ascii="Arial" w:hAnsi="Arial" w:eastAsia="宋体" w:cs="Arial"/>
          <w:spacing w:val="0"/>
          <w:sz w:val="28"/>
          <w:szCs w:val="28"/>
          <w:lang w:val="en-US" w:eastAsia="zh-CN"/>
        </w:rPr>
        <w:t>4</w:t>
      </w:r>
      <w:r>
        <w:rPr>
          <w:rFonts w:ascii="Arial" w:hAnsi="Arial" w:eastAsia="Arial" w:cs="Arial"/>
          <w:spacing w:val="0"/>
          <w:sz w:val="28"/>
          <w:szCs w:val="28"/>
        </w:rPr>
        <w:fldChar w:fldCharType="end"/>
      </w:r>
    </w:p>
    <w:p w14:paraId="018BFFFF">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HYPERLINK\l"_bookmark15"</w:instrText>
      </w:r>
      <w:r>
        <w:rPr>
          <w:spacing w:val="0"/>
        </w:rPr>
        <w:fldChar w:fldCharType="separate"/>
      </w:r>
      <w:r>
        <w:rPr>
          <w:rFonts w:ascii="Arial" w:hAnsi="Arial" w:eastAsia="Arial" w:cs="Arial"/>
          <w:spacing w:val="0"/>
          <w:sz w:val="28"/>
          <w:szCs w:val="28"/>
        </w:rPr>
        <w:t>4.2</w:t>
      </w:r>
      <w:r>
        <w:rPr>
          <w:rFonts w:ascii="仿宋" w:hAnsi="仿宋" w:eastAsia="仿宋" w:cs="仿宋"/>
          <w:spacing w:val="0"/>
          <w:sz w:val="28"/>
          <w:szCs w:val="28"/>
        </w:rPr>
        <w:t>用地规模</w:t>
      </w:r>
      <w:r>
        <w:rPr>
          <w:rFonts w:ascii="Arial" w:hAnsi="Arial" w:eastAsia="Arial" w:cs="Arial"/>
          <w:spacing w:val="0"/>
          <w:sz w:val="28"/>
          <w:szCs w:val="28"/>
        </w:rPr>
        <w:tab/>
      </w:r>
      <w:r>
        <w:rPr>
          <w:rFonts w:hint="default" w:ascii="Arial" w:hAnsi="Arial" w:eastAsia="宋体" w:cs="Arial"/>
          <w:spacing w:val="0"/>
          <w:sz w:val="28"/>
          <w:szCs w:val="28"/>
          <w:lang w:val="en-US" w:eastAsia="zh-CN"/>
        </w:rPr>
        <w:t>3</w:t>
      </w:r>
      <w:r>
        <w:rPr>
          <w:rFonts w:hint="eastAsia" w:ascii="Arial" w:hAnsi="Arial" w:eastAsia="宋体" w:cs="Arial"/>
          <w:spacing w:val="0"/>
          <w:sz w:val="28"/>
          <w:szCs w:val="28"/>
          <w:lang w:val="en-US" w:eastAsia="zh-CN"/>
        </w:rPr>
        <w:t>4</w:t>
      </w:r>
      <w:r>
        <w:rPr>
          <w:rFonts w:ascii="Arial" w:hAnsi="Arial" w:eastAsia="Arial" w:cs="Arial"/>
          <w:spacing w:val="0"/>
          <w:sz w:val="28"/>
          <w:szCs w:val="28"/>
        </w:rPr>
        <w:fldChar w:fldCharType="end"/>
      </w:r>
    </w:p>
    <w:p w14:paraId="5A655688">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HYPERLINK\l"_bookmark16"</w:instrText>
      </w:r>
      <w:r>
        <w:rPr>
          <w:spacing w:val="0"/>
        </w:rPr>
        <w:fldChar w:fldCharType="separate"/>
      </w:r>
      <w:r>
        <w:rPr>
          <w:rFonts w:ascii="Arial" w:hAnsi="Arial" w:eastAsia="Arial" w:cs="Arial"/>
          <w:spacing w:val="0"/>
          <w:sz w:val="28"/>
          <w:szCs w:val="28"/>
        </w:rPr>
        <w:t>4.3</w:t>
      </w:r>
      <w:r>
        <w:rPr>
          <w:rFonts w:ascii="仿宋" w:hAnsi="仿宋" w:eastAsia="仿宋" w:cs="仿宋"/>
          <w:spacing w:val="0"/>
          <w:sz w:val="28"/>
          <w:szCs w:val="28"/>
        </w:rPr>
        <w:t>人口规模</w:t>
      </w:r>
      <w:r>
        <w:rPr>
          <w:rFonts w:ascii="Arial" w:hAnsi="Arial" w:eastAsia="Arial" w:cs="Arial"/>
          <w:spacing w:val="0"/>
          <w:sz w:val="28"/>
          <w:szCs w:val="28"/>
        </w:rPr>
        <w:tab/>
      </w:r>
      <w:r>
        <w:rPr>
          <w:rFonts w:hint="default" w:ascii="Arial" w:hAnsi="Arial" w:eastAsia="宋体" w:cs="Arial"/>
          <w:spacing w:val="0"/>
          <w:sz w:val="28"/>
          <w:szCs w:val="28"/>
          <w:lang w:val="en-US" w:eastAsia="zh-CN"/>
        </w:rPr>
        <w:t>3</w:t>
      </w:r>
      <w:r>
        <w:rPr>
          <w:rFonts w:hint="eastAsia" w:ascii="Arial" w:hAnsi="Arial" w:eastAsia="宋体" w:cs="Arial"/>
          <w:spacing w:val="0"/>
          <w:sz w:val="28"/>
          <w:szCs w:val="28"/>
          <w:lang w:val="en-US" w:eastAsia="zh-CN"/>
        </w:rPr>
        <w:t>5</w:t>
      </w:r>
      <w:r>
        <w:rPr>
          <w:rFonts w:ascii="Arial" w:hAnsi="Arial" w:eastAsia="Arial" w:cs="Arial"/>
          <w:spacing w:val="0"/>
          <w:sz w:val="28"/>
          <w:szCs w:val="28"/>
        </w:rPr>
        <w:fldChar w:fldCharType="end"/>
      </w:r>
    </w:p>
    <w:p w14:paraId="3EE40F73">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19"/>
        <w:textAlignment w:val="baseline"/>
        <w:rPr>
          <w:rFonts w:ascii="Arial" w:hAnsi="Arial" w:eastAsia="Arial" w:cs="Arial"/>
          <w:spacing w:val="0"/>
          <w:sz w:val="28"/>
          <w:szCs w:val="28"/>
        </w:rPr>
      </w:pPr>
      <w:r>
        <w:rPr>
          <w:spacing w:val="0"/>
        </w:rPr>
        <w:fldChar w:fldCharType="begin"/>
      </w:r>
      <w:r>
        <w:rPr>
          <w:spacing w:val="0"/>
        </w:rPr>
        <w:instrText xml:space="preserve">HYPERLINK\l"_bookmark17"</w:instrText>
      </w:r>
      <w:r>
        <w:rPr>
          <w:spacing w:val="0"/>
        </w:rPr>
        <w:fldChar w:fldCharType="separate"/>
      </w:r>
      <w:r>
        <w:rPr>
          <w:rFonts w:ascii="仿宋" w:hAnsi="仿宋" w:eastAsia="仿宋" w:cs="仿宋"/>
          <w:spacing w:val="0"/>
          <w:sz w:val="28"/>
          <w:szCs w:val="28"/>
        </w:rPr>
        <w:t>第二部分空间布局与土地利用</w:t>
      </w:r>
      <w:r>
        <w:rPr>
          <w:rFonts w:ascii="仿宋" w:hAnsi="仿宋" w:eastAsia="仿宋" w:cs="仿宋"/>
          <w:b/>
          <w:bCs/>
          <w:spacing w:val="0"/>
          <w:sz w:val="28"/>
          <w:szCs w:val="28"/>
        </w:rPr>
        <w:tab/>
      </w:r>
      <w:r>
        <w:rPr>
          <w:rFonts w:hint="default" w:ascii="Arial" w:hAnsi="Arial" w:eastAsia="宋体" w:cs="Arial"/>
          <w:b/>
          <w:bCs/>
          <w:spacing w:val="0"/>
          <w:sz w:val="28"/>
          <w:szCs w:val="28"/>
          <w:lang w:val="en-US" w:eastAsia="zh-CN"/>
        </w:rPr>
        <w:t>3</w:t>
      </w:r>
      <w:r>
        <w:rPr>
          <w:rFonts w:hint="eastAsia" w:ascii="Arial" w:hAnsi="Arial" w:eastAsia="宋体" w:cs="Arial"/>
          <w:b/>
          <w:bCs/>
          <w:spacing w:val="0"/>
          <w:sz w:val="28"/>
          <w:szCs w:val="28"/>
          <w:lang w:val="en-US" w:eastAsia="zh-CN"/>
        </w:rPr>
        <w:t>8</w:t>
      </w:r>
      <w:r>
        <w:rPr>
          <w:rFonts w:ascii="Arial" w:hAnsi="Arial" w:eastAsia="Arial" w:cs="Arial"/>
          <w:b/>
          <w:bCs/>
          <w:spacing w:val="0"/>
          <w:sz w:val="28"/>
          <w:szCs w:val="28"/>
        </w:rPr>
        <w:fldChar w:fldCharType="end"/>
      </w:r>
    </w:p>
    <w:p w14:paraId="131E3427">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7"/>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HYPERLINK\l"_bookmark18"</w:instrText>
      </w:r>
      <w:r>
        <w:rPr>
          <w:spacing w:val="0"/>
        </w:rPr>
        <w:fldChar w:fldCharType="separate"/>
      </w:r>
      <w:r>
        <w:rPr>
          <w:rFonts w:ascii="Arial" w:hAnsi="Arial" w:eastAsia="Arial" w:cs="Arial"/>
          <w:b/>
          <w:bCs/>
          <w:spacing w:val="0"/>
          <w:sz w:val="28"/>
          <w:szCs w:val="28"/>
        </w:rPr>
        <w:t>5</w:t>
      </w:r>
      <w:r>
        <w:rPr>
          <w:rFonts w:ascii="仿宋" w:hAnsi="仿宋" w:eastAsia="仿宋" w:cs="仿宋"/>
          <w:spacing w:val="0"/>
          <w:sz w:val="28"/>
          <w:szCs w:val="28"/>
        </w:rPr>
        <w:t>规划条件</w:t>
      </w:r>
      <w:r>
        <w:rPr>
          <w:rFonts w:ascii="Arial" w:hAnsi="Arial" w:eastAsia="Arial" w:cs="Arial"/>
          <w:b/>
          <w:bCs/>
          <w:spacing w:val="0"/>
          <w:sz w:val="28"/>
          <w:szCs w:val="28"/>
        </w:rPr>
        <w:tab/>
      </w:r>
      <w:r>
        <w:rPr>
          <w:rFonts w:hint="eastAsia" w:ascii="Arial" w:hAnsi="Arial" w:eastAsia="宋体" w:cs="Arial"/>
          <w:b/>
          <w:bCs/>
          <w:spacing w:val="0"/>
          <w:sz w:val="28"/>
          <w:szCs w:val="28"/>
          <w:lang w:val="en-US" w:eastAsia="zh-CN"/>
        </w:rPr>
        <w:t>3</w:t>
      </w:r>
      <w:r>
        <w:rPr>
          <w:rFonts w:ascii="Arial" w:hAnsi="Arial" w:eastAsia="Arial" w:cs="Arial"/>
          <w:b/>
          <w:bCs/>
          <w:spacing w:val="0"/>
          <w:sz w:val="28"/>
          <w:szCs w:val="28"/>
        </w:rPr>
        <w:fldChar w:fldCharType="end"/>
      </w:r>
      <w:r>
        <w:rPr>
          <w:rFonts w:hint="eastAsia" w:ascii="Arial" w:hAnsi="Arial" w:eastAsia="宋体" w:cs="Arial"/>
          <w:b/>
          <w:bCs/>
          <w:spacing w:val="0"/>
          <w:sz w:val="28"/>
          <w:szCs w:val="28"/>
          <w:lang w:val="en-US" w:eastAsia="zh-CN"/>
        </w:rPr>
        <w:t>9</w:t>
      </w:r>
    </w:p>
    <w:p w14:paraId="44E3E9B7">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hint="default" w:ascii="Arial" w:hAnsi="Arial" w:eastAsia="宋体" w:cs="Arial"/>
          <w:spacing w:val="0"/>
          <w:sz w:val="28"/>
          <w:szCs w:val="28"/>
          <w:lang w:val="en-US" w:eastAsia="zh-CN"/>
        </w:rPr>
      </w:pPr>
      <w:r>
        <w:rPr>
          <w:spacing w:val="0"/>
        </w:rPr>
        <w:fldChar w:fldCharType="begin"/>
      </w:r>
      <w:r>
        <w:rPr>
          <w:spacing w:val="0"/>
        </w:rPr>
        <w:instrText xml:space="preserve">HYPERLINK\l"_bookmark19"</w:instrText>
      </w:r>
      <w:r>
        <w:rPr>
          <w:spacing w:val="0"/>
        </w:rPr>
        <w:fldChar w:fldCharType="separate"/>
      </w:r>
      <w:r>
        <w:rPr>
          <w:rFonts w:ascii="Arial" w:hAnsi="Arial" w:eastAsia="Arial" w:cs="Arial"/>
          <w:spacing w:val="0"/>
          <w:sz w:val="28"/>
          <w:szCs w:val="28"/>
        </w:rPr>
        <w:t>5.1</w:t>
      </w:r>
      <w:r>
        <w:rPr>
          <w:rFonts w:ascii="仿宋" w:hAnsi="仿宋" w:eastAsia="仿宋" w:cs="仿宋"/>
          <w:spacing w:val="0"/>
          <w:sz w:val="28"/>
          <w:szCs w:val="28"/>
        </w:rPr>
        <w:t>区位情况</w:t>
      </w:r>
      <w:r>
        <w:rPr>
          <w:rFonts w:ascii="Arial" w:hAnsi="Arial" w:eastAsia="Arial" w:cs="Arial"/>
          <w:spacing w:val="0"/>
          <w:sz w:val="28"/>
          <w:szCs w:val="28"/>
        </w:rPr>
        <w:tab/>
      </w:r>
      <w:r>
        <w:rPr>
          <w:rFonts w:hint="eastAsia" w:ascii="Arial" w:hAnsi="Arial" w:eastAsia="宋体" w:cs="Arial"/>
          <w:spacing w:val="0"/>
          <w:sz w:val="28"/>
          <w:szCs w:val="28"/>
          <w:lang w:val="en-US" w:eastAsia="zh-CN"/>
        </w:rPr>
        <w:t>3</w:t>
      </w:r>
      <w:r>
        <w:rPr>
          <w:rFonts w:ascii="Arial" w:hAnsi="Arial" w:eastAsia="Arial" w:cs="Arial"/>
          <w:spacing w:val="0"/>
          <w:sz w:val="28"/>
          <w:szCs w:val="28"/>
        </w:rPr>
        <w:fldChar w:fldCharType="end"/>
      </w:r>
      <w:r>
        <w:rPr>
          <w:rFonts w:hint="eastAsia" w:ascii="Arial" w:hAnsi="Arial" w:eastAsia="宋体" w:cs="Arial"/>
          <w:spacing w:val="0"/>
          <w:sz w:val="28"/>
          <w:szCs w:val="28"/>
          <w:lang w:val="en-US" w:eastAsia="zh-CN"/>
        </w:rPr>
        <w:t>9</w:t>
      </w:r>
    </w:p>
    <w:p w14:paraId="2D350332">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HYPERLINK\l"_bookmark20"</w:instrText>
      </w:r>
      <w:r>
        <w:rPr>
          <w:spacing w:val="0"/>
        </w:rPr>
        <w:fldChar w:fldCharType="separate"/>
      </w:r>
      <w:r>
        <w:rPr>
          <w:rFonts w:ascii="Arial" w:hAnsi="Arial" w:eastAsia="Arial" w:cs="Arial"/>
          <w:spacing w:val="0"/>
          <w:sz w:val="28"/>
          <w:szCs w:val="28"/>
        </w:rPr>
        <w:t>5.2</w:t>
      </w:r>
      <w:r>
        <w:rPr>
          <w:rFonts w:ascii="仿宋" w:hAnsi="仿宋" w:eastAsia="仿宋" w:cs="仿宋"/>
          <w:spacing w:val="0"/>
          <w:sz w:val="28"/>
          <w:szCs w:val="28"/>
        </w:rPr>
        <w:t>自然与环境状况</w:t>
      </w:r>
      <w:r>
        <w:rPr>
          <w:rFonts w:ascii="Arial" w:hAnsi="Arial" w:eastAsia="Arial" w:cs="Arial"/>
          <w:spacing w:val="0"/>
          <w:sz w:val="28"/>
          <w:szCs w:val="28"/>
        </w:rPr>
        <w:tab/>
      </w:r>
      <w:r>
        <w:rPr>
          <w:rFonts w:hint="eastAsia" w:ascii="Arial" w:hAnsi="Arial" w:eastAsia="宋体" w:cs="Arial"/>
          <w:spacing w:val="0"/>
          <w:sz w:val="28"/>
          <w:szCs w:val="28"/>
          <w:lang w:val="en-US" w:eastAsia="zh-CN"/>
        </w:rPr>
        <w:t>3</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9</w:t>
      </w:r>
    </w:p>
    <w:p w14:paraId="0714292A">
      <w:pPr>
        <w:keepNext w:val="0"/>
        <w:keepLines w:val="0"/>
        <w:pageBreakBefore w:val="0"/>
        <w:widowControl w:val="0"/>
        <w:tabs>
          <w:tab w:val="right" w:leader="dot" w:pos="8997"/>
        </w:tabs>
        <w:kinsoku w:val="0"/>
        <w:wordWrap/>
        <w:overflowPunct/>
        <w:topLinePunct w:val="0"/>
        <w:autoSpaceDE w:val="0"/>
        <w:autoSpaceDN w:val="0"/>
        <w:bidi w:val="0"/>
        <w:adjustRightInd w:val="0"/>
        <w:snapToGrid w:val="0"/>
        <w:spacing w:beforeAutospacing="0" w:line="540" w:lineRule="exact"/>
        <w:textAlignment w:val="baseline"/>
        <w:rPr>
          <w:rFonts w:ascii="Arial" w:hAnsi="Arial" w:eastAsia="Arial" w:cs="Arial"/>
          <w:spacing w:val="0"/>
          <w:sz w:val="28"/>
          <w:szCs w:val="28"/>
        </w:rPr>
      </w:pPr>
      <w:r>
        <w:rPr>
          <w:spacing w:val="0"/>
        </w:rPr>
        <w:fldChar w:fldCharType="begin"/>
      </w:r>
      <w:r>
        <w:rPr>
          <w:spacing w:val="0"/>
        </w:rPr>
        <w:instrText xml:space="preserve">HYPERLINK\l"_bookmark21"</w:instrText>
      </w:r>
      <w:r>
        <w:rPr>
          <w:spacing w:val="0"/>
        </w:rPr>
        <w:fldChar w:fldCharType="separate"/>
      </w:r>
      <w:r>
        <w:rPr>
          <w:rFonts w:ascii="Arial" w:hAnsi="Arial" w:eastAsia="Arial" w:cs="Arial"/>
          <w:b/>
          <w:bCs/>
          <w:spacing w:val="0"/>
          <w:sz w:val="28"/>
          <w:szCs w:val="28"/>
        </w:rPr>
        <w:t>6</w:t>
      </w:r>
      <w:r>
        <w:rPr>
          <w:rFonts w:ascii="仿宋" w:hAnsi="仿宋" w:eastAsia="仿宋" w:cs="仿宋"/>
          <w:spacing w:val="0"/>
          <w:sz w:val="28"/>
          <w:szCs w:val="28"/>
        </w:rPr>
        <w:t>空间布局与土地利用</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4</w:t>
      </w:r>
      <w:r>
        <w:rPr>
          <w:rFonts w:hint="eastAsia" w:ascii="Arial" w:hAnsi="Arial" w:eastAsia="宋体" w:cs="Arial"/>
          <w:b/>
          <w:bCs/>
          <w:spacing w:val="0"/>
          <w:sz w:val="28"/>
          <w:szCs w:val="28"/>
          <w:lang w:val="en-US" w:eastAsia="zh-CN"/>
        </w:rPr>
        <w:t>1</w:t>
      </w:r>
      <w:r>
        <w:rPr>
          <w:rFonts w:ascii="Arial" w:hAnsi="Arial" w:eastAsia="Arial" w:cs="Arial"/>
          <w:b/>
          <w:bCs/>
          <w:spacing w:val="0"/>
          <w:sz w:val="28"/>
          <w:szCs w:val="28"/>
        </w:rPr>
        <w:fldChar w:fldCharType="end"/>
      </w:r>
    </w:p>
    <w:p w14:paraId="61030096">
      <w:pPr>
        <w:keepNext w:val="0"/>
        <w:keepLines w:val="0"/>
        <w:pageBreakBefore w:val="0"/>
        <w:widowControl w:val="0"/>
        <w:tabs>
          <w:tab w:val="right" w:leader="dot" w:pos="8999"/>
        </w:tabs>
        <w:kinsoku w:val="0"/>
        <w:wordWrap/>
        <w:overflowPunct/>
        <w:topLinePunct w:val="0"/>
        <w:autoSpaceDE w:val="0"/>
        <w:autoSpaceDN w:val="0"/>
        <w:bidi w:val="0"/>
        <w:adjustRightInd w:val="0"/>
        <w:snapToGrid w:val="0"/>
        <w:spacing w:beforeAutospacing="0" w:line="540"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HYPERLINK\l"_bookmark22"</w:instrText>
      </w:r>
      <w:r>
        <w:rPr>
          <w:spacing w:val="0"/>
        </w:rPr>
        <w:fldChar w:fldCharType="separate"/>
      </w:r>
      <w:r>
        <w:rPr>
          <w:rFonts w:ascii="Arial" w:hAnsi="Arial" w:eastAsia="Arial" w:cs="Arial"/>
          <w:spacing w:val="0"/>
          <w:sz w:val="28"/>
          <w:szCs w:val="28"/>
        </w:rPr>
        <w:t>6.1</w:t>
      </w:r>
      <w:r>
        <w:rPr>
          <w:rFonts w:ascii="仿宋" w:hAnsi="仿宋" w:eastAsia="仿宋" w:cs="仿宋"/>
          <w:spacing w:val="0"/>
          <w:sz w:val="28"/>
          <w:szCs w:val="28"/>
        </w:rPr>
        <w:t>主要任务</w:t>
      </w:r>
      <w:r>
        <w:rPr>
          <w:rFonts w:ascii="Arial" w:hAnsi="Arial" w:eastAsia="Arial" w:cs="Arial"/>
          <w:spacing w:val="0"/>
          <w:sz w:val="28"/>
          <w:szCs w:val="28"/>
        </w:rPr>
        <w:tab/>
      </w:r>
      <w:r>
        <w:rPr>
          <w:rFonts w:hint="default" w:ascii="Arial" w:hAnsi="Arial" w:eastAsia="宋体" w:cs="Arial"/>
          <w:spacing w:val="0"/>
          <w:sz w:val="28"/>
          <w:szCs w:val="28"/>
          <w:lang w:val="en-US" w:eastAsia="zh-CN"/>
        </w:rPr>
        <w:t>4</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p>
    <w:p w14:paraId="78A11667">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40" w:lineRule="exact"/>
        <w:ind w:left="0" w:leftChars="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HYPERLINK\l"_bookmark23"</w:instrText>
      </w:r>
      <w:r>
        <w:rPr>
          <w:spacing w:val="0"/>
        </w:rPr>
        <w:fldChar w:fldCharType="separate"/>
      </w:r>
      <w:r>
        <w:rPr>
          <w:rFonts w:ascii="Arial" w:hAnsi="Arial" w:eastAsia="Arial" w:cs="Arial"/>
          <w:spacing w:val="0"/>
          <w:sz w:val="28"/>
          <w:szCs w:val="28"/>
        </w:rPr>
        <w:t>6.2</w:t>
      </w:r>
      <w:r>
        <w:rPr>
          <w:rFonts w:ascii="仿宋" w:hAnsi="仿宋" w:eastAsia="仿宋" w:cs="仿宋"/>
          <w:spacing w:val="0"/>
          <w:sz w:val="28"/>
          <w:szCs w:val="28"/>
        </w:rPr>
        <w:t>空间布局思路</w:t>
      </w:r>
      <w:r>
        <w:rPr>
          <w:rFonts w:ascii="Arial" w:hAnsi="Arial" w:eastAsia="Arial" w:cs="Arial"/>
          <w:spacing w:val="0"/>
          <w:sz w:val="28"/>
          <w:szCs w:val="28"/>
        </w:rPr>
        <w:tab/>
      </w:r>
      <w:r>
        <w:rPr>
          <w:rFonts w:hint="default" w:ascii="Arial" w:hAnsi="Arial" w:eastAsia="宋体" w:cs="Arial"/>
          <w:spacing w:val="0"/>
          <w:sz w:val="28"/>
          <w:szCs w:val="28"/>
          <w:lang w:val="en-US" w:eastAsia="zh-CN"/>
        </w:rPr>
        <w:t>4</w:t>
      </w:r>
      <w:r>
        <w:rPr>
          <w:rFonts w:hint="eastAsia" w:ascii="Arial" w:hAnsi="Arial" w:eastAsia="宋体" w:cs="Arial"/>
          <w:spacing w:val="0"/>
          <w:sz w:val="28"/>
          <w:szCs w:val="28"/>
          <w:lang w:val="en-US" w:eastAsia="zh-CN"/>
        </w:rPr>
        <w:t>2</w:t>
      </w:r>
      <w:r>
        <w:rPr>
          <w:rFonts w:ascii="Arial" w:hAnsi="Arial" w:eastAsia="Arial" w:cs="Arial"/>
          <w:spacing w:val="0"/>
          <w:sz w:val="28"/>
          <w:szCs w:val="28"/>
        </w:rPr>
        <w:fldChar w:fldCharType="end"/>
      </w:r>
    </w:p>
    <w:p w14:paraId="338E92E2">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leftChars="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HYPERLINK\l"_bookmark24"</w:instrText>
      </w:r>
      <w:r>
        <w:rPr>
          <w:spacing w:val="0"/>
        </w:rPr>
        <w:fldChar w:fldCharType="separate"/>
      </w:r>
      <w:r>
        <w:rPr>
          <w:rFonts w:ascii="Arial" w:hAnsi="Arial" w:eastAsia="Arial" w:cs="Arial"/>
          <w:spacing w:val="0"/>
          <w:sz w:val="28"/>
          <w:szCs w:val="28"/>
        </w:rPr>
        <w:t>6.3</w:t>
      </w:r>
      <w:r>
        <w:rPr>
          <w:rFonts w:ascii="仿宋" w:hAnsi="仿宋" w:eastAsia="仿宋" w:cs="仿宋"/>
          <w:spacing w:val="0"/>
          <w:sz w:val="28"/>
          <w:szCs w:val="28"/>
        </w:rPr>
        <w:t>空间布局结构</w:t>
      </w:r>
      <w:r>
        <w:rPr>
          <w:rFonts w:ascii="Arial" w:hAnsi="Arial" w:eastAsia="Arial" w:cs="Arial"/>
          <w:spacing w:val="0"/>
          <w:sz w:val="28"/>
          <w:szCs w:val="28"/>
        </w:rPr>
        <w:tab/>
      </w:r>
      <w:r>
        <w:rPr>
          <w:rFonts w:hint="default" w:ascii="Arial" w:hAnsi="Arial" w:eastAsia="宋体" w:cs="Arial"/>
          <w:spacing w:val="0"/>
          <w:sz w:val="28"/>
          <w:szCs w:val="28"/>
          <w:lang w:val="en-US" w:eastAsia="zh-CN"/>
        </w:rPr>
        <w:t>4</w:t>
      </w:r>
      <w:r>
        <w:rPr>
          <w:rFonts w:hint="eastAsia" w:ascii="Arial" w:hAnsi="Arial" w:eastAsia="宋体" w:cs="Arial"/>
          <w:spacing w:val="0"/>
          <w:sz w:val="28"/>
          <w:szCs w:val="28"/>
          <w:lang w:val="en-US" w:eastAsia="zh-CN"/>
        </w:rPr>
        <w:t>4</w:t>
      </w:r>
      <w:r>
        <w:rPr>
          <w:rFonts w:hint="default" w:ascii="Arial" w:hAnsi="Arial" w:eastAsia="宋体" w:cs="Arial"/>
          <w:spacing w:val="0"/>
          <w:sz w:val="28"/>
          <w:szCs w:val="28"/>
          <w:lang w:val="en-US" w:eastAsia="zh-CN"/>
        </w:rPr>
        <w:fldChar w:fldCharType="end"/>
      </w:r>
    </w:p>
    <w:p w14:paraId="4DFDB6F6">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HYPERLINK\l"_bookmark25"</w:instrText>
      </w:r>
      <w:r>
        <w:rPr>
          <w:spacing w:val="0"/>
        </w:rPr>
        <w:fldChar w:fldCharType="separate"/>
      </w:r>
      <w:r>
        <w:rPr>
          <w:rFonts w:ascii="Arial" w:hAnsi="Arial" w:eastAsia="Arial" w:cs="Arial"/>
          <w:spacing w:val="0"/>
          <w:sz w:val="28"/>
          <w:szCs w:val="28"/>
        </w:rPr>
        <w:t>6.4</w:t>
      </w:r>
      <w:r>
        <w:rPr>
          <w:rFonts w:ascii="仿宋" w:hAnsi="仿宋" w:eastAsia="仿宋" w:cs="仿宋"/>
          <w:spacing w:val="0"/>
          <w:sz w:val="28"/>
          <w:szCs w:val="28"/>
        </w:rPr>
        <w:t>土地利用与空间管制</w:t>
      </w:r>
      <w:r>
        <w:rPr>
          <w:rFonts w:ascii="Arial" w:hAnsi="Arial" w:eastAsia="Arial" w:cs="Arial"/>
          <w:spacing w:val="0"/>
          <w:sz w:val="28"/>
          <w:szCs w:val="28"/>
        </w:rPr>
        <w:tab/>
      </w:r>
      <w:r>
        <w:rPr>
          <w:rFonts w:hint="default" w:ascii="Arial" w:hAnsi="Arial" w:eastAsia="宋体" w:cs="Arial"/>
          <w:spacing w:val="0"/>
          <w:sz w:val="28"/>
          <w:szCs w:val="28"/>
          <w:lang w:val="en-US" w:eastAsia="zh-CN"/>
        </w:rPr>
        <w:t>4</w:t>
      </w:r>
      <w:r>
        <w:rPr>
          <w:rFonts w:hint="eastAsia" w:ascii="Arial" w:hAnsi="Arial" w:eastAsia="宋体" w:cs="Arial"/>
          <w:spacing w:val="0"/>
          <w:sz w:val="28"/>
          <w:szCs w:val="28"/>
          <w:lang w:val="en-US" w:eastAsia="zh-CN"/>
        </w:rPr>
        <w:t>7</w:t>
      </w:r>
      <w:r>
        <w:rPr>
          <w:rFonts w:hint="default" w:ascii="Arial" w:hAnsi="Arial" w:eastAsia="宋体" w:cs="Arial"/>
          <w:spacing w:val="0"/>
          <w:sz w:val="28"/>
          <w:szCs w:val="28"/>
          <w:lang w:val="en-US" w:eastAsia="zh-CN"/>
        </w:rPr>
        <w:fldChar w:fldCharType="end"/>
      </w:r>
    </w:p>
    <w:p w14:paraId="12FFAB68">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16"/>
        <w:textAlignment w:val="baseline"/>
        <w:rPr>
          <w:rFonts w:ascii="Arial" w:hAnsi="Arial" w:eastAsia="Arial" w:cs="Arial"/>
          <w:spacing w:val="0"/>
          <w:sz w:val="28"/>
          <w:szCs w:val="28"/>
        </w:rPr>
      </w:pPr>
      <w:r>
        <w:rPr>
          <w:spacing w:val="0"/>
        </w:rPr>
        <w:fldChar w:fldCharType="begin"/>
      </w:r>
      <w:r>
        <w:rPr>
          <w:spacing w:val="0"/>
        </w:rPr>
        <w:instrText xml:space="preserve">HYPERLINK\l"_bookmark26"</w:instrText>
      </w:r>
      <w:r>
        <w:rPr>
          <w:spacing w:val="0"/>
        </w:rPr>
        <w:fldChar w:fldCharType="separate"/>
      </w:r>
      <w:r>
        <w:rPr>
          <w:rFonts w:ascii="仿宋" w:hAnsi="仿宋" w:eastAsia="仿宋" w:cs="仿宋"/>
          <w:spacing w:val="0"/>
          <w:sz w:val="28"/>
          <w:szCs w:val="28"/>
        </w:rPr>
        <w:t>第三部分重大专项统筹</w:t>
      </w:r>
      <w:r>
        <w:rPr>
          <w:rFonts w:ascii="仿宋" w:hAnsi="仿宋" w:eastAsia="仿宋" w:cs="仿宋"/>
          <w:b/>
          <w:bCs/>
          <w:spacing w:val="0"/>
          <w:sz w:val="28"/>
          <w:szCs w:val="28"/>
        </w:rPr>
        <w:tab/>
      </w:r>
      <w:r>
        <w:rPr>
          <w:rFonts w:hint="default" w:ascii="Arial" w:hAnsi="Arial" w:eastAsia="宋体" w:cs="Arial"/>
          <w:b/>
          <w:bCs/>
          <w:spacing w:val="0"/>
          <w:sz w:val="28"/>
          <w:szCs w:val="28"/>
          <w:lang w:val="en-US" w:eastAsia="zh-CN"/>
        </w:rPr>
        <w:t>5</w:t>
      </w:r>
      <w:r>
        <w:rPr>
          <w:rFonts w:hint="eastAsia" w:ascii="Arial" w:hAnsi="Arial" w:eastAsia="宋体" w:cs="Arial"/>
          <w:b/>
          <w:bCs/>
          <w:spacing w:val="0"/>
          <w:sz w:val="28"/>
          <w:szCs w:val="28"/>
          <w:lang w:val="en-US" w:eastAsia="zh-CN"/>
        </w:rPr>
        <w:t>3</w:t>
      </w:r>
      <w:r>
        <w:rPr>
          <w:rFonts w:ascii="Arial" w:hAnsi="Arial" w:eastAsia="Arial" w:cs="Arial"/>
          <w:b/>
          <w:bCs/>
          <w:spacing w:val="0"/>
          <w:sz w:val="28"/>
          <w:szCs w:val="28"/>
        </w:rPr>
        <w:fldChar w:fldCharType="end"/>
      </w:r>
    </w:p>
    <w:p w14:paraId="625CBDAF">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2"/>
        <w:textAlignment w:val="baseline"/>
        <w:rPr>
          <w:rFonts w:ascii="Arial" w:hAnsi="Arial" w:eastAsia="Arial" w:cs="Arial"/>
          <w:spacing w:val="0"/>
          <w:sz w:val="28"/>
          <w:szCs w:val="28"/>
        </w:rPr>
      </w:pPr>
      <w:r>
        <w:rPr>
          <w:spacing w:val="0"/>
        </w:rPr>
        <w:fldChar w:fldCharType="begin"/>
      </w:r>
      <w:r>
        <w:rPr>
          <w:spacing w:val="0"/>
        </w:rPr>
        <w:instrText xml:space="preserve">HYPERLINK\l"_bookmark27"</w:instrText>
      </w:r>
      <w:r>
        <w:rPr>
          <w:spacing w:val="0"/>
        </w:rPr>
        <w:fldChar w:fldCharType="separate"/>
      </w:r>
      <w:r>
        <w:rPr>
          <w:rFonts w:ascii="Arial" w:hAnsi="Arial" w:eastAsia="Arial" w:cs="Arial"/>
          <w:b/>
          <w:bCs/>
          <w:spacing w:val="0"/>
          <w:sz w:val="28"/>
          <w:szCs w:val="28"/>
        </w:rPr>
        <w:t>7</w:t>
      </w:r>
      <w:r>
        <w:rPr>
          <w:rFonts w:ascii="仿宋" w:hAnsi="仿宋" w:eastAsia="仿宋" w:cs="仿宋"/>
          <w:spacing w:val="0"/>
          <w:sz w:val="28"/>
          <w:szCs w:val="28"/>
        </w:rPr>
        <w:t>产业发展</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5</w:t>
      </w:r>
      <w:r>
        <w:rPr>
          <w:rFonts w:hint="eastAsia" w:ascii="Arial" w:hAnsi="Arial" w:eastAsia="宋体" w:cs="Arial"/>
          <w:b/>
          <w:bCs/>
          <w:spacing w:val="0"/>
          <w:sz w:val="28"/>
          <w:szCs w:val="28"/>
          <w:lang w:val="en-US" w:eastAsia="zh-CN"/>
        </w:rPr>
        <w:t>4</w:t>
      </w:r>
      <w:r>
        <w:rPr>
          <w:rFonts w:ascii="Arial" w:hAnsi="Arial" w:eastAsia="Arial" w:cs="Arial"/>
          <w:b/>
          <w:bCs/>
          <w:spacing w:val="0"/>
          <w:sz w:val="28"/>
          <w:szCs w:val="28"/>
        </w:rPr>
        <w:fldChar w:fldCharType="end"/>
      </w:r>
    </w:p>
    <w:p w14:paraId="2E66E333">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HYPERLINK\l"_bookmark28"</w:instrText>
      </w:r>
      <w:r>
        <w:rPr>
          <w:spacing w:val="0"/>
        </w:rPr>
        <w:fldChar w:fldCharType="separate"/>
      </w:r>
      <w:r>
        <w:rPr>
          <w:rFonts w:ascii="Arial" w:hAnsi="Arial" w:eastAsia="Arial" w:cs="Arial"/>
          <w:spacing w:val="0"/>
          <w:sz w:val="28"/>
          <w:szCs w:val="28"/>
        </w:rPr>
        <w:t>7.1</w:t>
      </w:r>
      <w:r>
        <w:rPr>
          <w:rFonts w:ascii="仿宋" w:hAnsi="仿宋" w:eastAsia="仿宋" w:cs="仿宋"/>
          <w:spacing w:val="0"/>
          <w:sz w:val="28"/>
          <w:szCs w:val="28"/>
        </w:rPr>
        <w:t>产业规划原则</w:t>
      </w:r>
      <w:r>
        <w:rPr>
          <w:rFonts w:ascii="Arial" w:hAnsi="Arial" w:eastAsia="Arial" w:cs="Arial"/>
          <w:spacing w:val="0"/>
          <w:sz w:val="28"/>
          <w:szCs w:val="28"/>
        </w:rPr>
        <w:tab/>
      </w:r>
      <w:r>
        <w:rPr>
          <w:rFonts w:hint="default" w:ascii="Arial" w:hAnsi="Arial" w:eastAsia="宋体" w:cs="Arial"/>
          <w:spacing w:val="0"/>
          <w:sz w:val="28"/>
          <w:szCs w:val="28"/>
          <w:lang w:val="en-US" w:eastAsia="zh-CN"/>
        </w:rPr>
        <w:t>5</w:t>
      </w:r>
      <w:r>
        <w:rPr>
          <w:rFonts w:hint="eastAsia" w:ascii="Arial" w:hAnsi="Arial" w:eastAsia="宋体" w:cs="Arial"/>
          <w:spacing w:val="0"/>
          <w:sz w:val="28"/>
          <w:szCs w:val="28"/>
          <w:lang w:val="en-US" w:eastAsia="zh-CN"/>
        </w:rPr>
        <w:t>4</w:t>
      </w:r>
      <w:r>
        <w:rPr>
          <w:rFonts w:hint="default" w:ascii="Arial" w:hAnsi="Arial" w:eastAsia="宋体" w:cs="Arial"/>
          <w:spacing w:val="0"/>
          <w:sz w:val="28"/>
          <w:szCs w:val="28"/>
          <w:lang w:val="en-US" w:eastAsia="zh-CN"/>
        </w:rPr>
        <w:fldChar w:fldCharType="end"/>
      </w:r>
    </w:p>
    <w:p w14:paraId="023FB254">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HYPERLINK\l"_bookmark29"</w:instrText>
      </w:r>
      <w:r>
        <w:rPr>
          <w:spacing w:val="0"/>
        </w:rPr>
        <w:fldChar w:fldCharType="separate"/>
      </w:r>
      <w:r>
        <w:rPr>
          <w:rFonts w:ascii="Arial" w:hAnsi="Arial" w:eastAsia="Arial" w:cs="Arial"/>
          <w:spacing w:val="0"/>
          <w:sz w:val="28"/>
          <w:szCs w:val="28"/>
        </w:rPr>
        <w:t>7.2</w:t>
      </w:r>
      <w:r>
        <w:rPr>
          <w:rFonts w:ascii="仿宋" w:hAnsi="仿宋" w:eastAsia="仿宋" w:cs="仿宋"/>
          <w:spacing w:val="0"/>
          <w:sz w:val="28"/>
          <w:szCs w:val="28"/>
        </w:rPr>
        <w:t>战略定位</w:t>
      </w:r>
      <w:r>
        <w:rPr>
          <w:rFonts w:ascii="Arial" w:hAnsi="Arial" w:eastAsia="Arial" w:cs="Arial"/>
          <w:spacing w:val="0"/>
          <w:sz w:val="28"/>
          <w:szCs w:val="28"/>
        </w:rPr>
        <w:tab/>
      </w:r>
      <w:r>
        <w:rPr>
          <w:rFonts w:hint="default" w:ascii="Arial" w:hAnsi="Arial" w:eastAsia="宋体" w:cs="Arial"/>
          <w:spacing w:val="0"/>
          <w:sz w:val="28"/>
          <w:szCs w:val="28"/>
          <w:lang w:val="en-US" w:eastAsia="zh-CN"/>
        </w:rPr>
        <w:t>5</w:t>
      </w:r>
      <w:r>
        <w:rPr>
          <w:rFonts w:hint="eastAsia" w:ascii="Arial" w:hAnsi="Arial" w:eastAsia="宋体" w:cs="Arial"/>
          <w:spacing w:val="0"/>
          <w:sz w:val="28"/>
          <w:szCs w:val="28"/>
          <w:lang w:val="en-US" w:eastAsia="zh-CN"/>
        </w:rPr>
        <w:t>5</w:t>
      </w:r>
      <w:r>
        <w:rPr>
          <w:rFonts w:hint="default" w:ascii="Arial" w:hAnsi="Arial" w:eastAsia="宋体" w:cs="Arial"/>
          <w:spacing w:val="0"/>
          <w:sz w:val="28"/>
          <w:szCs w:val="28"/>
          <w:lang w:val="en-US" w:eastAsia="zh-CN"/>
        </w:rPr>
        <w:fldChar w:fldCharType="end"/>
      </w:r>
    </w:p>
    <w:p w14:paraId="29DFE9A5">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HYPERLINK\l"_bookmark30"</w:instrText>
      </w:r>
      <w:r>
        <w:rPr>
          <w:spacing w:val="0"/>
        </w:rPr>
        <w:fldChar w:fldCharType="separate"/>
      </w:r>
      <w:r>
        <w:rPr>
          <w:rFonts w:ascii="Arial" w:hAnsi="Arial" w:eastAsia="Arial" w:cs="Arial"/>
          <w:spacing w:val="0"/>
          <w:sz w:val="28"/>
          <w:szCs w:val="28"/>
        </w:rPr>
        <w:t>7.3</w:t>
      </w:r>
      <w:r>
        <w:rPr>
          <w:rFonts w:ascii="仿宋" w:hAnsi="仿宋" w:eastAsia="仿宋" w:cs="仿宋"/>
          <w:spacing w:val="0"/>
          <w:sz w:val="28"/>
          <w:szCs w:val="28"/>
        </w:rPr>
        <w:t>新材料产业规划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5</w:t>
      </w:r>
      <w:r>
        <w:rPr>
          <w:rFonts w:hint="eastAsia" w:ascii="Arial" w:hAnsi="Arial" w:eastAsia="宋体" w:cs="Arial"/>
          <w:spacing w:val="0"/>
          <w:sz w:val="28"/>
          <w:szCs w:val="28"/>
          <w:lang w:val="en-US" w:eastAsia="zh-CN"/>
        </w:rPr>
        <w:t>6</w:t>
      </w:r>
      <w:r>
        <w:rPr>
          <w:rFonts w:hint="default" w:ascii="Arial" w:hAnsi="Arial" w:eastAsia="宋体" w:cs="Arial"/>
          <w:spacing w:val="0"/>
          <w:sz w:val="28"/>
          <w:szCs w:val="28"/>
          <w:lang w:val="en-US" w:eastAsia="zh-CN"/>
        </w:rPr>
        <w:fldChar w:fldCharType="end"/>
      </w:r>
    </w:p>
    <w:p w14:paraId="55AC9E54">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HYPERLINK\l"_bookmark31"</w:instrText>
      </w:r>
      <w:r>
        <w:rPr>
          <w:spacing w:val="0"/>
        </w:rPr>
        <w:fldChar w:fldCharType="separate"/>
      </w:r>
      <w:r>
        <w:rPr>
          <w:rFonts w:ascii="Arial" w:hAnsi="Arial" w:eastAsia="Arial" w:cs="Arial"/>
          <w:spacing w:val="0"/>
          <w:sz w:val="28"/>
          <w:szCs w:val="28"/>
        </w:rPr>
        <w:t>7.4</w:t>
      </w:r>
      <w:r>
        <w:rPr>
          <w:rFonts w:ascii="仿宋" w:hAnsi="仿宋" w:eastAsia="仿宋" w:cs="仿宋"/>
          <w:spacing w:val="0"/>
          <w:sz w:val="28"/>
          <w:szCs w:val="28"/>
        </w:rPr>
        <w:t>支撑平台规划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6</w:t>
      </w:r>
      <w:r>
        <w:rPr>
          <w:rFonts w:hint="eastAsia" w:ascii="Arial" w:hAnsi="Arial" w:eastAsia="宋体" w:cs="Arial"/>
          <w:spacing w:val="0"/>
          <w:sz w:val="28"/>
          <w:szCs w:val="28"/>
          <w:lang w:val="en-US" w:eastAsia="zh-CN"/>
        </w:rPr>
        <w:t>6</w:t>
      </w:r>
      <w:r>
        <w:rPr>
          <w:rFonts w:hint="default" w:ascii="Arial" w:hAnsi="Arial" w:eastAsia="宋体" w:cs="Arial"/>
          <w:spacing w:val="0"/>
          <w:sz w:val="28"/>
          <w:szCs w:val="28"/>
          <w:lang w:val="en-US" w:eastAsia="zh-CN"/>
        </w:rPr>
        <w:fldChar w:fldCharType="end"/>
      </w:r>
    </w:p>
    <w:p w14:paraId="1CADCDC7">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2"/>
        <w:textAlignment w:val="baseline"/>
        <w:rPr>
          <w:rFonts w:ascii="Arial" w:hAnsi="Arial" w:eastAsia="Arial" w:cs="Arial"/>
          <w:spacing w:val="0"/>
          <w:sz w:val="28"/>
          <w:szCs w:val="28"/>
        </w:rPr>
      </w:pPr>
      <w:r>
        <w:rPr>
          <w:spacing w:val="0"/>
        </w:rPr>
        <w:fldChar w:fldCharType="begin"/>
      </w:r>
      <w:r>
        <w:rPr>
          <w:spacing w:val="0"/>
        </w:rPr>
        <w:instrText xml:space="preserve">HYPERLINK\l"_bookmark32"</w:instrText>
      </w:r>
      <w:r>
        <w:rPr>
          <w:spacing w:val="0"/>
        </w:rPr>
        <w:fldChar w:fldCharType="separate"/>
      </w:r>
      <w:r>
        <w:rPr>
          <w:rFonts w:ascii="Arial" w:hAnsi="Arial" w:eastAsia="Arial" w:cs="Arial"/>
          <w:b/>
          <w:bCs/>
          <w:spacing w:val="0"/>
          <w:sz w:val="28"/>
          <w:szCs w:val="28"/>
        </w:rPr>
        <w:t>8</w:t>
      </w:r>
      <w:r>
        <w:rPr>
          <w:rFonts w:ascii="仿宋" w:hAnsi="仿宋" w:eastAsia="仿宋" w:cs="仿宋"/>
          <w:spacing w:val="0"/>
          <w:sz w:val="28"/>
          <w:szCs w:val="28"/>
        </w:rPr>
        <w:t>综合交通</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7</w:t>
      </w:r>
      <w:r>
        <w:rPr>
          <w:rFonts w:hint="eastAsia" w:ascii="Arial" w:hAnsi="Arial" w:eastAsia="宋体" w:cs="Arial"/>
          <w:b/>
          <w:bCs/>
          <w:spacing w:val="0"/>
          <w:sz w:val="28"/>
          <w:szCs w:val="28"/>
          <w:lang w:val="en-US" w:eastAsia="zh-CN"/>
        </w:rPr>
        <w:t>4</w:t>
      </w:r>
      <w:r>
        <w:rPr>
          <w:rFonts w:ascii="Arial" w:hAnsi="Arial" w:eastAsia="Arial" w:cs="Arial"/>
          <w:b/>
          <w:bCs/>
          <w:spacing w:val="0"/>
          <w:sz w:val="28"/>
          <w:szCs w:val="28"/>
        </w:rPr>
        <w:fldChar w:fldCharType="end"/>
      </w:r>
    </w:p>
    <w:p w14:paraId="3387D378">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HYPERLINK\l"_bookmark33"</w:instrText>
      </w:r>
      <w:r>
        <w:rPr>
          <w:spacing w:val="0"/>
        </w:rPr>
        <w:fldChar w:fldCharType="separate"/>
      </w:r>
      <w:r>
        <w:rPr>
          <w:rFonts w:ascii="Arial" w:hAnsi="Arial" w:eastAsia="Arial" w:cs="Arial"/>
          <w:spacing w:val="0"/>
          <w:sz w:val="28"/>
          <w:szCs w:val="28"/>
        </w:rPr>
        <w:t>8.1</w:t>
      </w:r>
      <w:r>
        <w:rPr>
          <w:rFonts w:ascii="仿宋" w:hAnsi="仿宋" w:eastAsia="仿宋" w:cs="仿宋"/>
          <w:spacing w:val="0"/>
          <w:sz w:val="28"/>
          <w:szCs w:val="28"/>
        </w:rPr>
        <w:t>对外交通规划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7</w:t>
      </w:r>
      <w:r>
        <w:rPr>
          <w:rFonts w:hint="eastAsia" w:ascii="Arial" w:hAnsi="Arial" w:eastAsia="宋体" w:cs="Arial"/>
          <w:spacing w:val="0"/>
          <w:sz w:val="28"/>
          <w:szCs w:val="28"/>
          <w:lang w:val="en-US" w:eastAsia="zh-CN"/>
        </w:rPr>
        <w:t>4</w:t>
      </w:r>
      <w:r>
        <w:rPr>
          <w:rFonts w:hint="default" w:ascii="Arial" w:hAnsi="Arial" w:eastAsia="宋体" w:cs="Arial"/>
          <w:spacing w:val="0"/>
          <w:sz w:val="28"/>
          <w:szCs w:val="28"/>
          <w:lang w:val="en-US" w:eastAsia="zh-CN"/>
        </w:rPr>
        <w:fldChar w:fldCharType="end"/>
      </w:r>
    </w:p>
    <w:p w14:paraId="5BF36E66">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HYPERLINK\l"_bookmark34"</w:instrText>
      </w:r>
      <w:r>
        <w:rPr>
          <w:spacing w:val="0"/>
        </w:rPr>
        <w:fldChar w:fldCharType="separate"/>
      </w:r>
      <w:r>
        <w:rPr>
          <w:rFonts w:ascii="Arial" w:hAnsi="Arial" w:eastAsia="Arial" w:cs="Arial"/>
          <w:spacing w:val="0"/>
          <w:sz w:val="28"/>
          <w:szCs w:val="28"/>
        </w:rPr>
        <w:t>8.2</w:t>
      </w:r>
      <w:r>
        <w:rPr>
          <w:rFonts w:ascii="仿宋" w:hAnsi="仿宋" w:eastAsia="仿宋" w:cs="仿宋"/>
          <w:spacing w:val="0"/>
          <w:sz w:val="28"/>
          <w:szCs w:val="28"/>
        </w:rPr>
        <w:t>道路系统规划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7</w:t>
      </w:r>
      <w:r>
        <w:rPr>
          <w:rFonts w:hint="eastAsia" w:ascii="Arial" w:hAnsi="Arial" w:eastAsia="宋体" w:cs="Arial"/>
          <w:spacing w:val="0"/>
          <w:sz w:val="28"/>
          <w:szCs w:val="28"/>
          <w:lang w:val="en-US" w:eastAsia="zh-CN"/>
        </w:rPr>
        <w:t>5</w:t>
      </w:r>
      <w:r>
        <w:rPr>
          <w:rFonts w:hint="default" w:ascii="Arial" w:hAnsi="Arial" w:eastAsia="宋体" w:cs="Arial"/>
          <w:spacing w:val="0"/>
          <w:sz w:val="28"/>
          <w:szCs w:val="28"/>
          <w:lang w:val="en-US" w:eastAsia="zh-CN"/>
        </w:rPr>
        <w:fldChar w:fldCharType="end"/>
      </w:r>
    </w:p>
    <w:p w14:paraId="29F6BCB0">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textAlignment w:val="baseline"/>
        <w:rPr>
          <w:rFonts w:ascii="Arial" w:hAnsi="Arial" w:eastAsia="Arial" w:cs="Arial"/>
          <w:spacing w:val="0"/>
          <w:sz w:val="28"/>
          <w:szCs w:val="28"/>
        </w:rPr>
      </w:pPr>
      <w:r>
        <w:rPr>
          <w:spacing w:val="0"/>
        </w:rPr>
        <w:fldChar w:fldCharType="begin"/>
      </w:r>
      <w:r>
        <w:rPr>
          <w:spacing w:val="0"/>
        </w:rPr>
        <w:instrText xml:space="preserve">HYPERLINK\l"_bookmark35"</w:instrText>
      </w:r>
      <w:r>
        <w:rPr>
          <w:spacing w:val="0"/>
        </w:rPr>
        <w:fldChar w:fldCharType="separate"/>
      </w:r>
      <w:r>
        <w:rPr>
          <w:rFonts w:ascii="Arial" w:hAnsi="Arial" w:eastAsia="Arial" w:cs="Arial"/>
          <w:b/>
          <w:bCs/>
          <w:spacing w:val="0"/>
          <w:sz w:val="28"/>
          <w:szCs w:val="28"/>
        </w:rPr>
        <w:t>9</w:t>
      </w:r>
      <w:r>
        <w:rPr>
          <w:rFonts w:ascii="仿宋" w:hAnsi="仿宋" w:eastAsia="仿宋" w:cs="仿宋"/>
          <w:spacing w:val="0"/>
          <w:sz w:val="28"/>
          <w:szCs w:val="28"/>
        </w:rPr>
        <w:t>公共服务设施</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7</w:t>
      </w:r>
      <w:r>
        <w:rPr>
          <w:rFonts w:hint="eastAsia" w:ascii="Arial" w:hAnsi="Arial" w:eastAsia="宋体" w:cs="Arial"/>
          <w:b/>
          <w:bCs/>
          <w:spacing w:val="0"/>
          <w:sz w:val="28"/>
          <w:szCs w:val="28"/>
          <w:lang w:val="en-US" w:eastAsia="zh-CN"/>
        </w:rPr>
        <w:t>6</w:t>
      </w:r>
      <w:r>
        <w:rPr>
          <w:rFonts w:ascii="Arial" w:hAnsi="Arial" w:eastAsia="Arial" w:cs="Arial"/>
          <w:b/>
          <w:bCs/>
          <w:spacing w:val="0"/>
          <w:sz w:val="28"/>
          <w:szCs w:val="28"/>
        </w:rPr>
        <w:fldChar w:fldCharType="end"/>
      </w:r>
    </w:p>
    <w:p w14:paraId="457A847C">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HYPERLINK\l"_bookmark36"</w:instrText>
      </w:r>
      <w:r>
        <w:rPr>
          <w:spacing w:val="0"/>
        </w:rPr>
        <w:fldChar w:fldCharType="separate"/>
      </w:r>
      <w:r>
        <w:rPr>
          <w:rFonts w:ascii="Arial" w:hAnsi="Arial" w:eastAsia="Arial" w:cs="Arial"/>
          <w:spacing w:val="0"/>
          <w:sz w:val="28"/>
          <w:szCs w:val="28"/>
        </w:rPr>
        <w:t>9.1</w:t>
      </w:r>
      <w:r>
        <w:rPr>
          <w:rFonts w:ascii="仿宋" w:hAnsi="仿宋" w:eastAsia="仿宋" w:cs="仿宋"/>
          <w:spacing w:val="0"/>
          <w:sz w:val="28"/>
          <w:szCs w:val="28"/>
        </w:rPr>
        <w:t>规划目标</w:t>
      </w:r>
      <w:r>
        <w:rPr>
          <w:rFonts w:ascii="Arial" w:hAnsi="Arial" w:eastAsia="Arial" w:cs="Arial"/>
          <w:spacing w:val="0"/>
          <w:sz w:val="28"/>
          <w:szCs w:val="28"/>
        </w:rPr>
        <w:tab/>
      </w:r>
      <w:r>
        <w:rPr>
          <w:rFonts w:hint="default" w:ascii="Arial" w:hAnsi="Arial" w:eastAsia="宋体" w:cs="Arial"/>
          <w:spacing w:val="0"/>
          <w:sz w:val="28"/>
          <w:szCs w:val="28"/>
          <w:lang w:val="en-US" w:eastAsia="zh-CN"/>
        </w:rPr>
        <w:t>7</w:t>
      </w:r>
      <w:r>
        <w:rPr>
          <w:rFonts w:hint="eastAsia" w:ascii="Arial" w:hAnsi="Arial" w:eastAsia="宋体" w:cs="Arial"/>
          <w:spacing w:val="0"/>
          <w:sz w:val="28"/>
          <w:szCs w:val="28"/>
          <w:lang w:val="en-US" w:eastAsia="zh-CN"/>
        </w:rPr>
        <w:t>6</w:t>
      </w:r>
      <w:r>
        <w:rPr>
          <w:rFonts w:hint="default" w:ascii="Arial" w:hAnsi="Arial" w:eastAsia="宋体" w:cs="Arial"/>
          <w:spacing w:val="0"/>
          <w:sz w:val="28"/>
          <w:szCs w:val="28"/>
          <w:lang w:val="en-US" w:eastAsia="zh-CN"/>
        </w:rPr>
        <w:fldChar w:fldCharType="end"/>
      </w:r>
    </w:p>
    <w:p w14:paraId="76B685D4">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HYPERLINK\l"_bookmark37"</w:instrText>
      </w:r>
      <w:r>
        <w:rPr>
          <w:spacing w:val="0"/>
        </w:rPr>
        <w:fldChar w:fldCharType="separate"/>
      </w:r>
      <w:r>
        <w:rPr>
          <w:rFonts w:ascii="Arial" w:hAnsi="Arial" w:eastAsia="Arial" w:cs="Arial"/>
          <w:spacing w:val="0"/>
          <w:sz w:val="28"/>
          <w:szCs w:val="28"/>
        </w:rPr>
        <w:t>9.2</w:t>
      </w:r>
      <w:r>
        <w:rPr>
          <w:rFonts w:ascii="仿宋" w:hAnsi="仿宋" w:eastAsia="仿宋" w:cs="仿宋"/>
          <w:spacing w:val="0"/>
          <w:sz w:val="28"/>
          <w:szCs w:val="28"/>
        </w:rPr>
        <w:t>公共服务设施布局</w:t>
      </w:r>
      <w:r>
        <w:rPr>
          <w:rFonts w:ascii="Arial" w:hAnsi="Arial" w:eastAsia="Arial" w:cs="Arial"/>
          <w:spacing w:val="0"/>
          <w:sz w:val="28"/>
          <w:szCs w:val="28"/>
        </w:rPr>
        <w:tab/>
      </w:r>
      <w:r>
        <w:rPr>
          <w:rFonts w:hint="default" w:ascii="Arial" w:hAnsi="Arial" w:eastAsia="宋体" w:cs="Arial"/>
          <w:spacing w:val="0"/>
          <w:sz w:val="28"/>
          <w:szCs w:val="28"/>
          <w:lang w:val="en-US" w:eastAsia="zh-CN"/>
        </w:rPr>
        <w:t>7</w:t>
      </w:r>
      <w:r>
        <w:rPr>
          <w:rFonts w:hint="eastAsia" w:ascii="Arial" w:hAnsi="Arial" w:eastAsia="宋体" w:cs="Arial"/>
          <w:spacing w:val="0"/>
          <w:sz w:val="28"/>
          <w:szCs w:val="28"/>
          <w:lang w:val="en-US" w:eastAsia="zh-CN"/>
        </w:rPr>
        <w:t>6</w:t>
      </w:r>
      <w:r>
        <w:rPr>
          <w:rFonts w:hint="default" w:ascii="Arial" w:hAnsi="Arial" w:eastAsia="宋体" w:cs="Arial"/>
          <w:spacing w:val="0"/>
          <w:sz w:val="28"/>
          <w:szCs w:val="28"/>
          <w:lang w:val="en-US" w:eastAsia="zh-CN"/>
        </w:rPr>
        <w:fldChar w:fldCharType="end"/>
      </w:r>
    </w:p>
    <w:p w14:paraId="45BE43BE">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13"/>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HYPERLINK\l"_bookmark38"</w:instrText>
      </w:r>
      <w:r>
        <w:rPr>
          <w:spacing w:val="0"/>
        </w:rPr>
        <w:fldChar w:fldCharType="separate"/>
      </w:r>
      <w:r>
        <w:rPr>
          <w:rFonts w:ascii="Arial" w:hAnsi="Arial" w:eastAsia="Arial" w:cs="Arial"/>
          <w:b/>
          <w:bCs/>
          <w:spacing w:val="0"/>
          <w:sz w:val="28"/>
          <w:szCs w:val="28"/>
        </w:rPr>
        <w:t>10</w:t>
      </w:r>
      <w:r>
        <w:rPr>
          <w:rFonts w:ascii="仿宋" w:hAnsi="仿宋" w:eastAsia="仿宋" w:cs="仿宋"/>
          <w:spacing w:val="0"/>
          <w:sz w:val="28"/>
          <w:szCs w:val="28"/>
        </w:rPr>
        <w:t>市政工程设施规划</w:t>
      </w:r>
      <w:r>
        <w:rPr>
          <w:rFonts w:ascii="Arial" w:hAnsi="Arial" w:eastAsia="Arial" w:cs="Arial"/>
          <w:b/>
          <w:bCs/>
          <w:spacing w:val="0"/>
          <w:sz w:val="28"/>
          <w:szCs w:val="28"/>
        </w:rPr>
        <w:tab/>
      </w:r>
      <w:r>
        <w:rPr>
          <w:rFonts w:hint="eastAsia" w:ascii="Arial" w:hAnsi="Arial" w:eastAsia="宋体" w:cs="Arial"/>
          <w:b/>
          <w:bCs/>
          <w:spacing w:val="0"/>
          <w:sz w:val="28"/>
          <w:szCs w:val="28"/>
          <w:lang w:val="en-US" w:eastAsia="zh-CN"/>
        </w:rPr>
        <w:t>7</w:t>
      </w:r>
      <w:r>
        <w:rPr>
          <w:rFonts w:hint="default" w:ascii="Arial" w:hAnsi="Arial" w:eastAsia="宋体" w:cs="Arial"/>
          <w:b/>
          <w:bCs/>
          <w:spacing w:val="0"/>
          <w:sz w:val="28"/>
          <w:szCs w:val="28"/>
          <w:lang w:val="en-US" w:eastAsia="zh-CN"/>
        </w:rPr>
        <w:fldChar w:fldCharType="end"/>
      </w:r>
      <w:r>
        <w:rPr>
          <w:rFonts w:hint="eastAsia" w:ascii="Arial" w:hAnsi="Arial" w:eastAsia="宋体" w:cs="Arial"/>
          <w:b/>
          <w:bCs/>
          <w:spacing w:val="0"/>
          <w:sz w:val="28"/>
          <w:szCs w:val="28"/>
          <w:lang w:val="en-US" w:eastAsia="zh-CN"/>
        </w:rPr>
        <w:t>7</w:t>
      </w:r>
    </w:p>
    <w:p w14:paraId="3C96A4BE">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HYPERLINK\l"_bookmark39"</w:instrText>
      </w:r>
      <w:r>
        <w:rPr>
          <w:spacing w:val="0"/>
        </w:rPr>
        <w:fldChar w:fldCharType="separate"/>
      </w:r>
      <w:r>
        <w:rPr>
          <w:rFonts w:ascii="Arial" w:hAnsi="Arial" w:eastAsia="Arial" w:cs="Arial"/>
          <w:spacing w:val="0"/>
          <w:sz w:val="28"/>
          <w:szCs w:val="28"/>
        </w:rPr>
        <w:t>10.1</w:t>
      </w:r>
      <w:r>
        <w:rPr>
          <w:rFonts w:ascii="仿宋" w:hAnsi="仿宋" w:eastAsia="仿宋" w:cs="仿宋"/>
          <w:spacing w:val="0"/>
          <w:sz w:val="28"/>
          <w:szCs w:val="28"/>
        </w:rPr>
        <w:t>供水工程规划</w:t>
      </w:r>
      <w:r>
        <w:rPr>
          <w:rFonts w:ascii="Arial" w:hAnsi="Arial" w:eastAsia="Arial" w:cs="Arial"/>
          <w:spacing w:val="0"/>
          <w:sz w:val="28"/>
          <w:szCs w:val="28"/>
        </w:rPr>
        <w:tab/>
      </w:r>
      <w:r>
        <w:rPr>
          <w:rFonts w:hint="eastAsia" w:ascii="Arial" w:hAnsi="Arial" w:eastAsia="宋体" w:cs="Arial"/>
          <w:spacing w:val="0"/>
          <w:sz w:val="28"/>
          <w:szCs w:val="28"/>
          <w:lang w:val="en-US" w:eastAsia="zh-CN"/>
        </w:rPr>
        <w:t>7</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7</w:t>
      </w:r>
    </w:p>
    <w:p w14:paraId="123BC75E">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HYPERLINK\l"_bookmark40"</w:instrText>
      </w:r>
      <w:r>
        <w:rPr>
          <w:spacing w:val="0"/>
        </w:rPr>
        <w:fldChar w:fldCharType="separate"/>
      </w:r>
      <w:r>
        <w:rPr>
          <w:rFonts w:ascii="Arial" w:hAnsi="Arial" w:eastAsia="Arial" w:cs="Arial"/>
          <w:spacing w:val="0"/>
          <w:sz w:val="28"/>
          <w:szCs w:val="28"/>
        </w:rPr>
        <w:t>10.2</w:t>
      </w:r>
      <w:r>
        <w:rPr>
          <w:rFonts w:ascii="仿宋" w:hAnsi="仿宋" w:eastAsia="仿宋" w:cs="仿宋"/>
          <w:spacing w:val="0"/>
          <w:sz w:val="28"/>
          <w:szCs w:val="28"/>
        </w:rPr>
        <w:t>污水工程规划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8</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p>
    <w:p w14:paraId="2A3FFA89">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HYPERLINK\l"_bookmark41"</w:instrText>
      </w:r>
      <w:r>
        <w:rPr>
          <w:spacing w:val="0"/>
        </w:rPr>
        <w:fldChar w:fldCharType="separate"/>
      </w:r>
      <w:r>
        <w:rPr>
          <w:rFonts w:ascii="Arial" w:hAnsi="Arial" w:eastAsia="Arial" w:cs="Arial"/>
          <w:spacing w:val="0"/>
          <w:sz w:val="28"/>
          <w:szCs w:val="28"/>
        </w:rPr>
        <w:t>10.3</w:t>
      </w:r>
      <w:r>
        <w:rPr>
          <w:rFonts w:ascii="仿宋" w:hAnsi="仿宋" w:eastAsia="仿宋" w:cs="仿宋"/>
          <w:spacing w:val="0"/>
          <w:sz w:val="28"/>
          <w:szCs w:val="28"/>
        </w:rPr>
        <w:t>雨水工程规划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8</w:t>
      </w:r>
      <w:r>
        <w:rPr>
          <w:rFonts w:hint="eastAsia" w:ascii="Arial" w:hAnsi="Arial" w:eastAsia="宋体" w:cs="Arial"/>
          <w:spacing w:val="0"/>
          <w:sz w:val="28"/>
          <w:szCs w:val="28"/>
          <w:lang w:val="en-US" w:eastAsia="zh-CN"/>
        </w:rPr>
        <w:t>3</w:t>
      </w:r>
      <w:r>
        <w:rPr>
          <w:rFonts w:hint="default" w:ascii="Arial" w:hAnsi="Arial" w:eastAsia="宋体" w:cs="Arial"/>
          <w:spacing w:val="0"/>
          <w:sz w:val="28"/>
          <w:szCs w:val="28"/>
          <w:lang w:val="en-US" w:eastAsia="zh-CN"/>
        </w:rPr>
        <w:fldChar w:fldCharType="end"/>
      </w:r>
    </w:p>
    <w:p w14:paraId="6B47FEC6">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HYPERLINK\l"_bookmark42"</w:instrText>
      </w:r>
      <w:r>
        <w:rPr>
          <w:spacing w:val="0"/>
        </w:rPr>
        <w:fldChar w:fldCharType="separate"/>
      </w:r>
      <w:r>
        <w:rPr>
          <w:rFonts w:ascii="Arial" w:hAnsi="Arial" w:eastAsia="Arial" w:cs="Arial"/>
          <w:spacing w:val="0"/>
          <w:sz w:val="28"/>
          <w:szCs w:val="28"/>
        </w:rPr>
        <w:t>10.4</w:t>
      </w:r>
      <w:r>
        <w:rPr>
          <w:rFonts w:ascii="仿宋" w:hAnsi="仿宋" w:eastAsia="仿宋" w:cs="仿宋"/>
          <w:spacing w:val="0"/>
          <w:sz w:val="28"/>
          <w:szCs w:val="28"/>
        </w:rPr>
        <w:t>供电工程规划</w:t>
      </w:r>
      <w:r>
        <w:rPr>
          <w:rFonts w:ascii="Arial" w:hAnsi="Arial" w:eastAsia="Arial" w:cs="Arial"/>
          <w:spacing w:val="0"/>
          <w:sz w:val="28"/>
          <w:szCs w:val="28"/>
        </w:rPr>
        <w:tab/>
      </w:r>
      <w:r>
        <w:rPr>
          <w:rFonts w:hint="eastAsia" w:ascii="Arial" w:hAnsi="Arial" w:eastAsia="宋体" w:cs="Arial"/>
          <w:spacing w:val="0"/>
          <w:sz w:val="28"/>
          <w:szCs w:val="28"/>
          <w:lang w:val="en-US" w:eastAsia="zh-CN"/>
        </w:rPr>
        <w:t>8</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5</w:t>
      </w:r>
    </w:p>
    <w:p w14:paraId="318D1C8D">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HYPERLINK\l"_bookmark43"</w:instrText>
      </w:r>
      <w:r>
        <w:rPr>
          <w:spacing w:val="0"/>
        </w:rPr>
        <w:fldChar w:fldCharType="separate"/>
      </w:r>
      <w:r>
        <w:rPr>
          <w:rFonts w:ascii="Arial" w:hAnsi="Arial" w:eastAsia="Arial" w:cs="Arial"/>
          <w:spacing w:val="0"/>
          <w:sz w:val="28"/>
          <w:szCs w:val="28"/>
        </w:rPr>
        <w:t>10.5</w:t>
      </w:r>
      <w:r>
        <w:rPr>
          <w:rFonts w:ascii="仿宋" w:hAnsi="仿宋" w:eastAsia="仿宋" w:cs="仿宋"/>
          <w:spacing w:val="0"/>
          <w:sz w:val="28"/>
          <w:szCs w:val="28"/>
        </w:rPr>
        <w:t>通信工程规划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9</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p>
    <w:p w14:paraId="0C39F4E4">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HYPERLINK\l"_bookmark44"</w:instrText>
      </w:r>
      <w:r>
        <w:rPr>
          <w:spacing w:val="0"/>
        </w:rPr>
        <w:fldChar w:fldCharType="separate"/>
      </w:r>
      <w:r>
        <w:rPr>
          <w:rFonts w:ascii="Arial" w:hAnsi="Arial" w:eastAsia="Arial" w:cs="Arial"/>
          <w:spacing w:val="0"/>
          <w:sz w:val="28"/>
          <w:szCs w:val="28"/>
        </w:rPr>
        <w:t>10.6</w:t>
      </w:r>
      <w:r>
        <w:rPr>
          <w:rFonts w:ascii="仿宋" w:hAnsi="仿宋" w:eastAsia="仿宋" w:cs="仿宋"/>
          <w:spacing w:val="0"/>
          <w:sz w:val="28"/>
          <w:szCs w:val="28"/>
        </w:rPr>
        <w:t>供热规划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9</w:t>
      </w:r>
      <w:r>
        <w:rPr>
          <w:rFonts w:hint="eastAsia" w:ascii="Arial" w:hAnsi="Arial" w:eastAsia="宋体" w:cs="Arial"/>
          <w:spacing w:val="0"/>
          <w:sz w:val="28"/>
          <w:szCs w:val="28"/>
          <w:lang w:val="en-US" w:eastAsia="zh-CN"/>
        </w:rPr>
        <w:t>2</w:t>
      </w:r>
      <w:r>
        <w:rPr>
          <w:rFonts w:hint="default" w:ascii="Arial" w:hAnsi="Arial" w:eastAsia="宋体" w:cs="Arial"/>
          <w:spacing w:val="0"/>
          <w:sz w:val="28"/>
          <w:szCs w:val="28"/>
          <w:lang w:val="en-US" w:eastAsia="zh-CN"/>
        </w:rPr>
        <w:fldChar w:fldCharType="end"/>
      </w:r>
    </w:p>
    <w:p w14:paraId="2D3DA302">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HYPERLINK\l"_bookmark45"</w:instrText>
      </w:r>
      <w:r>
        <w:rPr>
          <w:spacing w:val="0"/>
        </w:rPr>
        <w:fldChar w:fldCharType="separate"/>
      </w:r>
      <w:r>
        <w:rPr>
          <w:rFonts w:ascii="Arial" w:hAnsi="Arial" w:eastAsia="Arial" w:cs="Arial"/>
          <w:spacing w:val="0"/>
          <w:sz w:val="28"/>
          <w:szCs w:val="28"/>
        </w:rPr>
        <w:t>10.7</w:t>
      </w:r>
      <w:r>
        <w:rPr>
          <w:rFonts w:ascii="仿宋" w:hAnsi="仿宋" w:eastAsia="仿宋" w:cs="仿宋"/>
          <w:spacing w:val="0"/>
          <w:sz w:val="28"/>
          <w:szCs w:val="28"/>
        </w:rPr>
        <w:t>燃气工程规划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9</w:t>
      </w:r>
      <w:r>
        <w:rPr>
          <w:rFonts w:hint="eastAsia" w:ascii="Arial" w:hAnsi="Arial" w:eastAsia="宋体" w:cs="Arial"/>
          <w:spacing w:val="0"/>
          <w:sz w:val="28"/>
          <w:szCs w:val="28"/>
          <w:lang w:val="en-US" w:eastAsia="zh-CN"/>
        </w:rPr>
        <w:t>3</w:t>
      </w:r>
      <w:r>
        <w:rPr>
          <w:rFonts w:hint="default" w:ascii="Arial" w:hAnsi="Arial" w:eastAsia="宋体" w:cs="Arial"/>
          <w:spacing w:val="0"/>
          <w:sz w:val="28"/>
          <w:szCs w:val="28"/>
          <w:lang w:val="en-US" w:eastAsia="zh-CN"/>
        </w:rPr>
        <w:fldChar w:fldCharType="end"/>
      </w:r>
    </w:p>
    <w:p w14:paraId="3136F3FD">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Arial" w:cs="Arial"/>
          <w:spacing w:val="0"/>
          <w:sz w:val="28"/>
          <w:szCs w:val="28"/>
          <w:lang w:val="en-US"/>
        </w:rPr>
      </w:pPr>
      <w:r>
        <w:rPr>
          <w:spacing w:val="0"/>
        </w:rPr>
        <w:fldChar w:fldCharType="begin"/>
      </w:r>
      <w:r>
        <w:rPr>
          <w:spacing w:val="0"/>
        </w:rPr>
        <w:instrText xml:space="preserve">HYPERLINK\l"_bookmark46"</w:instrText>
      </w:r>
      <w:r>
        <w:rPr>
          <w:spacing w:val="0"/>
        </w:rPr>
        <w:fldChar w:fldCharType="separate"/>
      </w:r>
      <w:r>
        <w:rPr>
          <w:rFonts w:ascii="Arial" w:hAnsi="Arial" w:eastAsia="Arial" w:cs="Arial"/>
          <w:spacing w:val="0"/>
          <w:sz w:val="28"/>
          <w:szCs w:val="28"/>
        </w:rPr>
        <w:t>10.8</w:t>
      </w:r>
      <w:r>
        <w:rPr>
          <w:rFonts w:ascii="仿宋" w:hAnsi="仿宋" w:eastAsia="仿宋" w:cs="仿宋"/>
          <w:spacing w:val="0"/>
          <w:sz w:val="28"/>
          <w:szCs w:val="28"/>
        </w:rPr>
        <w:t>环卫设施规划</w:t>
      </w:r>
      <w:r>
        <w:rPr>
          <w:rFonts w:ascii="Arial" w:hAnsi="Arial" w:eastAsia="Arial" w:cs="Arial"/>
          <w:spacing w:val="0"/>
          <w:sz w:val="28"/>
          <w:szCs w:val="28"/>
        </w:rPr>
        <w:tab/>
      </w:r>
      <w:r>
        <w:rPr>
          <w:rFonts w:hint="eastAsia" w:ascii="Arial" w:hAnsi="Arial" w:eastAsia="宋体" w:cs="Arial"/>
          <w:spacing w:val="0"/>
          <w:sz w:val="28"/>
          <w:szCs w:val="28"/>
          <w:lang w:val="en-US" w:eastAsia="zh-CN"/>
        </w:rPr>
        <w:t>9</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6</w:t>
      </w:r>
    </w:p>
    <w:p w14:paraId="69F77962">
      <w:pPr>
        <w:keepNext w:val="0"/>
        <w:keepLines w:val="0"/>
        <w:pageBreakBefore w:val="0"/>
        <w:widowControl w:val="0"/>
        <w:tabs>
          <w:tab w:val="right" w:leader="dot" w:pos="8995"/>
        </w:tabs>
        <w:kinsoku w:val="0"/>
        <w:wordWrap/>
        <w:overflowPunct/>
        <w:topLinePunct w:val="0"/>
        <w:autoSpaceDE w:val="0"/>
        <w:autoSpaceDN w:val="0"/>
        <w:bidi w:val="0"/>
        <w:adjustRightInd w:val="0"/>
        <w:snapToGrid w:val="0"/>
        <w:spacing w:beforeAutospacing="0" w:line="536" w:lineRule="exact"/>
        <w:ind w:left="13"/>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HYPERLINK\l"_bookmark47"</w:instrText>
      </w:r>
      <w:r>
        <w:rPr>
          <w:spacing w:val="0"/>
        </w:rPr>
        <w:fldChar w:fldCharType="separate"/>
      </w:r>
      <w:r>
        <w:rPr>
          <w:rFonts w:ascii="Arial" w:hAnsi="Arial" w:eastAsia="Arial" w:cs="Arial"/>
          <w:b/>
          <w:bCs/>
          <w:spacing w:val="0"/>
          <w:sz w:val="28"/>
          <w:szCs w:val="28"/>
        </w:rPr>
        <w:t>11</w:t>
      </w:r>
      <w:r>
        <w:rPr>
          <w:rFonts w:ascii="仿宋" w:hAnsi="仿宋" w:eastAsia="仿宋" w:cs="仿宋"/>
          <w:spacing w:val="0"/>
          <w:sz w:val="28"/>
          <w:szCs w:val="28"/>
        </w:rPr>
        <w:t>生态环境建设</w:t>
      </w:r>
      <w:r>
        <w:rPr>
          <w:rFonts w:ascii="Arial" w:hAnsi="Arial" w:eastAsia="Arial" w:cs="Arial"/>
          <w:b/>
          <w:bCs/>
          <w:spacing w:val="0"/>
          <w:sz w:val="28"/>
          <w:szCs w:val="28"/>
        </w:rPr>
        <w:tab/>
      </w:r>
      <w:r>
        <w:rPr>
          <w:rFonts w:hint="eastAsia" w:ascii="Arial" w:hAnsi="Arial" w:eastAsia="宋体" w:cs="Arial"/>
          <w:b/>
          <w:bCs/>
          <w:spacing w:val="0"/>
          <w:sz w:val="28"/>
          <w:szCs w:val="28"/>
          <w:lang w:val="en-US" w:eastAsia="zh-CN"/>
        </w:rPr>
        <w:t>9</w:t>
      </w:r>
      <w:r>
        <w:rPr>
          <w:rFonts w:ascii="Arial" w:hAnsi="Arial" w:eastAsia="Arial" w:cs="Arial"/>
          <w:b/>
          <w:bCs/>
          <w:spacing w:val="0"/>
          <w:sz w:val="28"/>
          <w:szCs w:val="28"/>
        </w:rPr>
        <w:fldChar w:fldCharType="end"/>
      </w:r>
      <w:r>
        <w:rPr>
          <w:rFonts w:hint="eastAsia" w:ascii="Arial" w:hAnsi="Arial" w:eastAsia="宋体" w:cs="Arial"/>
          <w:b/>
          <w:bCs/>
          <w:spacing w:val="0"/>
          <w:sz w:val="28"/>
          <w:szCs w:val="28"/>
          <w:lang w:val="en-US" w:eastAsia="zh-CN"/>
        </w:rPr>
        <w:t>8</w:t>
      </w:r>
    </w:p>
    <w:p w14:paraId="5934A69D">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Arial" w:cs="Arial"/>
          <w:spacing w:val="0"/>
          <w:sz w:val="28"/>
          <w:szCs w:val="28"/>
          <w:lang w:val="en-US"/>
        </w:rPr>
      </w:pPr>
      <w:r>
        <w:rPr>
          <w:spacing w:val="0"/>
        </w:rPr>
        <w:fldChar w:fldCharType="begin"/>
      </w:r>
      <w:r>
        <w:rPr>
          <w:spacing w:val="0"/>
        </w:rPr>
        <w:instrText xml:space="preserve">HYPERLINK\l"_bookmark48"</w:instrText>
      </w:r>
      <w:r>
        <w:rPr>
          <w:spacing w:val="0"/>
        </w:rPr>
        <w:fldChar w:fldCharType="separate"/>
      </w:r>
      <w:r>
        <w:rPr>
          <w:rFonts w:ascii="Arial" w:hAnsi="Arial" w:eastAsia="Arial" w:cs="Arial"/>
          <w:spacing w:val="0"/>
          <w:sz w:val="28"/>
          <w:szCs w:val="28"/>
        </w:rPr>
        <w:t>11.1</w:t>
      </w:r>
      <w:r>
        <w:rPr>
          <w:rFonts w:ascii="仿宋" w:hAnsi="仿宋" w:eastAsia="仿宋" w:cs="仿宋"/>
          <w:spacing w:val="0"/>
          <w:sz w:val="28"/>
          <w:szCs w:val="28"/>
        </w:rPr>
        <w:t>规划原则</w:t>
      </w:r>
      <w:r>
        <w:rPr>
          <w:rFonts w:ascii="Arial" w:hAnsi="Arial" w:eastAsia="Arial" w:cs="Arial"/>
          <w:spacing w:val="0"/>
          <w:sz w:val="28"/>
          <w:szCs w:val="28"/>
        </w:rPr>
        <w:tab/>
      </w:r>
      <w:r>
        <w:rPr>
          <w:rFonts w:hint="eastAsia" w:ascii="Arial" w:hAnsi="Arial" w:eastAsia="宋体" w:cs="Arial"/>
          <w:spacing w:val="0"/>
          <w:sz w:val="28"/>
          <w:szCs w:val="28"/>
          <w:lang w:val="en-US" w:eastAsia="zh-CN"/>
        </w:rPr>
        <w:t>9</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8</w:t>
      </w:r>
    </w:p>
    <w:p w14:paraId="7787A2AA">
      <w:pPr>
        <w:keepNext w:val="0"/>
        <w:keepLines w:val="0"/>
        <w:pageBreakBefore w:val="0"/>
        <w:widowControl w:val="0"/>
        <w:tabs>
          <w:tab w:val="right" w:leader="dot" w:pos="8992"/>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HYPERLINK\l"_bookmark49"</w:instrText>
      </w:r>
      <w:r>
        <w:rPr>
          <w:spacing w:val="0"/>
        </w:rPr>
        <w:fldChar w:fldCharType="separate"/>
      </w:r>
      <w:r>
        <w:rPr>
          <w:rFonts w:ascii="Arial" w:hAnsi="Arial" w:eastAsia="Arial" w:cs="Arial"/>
          <w:spacing w:val="0"/>
          <w:sz w:val="28"/>
          <w:szCs w:val="28"/>
        </w:rPr>
        <w:t>11.2</w:t>
      </w:r>
      <w:r>
        <w:rPr>
          <w:rFonts w:ascii="仿宋" w:hAnsi="仿宋" w:eastAsia="仿宋" w:cs="仿宋"/>
          <w:spacing w:val="0"/>
          <w:sz w:val="28"/>
          <w:szCs w:val="28"/>
        </w:rPr>
        <w:t>环境保护策略</w:t>
      </w:r>
      <w:r>
        <w:rPr>
          <w:rFonts w:ascii="Arial" w:hAnsi="Arial" w:eastAsia="Arial" w:cs="Arial"/>
          <w:spacing w:val="0"/>
          <w:sz w:val="28"/>
          <w:szCs w:val="28"/>
        </w:rPr>
        <w:tab/>
      </w:r>
      <w:r>
        <w:rPr>
          <w:rFonts w:hint="eastAsia" w:ascii="Arial" w:hAnsi="Arial" w:eastAsia="宋体" w:cs="Arial"/>
          <w:spacing w:val="0"/>
          <w:sz w:val="28"/>
          <w:szCs w:val="28"/>
          <w:lang w:val="en-US" w:eastAsia="zh-CN"/>
        </w:rPr>
        <w:t>9</w:t>
      </w:r>
      <w:r>
        <w:rPr>
          <w:rFonts w:ascii="Arial" w:hAnsi="Arial" w:eastAsia="Arial" w:cs="Arial"/>
          <w:spacing w:val="0"/>
          <w:sz w:val="28"/>
          <w:szCs w:val="28"/>
        </w:rPr>
        <w:fldChar w:fldCharType="end"/>
      </w:r>
      <w:r>
        <w:rPr>
          <w:rFonts w:hint="eastAsia" w:ascii="Arial" w:hAnsi="Arial" w:eastAsia="宋体" w:cs="Arial"/>
          <w:spacing w:val="0"/>
          <w:sz w:val="28"/>
          <w:szCs w:val="28"/>
          <w:lang w:val="en-US" w:eastAsia="zh-CN"/>
        </w:rPr>
        <w:t>8</w:t>
      </w:r>
    </w:p>
    <w:p w14:paraId="6FD8EDF1">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Arial" w:cs="Arial"/>
          <w:spacing w:val="0"/>
          <w:sz w:val="28"/>
          <w:szCs w:val="28"/>
          <w:lang w:val="en-US"/>
        </w:rPr>
      </w:pPr>
      <w:r>
        <w:rPr>
          <w:spacing w:val="0"/>
        </w:rPr>
        <w:fldChar w:fldCharType="begin"/>
      </w:r>
      <w:r>
        <w:rPr>
          <w:spacing w:val="0"/>
        </w:rPr>
        <w:instrText xml:space="preserve">HYPERLINK\l"_bookmark50"</w:instrText>
      </w:r>
      <w:r>
        <w:rPr>
          <w:spacing w:val="0"/>
        </w:rPr>
        <w:fldChar w:fldCharType="separate"/>
      </w:r>
      <w:r>
        <w:rPr>
          <w:rFonts w:ascii="Arial" w:hAnsi="Arial" w:eastAsia="Arial" w:cs="Arial"/>
          <w:spacing w:val="0"/>
          <w:sz w:val="28"/>
          <w:szCs w:val="28"/>
        </w:rPr>
        <w:t>11.3</w:t>
      </w:r>
      <w:r>
        <w:rPr>
          <w:rFonts w:ascii="仿宋" w:hAnsi="仿宋" w:eastAsia="仿宋" w:cs="仿宋"/>
          <w:spacing w:val="0"/>
          <w:sz w:val="28"/>
          <w:szCs w:val="28"/>
        </w:rPr>
        <w:t>生态建设策略</w:t>
      </w:r>
      <w:r>
        <w:rPr>
          <w:rFonts w:ascii="Arial" w:hAnsi="Arial" w:eastAsia="Arial" w:cs="Arial"/>
          <w:spacing w:val="0"/>
          <w:sz w:val="28"/>
          <w:szCs w:val="28"/>
        </w:rPr>
        <w:tab/>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00</w:t>
      </w:r>
    </w:p>
    <w:p w14:paraId="1CADF6F3">
      <w:pPr>
        <w:keepNext w:val="0"/>
        <w:keepLines w:val="0"/>
        <w:pageBreakBefore w:val="0"/>
        <w:widowControl w:val="0"/>
        <w:tabs>
          <w:tab w:val="right" w:leader="dot" w:pos="8982"/>
        </w:tabs>
        <w:kinsoku w:val="0"/>
        <w:wordWrap/>
        <w:overflowPunct/>
        <w:topLinePunct w:val="0"/>
        <w:autoSpaceDE w:val="0"/>
        <w:autoSpaceDN w:val="0"/>
        <w:bidi w:val="0"/>
        <w:adjustRightInd w:val="0"/>
        <w:snapToGrid w:val="0"/>
        <w:spacing w:beforeAutospacing="0" w:line="536" w:lineRule="exact"/>
        <w:textAlignment w:val="baseline"/>
        <w:rPr>
          <w:rFonts w:ascii="Arial" w:hAnsi="Arial" w:eastAsia="Arial" w:cs="Arial"/>
          <w:spacing w:val="0"/>
          <w:sz w:val="28"/>
          <w:szCs w:val="28"/>
        </w:rPr>
      </w:pPr>
      <w:r>
        <w:rPr>
          <w:spacing w:val="0"/>
        </w:rPr>
        <w:fldChar w:fldCharType="begin"/>
      </w:r>
      <w:r>
        <w:rPr>
          <w:spacing w:val="0"/>
        </w:rPr>
        <w:instrText xml:space="preserve">HYPERLINK\l"_bookmark51"</w:instrText>
      </w:r>
      <w:r>
        <w:rPr>
          <w:spacing w:val="0"/>
        </w:rPr>
        <w:fldChar w:fldCharType="separate"/>
      </w:r>
      <w:r>
        <w:rPr>
          <w:rFonts w:ascii="Arial" w:hAnsi="Arial" w:eastAsia="Arial" w:cs="Arial"/>
          <w:b/>
          <w:bCs/>
          <w:spacing w:val="0"/>
          <w:sz w:val="28"/>
          <w:szCs w:val="28"/>
        </w:rPr>
        <w:t>12</w:t>
      </w:r>
      <w:r>
        <w:rPr>
          <w:rFonts w:ascii="仿宋" w:hAnsi="仿宋" w:eastAsia="仿宋" w:cs="仿宋"/>
          <w:spacing w:val="0"/>
          <w:sz w:val="28"/>
          <w:szCs w:val="28"/>
        </w:rPr>
        <w:t>绿地与景观系统</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10</w:t>
      </w:r>
      <w:r>
        <w:rPr>
          <w:rFonts w:hint="eastAsia" w:ascii="Arial" w:hAnsi="Arial" w:eastAsia="宋体" w:cs="Arial"/>
          <w:b/>
          <w:bCs/>
          <w:spacing w:val="0"/>
          <w:sz w:val="28"/>
          <w:szCs w:val="28"/>
          <w:lang w:val="en-US" w:eastAsia="zh-CN"/>
        </w:rPr>
        <w:t>1</w:t>
      </w:r>
      <w:r>
        <w:rPr>
          <w:rFonts w:ascii="Arial" w:hAnsi="Arial" w:eastAsia="Arial" w:cs="Arial"/>
          <w:b/>
          <w:bCs/>
          <w:spacing w:val="0"/>
          <w:sz w:val="28"/>
          <w:szCs w:val="28"/>
        </w:rPr>
        <w:fldChar w:fldCharType="end"/>
      </w:r>
    </w:p>
    <w:p w14:paraId="6350514D">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HYPERLINK\l"_bookmark52"</w:instrText>
      </w:r>
      <w:r>
        <w:rPr>
          <w:spacing w:val="0"/>
        </w:rPr>
        <w:fldChar w:fldCharType="separate"/>
      </w:r>
      <w:r>
        <w:rPr>
          <w:rFonts w:ascii="Arial" w:hAnsi="Arial" w:eastAsia="Arial" w:cs="Arial"/>
          <w:spacing w:val="0"/>
          <w:sz w:val="28"/>
          <w:szCs w:val="28"/>
        </w:rPr>
        <w:t>12.1</w:t>
      </w:r>
      <w:r>
        <w:rPr>
          <w:rFonts w:ascii="仿宋" w:hAnsi="仿宋" w:eastAsia="仿宋" w:cs="仿宋"/>
          <w:spacing w:val="0"/>
          <w:sz w:val="28"/>
          <w:szCs w:val="28"/>
        </w:rPr>
        <w:t>规划策略</w:t>
      </w:r>
      <w:r>
        <w:rPr>
          <w:rFonts w:ascii="Arial" w:hAnsi="Arial" w:eastAsia="Arial" w:cs="Arial"/>
          <w:spacing w:val="0"/>
          <w:sz w:val="28"/>
          <w:szCs w:val="28"/>
        </w:rPr>
        <w:tab/>
      </w:r>
      <w:r>
        <w:rPr>
          <w:rFonts w:hint="default" w:ascii="Arial" w:hAnsi="Arial" w:eastAsia="宋体" w:cs="Arial"/>
          <w:spacing w:val="0"/>
          <w:sz w:val="28"/>
          <w:szCs w:val="28"/>
          <w:lang w:val="en-US" w:eastAsia="zh-CN"/>
        </w:rPr>
        <w:t>10</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p>
    <w:p w14:paraId="34AF9310">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HYPERLINK\l"_bookmark53"</w:instrText>
      </w:r>
      <w:r>
        <w:rPr>
          <w:spacing w:val="0"/>
        </w:rPr>
        <w:fldChar w:fldCharType="separate"/>
      </w:r>
      <w:r>
        <w:rPr>
          <w:rFonts w:ascii="Arial" w:hAnsi="Arial" w:eastAsia="Arial" w:cs="Arial"/>
          <w:spacing w:val="0"/>
          <w:sz w:val="28"/>
          <w:szCs w:val="28"/>
        </w:rPr>
        <w:t>12.2</w:t>
      </w:r>
      <w:r>
        <w:rPr>
          <w:rFonts w:ascii="仿宋" w:hAnsi="仿宋" w:eastAsia="仿宋" w:cs="仿宋"/>
          <w:spacing w:val="0"/>
          <w:sz w:val="28"/>
          <w:szCs w:val="28"/>
        </w:rPr>
        <w:t>绿地景观系统结构</w:t>
      </w:r>
      <w:r>
        <w:rPr>
          <w:rFonts w:ascii="Arial" w:hAnsi="Arial" w:eastAsia="Arial" w:cs="Arial"/>
          <w:spacing w:val="0"/>
          <w:sz w:val="28"/>
          <w:szCs w:val="28"/>
        </w:rPr>
        <w:tab/>
      </w:r>
      <w:r>
        <w:rPr>
          <w:rFonts w:hint="default" w:ascii="Arial" w:hAnsi="Arial" w:eastAsia="宋体" w:cs="Arial"/>
          <w:spacing w:val="0"/>
          <w:sz w:val="28"/>
          <w:szCs w:val="28"/>
          <w:lang w:val="en-US" w:eastAsia="zh-CN"/>
        </w:rPr>
        <w:t>10</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p>
    <w:p w14:paraId="523E3417">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HYPERLINK\l"_bookmark54"</w:instrText>
      </w:r>
      <w:r>
        <w:rPr>
          <w:spacing w:val="0"/>
        </w:rPr>
        <w:fldChar w:fldCharType="separate"/>
      </w:r>
      <w:r>
        <w:rPr>
          <w:rFonts w:ascii="Arial" w:hAnsi="Arial" w:eastAsia="Arial" w:cs="Arial"/>
          <w:spacing w:val="0"/>
          <w:sz w:val="28"/>
          <w:szCs w:val="28"/>
        </w:rPr>
        <w:t>12.3</w:t>
      </w:r>
      <w:r>
        <w:rPr>
          <w:rFonts w:ascii="仿宋" w:hAnsi="仿宋" w:eastAsia="仿宋" w:cs="仿宋"/>
          <w:spacing w:val="0"/>
          <w:sz w:val="28"/>
          <w:szCs w:val="28"/>
        </w:rPr>
        <w:t>绿地分类指导</w:t>
      </w:r>
      <w:r>
        <w:rPr>
          <w:rFonts w:ascii="Arial" w:hAnsi="Arial" w:eastAsia="Arial" w:cs="Arial"/>
          <w:spacing w:val="0"/>
          <w:sz w:val="28"/>
          <w:szCs w:val="28"/>
        </w:rPr>
        <w:tab/>
      </w:r>
      <w:r>
        <w:rPr>
          <w:rFonts w:hint="default" w:ascii="Arial" w:hAnsi="Arial" w:eastAsia="宋体" w:cs="Arial"/>
          <w:spacing w:val="0"/>
          <w:sz w:val="28"/>
          <w:szCs w:val="28"/>
          <w:lang w:val="en-US" w:eastAsia="zh-CN"/>
        </w:rPr>
        <w:t>10</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p>
    <w:p w14:paraId="446D835E">
      <w:pPr>
        <w:keepNext w:val="0"/>
        <w:keepLines w:val="0"/>
        <w:pageBreakBefore w:val="0"/>
        <w:widowControl w:val="0"/>
        <w:tabs>
          <w:tab w:val="right" w:leader="dot" w:pos="8982"/>
        </w:tabs>
        <w:kinsoku w:val="0"/>
        <w:wordWrap/>
        <w:overflowPunct/>
        <w:topLinePunct w:val="0"/>
        <w:autoSpaceDE w:val="0"/>
        <w:autoSpaceDN w:val="0"/>
        <w:bidi w:val="0"/>
        <w:adjustRightInd w:val="0"/>
        <w:snapToGrid w:val="0"/>
        <w:spacing w:beforeAutospacing="0" w:line="536" w:lineRule="exact"/>
        <w:textAlignment w:val="baseline"/>
        <w:rPr>
          <w:rFonts w:ascii="Arial" w:hAnsi="Arial" w:eastAsia="Arial" w:cs="Arial"/>
          <w:spacing w:val="0"/>
          <w:sz w:val="28"/>
          <w:szCs w:val="28"/>
        </w:rPr>
      </w:pPr>
      <w:r>
        <w:rPr>
          <w:spacing w:val="0"/>
        </w:rPr>
        <w:fldChar w:fldCharType="begin"/>
      </w:r>
      <w:r>
        <w:rPr>
          <w:spacing w:val="0"/>
        </w:rPr>
        <w:instrText xml:space="preserve">HYPERLINK\l"_bookmark55"</w:instrText>
      </w:r>
      <w:r>
        <w:rPr>
          <w:spacing w:val="0"/>
        </w:rPr>
        <w:fldChar w:fldCharType="separate"/>
      </w:r>
      <w:r>
        <w:rPr>
          <w:rFonts w:ascii="Arial" w:hAnsi="Arial" w:eastAsia="Arial" w:cs="Arial"/>
          <w:b/>
          <w:bCs/>
          <w:spacing w:val="0"/>
          <w:sz w:val="28"/>
          <w:szCs w:val="28"/>
        </w:rPr>
        <w:t>13</w:t>
      </w:r>
      <w:r>
        <w:rPr>
          <w:rFonts w:ascii="仿宋" w:hAnsi="仿宋" w:eastAsia="仿宋" w:cs="仿宋"/>
          <w:spacing w:val="0"/>
          <w:sz w:val="28"/>
          <w:szCs w:val="28"/>
        </w:rPr>
        <w:t>综合防灾规划</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10</w:t>
      </w:r>
      <w:r>
        <w:rPr>
          <w:rFonts w:hint="eastAsia" w:ascii="Arial" w:hAnsi="Arial" w:eastAsia="宋体" w:cs="Arial"/>
          <w:b/>
          <w:bCs/>
          <w:spacing w:val="0"/>
          <w:sz w:val="28"/>
          <w:szCs w:val="28"/>
          <w:lang w:val="en-US" w:eastAsia="zh-CN"/>
        </w:rPr>
        <w:t>2</w:t>
      </w:r>
      <w:r>
        <w:rPr>
          <w:rFonts w:ascii="Arial" w:hAnsi="Arial" w:eastAsia="Arial" w:cs="Arial"/>
          <w:b/>
          <w:bCs/>
          <w:spacing w:val="0"/>
          <w:sz w:val="28"/>
          <w:szCs w:val="28"/>
        </w:rPr>
        <w:fldChar w:fldCharType="end"/>
      </w:r>
    </w:p>
    <w:p w14:paraId="40CDDF9C">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HYPERLINK\l"_bookmark56"</w:instrText>
      </w:r>
      <w:r>
        <w:rPr>
          <w:spacing w:val="0"/>
        </w:rPr>
        <w:fldChar w:fldCharType="separate"/>
      </w:r>
      <w:r>
        <w:rPr>
          <w:rFonts w:ascii="Arial" w:hAnsi="Arial" w:eastAsia="Arial" w:cs="Arial"/>
          <w:spacing w:val="0"/>
          <w:sz w:val="28"/>
          <w:szCs w:val="28"/>
        </w:rPr>
        <w:t>13.1</w:t>
      </w:r>
      <w:r>
        <w:rPr>
          <w:rFonts w:ascii="仿宋" w:hAnsi="仿宋" w:eastAsia="仿宋" w:cs="仿宋"/>
          <w:spacing w:val="0"/>
          <w:sz w:val="28"/>
          <w:szCs w:val="28"/>
        </w:rPr>
        <w:t>防洪排涝规划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2</w:t>
      </w:r>
    </w:p>
    <w:p w14:paraId="025DC8D0">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HYPERLINK\l"_bookmark57"</w:instrText>
      </w:r>
      <w:r>
        <w:rPr>
          <w:spacing w:val="0"/>
        </w:rPr>
        <w:fldChar w:fldCharType="separate"/>
      </w:r>
      <w:r>
        <w:rPr>
          <w:rFonts w:ascii="Arial" w:hAnsi="Arial" w:eastAsia="Arial" w:cs="Arial"/>
          <w:spacing w:val="0"/>
          <w:sz w:val="28"/>
          <w:szCs w:val="28"/>
        </w:rPr>
        <w:t>13.2</w:t>
      </w:r>
      <w:r>
        <w:rPr>
          <w:rFonts w:ascii="仿宋" w:hAnsi="仿宋" w:eastAsia="仿宋" w:cs="仿宋"/>
          <w:spacing w:val="0"/>
          <w:sz w:val="28"/>
          <w:szCs w:val="28"/>
        </w:rPr>
        <w:t>消防规划</w:t>
      </w:r>
      <w:r>
        <w:rPr>
          <w:rFonts w:ascii="Arial" w:hAnsi="Arial" w:eastAsia="Arial" w:cs="Arial"/>
          <w:spacing w:val="0"/>
          <w:sz w:val="28"/>
          <w:szCs w:val="28"/>
        </w:rPr>
        <w:tab/>
      </w:r>
      <w:r>
        <w:rPr>
          <w:rFonts w:ascii="Arial" w:hAnsi="Arial" w:eastAsia="Arial" w:cs="Arial"/>
          <w:spacing w:val="0"/>
          <w:sz w:val="28"/>
          <w:szCs w:val="28"/>
        </w:rPr>
        <w:t>1</w:t>
      </w:r>
      <w:r>
        <w:rPr>
          <w:rFonts w:hint="eastAsia" w:ascii="Arial" w:hAnsi="Arial" w:eastAsia="宋体" w:cs="Arial"/>
          <w:spacing w:val="0"/>
          <w:sz w:val="28"/>
          <w:szCs w:val="28"/>
          <w:lang w:val="en-US" w:eastAsia="zh-CN"/>
        </w:rPr>
        <w:t>0</w:t>
      </w:r>
      <w:r>
        <w:rPr>
          <w:rFonts w:ascii="Arial" w:hAnsi="Arial" w:eastAsia="Arial" w:cs="Arial"/>
          <w:spacing w:val="0"/>
          <w:sz w:val="28"/>
          <w:szCs w:val="28"/>
        </w:rPr>
        <w:fldChar w:fldCharType="end"/>
      </w:r>
      <w:r>
        <w:rPr>
          <w:rFonts w:hint="eastAsia" w:ascii="Arial" w:hAnsi="Arial" w:eastAsia="宋体" w:cs="Arial"/>
          <w:spacing w:val="0"/>
          <w:sz w:val="28"/>
          <w:szCs w:val="28"/>
          <w:lang w:val="en-US" w:eastAsia="zh-CN"/>
        </w:rPr>
        <w:t>3</w:t>
      </w:r>
    </w:p>
    <w:p w14:paraId="292DEB2B">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HYPERLINK\l"_bookmark58"</w:instrText>
      </w:r>
      <w:r>
        <w:rPr>
          <w:spacing w:val="0"/>
        </w:rPr>
        <w:fldChar w:fldCharType="separate"/>
      </w:r>
      <w:r>
        <w:rPr>
          <w:rFonts w:ascii="Arial" w:hAnsi="Arial" w:eastAsia="Arial" w:cs="Arial"/>
          <w:spacing w:val="0"/>
          <w:sz w:val="28"/>
          <w:szCs w:val="28"/>
        </w:rPr>
        <w:t>13.3</w:t>
      </w:r>
      <w:r>
        <w:rPr>
          <w:rFonts w:ascii="仿宋" w:hAnsi="仿宋" w:eastAsia="仿宋" w:cs="仿宋"/>
          <w:spacing w:val="0"/>
          <w:sz w:val="28"/>
          <w:szCs w:val="28"/>
        </w:rPr>
        <w:t>抗震规划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04</w:t>
      </w:r>
      <w:r>
        <w:rPr>
          <w:rFonts w:hint="default" w:ascii="Arial" w:hAnsi="Arial" w:eastAsia="宋体" w:cs="Arial"/>
          <w:spacing w:val="0"/>
          <w:sz w:val="28"/>
          <w:szCs w:val="28"/>
          <w:lang w:val="en-US" w:eastAsia="zh-CN"/>
        </w:rPr>
        <w:fldChar w:fldCharType="end"/>
      </w:r>
    </w:p>
    <w:p w14:paraId="0ECEA2D2">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Arial" w:cs="Arial"/>
          <w:spacing w:val="0"/>
          <w:sz w:val="28"/>
          <w:szCs w:val="28"/>
          <w:lang w:val="en-US"/>
        </w:rPr>
      </w:pPr>
      <w:r>
        <w:rPr>
          <w:spacing w:val="0"/>
        </w:rPr>
        <w:fldChar w:fldCharType="begin"/>
      </w:r>
      <w:r>
        <w:rPr>
          <w:spacing w:val="0"/>
        </w:rPr>
        <w:instrText xml:space="preserve">HYPERLINK\l"_bookmark59"</w:instrText>
      </w:r>
      <w:r>
        <w:rPr>
          <w:spacing w:val="0"/>
        </w:rPr>
        <w:fldChar w:fldCharType="separate"/>
      </w:r>
      <w:r>
        <w:rPr>
          <w:rFonts w:ascii="Arial" w:hAnsi="Arial" w:eastAsia="Arial" w:cs="Arial"/>
          <w:spacing w:val="0"/>
          <w:sz w:val="28"/>
          <w:szCs w:val="28"/>
        </w:rPr>
        <w:t>13.4</w:t>
      </w:r>
      <w:r>
        <w:rPr>
          <w:rFonts w:ascii="仿宋" w:hAnsi="仿宋" w:eastAsia="仿宋" w:cs="仿宋"/>
          <w:spacing w:val="0"/>
          <w:sz w:val="28"/>
          <w:szCs w:val="28"/>
        </w:rPr>
        <w:t>人防规划</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5</w:t>
      </w:r>
    </w:p>
    <w:p w14:paraId="15BD6725">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3"/>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HYPERLINK\l"_bookmark60"</w:instrText>
      </w:r>
      <w:r>
        <w:rPr>
          <w:spacing w:val="0"/>
        </w:rPr>
        <w:fldChar w:fldCharType="separate"/>
      </w:r>
      <w:r>
        <w:rPr>
          <w:rFonts w:ascii="仿宋" w:hAnsi="仿宋" w:eastAsia="仿宋" w:cs="仿宋"/>
          <w:spacing w:val="0"/>
          <w:sz w:val="28"/>
          <w:szCs w:val="28"/>
        </w:rPr>
        <w:t>第四部分规划实施保障</w:t>
      </w:r>
      <w:r>
        <w:rPr>
          <w:rFonts w:ascii="仿宋" w:hAnsi="仿宋" w:eastAsia="仿宋" w:cs="仿宋"/>
          <w:b/>
          <w:bCs/>
          <w:spacing w:val="0"/>
          <w:sz w:val="28"/>
          <w:szCs w:val="28"/>
        </w:rPr>
        <w:tab/>
      </w:r>
      <w:r>
        <w:rPr>
          <w:rFonts w:hint="default" w:ascii="Arial" w:hAnsi="Arial" w:eastAsia="宋体" w:cs="Arial"/>
          <w:b/>
          <w:bCs/>
          <w:spacing w:val="0"/>
          <w:sz w:val="28"/>
          <w:szCs w:val="28"/>
          <w:lang w:val="en-US" w:eastAsia="zh-CN"/>
        </w:rPr>
        <w:t>1</w:t>
      </w:r>
      <w:r>
        <w:rPr>
          <w:rFonts w:hint="eastAsia" w:ascii="Arial" w:hAnsi="Arial" w:eastAsia="宋体" w:cs="Arial"/>
          <w:b/>
          <w:bCs/>
          <w:spacing w:val="0"/>
          <w:sz w:val="28"/>
          <w:szCs w:val="28"/>
          <w:lang w:val="en-US" w:eastAsia="zh-CN"/>
        </w:rPr>
        <w:t>0</w:t>
      </w:r>
      <w:r>
        <w:rPr>
          <w:rFonts w:ascii="Arial" w:hAnsi="Arial" w:eastAsia="Arial" w:cs="Arial"/>
          <w:b/>
          <w:bCs/>
          <w:spacing w:val="0"/>
          <w:sz w:val="28"/>
          <w:szCs w:val="28"/>
        </w:rPr>
        <w:fldChar w:fldCharType="end"/>
      </w:r>
      <w:r>
        <w:rPr>
          <w:rFonts w:hint="eastAsia" w:ascii="Arial" w:hAnsi="Arial" w:eastAsia="宋体" w:cs="Arial"/>
          <w:b/>
          <w:bCs/>
          <w:spacing w:val="0"/>
          <w:sz w:val="28"/>
          <w:szCs w:val="28"/>
          <w:lang w:val="en-US" w:eastAsia="zh-CN"/>
        </w:rPr>
        <w:t>6</w:t>
      </w:r>
    </w:p>
    <w:p w14:paraId="535E0215">
      <w:pPr>
        <w:keepNext w:val="0"/>
        <w:keepLines w:val="0"/>
        <w:pageBreakBefore w:val="0"/>
        <w:widowControl w:val="0"/>
        <w:tabs>
          <w:tab w:val="right" w:leader="dot" w:pos="8982"/>
        </w:tabs>
        <w:kinsoku w:val="0"/>
        <w:wordWrap/>
        <w:overflowPunct/>
        <w:topLinePunct w:val="0"/>
        <w:autoSpaceDE w:val="0"/>
        <w:autoSpaceDN w:val="0"/>
        <w:bidi w:val="0"/>
        <w:adjustRightInd w:val="0"/>
        <w:snapToGrid w:val="0"/>
        <w:spacing w:beforeAutospacing="0" w:line="536" w:lineRule="exact"/>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HYPERLINK\l"_bookmark61"</w:instrText>
      </w:r>
      <w:r>
        <w:rPr>
          <w:spacing w:val="0"/>
        </w:rPr>
        <w:fldChar w:fldCharType="separate"/>
      </w:r>
      <w:r>
        <w:rPr>
          <w:rFonts w:ascii="Arial" w:hAnsi="Arial" w:eastAsia="Arial" w:cs="Arial"/>
          <w:b/>
          <w:bCs/>
          <w:spacing w:val="0"/>
          <w:sz w:val="28"/>
          <w:szCs w:val="28"/>
        </w:rPr>
        <w:t>14</w:t>
      </w:r>
      <w:r>
        <w:rPr>
          <w:rFonts w:ascii="仿宋" w:hAnsi="仿宋" w:eastAsia="仿宋" w:cs="仿宋"/>
          <w:spacing w:val="0"/>
          <w:sz w:val="28"/>
          <w:szCs w:val="28"/>
        </w:rPr>
        <w:t>规划效果分析</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1</w:t>
      </w:r>
      <w:r>
        <w:rPr>
          <w:rFonts w:hint="eastAsia" w:ascii="Arial" w:hAnsi="Arial" w:eastAsia="宋体" w:cs="Arial"/>
          <w:b/>
          <w:bCs/>
          <w:spacing w:val="0"/>
          <w:sz w:val="28"/>
          <w:szCs w:val="28"/>
          <w:lang w:val="en-US" w:eastAsia="zh-CN"/>
        </w:rPr>
        <w:t>0</w:t>
      </w:r>
      <w:r>
        <w:rPr>
          <w:rFonts w:ascii="Arial" w:hAnsi="Arial" w:eastAsia="Arial" w:cs="Arial"/>
          <w:b/>
          <w:bCs/>
          <w:spacing w:val="0"/>
          <w:sz w:val="28"/>
          <w:szCs w:val="28"/>
        </w:rPr>
        <w:fldChar w:fldCharType="end"/>
      </w:r>
      <w:r>
        <w:rPr>
          <w:rFonts w:hint="eastAsia" w:ascii="Arial" w:hAnsi="Arial" w:eastAsia="宋体" w:cs="Arial"/>
          <w:b/>
          <w:bCs/>
          <w:spacing w:val="0"/>
          <w:sz w:val="28"/>
          <w:szCs w:val="28"/>
          <w:lang w:val="en-US" w:eastAsia="zh-CN"/>
        </w:rPr>
        <w:t>6</w:t>
      </w:r>
    </w:p>
    <w:p w14:paraId="46341BAC">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Arial" w:cs="Arial"/>
          <w:spacing w:val="0"/>
          <w:sz w:val="28"/>
          <w:szCs w:val="28"/>
          <w:lang w:val="en-US"/>
        </w:rPr>
      </w:pPr>
      <w:r>
        <w:rPr>
          <w:spacing w:val="0"/>
        </w:rPr>
        <w:fldChar w:fldCharType="begin"/>
      </w:r>
      <w:r>
        <w:rPr>
          <w:spacing w:val="0"/>
        </w:rPr>
        <w:instrText xml:space="preserve">HYPERLINK\l"_bookmark62"</w:instrText>
      </w:r>
      <w:r>
        <w:rPr>
          <w:spacing w:val="0"/>
        </w:rPr>
        <w:fldChar w:fldCharType="separate"/>
      </w:r>
      <w:r>
        <w:rPr>
          <w:rFonts w:ascii="Arial" w:hAnsi="Arial" w:eastAsia="Arial" w:cs="Arial"/>
          <w:spacing w:val="0"/>
          <w:sz w:val="28"/>
          <w:szCs w:val="28"/>
        </w:rPr>
        <w:t>14.1</w:t>
      </w:r>
      <w:r>
        <w:rPr>
          <w:rFonts w:ascii="仿宋" w:hAnsi="仿宋" w:eastAsia="仿宋" w:cs="仿宋"/>
          <w:spacing w:val="0"/>
          <w:sz w:val="28"/>
          <w:szCs w:val="28"/>
        </w:rPr>
        <w:t>经济效益</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6</w:t>
      </w:r>
    </w:p>
    <w:p w14:paraId="0B16D572">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Arial" w:cs="Arial"/>
          <w:spacing w:val="0"/>
          <w:sz w:val="28"/>
          <w:szCs w:val="28"/>
          <w:lang w:val="en-US"/>
        </w:rPr>
      </w:pPr>
      <w:r>
        <w:rPr>
          <w:spacing w:val="0"/>
        </w:rPr>
        <w:fldChar w:fldCharType="begin"/>
      </w:r>
      <w:r>
        <w:rPr>
          <w:spacing w:val="0"/>
        </w:rPr>
        <w:instrText xml:space="preserve">HYPERLINK\l"_bookmark63"</w:instrText>
      </w:r>
      <w:r>
        <w:rPr>
          <w:spacing w:val="0"/>
        </w:rPr>
        <w:fldChar w:fldCharType="separate"/>
      </w:r>
      <w:r>
        <w:rPr>
          <w:rFonts w:ascii="Arial" w:hAnsi="Arial" w:eastAsia="Arial" w:cs="Arial"/>
          <w:spacing w:val="0"/>
          <w:sz w:val="28"/>
          <w:szCs w:val="28"/>
        </w:rPr>
        <w:t>14.2</w:t>
      </w:r>
      <w:r>
        <w:rPr>
          <w:rFonts w:ascii="仿宋" w:hAnsi="仿宋" w:eastAsia="仿宋" w:cs="仿宋"/>
          <w:spacing w:val="0"/>
          <w:sz w:val="28"/>
          <w:szCs w:val="28"/>
        </w:rPr>
        <w:t>社会效益</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8</w:t>
      </w:r>
    </w:p>
    <w:p w14:paraId="6519CCDF">
      <w:pPr>
        <w:keepNext w:val="0"/>
        <w:keepLines w:val="0"/>
        <w:pageBreakBefore w:val="0"/>
        <w:widowControl w:val="0"/>
        <w:tabs>
          <w:tab w:val="right" w:leader="dot" w:pos="8982"/>
        </w:tabs>
        <w:kinsoku w:val="0"/>
        <w:wordWrap/>
        <w:overflowPunct/>
        <w:topLinePunct w:val="0"/>
        <w:autoSpaceDE w:val="0"/>
        <w:autoSpaceDN w:val="0"/>
        <w:bidi w:val="0"/>
        <w:adjustRightInd w:val="0"/>
        <w:snapToGrid w:val="0"/>
        <w:spacing w:beforeAutospacing="0" w:line="536" w:lineRule="exact"/>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HYPERLINK\l"_bookmark64"</w:instrText>
      </w:r>
      <w:r>
        <w:rPr>
          <w:spacing w:val="0"/>
        </w:rPr>
        <w:fldChar w:fldCharType="separate"/>
      </w:r>
      <w:r>
        <w:rPr>
          <w:rFonts w:ascii="Arial" w:hAnsi="Arial" w:eastAsia="Arial" w:cs="Arial"/>
          <w:b/>
          <w:bCs/>
          <w:spacing w:val="0"/>
          <w:sz w:val="28"/>
          <w:szCs w:val="28"/>
        </w:rPr>
        <w:t>15</w:t>
      </w:r>
      <w:r>
        <w:rPr>
          <w:rFonts w:ascii="仿宋" w:hAnsi="仿宋" w:eastAsia="仿宋" w:cs="仿宋"/>
          <w:spacing w:val="0"/>
          <w:sz w:val="28"/>
          <w:szCs w:val="28"/>
        </w:rPr>
        <w:t>分期发展规划</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1</w:t>
      </w:r>
      <w:r>
        <w:rPr>
          <w:rFonts w:hint="eastAsia" w:ascii="Arial" w:hAnsi="Arial" w:eastAsia="宋体" w:cs="Arial"/>
          <w:b/>
          <w:bCs/>
          <w:spacing w:val="0"/>
          <w:sz w:val="28"/>
          <w:szCs w:val="28"/>
          <w:lang w:val="en-US" w:eastAsia="zh-CN"/>
        </w:rPr>
        <w:t>1</w:t>
      </w:r>
      <w:r>
        <w:rPr>
          <w:rFonts w:ascii="Arial" w:hAnsi="Arial" w:eastAsia="Arial" w:cs="Arial"/>
          <w:b/>
          <w:bCs/>
          <w:spacing w:val="0"/>
          <w:sz w:val="28"/>
          <w:szCs w:val="28"/>
        </w:rPr>
        <w:fldChar w:fldCharType="end"/>
      </w:r>
      <w:r>
        <w:rPr>
          <w:rFonts w:hint="eastAsia" w:ascii="Arial" w:hAnsi="Arial" w:eastAsia="宋体" w:cs="Arial"/>
          <w:b/>
          <w:bCs/>
          <w:spacing w:val="0"/>
          <w:sz w:val="28"/>
          <w:szCs w:val="28"/>
          <w:lang w:val="en-US" w:eastAsia="zh-CN"/>
        </w:rPr>
        <w:t>0</w:t>
      </w:r>
    </w:p>
    <w:p w14:paraId="2E96030E">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HYPERLINK\l"_bookmark65"</w:instrText>
      </w:r>
      <w:r>
        <w:rPr>
          <w:spacing w:val="0"/>
        </w:rPr>
        <w:fldChar w:fldCharType="separate"/>
      </w:r>
      <w:r>
        <w:rPr>
          <w:rFonts w:ascii="Arial" w:hAnsi="Arial" w:eastAsia="Arial" w:cs="Arial"/>
          <w:spacing w:val="0"/>
          <w:sz w:val="28"/>
          <w:szCs w:val="28"/>
        </w:rPr>
        <w:t>15.1</w:t>
      </w:r>
      <w:r>
        <w:rPr>
          <w:rFonts w:ascii="仿宋" w:hAnsi="仿宋" w:eastAsia="仿宋" w:cs="仿宋"/>
          <w:spacing w:val="0"/>
          <w:sz w:val="28"/>
          <w:szCs w:val="28"/>
        </w:rPr>
        <w:t>开发策略</w:t>
      </w:r>
      <w:r>
        <w:rPr>
          <w:rFonts w:ascii="Arial" w:hAnsi="Arial" w:eastAsia="Arial" w:cs="Arial"/>
          <w:spacing w:val="0"/>
          <w:sz w:val="28"/>
          <w:szCs w:val="28"/>
        </w:rPr>
        <w:tab/>
      </w:r>
      <w:r>
        <w:rPr>
          <w:rFonts w:hint="default" w:ascii="Arial" w:hAnsi="Arial" w:eastAsia="宋体" w:cs="Arial"/>
          <w:spacing w:val="0"/>
          <w:sz w:val="28"/>
          <w:szCs w:val="28"/>
          <w:lang w:val="en-US" w:eastAsia="zh-CN"/>
        </w:rPr>
        <w:t>11</w:t>
      </w:r>
      <w:r>
        <w:rPr>
          <w:rFonts w:hint="eastAsia" w:ascii="Arial" w:hAnsi="Arial" w:eastAsia="宋体" w:cs="Arial"/>
          <w:spacing w:val="0"/>
          <w:sz w:val="28"/>
          <w:szCs w:val="28"/>
          <w:lang w:val="en-US" w:eastAsia="zh-CN"/>
        </w:rPr>
        <w:t>0</w:t>
      </w:r>
      <w:r>
        <w:rPr>
          <w:rFonts w:ascii="Arial" w:hAnsi="Arial" w:eastAsia="Arial" w:cs="Arial"/>
          <w:spacing w:val="0"/>
          <w:sz w:val="28"/>
          <w:szCs w:val="28"/>
        </w:rPr>
        <w:fldChar w:fldCharType="end"/>
      </w:r>
    </w:p>
    <w:p w14:paraId="2C78BF08">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HYPERLINK\l"_bookmark66"</w:instrText>
      </w:r>
      <w:r>
        <w:rPr>
          <w:spacing w:val="0"/>
        </w:rPr>
        <w:fldChar w:fldCharType="separate"/>
      </w:r>
      <w:r>
        <w:rPr>
          <w:rFonts w:ascii="Arial" w:hAnsi="Arial" w:eastAsia="Arial" w:cs="Arial"/>
          <w:spacing w:val="0"/>
          <w:sz w:val="28"/>
          <w:szCs w:val="28"/>
        </w:rPr>
        <w:t>15.2</w:t>
      </w:r>
      <w:r>
        <w:rPr>
          <w:rFonts w:ascii="仿宋" w:hAnsi="仿宋" w:eastAsia="仿宋" w:cs="仿宋"/>
          <w:spacing w:val="0"/>
          <w:sz w:val="28"/>
          <w:szCs w:val="28"/>
        </w:rPr>
        <w:t>建设时序与规模</w:t>
      </w:r>
      <w:r>
        <w:rPr>
          <w:rFonts w:ascii="Arial" w:hAnsi="Arial" w:eastAsia="Arial" w:cs="Arial"/>
          <w:spacing w:val="0"/>
          <w:sz w:val="28"/>
          <w:szCs w:val="28"/>
        </w:rPr>
        <w:tab/>
      </w:r>
      <w:r>
        <w:rPr>
          <w:rFonts w:hint="default" w:ascii="Arial" w:hAnsi="Arial" w:eastAsia="宋体" w:cs="Arial"/>
          <w:spacing w:val="0"/>
          <w:sz w:val="28"/>
          <w:szCs w:val="28"/>
          <w:lang w:val="en-US" w:eastAsia="zh-CN"/>
        </w:rPr>
        <w:t>11</w:t>
      </w:r>
      <w:r>
        <w:rPr>
          <w:rFonts w:hint="eastAsia" w:ascii="Arial" w:hAnsi="Arial" w:eastAsia="宋体" w:cs="Arial"/>
          <w:spacing w:val="0"/>
          <w:sz w:val="28"/>
          <w:szCs w:val="28"/>
          <w:lang w:val="en-US" w:eastAsia="zh-CN"/>
        </w:rPr>
        <w:t>0</w:t>
      </w:r>
      <w:r>
        <w:rPr>
          <w:rFonts w:hint="default" w:ascii="Arial" w:hAnsi="Arial" w:eastAsia="宋体" w:cs="Arial"/>
          <w:spacing w:val="0"/>
          <w:sz w:val="28"/>
          <w:szCs w:val="28"/>
          <w:lang w:val="en-US" w:eastAsia="zh-CN"/>
        </w:rPr>
        <w:fldChar w:fldCharType="end"/>
      </w:r>
    </w:p>
    <w:p w14:paraId="3BEF849E">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HYPERLINK\l"_bookmark67"</w:instrText>
      </w:r>
      <w:r>
        <w:rPr>
          <w:spacing w:val="0"/>
        </w:rPr>
        <w:fldChar w:fldCharType="separate"/>
      </w:r>
      <w:r>
        <w:rPr>
          <w:rFonts w:ascii="Arial" w:hAnsi="Arial" w:eastAsia="Arial" w:cs="Arial"/>
          <w:spacing w:val="0"/>
          <w:sz w:val="28"/>
          <w:szCs w:val="28"/>
        </w:rPr>
        <w:t>15.3</w:t>
      </w:r>
      <w:r>
        <w:rPr>
          <w:rFonts w:ascii="仿宋" w:hAnsi="仿宋" w:eastAsia="仿宋" w:cs="仿宋"/>
          <w:spacing w:val="0"/>
          <w:sz w:val="28"/>
          <w:szCs w:val="28"/>
        </w:rPr>
        <w:t>近期实施重点</w:t>
      </w:r>
      <w:r>
        <w:rPr>
          <w:rFonts w:ascii="Arial" w:hAnsi="Arial" w:eastAsia="Arial" w:cs="Arial"/>
          <w:spacing w:val="0"/>
          <w:sz w:val="28"/>
          <w:szCs w:val="28"/>
        </w:rPr>
        <w:tab/>
      </w:r>
      <w:r>
        <w:rPr>
          <w:rFonts w:ascii="Arial" w:hAnsi="Arial" w:eastAsia="Arial" w:cs="Arial"/>
          <w:spacing w:val="0"/>
          <w:sz w:val="28"/>
          <w:szCs w:val="28"/>
        </w:rPr>
        <w:t>1</w:t>
      </w:r>
      <w:r>
        <w:rPr>
          <w:rFonts w:hint="default" w:ascii="Arial" w:hAnsi="Arial" w:eastAsia="Arial" w:cs="Arial"/>
          <w:spacing w:val="0"/>
          <w:sz w:val="28"/>
          <w:szCs w:val="28"/>
        </w:rPr>
        <w:t>1</w:t>
      </w:r>
      <w:r>
        <w:rPr>
          <w:rFonts w:hint="eastAsia" w:ascii="Arial" w:hAnsi="Arial" w:eastAsia="宋体" w:cs="Arial"/>
          <w:spacing w:val="0"/>
          <w:sz w:val="28"/>
          <w:szCs w:val="28"/>
          <w:lang w:val="en-US" w:eastAsia="zh-CN"/>
        </w:rPr>
        <w:t>1</w:t>
      </w:r>
      <w:r>
        <w:rPr>
          <w:rFonts w:ascii="Arial" w:hAnsi="Arial" w:eastAsia="Arial" w:cs="Arial"/>
          <w:spacing w:val="0"/>
          <w:sz w:val="28"/>
          <w:szCs w:val="28"/>
        </w:rPr>
        <w:fldChar w:fldCharType="end"/>
      </w:r>
    </w:p>
    <w:p w14:paraId="7E68C850">
      <w:pPr>
        <w:keepNext w:val="0"/>
        <w:keepLines w:val="0"/>
        <w:pageBreakBefore w:val="0"/>
        <w:widowControl w:val="0"/>
        <w:tabs>
          <w:tab w:val="right" w:leader="dot" w:pos="8982"/>
        </w:tabs>
        <w:kinsoku w:val="0"/>
        <w:wordWrap/>
        <w:overflowPunct/>
        <w:topLinePunct w:val="0"/>
        <w:autoSpaceDE w:val="0"/>
        <w:autoSpaceDN w:val="0"/>
        <w:bidi w:val="0"/>
        <w:adjustRightInd w:val="0"/>
        <w:snapToGrid w:val="0"/>
        <w:spacing w:beforeAutospacing="0" w:line="536" w:lineRule="exact"/>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HYPERLINK\l"_bookmark68"</w:instrText>
      </w:r>
      <w:r>
        <w:rPr>
          <w:spacing w:val="0"/>
        </w:rPr>
        <w:fldChar w:fldCharType="separate"/>
      </w:r>
      <w:r>
        <w:rPr>
          <w:rFonts w:ascii="Arial" w:hAnsi="Arial" w:eastAsia="Arial" w:cs="Arial"/>
          <w:b/>
          <w:bCs/>
          <w:spacing w:val="0"/>
          <w:sz w:val="28"/>
          <w:szCs w:val="28"/>
        </w:rPr>
        <w:t>16</w:t>
      </w:r>
      <w:r>
        <w:rPr>
          <w:rFonts w:ascii="仿宋" w:hAnsi="仿宋" w:eastAsia="仿宋" w:cs="仿宋"/>
          <w:spacing w:val="0"/>
          <w:sz w:val="28"/>
          <w:szCs w:val="28"/>
        </w:rPr>
        <w:t>规划管理措施与建议</w:t>
      </w:r>
      <w:r>
        <w:rPr>
          <w:rFonts w:ascii="Arial" w:hAnsi="Arial" w:eastAsia="Arial" w:cs="Arial"/>
          <w:b/>
          <w:bCs/>
          <w:spacing w:val="0"/>
          <w:sz w:val="28"/>
          <w:szCs w:val="28"/>
        </w:rPr>
        <w:tab/>
      </w:r>
      <w:r>
        <w:rPr>
          <w:rFonts w:hint="default" w:ascii="Arial" w:hAnsi="Arial" w:eastAsia="宋体" w:cs="Arial"/>
          <w:b/>
          <w:bCs/>
          <w:spacing w:val="0"/>
          <w:sz w:val="28"/>
          <w:szCs w:val="28"/>
          <w:lang w:val="en-US" w:eastAsia="zh-CN"/>
        </w:rPr>
        <w:t>1</w:t>
      </w:r>
      <w:r>
        <w:rPr>
          <w:rFonts w:hint="eastAsia" w:ascii="Arial" w:hAnsi="Arial" w:eastAsia="宋体" w:cs="Arial"/>
          <w:b/>
          <w:bCs/>
          <w:spacing w:val="0"/>
          <w:sz w:val="28"/>
          <w:szCs w:val="28"/>
          <w:lang w:val="en-US" w:eastAsia="zh-CN"/>
        </w:rPr>
        <w:t>1</w:t>
      </w:r>
      <w:r>
        <w:rPr>
          <w:rFonts w:ascii="Arial" w:hAnsi="Arial" w:eastAsia="Arial" w:cs="Arial"/>
          <w:b/>
          <w:bCs/>
          <w:spacing w:val="0"/>
          <w:sz w:val="28"/>
          <w:szCs w:val="28"/>
        </w:rPr>
        <w:fldChar w:fldCharType="end"/>
      </w:r>
      <w:r>
        <w:rPr>
          <w:rFonts w:hint="eastAsia" w:ascii="Arial" w:hAnsi="Arial" w:eastAsia="宋体" w:cs="Arial"/>
          <w:b/>
          <w:bCs/>
          <w:spacing w:val="0"/>
          <w:sz w:val="28"/>
          <w:szCs w:val="28"/>
          <w:lang w:val="en-US" w:eastAsia="zh-CN"/>
        </w:rPr>
        <w:t>2</w:t>
      </w:r>
    </w:p>
    <w:p w14:paraId="615E54CA">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HYPERLINK\l"_bookmark69"</w:instrText>
      </w:r>
      <w:r>
        <w:rPr>
          <w:spacing w:val="0"/>
        </w:rPr>
        <w:fldChar w:fldCharType="separate"/>
      </w:r>
      <w:r>
        <w:rPr>
          <w:rFonts w:ascii="Arial" w:hAnsi="Arial" w:eastAsia="Arial" w:cs="Arial"/>
          <w:spacing w:val="0"/>
          <w:sz w:val="28"/>
          <w:szCs w:val="28"/>
        </w:rPr>
        <w:t>16.1</w:t>
      </w:r>
      <w:r>
        <w:rPr>
          <w:rFonts w:ascii="仿宋" w:hAnsi="仿宋" w:eastAsia="仿宋" w:cs="仿宋"/>
          <w:spacing w:val="0"/>
          <w:sz w:val="28"/>
          <w:szCs w:val="28"/>
        </w:rPr>
        <w:t>加强组织领导保障</w:t>
      </w:r>
      <w:r>
        <w:rPr>
          <w:rFonts w:ascii="Arial" w:hAnsi="Arial" w:eastAsia="Arial" w:cs="Arial"/>
          <w:spacing w:val="0"/>
          <w:sz w:val="28"/>
          <w:szCs w:val="28"/>
        </w:rPr>
        <w:tab/>
      </w:r>
      <w:r>
        <w:rPr>
          <w:rFonts w:hint="default" w:ascii="Arial" w:hAnsi="Arial" w:eastAsia="宋体" w:cs="Arial"/>
          <w:spacing w:val="0"/>
          <w:sz w:val="28"/>
          <w:szCs w:val="28"/>
          <w:lang w:val="en-US" w:eastAsia="zh-CN"/>
        </w:rPr>
        <w:t>11</w:t>
      </w:r>
      <w:r>
        <w:rPr>
          <w:rFonts w:hint="eastAsia" w:ascii="Arial" w:hAnsi="Arial" w:eastAsia="宋体" w:cs="Arial"/>
          <w:spacing w:val="0"/>
          <w:sz w:val="28"/>
          <w:szCs w:val="28"/>
          <w:lang w:val="en-US" w:eastAsia="zh-CN"/>
        </w:rPr>
        <w:t>2</w:t>
      </w:r>
      <w:r>
        <w:rPr>
          <w:rFonts w:ascii="Arial" w:hAnsi="Arial" w:eastAsia="Arial" w:cs="Arial"/>
          <w:spacing w:val="0"/>
          <w:sz w:val="28"/>
          <w:szCs w:val="28"/>
        </w:rPr>
        <w:fldChar w:fldCharType="end"/>
      </w:r>
    </w:p>
    <w:p w14:paraId="69C8D544">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HYPERLINK\l"_bookmark70"</w:instrText>
      </w:r>
      <w:r>
        <w:rPr>
          <w:spacing w:val="0"/>
        </w:rPr>
        <w:fldChar w:fldCharType="separate"/>
      </w:r>
      <w:r>
        <w:rPr>
          <w:rFonts w:ascii="Arial" w:hAnsi="Arial" w:eastAsia="Arial" w:cs="Arial"/>
          <w:spacing w:val="0"/>
          <w:sz w:val="28"/>
          <w:szCs w:val="28"/>
        </w:rPr>
        <w:t>16.2</w:t>
      </w:r>
      <w:r>
        <w:rPr>
          <w:rFonts w:ascii="仿宋" w:hAnsi="仿宋" w:eastAsia="仿宋" w:cs="仿宋"/>
          <w:spacing w:val="0"/>
          <w:sz w:val="28"/>
          <w:szCs w:val="28"/>
        </w:rPr>
        <w:t>完善园区政策体系</w:t>
      </w:r>
      <w:r>
        <w:rPr>
          <w:rFonts w:ascii="Arial" w:hAnsi="Arial" w:eastAsia="Arial" w:cs="Arial"/>
          <w:spacing w:val="0"/>
          <w:sz w:val="28"/>
          <w:szCs w:val="28"/>
        </w:rPr>
        <w:tab/>
      </w:r>
      <w:r>
        <w:rPr>
          <w:rFonts w:hint="default" w:ascii="Arial" w:hAnsi="Arial" w:eastAsia="宋体" w:cs="Arial"/>
          <w:spacing w:val="0"/>
          <w:sz w:val="28"/>
          <w:szCs w:val="28"/>
          <w:lang w:val="en-US" w:eastAsia="zh-CN"/>
        </w:rPr>
        <w:t>11</w:t>
      </w:r>
      <w:r>
        <w:rPr>
          <w:rFonts w:hint="eastAsia" w:ascii="Arial" w:hAnsi="Arial" w:eastAsia="宋体" w:cs="Arial"/>
          <w:spacing w:val="0"/>
          <w:sz w:val="28"/>
          <w:szCs w:val="28"/>
          <w:lang w:val="en-US" w:eastAsia="zh-CN"/>
        </w:rPr>
        <w:t>2</w:t>
      </w:r>
      <w:r>
        <w:rPr>
          <w:rFonts w:hint="default" w:ascii="Arial" w:hAnsi="Arial" w:eastAsia="宋体" w:cs="Arial"/>
          <w:spacing w:val="0"/>
          <w:sz w:val="28"/>
          <w:szCs w:val="28"/>
          <w:lang w:val="en-US" w:eastAsia="zh-CN"/>
        </w:rPr>
        <w:fldChar w:fldCharType="end"/>
      </w:r>
    </w:p>
    <w:p w14:paraId="430ABB93">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HYPERLINK\l"_bookmark71"</w:instrText>
      </w:r>
      <w:r>
        <w:rPr>
          <w:spacing w:val="0"/>
        </w:rPr>
        <w:fldChar w:fldCharType="separate"/>
      </w:r>
      <w:r>
        <w:rPr>
          <w:rFonts w:ascii="Arial" w:hAnsi="Arial" w:eastAsia="Arial" w:cs="Arial"/>
          <w:spacing w:val="0"/>
          <w:sz w:val="28"/>
          <w:szCs w:val="28"/>
        </w:rPr>
        <w:t>16.3</w:t>
      </w:r>
      <w:r>
        <w:rPr>
          <w:rFonts w:ascii="仿宋" w:hAnsi="仿宋" w:eastAsia="仿宋" w:cs="仿宋"/>
          <w:spacing w:val="0"/>
          <w:sz w:val="28"/>
          <w:szCs w:val="28"/>
        </w:rPr>
        <w:t>优化土地资源管理</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2</w:t>
      </w:r>
    </w:p>
    <w:p w14:paraId="7141C4C1">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HYPERLINK\l"_bookmark72"</w:instrText>
      </w:r>
      <w:r>
        <w:rPr>
          <w:spacing w:val="0"/>
        </w:rPr>
        <w:fldChar w:fldCharType="separate"/>
      </w:r>
      <w:r>
        <w:rPr>
          <w:rFonts w:ascii="Arial" w:hAnsi="Arial" w:eastAsia="Arial" w:cs="Arial"/>
          <w:spacing w:val="0"/>
          <w:sz w:val="28"/>
          <w:szCs w:val="28"/>
        </w:rPr>
        <w:t>16.4</w:t>
      </w:r>
      <w:r>
        <w:rPr>
          <w:rFonts w:ascii="仿宋" w:hAnsi="仿宋" w:eastAsia="仿宋" w:cs="仿宋"/>
          <w:spacing w:val="0"/>
          <w:sz w:val="28"/>
          <w:szCs w:val="28"/>
        </w:rPr>
        <w:t>简化行政审批流程</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3</w:t>
      </w:r>
    </w:p>
    <w:p w14:paraId="0FA07A99">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eastAsia" w:ascii="Arial" w:hAnsi="Arial" w:eastAsia="宋体" w:cs="Arial"/>
          <w:spacing w:val="0"/>
          <w:sz w:val="28"/>
          <w:szCs w:val="28"/>
          <w:lang w:val="en-US" w:eastAsia="zh-CN"/>
        </w:rPr>
      </w:pPr>
      <w:r>
        <w:rPr>
          <w:spacing w:val="0"/>
        </w:rPr>
        <w:fldChar w:fldCharType="begin"/>
      </w:r>
      <w:r>
        <w:rPr>
          <w:spacing w:val="0"/>
        </w:rPr>
        <w:instrText xml:space="preserve">HYPERLINK\l"_bookmark73"</w:instrText>
      </w:r>
      <w:r>
        <w:rPr>
          <w:spacing w:val="0"/>
        </w:rPr>
        <w:fldChar w:fldCharType="separate"/>
      </w:r>
      <w:r>
        <w:rPr>
          <w:rFonts w:ascii="Arial" w:hAnsi="Arial" w:eastAsia="Arial" w:cs="Arial"/>
          <w:spacing w:val="0"/>
          <w:sz w:val="28"/>
          <w:szCs w:val="28"/>
        </w:rPr>
        <w:t>16.5</w:t>
      </w:r>
      <w:r>
        <w:rPr>
          <w:rFonts w:ascii="仿宋" w:hAnsi="仿宋" w:eastAsia="仿宋" w:cs="仿宋"/>
          <w:spacing w:val="0"/>
          <w:sz w:val="28"/>
          <w:szCs w:val="28"/>
        </w:rPr>
        <w:t>构建多元化投融资平台</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1</w:t>
      </w:r>
      <w:r>
        <w:rPr>
          <w:rFonts w:hint="default" w:ascii="Arial" w:hAnsi="Arial" w:eastAsia="宋体" w:cs="Arial"/>
          <w:spacing w:val="0"/>
          <w:sz w:val="28"/>
          <w:szCs w:val="28"/>
          <w:lang w:val="en-US" w:eastAsia="zh-CN"/>
        </w:rPr>
        <w:fldChar w:fldCharType="end"/>
      </w:r>
      <w:r>
        <w:rPr>
          <w:rFonts w:hint="eastAsia" w:ascii="Arial" w:hAnsi="Arial" w:eastAsia="宋体" w:cs="Arial"/>
          <w:spacing w:val="0"/>
          <w:sz w:val="28"/>
          <w:szCs w:val="28"/>
          <w:lang w:val="en-US" w:eastAsia="zh-CN"/>
        </w:rPr>
        <w:t>3</w:t>
      </w:r>
    </w:p>
    <w:p w14:paraId="79D56078">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ascii="Arial" w:hAnsi="Arial" w:eastAsia="Arial" w:cs="Arial"/>
          <w:spacing w:val="0"/>
          <w:sz w:val="28"/>
          <w:szCs w:val="28"/>
        </w:rPr>
      </w:pPr>
      <w:r>
        <w:rPr>
          <w:spacing w:val="0"/>
        </w:rPr>
        <w:fldChar w:fldCharType="begin"/>
      </w:r>
      <w:r>
        <w:rPr>
          <w:spacing w:val="0"/>
        </w:rPr>
        <w:instrText xml:space="preserve">HYPERLINK\l"_bookmark74"</w:instrText>
      </w:r>
      <w:r>
        <w:rPr>
          <w:spacing w:val="0"/>
        </w:rPr>
        <w:fldChar w:fldCharType="separate"/>
      </w:r>
      <w:r>
        <w:rPr>
          <w:rFonts w:ascii="Arial" w:hAnsi="Arial" w:eastAsia="Arial" w:cs="Arial"/>
          <w:spacing w:val="0"/>
          <w:sz w:val="28"/>
          <w:szCs w:val="28"/>
        </w:rPr>
        <w:t>16.6</w:t>
      </w:r>
      <w:r>
        <w:rPr>
          <w:rFonts w:ascii="仿宋" w:hAnsi="仿宋" w:eastAsia="仿宋" w:cs="仿宋"/>
          <w:spacing w:val="0"/>
          <w:sz w:val="28"/>
          <w:szCs w:val="28"/>
        </w:rPr>
        <w:t>创新招商引资方式</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14</w:t>
      </w:r>
      <w:r>
        <w:rPr>
          <w:rFonts w:hint="default" w:ascii="Arial" w:hAnsi="Arial" w:eastAsia="宋体" w:cs="Arial"/>
          <w:spacing w:val="0"/>
          <w:sz w:val="28"/>
          <w:szCs w:val="28"/>
          <w:lang w:val="en-US" w:eastAsia="zh-CN"/>
        </w:rPr>
        <w:fldChar w:fldCharType="end"/>
      </w:r>
    </w:p>
    <w:p w14:paraId="41F9A82C">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315" w:firstLineChars="150"/>
        <w:textAlignment w:val="baseline"/>
        <w:rPr>
          <w:rFonts w:hint="default" w:ascii="Arial" w:hAnsi="Arial" w:eastAsia="宋体" w:cs="Arial"/>
          <w:spacing w:val="5"/>
          <w:sz w:val="28"/>
          <w:szCs w:val="28"/>
          <w:lang w:val="en-US" w:eastAsia="zh-CN"/>
        </w:rPr>
      </w:pPr>
      <w:r>
        <w:rPr>
          <w:spacing w:val="0"/>
        </w:rPr>
        <w:fldChar w:fldCharType="begin"/>
      </w:r>
      <w:r>
        <w:rPr>
          <w:spacing w:val="0"/>
        </w:rPr>
        <w:instrText xml:space="preserve">HYPERLINK\l"_bookmark75"</w:instrText>
      </w:r>
      <w:r>
        <w:rPr>
          <w:spacing w:val="0"/>
        </w:rPr>
        <w:fldChar w:fldCharType="separate"/>
      </w:r>
      <w:r>
        <w:rPr>
          <w:rFonts w:ascii="Arial" w:hAnsi="Arial" w:eastAsia="Arial" w:cs="Arial"/>
          <w:spacing w:val="0"/>
          <w:sz w:val="28"/>
          <w:szCs w:val="28"/>
        </w:rPr>
        <w:t>16.7</w:t>
      </w:r>
      <w:r>
        <w:rPr>
          <w:rFonts w:ascii="仿宋" w:hAnsi="仿宋" w:eastAsia="仿宋" w:cs="仿宋"/>
          <w:spacing w:val="0"/>
          <w:sz w:val="28"/>
          <w:szCs w:val="28"/>
        </w:rPr>
        <w:t>加快高层次人才引进</w:t>
      </w:r>
      <w:r>
        <w:rPr>
          <w:rFonts w:ascii="Arial" w:hAnsi="Arial" w:eastAsia="Arial" w:cs="Arial"/>
          <w:spacing w:val="0"/>
          <w:sz w:val="28"/>
          <w:szCs w:val="28"/>
        </w:rPr>
        <w:tab/>
      </w:r>
      <w:r>
        <w:rPr>
          <w:rFonts w:hint="default" w:ascii="Arial" w:hAnsi="Arial" w:eastAsia="宋体" w:cs="Arial"/>
          <w:spacing w:val="0"/>
          <w:sz w:val="28"/>
          <w:szCs w:val="28"/>
          <w:lang w:val="en-US" w:eastAsia="zh-CN"/>
        </w:rPr>
        <w:t>1</w:t>
      </w:r>
      <w:r>
        <w:rPr>
          <w:rFonts w:hint="eastAsia" w:ascii="Arial" w:hAnsi="Arial" w:eastAsia="宋体" w:cs="Arial"/>
          <w:spacing w:val="0"/>
          <w:sz w:val="28"/>
          <w:szCs w:val="28"/>
          <w:lang w:val="en-US" w:eastAsia="zh-CN"/>
        </w:rPr>
        <w:t>14</w:t>
      </w:r>
      <w:r>
        <w:rPr>
          <w:rFonts w:hint="default" w:ascii="Arial" w:hAnsi="Arial" w:eastAsia="宋体" w:cs="Arial"/>
          <w:spacing w:val="0"/>
          <w:sz w:val="28"/>
          <w:szCs w:val="28"/>
          <w:lang w:val="en-US" w:eastAsia="zh-CN"/>
        </w:rPr>
        <w:fldChar w:fldCharType="end"/>
      </w:r>
    </w:p>
    <w:p w14:paraId="293753DF">
      <w:pPr>
        <w:keepNext w:val="0"/>
        <w:keepLines w:val="0"/>
        <w:pageBreakBefore w:val="0"/>
        <w:widowControl w:val="0"/>
        <w:tabs>
          <w:tab w:val="right" w:leader="dot" w:pos="8980"/>
        </w:tabs>
        <w:kinsoku w:val="0"/>
        <w:wordWrap/>
        <w:overflowPunct/>
        <w:topLinePunct w:val="0"/>
        <w:autoSpaceDE w:val="0"/>
        <w:autoSpaceDN w:val="0"/>
        <w:bidi w:val="0"/>
        <w:adjustRightInd w:val="0"/>
        <w:snapToGrid w:val="0"/>
        <w:spacing w:beforeAutospacing="0" w:line="536" w:lineRule="exact"/>
        <w:ind w:left="0" w:firstLine="435" w:firstLineChars="150"/>
        <w:textAlignment w:val="baseline"/>
        <w:rPr>
          <w:rFonts w:hint="default" w:ascii="Arial" w:hAnsi="Arial" w:eastAsia="宋体" w:cs="Arial"/>
          <w:spacing w:val="5"/>
          <w:sz w:val="28"/>
          <w:szCs w:val="28"/>
          <w:lang w:val="en-US" w:eastAsia="zh-CN"/>
        </w:rPr>
      </w:pPr>
    </w:p>
    <w:p w14:paraId="4B761119">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p>
    <w:p w14:paraId="53DBFE45">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p>
    <w:p w14:paraId="06B88ECF">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p>
    <w:p w14:paraId="3D9781DC">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p>
    <w:p w14:paraId="3C08CB44">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p>
    <w:p w14:paraId="49699ABC">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r>
        <w:rPr>
          <w:rFonts w:ascii="仿宋" w:hAnsi="仿宋" w:eastAsia="仿宋" w:cs="仿宋"/>
          <w:spacing w:val="0"/>
          <w:sz w:val="35"/>
          <w:szCs w:val="35"/>
        </w:rPr>
        <w:t>第一部分</w:t>
      </w:r>
    </w:p>
    <w:p w14:paraId="6D821650">
      <w:pPr>
        <w:pStyle w:val="2"/>
        <w:keepNext w:val="0"/>
        <w:keepLines w:val="0"/>
        <w:pageBreakBefore w:val="0"/>
        <w:widowControl w:val="0"/>
        <w:wordWrap/>
        <w:overflowPunct/>
        <w:bidi w:val="0"/>
        <w:ind w:left="0" w:leftChars="0" w:firstLine="0" w:firstLineChars="0"/>
        <w:jc w:val="center"/>
        <w:rPr>
          <w:rFonts w:ascii="仿宋" w:hAnsi="仿宋" w:eastAsia="仿宋" w:cs="仿宋"/>
          <w:spacing w:val="0"/>
          <w:sz w:val="43"/>
          <w:szCs w:val="43"/>
        </w:rPr>
      </w:pPr>
      <w:r>
        <w:rPr>
          <w:rFonts w:ascii="仿宋" w:hAnsi="仿宋" w:eastAsia="仿宋" w:cs="仿宋"/>
          <w:spacing w:val="0"/>
          <w:sz w:val="43"/>
          <w:szCs w:val="43"/>
        </w:rPr>
        <w:t>总体发展战略</w:t>
      </w:r>
    </w:p>
    <w:p w14:paraId="4AFC0D12">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1DF90DB6">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8BFB8B8">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1F3BC3A0">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64973DD">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7E3002F5">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4889F985">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6F81BC6">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3B916388">
      <w:pPr>
        <w:pStyle w:val="2"/>
        <w:keepNext w:val="0"/>
        <w:keepLines w:val="0"/>
        <w:pageBreakBefore w:val="0"/>
        <w:widowControl w:val="0"/>
        <w:wordWrap/>
        <w:overflowPunct/>
        <w:bidi w:val="0"/>
        <w:ind w:left="0" w:leftChars="0" w:firstLine="0" w:firstLineChars="0"/>
        <w:jc w:val="center"/>
        <w:rPr>
          <w:rFonts w:hint="eastAsia" w:ascii="仿宋" w:hAnsi="仿宋" w:eastAsia="仿宋" w:cs="仿宋"/>
          <w:spacing w:val="3"/>
          <w:sz w:val="43"/>
          <w:szCs w:val="43"/>
          <w:lang w:val="en-US" w:eastAsia="zh-CN"/>
        </w:rPr>
      </w:pPr>
    </w:p>
    <w:p w14:paraId="0EA709A5">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0" w:firstLineChars="0"/>
        <w:jc w:val="both"/>
        <w:textAlignment w:val="auto"/>
        <w:rPr>
          <w:rFonts w:hint="eastAsia" w:ascii="仿宋" w:hAnsi="仿宋" w:eastAsia="仿宋" w:cs="仿宋"/>
          <w:spacing w:val="3"/>
          <w:sz w:val="43"/>
          <w:szCs w:val="43"/>
          <w:lang w:val="en-US" w:eastAsia="zh-CN"/>
        </w:rPr>
      </w:pPr>
    </w:p>
    <w:p w14:paraId="525FC2F0">
      <w:pPr>
        <w:pStyle w:val="2"/>
        <w:keepNext w:val="0"/>
        <w:keepLines w:val="0"/>
        <w:pageBreakBefore w:val="0"/>
        <w:widowControl w:val="0"/>
        <w:kinsoku/>
        <w:wordWrap/>
        <w:overflowPunct/>
        <w:topLinePunct w:val="0"/>
        <w:autoSpaceDE/>
        <w:autoSpaceDN/>
        <w:bidi w:val="0"/>
        <w:adjustRightInd/>
        <w:snapToGrid/>
        <w:spacing w:before="0" w:beforeAutospacing="0" w:line="490" w:lineRule="exact"/>
        <w:ind w:left="0" w:leftChars="0" w:firstLine="0" w:firstLineChars="0"/>
        <w:jc w:val="center"/>
        <w:textAlignment w:val="auto"/>
        <w:rPr>
          <w:rFonts w:hint="eastAsia" w:ascii="方正小标宋_GBK" w:hAnsi="方正小标宋_GBK" w:eastAsia="方正小标宋_GBK" w:cs="方正小标宋_GBK"/>
          <w:b w:val="0"/>
          <w:bCs w:val="0"/>
          <w:spacing w:val="10"/>
          <w:sz w:val="36"/>
          <w:szCs w:val="36"/>
          <w:lang w:val="en-US" w:eastAsia="zh-CN"/>
        </w:rPr>
      </w:pPr>
      <w:r>
        <w:rPr>
          <w:rFonts w:hint="eastAsia" w:ascii="方正小标宋_GBK" w:hAnsi="方正小标宋_GBK" w:eastAsia="方正小标宋_GBK" w:cs="方正小标宋_GBK"/>
          <w:b w:val="0"/>
          <w:bCs w:val="0"/>
          <w:snapToGrid w:val="0"/>
          <w:color w:val="000000"/>
          <w:spacing w:val="10"/>
          <w:kern w:val="0"/>
          <w:sz w:val="36"/>
          <w:szCs w:val="36"/>
          <w:lang w:val="en-US" w:eastAsia="zh-CN"/>
        </w:rPr>
        <w:t>1</w:t>
      </w:r>
      <w:r>
        <w:rPr>
          <w:rFonts w:hint="eastAsia" w:ascii="方正小标宋_GBK" w:hAnsi="方正小标宋_GBK" w:eastAsia="方正小标宋_GBK" w:cs="方正小标宋_GBK"/>
          <w:b w:val="0"/>
          <w:bCs w:val="0"/>
          <w:spacing w:val="10"/>
          <w:sz w:val="36"/>
          <w:szCs w:val="36"/>
          <w:lang w:val="en-US" w:eastAsia="zh-CN"/>
        </w:rPr>
        <w:t>总则</w:t>
      </w:r>
    </w:p>
    <w:p w14:paraId="13D20C71">
      <w:pPr>
        <w:pStyle w:val="2"/>
        <w:keepNext w:val="0"/>
        <w:keepLines w:val="0"/>
        <w:pageBreakBefore w:val="0"/>
        <w:widowControl w:val="0"/>
        <w:kinsoku/>
        <w:wordWrap/>
        <w:overflowPunct/>
        <w:topLinePunct w:val="0"/>
        <w:autoSpaceDE/>
        <w:autoSpaceDN/>
        <w:bidi w:val="0"/>
        <w:adjustRightInd/>
        <w:snapToGrid/>
        <w:spacing w:before="0" w:beforeAutospacing="0" w:line="490" w:lineRule="exact"/>
        <w:ind w:left="0" w:leftChars="0" w:firstLine="0" w:firstLineChars="0"/>
        <w:jc w:val="center"/>
        <w:textAlignment w:val="auto"/>
        <w:rPr>
          <w:rFonts w:hint="eastAsia" w:ascii="仿宋" w:hAnsi="仿宋" w:eastAsia="仿宋" w:cs="仿宋"/>
          <w:spacing w:val="3"/>
          <w:sz w:val="32"/>
          <w:szCs w:val="32"/>
          <w:lang w:val="en-US" w:eastAsia="zh-CN"/>
        </w:rPr>
      </w:pPr>
    </w:p>
    <w:p w14:paraId="6032633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1.1发展历程</w:t>
      </w:r>
    </w:p>
    <w:p w14:paraId="5ED0C151">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区地处福建省东南沿海中部，湄洲湾南岸，与台湾省隔海相望。东南濒临湄洲湾，南与惠安县毗邻，西南与洛江区相连，西北及北面同莆田市仙游县接壤。全区陆域面积341平方公里，海域面积119平方公里。全区总人口42.07万人，大部分是汉族，有回、蒙古等少数民族。通闽南方言泉州话。泉港区是国家规划建设中的现代化石化港口城市，是福建省实施闽东南发展战略中的重要地区和福建省石化工业的龙头地区，也是泉州市经济总体发展战略中的“四大经济区域”之首。</w:t>
      </w:r>
    </w:p>
    <w:p w14:paraId="6270B263">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福建泉港新材料高新技术产业园区(以下简称“泉港高新区”)，原名普安高新技术开发区，成立于2002年5月，位于泉港区中心城区的西南部，经过十余年的开发与建设，基本形成以石化产业为依托，新材料、高端精细化工、环保设备以及汽配机械、纺织食品加工等高新技术产业和传统产业协同发展的产业格局。</w:t>
      </w:r>
    </w:p>
    <w:p w14:paraId="341AA76C">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2015年，泉港高新区经泉州市委市政府批准纳入泉州国家高新区“一区多园”，成为泉州国家高新区泉港新材料产业园，产业定位为以石化产业为主体，以电子、轻工、精细化工等高新技术为导向的多功能现代化综合园区。</w:t>
      </w:r>
    </w:p>
    <w:p w14:paraId="61D17F30">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2016年，泉港高新区成为福厦泉国家自主创新示范区泉州片区泉港分园区，总用地面积13.1平方公里，产业定位为以新材料产业为主导，重点开展石化新材料、先进高分子材料、高性能复合材料和前沿新材料领域，培育科技孵化、科技教育、科技金融、研发检测服务等科技服务业，打造化工新材料领域的创新型产业集群。</w:t>
      </w:r>
    </w:p>
    <w:p w14:paraId="30B0699E">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1.2规划背景</w:t>
      </w:r>
    </w:p>
    <w:p w14:paraId="70ECE3E9">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1.2.1创新能力日益成为决胜全球竞争的基础能力</w:t>
      </w:r>
    </w:p>
    <w:p w14:paraId="6DB76ABD">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进入新时代，世界格局发生深刻变化。世界主要国家的竞争，根本上是科技创新的竞争。高新技术产业的竞争已成为国际竞争的制高点，也是当前我国与其他主要经济体竞争的焦点所在。</w:t>
      </w:r>
    </w:p>
    <w:p w14:paraId="2F63F78E">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我国已成为全球第二大经济体，实现民族复兴的道路上必然面临外部的诸多压力。中美贸易战深刻表明，我国关键核心技术受制于人的局面尚未根本改变，创造新产业、引领未来发展的科技储备远远不够。在这种情况下必须把发展基点放在创新上，通过创新培育发展新动能，塑造更多发挥先发优势的引领型发展方向。</w:t>
      </w:r>
    </w:p>
    <w:p w14:paraId="14F27297">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1.2.2新一轮科技革命重塑产业发展格局</w:t>
      </w:r>
    </w:p>
    <w:p w14:paraId="5963B538">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随着国际产业格局的深刻变化和技术创新的日新月异，世界主要经济体加紧抢占新一轮科技革命和高新技术产业制高点，比如美国再工业化、日本再兴战略、德国工业4.0等。加快发展高新技术产业，是顺应全球产业发展趋势、培育国际竞争新优势的必然选择。</w:t>
      </w:r>
    </w:p>
    <w:p w14:paraId="6CC8B3E7">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进入21世纪，我们逐步从移动互联走向人工智能，从信息化、自动化走向数字化、智慧化，新技术对传统社会的改造正以摧枯拉朽之势演进。新技术浪潮下，传统产业需要通过数字化、智慧化实现产业升级；新兴产业需要适应工业4.0的需求。因此，高新技术产业除了自身继续发展外，还通过自身的创新属性渗透、影响其他行业，通过耦合效应整体上推动产业格局的重构与升级。</w:t>
      </w:r>
    </w:p>
    <w:p w14:paraId="44FCA14E">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1.2.3新时代，新使命，国家高新区踏上新征程</w:t>
      </w:r>
    </w:p>
    <w:p w14:paraId="71BA0590">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从1988年第一家国家高新区——北京市高新技术产业开发试验区成立到现在，30年来国家高新区坚持改革开放和自主创新，科技创新资源迅速聚集、科技企业快速成长、重大创新成果持续涌现，在实施创新驱动发展战略中发挥标志性引领作用，成为我国科技创新的一面旗帜。</w:t>
      </w:r>
    </w:p>
    <w:p w14:paraId="632209D7">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进入新时代，面对国际竞争出现的新矛盾，我国科技创新面临的新挑战，迫切需要国家高新区进一步贯彻新理念，找到新方位，坚持实现经济发展的质量变革、效率变革、动力变革，持续强化企业在创新中的主体地位，继续推动构建大中小企业、政府、高校、科研院所等多方融通的创新创业平台，开启更高质量、更高效率、更可持续发展的新征程。</w:t>
      </w:r>
    </w:p>
    <w:p w14:paraId="44EF049F">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1.2.4泉港高新区迈入高质量发展新阶段</w:t>
      </w:r>
    </w:p>
    <w:p w14:paraId="35135C5F">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因港而兴，因石化产业发展而繁荣。泉港石化工业区主要发展石化及下游加工产业，是泉港区石化产业发展的龙头。泉港高新区原为普安开发区，定位为发展精细化工及石化配套产业。二者定位的模糊与缺失导致现状产业发展层次不高、土地利用效率低下、部分土地受到污染等问题。</w:t>
      </w:r>
    </w:p>
    <w:p w14:paraId="3210F40F">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2015年12月，泉港高新区经市委市政府批准纳入泉州国家高新区“一区多园”，并于2016年纳入福厦泉国家自主创新示范区泉州片区，产业定位为形成以新材料产业为主导，重点开展石化新材料、先进高分子材料、高性能复合材料和前沿新材料领域，培育科技孵化、科技教育、科技金融、研发检测服务等科技服务业，打造化工新材料领域的创新型产业集群。</w:t>
      </w:r>
    </w:p>
    <w:p w14:paraId="272E8A8D">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本次规划以泉港高新区纳入泉州国家级高新区及福厦泉国家级自主创新示范区为契机，充分结合泉港区现有的产业基础及周边区域的产业特色，以高新产业，特别是新材料产业为主导，通过错位发展、融合发展，实现高新园区经济高质量发展，促进泉港区经济的再次腾飞。</w:t>
      </w:r>
    </w:p>
    <w:p w14:paraId="5A1F9BD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1.3规划范围、时限与依据</w:t>
      </w:r>
    </w:p>
    <w:p w14:paraId="291BB5CB">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1.3.1规划范围</w:t>
      </w:r>
    </w:p>
    <w:p w14:paraId="39550229">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泉港高新区北依虎岩山，西至规划的联十一线，南邻沈海高速复线连接线，东临山腰盐场及坝头溪，总规划面积18.35平方公里。</w:t>
      </w:r>
    </w:p>
    <w:p w14:paraId="2F4DEBB6">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1.3.2规划时限</w:t>
      </w:r>
    </w:p>
    <w:p w14:paraId="55B76745">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规划具有一定的时限性。本规划按照“统一规划，分期实施，远近结合，灵活调整”的原则，规划时限为2019-2035年。其中：</w:t>
      </w:r>
    </w:p>
    <w:p w14:paraId="382D476C">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近期：2019-2025年；</w:t>
      </w:r>
    </w:p>
    <w:p w14:paraId="472B3CF1">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中期：2026-2030年；</w:t>
      </w:r>
    </w:p>
    <w:p w14:paraId="1AAB69A2">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远期：2031</w:t>
      </w:r>
      <w:r>
        <w:rPr>
          <w:rFonts w:hint="default" w:ascii="Times New Roman" w:hAnsi="Times New Roman" w:eastAsia="仿宋_GB2312" w:cs="Times New Roman"/>
          <w:spacing w:val="0"/>
          <w:sz w:val="28"/>
          <w:szCs w:val="28"/>
          <w:lang w:val="en-US" w:eastAsia="zh-CN"/>
        </w:rPr>
        <w:t>~</w:t>
      </w:r>
      <w:r>
        <w:rPr>
          <w:rFonts w:hint="eastAsia" w:ascii="仿宋_GB2312" w:hAnsi="仿宋_GB2312" w:eastAsia="仿宋_GB2312" w:cs="仿宋_GB2312"/>
          <w:spacing w:val="0"/>
          <w:sz w:val="28"/>
          <w:szCs w:val="28"/>
          <w:lang w:val="en-US" w:eastAsia="zh-CN"/>
        </w:rPr>
        <w:t>2035年。</w:t>
      </w:r>
    </w:p>
    <w:p w14:paraId="18BEF766">
      <w:pPr>
        <w:keepNext w:val="0"/>
        <w:keepLines w:val="0"/>
        <w:pageBreakBefore w:val="0"/>
        <w:widowControl w:val="0"/>
        <w:wordWrap/>
        <w:overflowPunct/>
        <w:bidi w:val="0"/>
        <w:spacing w:line="5743" w:lineRule="exact"/>
        <w:ind w:firstLine="284"/>
        <w:textAlignment w:val="center"/>
      </w:pPr>
      <w:r>
        <w:drawing>
          <wp:inline distT="0" distB="0" distL="114300" distR="114300">
            <wp:extent cx="5399405" cy="3646805"/>
            <wp:effectExtent l="0" t="0" r="8890" b="1905"/>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6"/>
                    <a:stretch>
                      <a:fillRect/>
                    </a:stretch>
                  </pic:blipFill>
                  <pic:spPr>
                    <a:xfrm>
                      <a:off x="0" y="0"/>
                      <a:ext cx="5399405" cy="3646805"/>
                    </a:xfrm>
                    <a:prstGeom prst="rect">
                      <a:avLst/>
                    </a:prstGeom>
                    <a:noFill/>
                    <a:ln>
                      <a:noFill/>
                    </a:ln>
                  </pic:spPr>
                </pic:pic>
              </a:graphicData>
            </a:graphic>
          </wp:inline>
        </w:drawing>
      </w:r>
    </w:p>
    <w:p w14:paraId="0C9B6699">
      <w:pPr>
        <w:keepNext w:val="0"/>
        <w:keepLines w:val="0"/>
        <w:pageBreakBefore w:val="0"/>
        <w:widowControl w:val="0"/>
        <w:kinsoku w:val="0"/>
        <w:wordWrap/>
        <w:overflowPunct/>
        <w:topLinePunct w:val="0"/>
        <w:autoSpaceDE w:val="0"/>
        <w:autoSpaceDN w:val="0"/>
        <w:bidi w:val="0"/>
        <w:adjustRightInd w:val="0"/>
        <w:snapToGrid w:val="0"/>
        <w:spacing w:before="200" w:line="280" w:lineRule="exact"/>
        <w:jc w:val="center"/>
        <w:textAlignment w:val="baseline"/>
        <w:rPr>
          <w:rFonts w:hint="eastAsia"/>
          <w:lang w:val="en-US" w:eastAsia="zh-CN"/>
        </w:rPr>
      </w:pPr>
      <w:r>
        <w:rPr>
          <w:rFonts w:ascii="黑体" w:hAnsi="黑体" w:eastAsia="黑体" w:cs="黑体"/>
          <w:spacing w:val="-1"/>
          <w:sz w:val="23"/>
          <w:szCs w:val="23"/>
        </w:rPr>
        <w:t>图</w:t>
      </w:r>
      <w:r>
        <w:rPr>
          <w:rFonts w:ascii="Arial" w:hAnsi="Arial" w:eastAsia="Arial" w:cs="Arial"/>
          <w:b/>
          <w:bCs/>
          <w:spacing w:val="-1"/>
          <w:sz w:val="23"/>
          <w:szCs w:val="23"/>
        </w:rPr>
        <w:t>1-1</w:t>
      </w:r>
      <w:r>
        <w:rPr>
          <w:rFonts w:ascii="黑体" w:hAnsi="黑体" w:eastAsia="黑体" w:cs="黑体"/>
          <w:spacing w:val="-1"/>
          <w:sz w:val="23"/>
          <w:szCs w:val="23"/>
        </w:rPr>
        <w:t>规</w:t>
      </w:r>
      <w:r>
        <w:rPr>
          <w:rFonts w:ascii="黑体" w:hAnsi="黑体" w:eastAsia="黑体" w:cs="黑体"/>
          <w:sz w:val="23"/>
          <w:szCs w:val="23"/>
        </w:rPr>
        <w:t>划范围图</w:t>
      </w:r>
    </w:p>
    <w:p w14:paraId="706B946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1.3.3规划依据</w:t>
      </w:r>
    </w:p>
    <w:p w14:paraId="65A5DCBF">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1.3.3.1法律、法规及政策文件</w:t>
      </w:r>
    </w:p>
    <w:p w14:paraId="42EC283B">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（1）《中华人民共和国城乡规划法》(2019年)；</w:t>
      </w:r>
    </w:p>
    <w:p w14:paraId="6188E603">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（2）《中华人民共和国土地管理法》(2019年)；</w:t>
      </w:r>
    </w:p>
    <w:p w14:paraId="2D7CF21B">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（3）《中华人民共和国文物保护法》(2017年)；</w:t>
      </w:r>
    </w:p>
    <w:p w14:paraId="1458DE12">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（4）《中华人民共和国环境保护法》(2014年)；</w:t>
      </w:r>
    </w:p>
    <w:p w14:paraId="126C0019">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（5）《历史文化名城名镇名村保护条例》(国务院令第687号)；</w:t>
      </w:r>
    </w:p>
    <w:p w14:paraId="43AA17E6">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（6）《城市规划编制办法》(建设部令第146号)；</w:t>
      </w:r>
    </w:p>
    <w:p w14:paraId="7C6309E0">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（7）《国务院关于支持福建省加快建设海峡西岸经济区的若干意见》；</w:t>
      </w:r>
    </w:p>
    <w:p w14:paraId="5783CC6D">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（8）国家高新技术产业开发区创新驱动战略提升行动实施方案；</w:t>
      </w:r>
    </w:p>
    <w:p w14:paraId="38A6ED24">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（9）《国家高新技术产业开发区“十三五”发展规划》；</w:t>
      </w:r>
    </w:p>
    <w:p w14:paraId="75003D93">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（10）其他国家、省、市相关法律、法规、意见文件。</w:t>
      </w:r>
    </w:p>
    <w:p w14:paraId="453D4B8A">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1.3.3.2上位规划</w:t>
      </w:r>
    </w:p>
    <w:p w14:paraId="3A15C0AA">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（1）《海峡西岸经济区发展规划》；</w:t>
      </w:r>
    </w:p>
    <w:p w14:paraId="1D7C06DB">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（2）《泉州市泉港区城市总体规划修编(2017-2035年)》纲要；</w:t>
      </w:r>
    </w:p>
    <w:p w14:paraId="6B482889">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（3）《泉港区“多规合一”一张图编制工作技术报告》；</w:t>
      </w:r>
    </w:p>
    <w:p w14:paraId="699EA6AF">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（4）《泉港区土地利用总体规划》(2006-2020年)；</w:t>
      </w:r>
    </w:p>
    <w:p w14:paraId="6AC9B677">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（5）其他各类专项规划及相关规划。</w:t>
      </w:r>
    </w:p>
    <w:p w14:paraId="381FE1CB">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1.3.3.3技术规范</w:t>
      </w:r>
    </w:p>
    <w:p w14:paraId="26A5747D">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（1）《福建省城市规划管理技术规定(试行)》；</w:t>
      </w:r>
    </w:p>
    <w:p w14:paraId="56EF35D7">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（2）福建省高新技术产业开发区管理办法(试行)；</w:t>
      </w:r>
    </w:p>
    <w:p w14:paraId="08AE2488">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（3）《泉州市城市规划管理技术规定(2013年版修订稿)》</w:t>
      </w:r>
      <w:r>
        <w:rPr>
          <w:rFonts w:hint="default" w:ascii="仿宋_GB2312" w:hAnsi="仿宋_GB2312" w:eastAsia="仿宋_GB2312" w:cs="仿宋_GB2312"/>
          <w:spacing w:val="0"/>
          <w:sz w:val="28"/>
          <w:szCs w:val="28"/>
          <w:lang w:val="en-US" w:eastAsia="zh-CN"/>
        </w:rPr>
        <w:t>。</w:t>
      </w:r>
    </w:p>
    <w:p w14:paraId="68394AA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1.4重点关注问题</w:t>
      </w:r>
    </w:p>
    <w:p w14:paraId="73F061C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1.4.1发展定位：大石化产业背景下，聚焦“高与新”</w:t>
      </w:r>
    </w:p>
    <w:p w14:paraId="04A20E0E">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已经是泉州国家级高新区及福厦泉自主创新示范区的组成部分，对标国家高新区及自主创新示范区在实施创新驱动战略中的具体需求，目前泉港高新区产业集群建设薄弱，产业链条短，企业间缺乏有机协作，产业竞争力不强，整体发展质量偏低。</w:t>
      </w:r>
    </w:p>
    <w:p w14:paraId="0B74CAD1">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习近平总书记在大连高新区视察时指出：“高新区就是又要高又要新，‘高’是高水平，‘新’是新技术，要体现高新含量，不能搞粗放经营，不能什么‘菜’都装进高新区的筐子里”。高水平需要有高标准，新技术需要有新人才，在泉港区优势产业基础上，规划将着力破解高新技术产业发展面临的土地障碍、人才障碍、资金障碍，促进泉港高新区真正实现又高又新。</w:t>
      </w:r>
    </w:p>
    <w:p w14:paraId="028A122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1.4.2发展模式：从传统到高新，聚焦产业重构</w:t>
      </w:r>
    </w:p>
    <w:p w14:paraId="6A553793">
      <w:pPr>
        <w:pStyle w:val="2"/>
        <w:keepNext w:val="0"/>
        <w:keepLines w:val="0"/>
        <w:pageBreakBefore w:val="0"/>
        <w:widowControl w:val="0"/>
        <w:kinsoku/>
        <w:wordWrap/>
        <w:overflowPunct/>
        <w:topLinePunct w:val="0"/>
        <w:autoSpaceDE/>
        <w:autoSpaceDN/>
        <w:bidi w:val="0"/>
        <w:adjustRightInd/>
        <w:snapToGrid/>
        <w:spacing w:before="0" w:beforeAutospacing="0" w:line="53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面对建设用地约束收紧的现实情况，土地资源紧缺的问题在高新区日益突出，而有限的建设用地主要被低端产业占据，严峻的土地供应形势迫切需要通过整合土地，升级产业，提升经济密度。</w:t>
      </w:r>
    </w:p>
    <w:p w14:paraId="30503B88">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技术产业是知识密集、技术密集的产业。产品的主导技术必须属于所确定的高新技术领域，而且必须包括高新技术领域中处于技术前沿的工艺或技术突破。按照这一标准，高新技术产业主要包括信息技术、生物技术、新材料技术三大领域。泉港区立足于泉州市国家级高新区新材料园区的定位，要紧紧抓住新材料产业的牛鼻子，通过主线延伸、扇型扩张，实现产业重构。</w:t>
      </w:r>
    </w:p>
    <w:p w14:paraId="504D5F17">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1.4.3发展空间：从离散到协调，聚焦价值提升</w:t>
      </w:r>
    </w:p>
    <w:p w14:paraId="4BA89243">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西部、北部均为山地，园区内有生态保护红线分布，基本农田主要集中在园区南部，村庄零散分布在园区中部及北部。园区可利用建设用地主要集中在驿峰路两侧，但不同性质用地功能混杂，兼容性差。此外，湄南供水工程输水管线，220kV区域高压输电线路、高速铁路、高速公路等从园区中部穿过，造成空间形态破碎。</w:t>
      </w:r>
    </w:p>
    <w:p w14:paraId="01CFE1CD">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空间要有大格局，规划将从高新技术产业发展的需求出发，以土地资源整合与用地结构调整为核心，致力于构筑协调、融合、美丽的空间格局，探索适应高新技术产业的新型用地模式，建立适应高新技术人才需求的生活空间，构筑提升区域品质的生态绿网，实现区域空间价值的提升。</w:t>
      </w:r>
    </w:p>
    <w:p w14:paraId="18AE3576">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426C17A">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3C8ED74">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1B15081">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CEBAD8F">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9EF2F53">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D5E91FD">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8713503">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EF9E7D6">
      <w:pPr>
        <w:pStyle w:val="2"/>
        <w:keepNext w:val="0"/>
        <w:keepLines w:val="0"/>
        <w:pageBreakBefore w:val="0"/>
        <w:widowControl w:val="0"/>
        <w:kinsoku/>
        <w:wordWrap/>
        <w:overflowPunct/>
        <w:topLinePunct w:val="0"/>
        <w:autoSpaceDE/>
        <w:autoSpaceDN/>
        <w:bidi w:val="0"/>
        <w:adjustRightInd/>
        <w:snapToGrid/>
        <w:spacing w:before="0" w:beforeAutospacing="0" w:line="5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676257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D5FA19E">
      <w:pPr>
        <w:pStyle w:val="2"/>
        <w:keepNext w:val="0"/>
        <w:keepLines w:val="0"/>
        <w:pageBreakBefore w:val="0"/>
        <w:widowControl w:val="0"/>
        <w:kinsoku/>
        <w:wordWrap/>
        <w:overflowPunct/>
        <w:topLinePunct w:val="0"/>
        <w:autoSpaceDE/>
        <w:autoSpaceDN/>
        <w:bidi w:val="0"/>
        <w:adjustRightInd/>
        <w:snapToGrid/>
        <w:spacing w:before="0" w:beforeAutospacing="0" w:line="516" w:lineRule="exact"/>
        <w:ind w:left="0" w:leftChars="0" w:firstLine="0" w:firstLineChars="0"/>
        <w:jc w:val="center"/>
        <w:textAlignment w:val="auto"/>
        <w:rPr>
          <w:rFonts w:hint="default" w:ascii="Arial" w:hAnsi="Arial" w:eastAsia="方正小标宋_GBK" w:cs="Arial"/>
          <w:b/>
          <w:bCs/>
          <w:snapToGrid w:val="0"/>
          <w:color w:val="000000"/>
          <w:spacing w:val="10"/>
          <w:kern w:val="0"/>
          <w:sz w:val="32"/>
          <w:szCs w:val="32"/>
          <w:lang w:val="en-US" w:eastAsia="zh-CN"/>
        </w:rPr>
      </w:pPr>
    </w:p>
    <w:p w14:paraId="61E201E2">
      <w:pPr>
        <w:pStyle w:val="2"/>
        <w:keepNext w:val="0"/>
        <w:keepLines w:val="0"/>
        <w:pageBreakBefore w:val="0"/>
        <w:widowControl w:val="0"/>
        <w:kinsoku/>
        <w:wordWrap/>
        <w:overflowPunct/>
        <w:topLinePunct w:val="0"/>
        <w:autoSpaceDE/>
        <w:autoSpaceDN/>
        <w:bidi w:val="0"/>
        <w:adjustRightInd/>
        <w:snapToGrid/>
        <w:spacing w:before="0" w:beforeAutospacing="0" w:line="516" w:lineRule="exact"/>
        <w:ind w:left="0" w:leftChars="0" w:firstLine="0" w:firstLineChars="0"/>
        <w:jc w:val="center"/>
        <w:textAlignment w:val="auto"/>
        <w:rPr>
          <w:rFonts w:hint="default" w:ascii="Arial" w:hAnsi="Arial" w:eastAsia="方正小标宋_GBK" w:cs="Arial"/>
          <w:b/>
          <w:bCs/>
          <w:snapToGrid w:val="0"/>
          <w:color w:val="000000"/>
          <w:spacing w:val="10"/>
          <w:kern w:val="0"/>
          <w:sz w:val="32"/>
          <w:szCs w:val="32"/>
          <w:lang w:val="en-US" w:eastAsia="zh-CN"/>
        </w:rPr>
      </w:pPr>
    </w:p>
    <w:p w14:paraId="6835ABB1">
      <w:pPr>
        <w:pStyle w:val="2"/>
        <w:keepNext w:val="0"/>
        <w:keepLines w:val="0"/>
        <w:pageBreakBefore w:val="0"/>
        <w:widowControl w:val="0"/>
        <w:kinsoku/>
        <w:wordWrap/>
        <w:overflowPunct/>
        <w:topLinePunct w:val="0"/>
        <w:autoSpaceDE/>
        <w:autoSpaceDN/>
        <w:bidi w:val="0"/>
        <w:adjustRightInd/>
        <w:snapToGrid/>
        <w:spacing w:before="0" w:beforeAutospacing="0" w:line="490" w:lineRule="exact"/>
        <w:ind w:left="0" w:leftChars="0" w:firstLine="0" w:firstLineChars="0"/>
        <w:jc w:val="center"/>
        <w:textAlignment w:val="auto"/>
        <w:rPr>
          <w:rFonts w:hint="default" w:ascii="方正小标宋_GBK" w:hAnsi="方正小标宋_GBK" w:eastAsia="方正小标宋_GBK" w:cs="方正小标宋_GBK"/>
          <w:b w:val="0"/>
          <w:bCs w:val="0"/>
          <w:snapToGrid w:val="0"/>
          <w:color w:val="000000"/>
          <w:spacing w:val="10"/>
          <w:kern w:val="0"/>
          <w:sz w:val="36"/>
          <w:szCs w:val="36"/>
          <w:lang w:val="en-US" w:eastAsia="zh-CN"/>
        </w:rPr>
      </w:pPr>
      <w:r>
        <w:rPr>
          <w:rFonts w:hint="default" w:ascii="方正小标宋_GBK" w:hAnsi="方正小标宋_GBK" w:eastAsia="方正小标宋_GBK" w:cs="方正小标宋_GBK"/>
          <w:b w:val="0"/>
          <w:bCs w:val="0"/>
          <w:snapToGrid w:val="0"/>
          <w:color w:val="000000"/>
          <w:spacing w:val="10"/>
          <w:kern w:val="0"/>
          <w:sz w:val="36"/>
          <w:szCs w:val="36"/>
          <w:lang w:val="en-US" w:eastAsia="zh-CN"/>
        </w:rPr>
        <w:t>2规划与现状解读</w:t>
      </w:r>
    </w:p>
    <w:p w14:paraId="201AEAD7">
      <w:pPr>
        <w:pStyle w:val="2"/>
        <w:keepNext w:val="0"/>
        <w:keepLines w:val="0"/>
        <w:pageBreakBefore w:val="0"/>
        <w:widowControl w:val="0"/>
        <w:kinsoku/>
        <w:wordWrap/>
        <w:overflowPunct/>
        <w:topLinePunct w:val="0"/>
        <w:autoSpaceDE/>
        <w:autoSpaceDN/>
        <w:bidi w:val="0"/>
        <w:adjustRightInd/>
        <w:snapToGrid/>
        <w:spacing w:before="0" w:beforeAutospacing="0" w:line="496" w:lineRule="exact"/>
        <w:ind w:left="0" w:leftChars="0" w:firstLine="0" w:firstLineChars="0"/>
        <w:jc w:val="center"/>
        <w:textAlignment w:val="auto"/>
        <w:rPr>
          <w:rFonts w:hint="default" w:ascii="仿宋_GB2312" w:hAnsi="仿宋_GB2312" w:eastAsia="仿宋_GB2312" w:cs="仿宋_GB2312"/>
          <w:spacing w:val="10"/>
          <w:sz w:val="32"/>
          <w:szCs w:val="32"/>
          <w:lang w:val="en-US" w:eastAsia="zh-CN"/>
        </w:rPr>
      </w:pPr>
    </w:p>
    <w:p w14:paraId="7E879ED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2.1上位规划解读</w:t>
      </w:r>
    </w:p>
    <w:p w14:paraId="0159F38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2.1.1《泉州市国民经济和社会发展第十三个五年规划纲要》</w:t>
      </w:r>
    </w:p>
    <w:p w14:paraId="144609BF">
      <w:pPr>
        <w:pStyle w:val="2"/>
        <w:keepNext w:val="0"/>
        <w:keepLines w:val="0"/>
        <w:pageBreakBefore w:val="0"/>
        <w:widowControl w:val="0"/>
        <w:kinsoku/>
        <w:wordWrap/>
        <w:overflowPunct/>
        <w:topLinePunct w:val="0"/>
        <w:autoSpaceDE/>
        <w:autoSpaceDN/>
        <w:bidi w:val="0"/>
        <w:adjustRightInd/>
        <w:snapToGrid/>
        <w:spacing w:before="0" w:beforeAutospacing="0" w:line="49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纲要》提出加快转型升级，打造泉州产业升级版的产业发展思路，包括促进新兴产业规模化发展的要求，其中新材料产业是泉州市着重发展的新兴产业。《纲要》提出：“加强产业自主创新，推进技术攻关突破，重点发展先进高分子材料、高端精细专用化学品、功能性纤维、功能性薄膜、石墨烯、特种陶瓷、功能性制品、光伏新材料等。”泉港高新区是泉州市新材料产业发展的主要承接园区。</w:t>
      </w:r>
    </w:p>
    <w:p w14:paraId="21EFC762">
      <w:pPr>
        <w:pStyle w:val="2"/>
        <w:keepNext w:val="0"/>
        <w:keepLines w:val="0"/>
        <w:pageBreakBefore w:val="0"/>
        <w:widowControl w:val="0"/>
        <w:kinsoku/>
        <w:wordWrap/>
        <w:overflowPunct/>
        <w:topLinePunct w:val="0"/>
        <w:autoSpaceDE/>
        <w:autoSpaceDN/>
        <w:bidi w:val="0"/>
        <w:adjustRightInd/>
        <w:snapToGrid/>
        <w:spacing w:before="0" w:beforeAutospacing="0" w:line="49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本次规划产业方案以新材料产业为主导，同时辅以关联产业及服务性产业，符合《纲要》对园区的发展定位要求。</w:t>
      </w:r>
    </w:p>
    <w:p w14:paraId="5ACDC1B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2.1.2《泉港区国民经济和社会发展第十三个五年规划纲要》</w:t>
      </w:r>
    </w:p>
    <w:p w14:paraId="4A1A600C">
      <w:pPr>
        <w:pStyle w:val="2"/>
        <w:keepNext w:val="0"/>
        <w:keepLines w:val="0"/>
        <w:pageBreakBefore w:val="0"/>
        <w:widowControl w:val="0"/>
        <w:kinsoku/>
        <w:wordWrap/>
        <w:overflowPunct/>
        <w:topLinePunct w:val="0"/>
        <w:autoSpaceDE/>
        <w:autoSpaceDN/>
        <w:bidi w:val="0"/>
        <w:adjustRightInd/>
        <w:snapToGrid/>
        <w:spacing w:before="0" w:beforeAutospacing="0" w:line="49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纲要》中提出泉港区产业发展的主导产业、支柱产业及配套产业。其中新材料产业是泉港区确定的三大支柱产业之一。《纲要》要求：加快泉港新材料高新区开发建设，重点发展新型管材建材、高分子材料和新型纺织材料，鼓励建立以优势企业为龙头、联合产业链上下游核心企业的产业联盟，形成以新材料为主体、上下游紧密结合的产业体系。高分子材料重点发展特种橡胶、工程塑料和高性能合成纤维、聚氨酯功能材料和高性能复合材料；新型建筑材料重点发展功能性涂层材料、水性涂料、新型无机节能建筑材料、新型工业民用管道和新型钢结构建筑材料；纺织材料着力发展功能性差别化纤维、高档面料、高性能产业用纺织品，推进差别化纤维、功能性面料开发等项目建设。加强产学研深度合作，在信息材料、生物医用材料、新能源材料、节能环保材料等领域深化产学研合作和成果转化，促进新材料尽快形成规模化、产业化。至2020年实现新材料年产值超150亿元。</w:t>
      </w:r>
    </w:p>
    <w:p w14:paraId="0942C986">
      <w:pPr>
        <w:pStyle w:val="2"/>
        <w:keepNext w:val="0"/>
        <w:keepLines w:val="0"/>
        <w:pageBreakBefore w:val="0"/>
        <w:widowControl w:val="0"/>
        <w:kinsoku/>
        <w:wordWrap/>
        <w:overflowPunct/>
        <w:topLinePunct w:val="0"/>
        <w:autoSpaceDE/>
        <w:autoSpaceDN/>
        <w:bidi w:val="0"/>
        <w:adjustRightInd/>
        <w:snapToGrid/>
        <w:spacing w:before="0" w:beforeAutospacing="0" w:line="49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本次规划的产业发展方向紧密围绕《纲要》提出的产业定位要求，立足于泉港高新区的产业基础，将新材料产业作为高新园区的主导产业，符合泉港区“十三五”规划纲要对高新园区的定位要求。</w:t>
      </w:r>
    </w:p>
    <w:p w14:paraId="1AEE584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2.1.3《泉港区城市总体规划修编(2017-2035年)纲要》</w:t>
      </w:r>
    </w:p>
    <w:p w14:paraId="09D43C7B">
      <w:pPr>
        <w:pStyle w:val="2"/>
        <w:keepNext w:val="0"/>
        <w:keepLines w:val="0"/>
        <w:pageBreakBefore w:val="0"/>
        <w:widowControl w:val="0"/>
        <w:kinsoku/>
        <w:wordWrap/>
        <w:overflowPunct/>
        <w:topLinePunct w:val="0"/>
        <w:autoSpaceDE/>
        <w:autoSpaceDN/>
        <w:bidi w:val="0"/>
        <w:adjustRightInd/>
        <w:snapToGrid/>
        <w:spacing w:before="0" w:beforeAutospacing="0" w:line="49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规划纲要》，未来泉港区通过区域协同发展、中心体系优化、轨道交通引导、生态格局限定、战略平台预控等政策引导，在现状城镇服务能级的基础上，结合空间结构导控方向和人口发展规模预测，在泉港区范围内构建“四板块、七组团”组成的网络化发展格局。立足于各组团的优势及条件，发展各自的特色产业，将四板块划分为七个组团。其中南部城市板块包含中心城区综合服务组团、高新园区组团……各组团在承担本组团的基本城市职能的基础上，重点考虑为组团内部产业发展提供服务职能支撑。</w:t>
      </w:r>
    </w:p>
    <w:p w14:paraId="564CC962">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drawing>
          <wp:anchor distT="0" distB="0" distL="114300" distR="114300" simplePos="0" relativeHeight="251660288" behindDoc="1" locked="0" layoutInCell="1" allowOverlap="1">
            <wp:simplePos x="0" y="0"/>
            <wp:positionH relativeFrom="column">
              <wp:posOffset>342900</wp:posOffset>
            </wp:positionH>
            <wp:positionV relativeFrom="paragraph">
              <wp:posOffset>167005</wp:posOffset>
            </wp:positionV>
            <wp:extent cx="5157470" cy="2764155"/>
            <wp:effectExtent l="0" t="0" r="2540" b="10160"/>
            <wp:wrapTight wrapText="bothSides">
              <wp:wrapPolygon>
                <wp:start x="0" y="0"/>
                <wp:lineTo x="0" y="21342"/>
                <wp:lineTo x="21385" y="21342"/>
                <wp:lineTo x="21385" y="0"/>
                <wp:lineTo x="0" y="0"/>
              </wp:wrapPolygon>
            </wp:wrapTight>
            <wp:docPr id="8"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7"/>
                    <a:stretch>
                      <a:fillRect/>
                    </a:stretch>
                  </pic:blipFill>
                  <pic:spPr>
                    <a:xfrm>
                      <a:off x="0" y="0"/>
                      <a:ext cx="5157470" cy="2764155"/>
                    </a:xfrm>
                    <a:prstGeom prst="rect">
                      <a:avLst/>
                    </a:prstGeom>
                    <a:noFill/>
                    <a:ln>
                      <a:noFill/>
                    </a:ln>
                  </pic:spPr>
                </pic:pic>
              </a:graphicData>
            </a:graphic>
          </wp:anchor>
        </w:drawing>
      </w:r>
    </w:p>
    <w:p w14:paraId="703D37EE">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853F9D2">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438570E5">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158B4B4">
      <w:pPr>
        <w:keepNext w:val="0"/>
        <w:keepLines w:val="0"/>
        <w:pageBreakBefore w:val="0"/>
        <w:widowControl w:val="0"/>
        <w:kinsoku/>
        <w:wordWrap/>
        <w:overflowPunct/>
        <w:topLinePunct/>
        <w:autoSpaceDE/>
        <w:autoSpaceDN/>
        <w:bidi w:val="0"/>
        <w:adjustRightInd w:val="0"/>
        <w:snapToGrid w:val="0"/>
        <w:spacing w:line="500" w:lineRule="exact"/>
        <w:ind w:left="2737"/>
        <w:rPr>
          <w:rFonts w:ascii="黑体" w:hAnsi="黑体" w:eastAsia="黑体" w:cs="黑体"/>
          <w:spacing w:val="6"/>
          <w:sz w:val="23"/>
          <w:szCs w:val="23"/>
        </w:rPr>
      </w:pPr>
    </w:p>
    <w:p w14:paraId="54DBA4A8">
      <w:pPr>
        <w:keepNext w:val="0"/>
        <w:keepLines w:val="0"/>
        <w:pageBreakBefore w:val="0"/>
        <w:widowControl w:val="0"/>
        <w:kinsoku/>
        <w:wordWrap/>
        <w:overflowPunct/>
        <w:topLinePunct/>
        <w:autoSpaceDE/>
        <w:autoSpaceDN/>
        <w:bidi w:val="0"/>
        <w:adjustRightInd w:val="0"/>
        <w:snapToGrid w:val="0"/>
        <w:spacing w:line="500" w:lineRule="exact"/>
        <w:ind w:left="2737"/>
        <w:rPr>
          <w:rFonts w:ascii="黑体" w:hAnsi="黑体" w:eastAsia="黑体" w:cs="黑体"/>
          <w:spacing w:val="6"/>
          <w:sz w:val="23"/>
          <w:szCs w:val="23"/>
        </w:rPr>
      </w:pPr>
    </w:p>
    <w:p w14:paraId="21843859">
      <w:pPr>
        <w:keepNext w:val="0"/>
        <w:keepLines w:val="0"/>
        <w:pageBreakBefore w:val="0"/>
        <w:widowControl w:val="0"/>
        <w:kinsoku/>
        <w:wordWrap/>
        <w:overflowPunct/>
        <w:topLinePunct/>
        <w:autoSpaceDE/>
        <w:autoSpaceDN/>
        <w:bidi w:val="0"/>
        <w:adjustRightInd w:val="0"/>
        <w:snapToGrid w:val="0"/>
        <w:spacing w:line="500" w:lineRule="exact"/>
        <w:ind w:left="2737"/>
        <w:rPr>
          <w:rFonts w:ascii="黑体" w:hAnsi="黑体" w:eastAsia="黑体" w:cs="黑体"/>
          <w:spacing w:val="6"/>
          <w:sz w:val="23"/>
          <w:szCs w:val="23"/>
        </w:rPr>
      </w:pPr>
    </w:p>
    <w:p w14:paraId="226B612F">
      <w:pPr>
        <w:keepNext w:val="0"/>
        <w:keepLines w:val="0"/>
        <w:pageBreakBefore w:val="0"/>
        <w:widowControl w:val="0"/>
        <w:kinsoku/>
        <w:wordWrap/>
        <w:overflowPunct/>
        <w:topLinePunct/>
        <w:autoSpaceDE/>
        <w:autoSpaceDN/>
        <w:bidi w:val="0"/>
        <w:adjustRightInd w:val="0"/>
        <w:snapToGrid w:val="0"/>
        <w:spacing w:line="500" w:lineRule="exact"/>
        <w:ind w:left="2737"/>
        <w:rPr>
          <w:rFonts w:ascii="黑体" w:hAnsi="黑体" w:eastAsia="黑体" w:cs="黑体"/>
          <w:spacing w:val="6"/>
          <w:sz w:val="23"/>
          <w:szCs w:val="23"/>
        </w:rPr>
      </w:pPr>
    </w:p>
    <w:p w14:paraId="0B832626">
      <w:pPr>
        <w:keepNext w:val="0"/>
        <w:keepLines w:val="0"/>
        <w:pageBreakBefore w:val="0"/>
        <w:widowControl w:val="0"/>
        <w:kinsoku/>
        <w:wordWrap/>
        <w:overflowPunct/>
        <w:topLinePunct/>
        <w:autoSpaceDE/>
        <w:autoSpaceDN/>
        <w:bidi w:val="0"/>
        <w:adjustRightInd w:val="0"/>
        <w:snapToGrid w:val="0"/>
        <w:spacing w:line="500" w:lineRule="exact"/>
        <w:ind w:left="2737"/>
        <w:rPr>
          <w:rFonts w:ascii="黑体" w:hAnsi="黑体" w:eastAsia="黑体" w:cs="黑体"/>
          <w:spacing w:val="6"/>
          <w:sz w:val="23"/>
          <w:szCs w:val="23"/>
        </w:rPr>
      </w:pPr>
    </w:p>
    <w:p w14:paraId="76F5A998">
      <w:pPr>
        <w:keepNext w:val="0"/>
        <w:keepLines w:val="0"/>
        <w:pageBreakBefore w:val="0"/>
        <w:widowControl w:val="0"/>
        <w:kinsoku/>
        <w:wordWrap/>
        <w:overflowPunct/>
        <w:topLinePunct/>
        <w:autoSpaceDE/>
        <w:autoSpaceDN/>
        <w:bidi w:val="0"/>
        <w:adjustRightInd w:val="0"/>
        <w:snapToGrid w:val="0"/>
        <w:spacing w:line="500" w:lineRule="exact"/>
        <w:jc w:val="center"/>
        <w:rPr>
          <w:rFonts w:ascii="黑体" w:hAnsi="黑体" w:eastAsia="黑体" w:cs="黑体"/>
          <w:sz w:val="23"/>
          <w:szCs w:val="23"/>
        </w:rPr>
      </w:pPr>
      <w:r>
        <w:rPr>
          <w:rFonts w:ascii="黑体" w:hAnsi="黑体" w:eastAsia="黑体" w:cs="黑体"/>
          <w:spacing w:val="6"/>
          <w:sz w:val="23"/>
          <w:szCs w:val="23"/>
        </w:rPr>
        <w:t>图</w:t>
      </w:r>
      <w:r>
        <w:rPr>
          <w:rFonts w:ascii="Arial" w:hAnsi="Arial" w:eastAsia="Arial" w:cs="Arial"/>
          <w:b/>
          <w:bCs/>
          <w:spacing w:val="6"/>
          <w:sz w:val="23"/>
          <w:szCs w:val="23"/>
        </w:rPr>
        <w:t>2</w:t>
      </w:r>
      <w:r>
        <w:rPr>
          <w:rFonts w:ascii="Arial" w:hAnsi="Arial" w:eastAsia="Arial" w:cs="Arial"/>
          <w:b/>
          <w:bCs/>
          <w:spacing w:val="4"/>
          <w:sz w:val="23"/>
          <w:szCs w:val="23"/>
        </w:rPr>
        <w:t>-</w:t>
      </w:r>
      <w:r>
        <w:rPr>
          <w:rFonts w:ascii="Arial" w:hAnsi="Arial" w:eastAsia="Arial" w:cs="Arial"/>
          <w:b/>
          <w:bCs/>
          <w:spacing w:val="3"/>
          <w:sz w:val="23"/>
          <w:szCs w:val="23"/>
        </w:rPr>
        <w:t>1</w:t>
      </w:r>
      <w:r>
        <w:rPr>
          <w:rFonts w:ascii="黑体" w:hAnsi="黑体" w:eastAsia="黑体" w:cs="黑体"/>
          <w:spacing w:val="3"/>
          <w:sz w:val="23"/>
          <w:szCs w:val="23"/>
        </w:rPr>
        <w:t>泉港区总体空间架构规划图</w:t>
      </w:r>
    </w:p>
    <w:p w14:paraId="327D412D">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本次规划的泉港高新区位于泉港现状中心城区西侧，未来将作为中心城区的组成部分，重点发展高新技术产业，拓展为泉港区除石化园区之外的另一个经济增长极。</w:t>
      </w:r>
    </w:p>
    <w:p w14:paraId="551E82D0">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本次规划扩大了《规划纲要》确定的园区规划范围，主要是考虑为未来泉港区高新技术产业的发展预留足够的空间，同时便于与中心城区综合服务组团在空间上充分整合。</w:t>
      </w:r>
    </w:p>
    <w:p w14:paraId="51FDDFA7">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2.1.4《泉港区土地利用总体规划》</w:t>
      </w:r>
    </w:p>
    <w:p w14:paraId="776EB510">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根据《泉港区土地利用总体规划》，本次规划范围内用地主要为建设用地与有条件建设用地，南侧有部分基本农田分布。</w:t>
      </w:r>
    </w:p>
    <w:p w14:paraId="66C0C915">
      <w:pPr>
        <w:keepNext w:val="0"/>
        <w:keepLines w:val="0"/>
        <w:pageBreakBefore w:val="0"/>
        <w:widowControl w:val="0"/>
        <w:wordWrap/>
        <w:overflowPunct/>
        <w:bidi w:val="0"/>
        <w:spacing w:before="64" w:line="5141" w:lineRule="exact"/>
        <w:ind w:firstLine="410"/>
        <w:textAlignment w:val="center"/>
      </w:pPr>
      <w:r>
        <w:drawing>
          <wp:inline distT="0" distB="0" distL="114300" distR="114300">
            <wp:extent cx="5236210" cy="3263900"/>
            <wp:effectExtent l="0" t="0" r="10160" b="6985"/>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8"/>
                    <a:stretch>
                      <a:fillRect/>
                    </a:stretch>
                  </pic:blipFill>
                  <pic:spPr>
                    <a:xfrm>
                      <a:off x="0" y="0"/>
                      <a:ext cx="5236210" cy="3263900"/>
                    </a:xfrm>
                    <a:prstGeom prst="rect">
                      <a:avLst/>
                    </a:prstGeom>
                    <a:noFill/>
                    <a:ln>
                      <a:noFill/>
                    </a:ln>
                  </pic:spPr>
                </pic:pic>
              </a:graphicData>
            </a:graphic>
          </wp:inline>
        </w:drawing>
      </w:r>
    </w:p>
    <w:p w14:paraId="4B3FD89A">
      <w:pPr>
        <w:keepNext w:val="0"/>
        <w:keepLines w:val="0"/>
        <w:pageBreakBefore w:val="0"/>
        <w:widowControl w:val="0"/>
        <w:wordWrap/>
        <w:overflowPunct/>
        <w:bidi w:val="0"/>
        <w:spacing w:before="296" w:line="227" w:lineRule="auto"/>
        <w:jc w:val="center"/>
      </w:pPr>
      <w:r>
        <w:rPr>
          <w:rFonts w:ascii="黑体" w:hAnsi="黑体" w:eastAsia="黑体" w:cs="黑体"/>
          <w:spacing w:val="1"/>
          <w:sz w:val="23"/>
          <w:szCs w:val="23"/>
        </w:rPr>
        <w:t>图</w:t>
      </w:r>
      <w:r>
        <w:rPr>
          <w:rFonts w:ascii="Arial" w:hAnsi="Arial" w:eastAsia="Arial" w:cs="Arial"/>
          <w:b/>
          <w:bCs/>
          <w:spacing w:val="1"/>
          <w:sz w:val="23"/>
          <w:szCs w:val="23"/>
        </w:rPr>
        <w:t>2-2</w:t>
      </w:r>
      <w:r>
        <w:rPr>
          <w:rFonts w:ascii="黑体" w:hAnsi="黑体" w:eastAsia="黑体" w:cs="黑体"/>
          <w:spacing w:val="1"/>
          <w:sz w:val="23"/>
          <w:szCs w:val="23"/>
        </w:rPr>
        <w:t>土地利用</w:t>
      </w:r>
      <w:r>
        <w:rPr>
          <w:rFonts w:hint="eastAsia" w:ascii="黑体" w:hAnsi="黑体" w:eastAsia="黑体" w:cs="黑体"/>
          <w:spacing w:val="1"/>
          <w:sz w:val="23"/>
          <w:szCs w:val="23"/>
          <w:lang w:eastAsia="zh-CN"/>
        </w:rPr>
        <w:t>总体</w:t>
      </w:r>
      <w:r>
        <w:rPr>
          <w:rFonts w:ascii="黑体" w:hAnsi="黑体" w:eastAsia="黑体" w:cs="黑体"/>
          <w:spacing w:val="1"/>
          <w:sz w:val="23"/>
          <w:szCs w:val="23"/>
        </w:rPr>
        <w:t>规</w:t>
      </w:r>
      <w:r>
        <w:rPr>
          <w:rFonts w:ascii="黑体" w:hAnsi="黑体" w:eastAsia="黑体" w:cs="黑体"/>
          <w:sz w:val="23"/>
          <w:szCs w:val="23"/>
        </w:rPr>
        <w:t>划图</w:t>
      </w:r>
    </w:p>
    <w:p w14:paraId="70DEFE0F">
      <w:pPr>
        <w:keepNext w:val="0"/>
        <w:keepLines w:val="0"/>
        <w:pageBreakBefore w:val="0"/>
        <w:widowControl w:val="0"/>
        <w:wordWrap/>
        <w:overflowPunct/>
        <w:bidi w:val="0"/>
        <w:spacing w:line="4438" w:lineRule="exact"/>
        <w:ind w:firstLine="405"/>
        <w:textAlignment w:val="center"/>
      </w:pPr>
      <w:r>
        <w:drawing>
          <wp:inline distT="0" distB="0" distL="114300" distR="114300">
            <wp:extent cx="5238115" cy="2818130"/>
            <wp:effectExtent l="0" t="0" r="8255" b="10160"/>
            <wp:docPr id="10" name="图片 3"/>
            <wp:cNvGraphicFramePr/>
            <a:graphic xmlns:a="http://schemas.openxmlformats.org/drawingml/2006/main">
              <a:graphicData uri="http://schemas.openxmlformats.org/drawingml/2006/picture">
                <pic:pic xmlns:pic="http://schemas.openxmlformats.org/drawingml/2006/picture">
                  <pic:nvPicPr>
                    <pic:cNvPr id="10" name="图片 3"/>
                    <pic:cNvPicPr/>
                  </pic:nvPicPr>
                  <pic:blipFill>
                    <a:blip r:embed="rId9"/>
                    <a:stretch>
                      <a:fillRect/>
                    </a:stretch>
                  </pic:blipFill>
                  <pic:spPr>
                    <a:xfrm>
                      <a:off x="0" y="0"/>
                      <a:ext cx="5238115" cy="2818130"/>
                    </a:xfrm>
                    <a:prstGeom prst="rect">
                      <a:avLst/>
                    </a:prstGeom>
                    <a:noFill/>
                    <a:ln>
                      <a:noFill/>
                    </a:ln>
                  </pic:spPr>
                </pic:pic>
              </a:graphicData>
            </a:graphic>
          </wp:inline>
        </w:drawing>
      </w:r>
    </w:p>
    <w:p w14:paraId="33DED14F">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center"/>
        <w:textAlignment w:val="auto"/>
        <w:rPr>
          <w:rFonts w:ascii="黑体" w:hAnsi="黑体" w:eastAsia="黑体" w:cs="黑体"/>
          <w:spacing w:val="3"/>
          <w:sz w:val="23"/>
          <w:szCs w:val="23"/>
        </w:rPr>
      </w:pPr>
      <w:r>
        <w:rPr>
          <w:rFonts w:ascii="黑体" w:hAnsi="黑体" w:eastAsia="黑体" w:cs="黑体"/>
          <w:spacing w:val="4"/>
          <w:sz w:val="23"/>
          <w:szCs w:val="23"/>
        </w:rPr>
        <w:t>图</w:t>
      </w:r>
      <w:r>
        <w:rPr>
          <w:rFonts w:ascii="Arial" w:hAnsi="Arial" w:eastAsia="Arial" w:cs="Arial"/>
          <w:b/>
          <w:bCs/>
          <w:spacing w:val="4"/>
          <w:sz w:val="23"/>
          <w:szCs w:val="23"/>
        </w:rPr>
        <w:t>2-3</w:t>
      </w:r>
      <w:r>
        <w:rPr>
          <w:rFonts w:ascii="黑体" w:hAnsi="黑体" w:eastAsia="黑体" w:cs="黑体"/>
          <w:spacing w:val="4"/>
          <w:sz w:val="23"/>
          <w:szCs w:val="23"/>
        </w:rPr>
        <w:t>土规建设用地修改调整建议</w:t>
      </w:r>
      <w:r>
        <w:rPr>
          <w:rFonts w:ascii="黑体" w:hAnsi="黑体" w:eastAsia="黑体" w:cs="黑体"/>
          <w:spacing w:val="3"/>
          <w:sz w:val="23"/>
          <w:szCs w:val="23"/>
        </w:rPr>
        <w:t>图</w:t>
      </w:r>
    </w:p>
    <w:p w14:paraId="07952AD0">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基于土地利用规划确定的土地利用性质及修改建议，规划区南侧基本农田近期调整难度较高。因此，本次规划区域范围内受土地性质、已建项目、村庄建设用地等限制，新增工业用地有限。为给高新技术产业发展预留足够的空间，本次规划将南侧地块仍保留工业用地的功能，但规划为预留发展区，条件适宜时通过调整土地利用功能后作为工业用地开发利用。</w:t>
      </w:r>
    </w:p>
    <w:p w14:paraId="485CF11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2.1.5《泉港石化研创小镇规划方案》</w:t>
      </w:r>
    </w:p>
    <w:p w14:paraId="55D40809">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石化研创小镇位于前黄镇，总用地面积3.38平方公里，核心区面积约1平方公里。规划范围内拥有虎岩山、昆山水库的良好生态资源，中国福建化学工程科学与技术实验室、福州大学石油化工学院(泉港校区)、福建师范大学泉港石化研究院等教育科研机构，纳川管材、本益新材料、万家鑫集团、石化科技众创园等企业。</w:t>
      </w:r>
    </w:p>
    <w:p w14:paraId="0AB67ED7">
      <w:pPr>
        <w:keepNext w:val="0"/>
        <w:keepLines w:val="0"/>
        <w:pageBreakBefore w:val="0"/>
        <w:widowControl w:val="0"/>
        <w:wordWrap/>
        <w:overflowPunct/>
        <w:bidi w:val="0"/>
        <w:spacing w:before="66" w:line="6602" w:lineRule="exact"/>
        <w:ind w:firstLine="636"/>
        <w:textAlignment w:val="center"/>
      </w:pPr>
      <w:r>
        <w:drawing>
          <wp:inline distT="0" distB="0" distL="114300" distR="114300">
            <wp:extent cx="4952365" cy="4192270"/>
            <wp:effectExtent l="0" t="0" r="2540" b="6985"/>
            <wp:docPr id="11"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10"/>
                    <a:stretch>
                      <a:fillRect/>
                    </a:stretch>
                  </pic:blipFill>
                  <pic:spPr>
                    <a:xfrm>
                      <a:off x="0" y="0"/>
                      <a:ext cx="4952365" cy="4192270"/>
                    </a:xfrm>
                    <a:prstGeom prst="rect">
                      <a:avLst/>
                    </a:prstGeom>
                    <a:noFill/>
                    <a:ln>
                      <a:noFill/>
                    </a:ln>
                  </pic:spPr>
                </pic:pic>
              </a:graphicData>
            </a:graphic>
          </wp:inline>
        </w:drawing>
      </w:r>
    </w:p>
    <w:p w14:paraId="481441AB">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center"/>
        <w:textAlignment w:val="auto"/>
        <w:rPr>
          <w:rFonts w:ascii="黑体" w:hAnsi="黑体" w:eastAsia="黑体" w:cs="黑体"/>
          <w:spacing w:val="6"/>
          <w:sz w:val="23"/>
          <w:szCs w:val="23"/>
        </w:rPr>
      </w:pPr>
      <w:r>
        <w:rPr>
          <w:rFonts w:ascii="黑体" w:hAnsi="黑体" w:eastAsia="黑体" w:cs="黑体"/>
          <w:spacing w:val="10"/>
          <w:sz w:val="23"/>
          <w:szCs w:val="23"/>
        </w:rPr>
        <w:t>图</w:t>
      </w:r>
      <w:r>
        <w:rPr>
          <w:rFonts w:ascii="Arial" w:hAnsi="Arial" w:eastAsia="Arial" w:cs="Arial"/>
          <w:b/>
          <w:bCs/>
          <w:spacing w:val="6"/>
          <w:sz w:val="23"/>
          <w:szCs w:val="23"/>
        </w:rPr>
        <w:t>2-4</w:t>
      </w:r>
      <w:r>
        <w:rPr>
          <w:rFonts w:ascii="黑体" w:hAnsi="黑体" w:eastAsia="黑体" w:cs="黑体"/>
          <w:spacing w:val="6"/>
          <w:sz w:val="23"/>
          <w:szCs w:val="23"/>
        </w:rPr>
        <w:t>研创小镇规划方案</w:t>
      </w:r>
    </w:p>
    <w:p w14:paraId="07F477FC">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研创小镇功能定位为打造以石化与新材料产业人才教育培训为基础，以科教研创为品牌，以石化与新材料产业研究为主体，以国家级的标准为要求，以研企联动、产城融合为理念，融总部经济、智慧经济、创新创业、生活服务、旅游休闲为一体的特色小镇。</w:t>
      </w:r>
    </w:p>
    <w:p w14:paraId="0E0D0FD9">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本次规划中将研创小镇部分用地作为科研创新及服务平台集中建设的区域，致力于打造整个高新园区的“创新中枢”，符合研创小镇的功能定位及发展方向。</w:t>
      </w:r>
    </w:p>
    <w:p w14:paraId="7707688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2.2现状解读</w:t>
      </w:r>
    </w:p>
    <w:p w14:paraId="725BEC2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2.2.1产业经济</w:t>
      </w:r>
    </w:p>
    <w:p w14:paraId="55A2D2E0">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ascii="黑体" w:hAnsi="黑体" w:eastAsia="黑体" w:cs="黑体"/>
          <w:spacing w:val="7"/>
          <w:sz w:val="23"/>
          <w:szCs w:val="23"/>
        </w:rPr>
      </w:pPr>
      <w:r>
        <w:rPr>
          <w:rFonts w:hint="default" w:ascii="仿宋_GB2312" w:hAnsi="仿宋_GB2312" w:eastAsia="仿宋_GB2312" w:cs="仿宋_GB2312"/>
          <w:spacing w:val="0"/>
          <w:sz w:val="28"/>
          <w:szCs w:val="28"/>
          <w:lang w:val="en-US" w:eastAsia="zh-CN"/>
        </w:rPr>
        <w:t>泉港高新区坚持高起点规划、高标准建设、高水平服务，在自主创新、高新技术产业发展和创新环境优化等方面取得一定成效。园区内已经营业的企业沿驿峰路工业走廊两侧分布，项目主要涉及石化新材料、高端精细化工、环保设备以及汽配机械等产业。</w:t>
      </w:r>
    </w:p>
    <w:p w14:paraId="0EDEF5CB">
      <w:pPr>
        <w:keepNext w:val="0"/>
        <w:keepLines w:val="0"/>
        <w:pageBreakBefore w:val="0"/>
        <w:widowControl w:val="0"/>
        <w:kinsoku/>
        <w:wordWrap/>
        <w:overflowPunct/>
        <w:topLinePunct w:val="0"/>
        <w:autoSpaceDE/>
        <w:autoSpaceDN/>
        <w:bidi w:val="0"/>
        <w:adjustRightInd/>
        <w:snapToGrid/>
        <w:spacing w:before="75" w:after="313" w:afterLines="100" w:line="226" w:lineRule="auto"/>
        <w:ind w:left="2477"/>
        <w:textAlignment w:val="auto"/>
        <w:rPr>
          <w:rFonts w:ascii="黑体" w:hAnsi="黑体" w:eastAsia="黑体" w:cs="黑体"/>
          <w:sz w:val="23"/>
          <w:szCs w:val="23"/>
        </w:rPr>
      </w:pPr>
      <w:r>
        <w:rPr>
          <w:rFonts w:ascii="黑体" w:hAnsi="黑体" w:eastAsia="黑体" w:cs="黑体"/>
          <w:spacing w:val="7"/>
          <w:sz w:val="23"/>
          <w:szCs w:val="23"/>
        </w:rPr>
        <w:t>表</w:t>
      </w:r>
      <w:r>
        <w:rPr>
          <w:rFonts w:ascii="Arial" w:hAnsi="Arial" w:eastAsia="Arial" w:cs="Arial"/>
          <w:b/>
          <w:bCs/>
          <w:spacing w:val="5"/>
          <w:sz w:val="23"/>
          <w:szCs w:val="23"/>
        </w:rPr>
        <w:t>3-1</w:t>
      </w:r>
      <w:r>
        <w:rPr>
          <w:rFonts w:ascii="黑体" w:hAnsi="黑体" w:eastAsia="黑体" w:cs="黑体"/>
          <w:spacing w:val="5"/>
          <w:sz w:val="23"/>
          <w:szCs w:val="23"/>
        </w:rPr>
        <w:t>泉港高新区主要生产企业及产品表</w:t>
      </w:r>
    </w:p>
    <w:tbl>
      <w:tblPr>
        <w:tblStyle w:val="9"/>
        <w:tblW w:w="92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1"/>
        <w:gridCol w:w="3684"/>
        <w:gridCol w:w="3400"/>
        <w:gridCol w:w="1295"/>
      </w:tblGrid>
      <w:tr w14:paraId="02697F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blHeader/>
          <w:jc w:val="center"/>
        </w:trPr>
        <w:tc>
          <w:tcPr>
            <w:tcW w:w="821" w:type="dxa"/>
            <w:tcBorders>
              <w:tl2br w:val="nil"/>
              <w:tr2bl w:val="nil"/>
            </w:tcBorders>
            <w:noWrap w:val="0"/>
            <w:vAlign w:val="center"/>
          </w:tcPr>
          <w:p w14:paraId="3DA108D1">
            <w:pPr>
              <w:keepNext w:val="0"/>
              <w:keepLines w:val="0"/>
              <w:pageBreakBefore w:val="0"/>
              <w:widowControl w:val="0"/>
              <w:kinsoku w:val="0"/>
              <w:wordWrap/>
              <w:overflowPunct/>
              <w:topLinePunct w:val="0"/>
              <w:autoSpaceDE w:val="0"/>
              <w:autoSpaceDN w:val="0"/>
              <w:bidi w:val="0"/>
              <w:adjustRightInd w:val="0"/>
              <w:snapToGrid w:val="0"/>
              <w:spacing w:line="320" w:lineRule="exact"/>
              <w:ind w:left="175"/>
              <w:jc w:val="left"/>
              <w:textAlignment w:val="baseline"/>
              <w:rPr>
                <w:rFonts w:hint="eastAsia" w:ascii="黑体" w:hAnsi="黑体" w:eastAsia="黑体" w:cs="黑体"/>
                <w:b w:val="0"/>
                <w:bCs w:val="0"/>
                <w:sz w:val="23"/>
                <w:szCs w:val="23"/>
              </w:rPr>
            </w:pPr>
            <w:r>
              <w:rPr>
                <w:rFonts w:hint="eastAsia" w:ascii="黑体" w:hAnsi="黑体" w:eastAsia="黑体" w:cs="黑体"/>
                <w:b w:val="0"/>
                <w:bCs w:val="0"/>
                <w:spacing w:val="6"/>
                <w:sz w:val="23"/>
                <w:szCs w:val="23"/>
              </w:rPr>
              <w:t>序号</w:t>
            </w:r>
          </w:p>
        </w:tc>
        <w:tc>
          <w:tcPr>
            <w:tcW w:w="3684" w:type="dxa"/>
            <w:tcBorders>
              <w:tl2br w:val="nil"/>
              <w:tr2bl w:val="nil"/>
            </w:tcBorders>
            <w:noWrap w:val="0"/>
            <w:vAlign w:val="center"/>
          </w:tcPr>
          <w:p w14:paraId="594BEB1A">
            <w:pPr>
              <w:keepNext w:val="0"/>
              <w:keepLines w:val="0"/>
              <w:pageBreakBefore w:val="0"/>
              <w:widowControl w:val="0"/>
              <w:kinsoku w:val="0"/>
              <w:wordWrap/>
              <w:overflowPunct/>
              <w:topLinePunct w:val="0"/>
              <w:autoSpaceDE w:val="0"/>
              <w:autoSpaceDN w:val="0"/>
              <w:bidi w:val="0"/>
              <w:adjustRightInd w:val="0"/>
              <w:snapToGrid w:val="0"/>
              <w:spacing w:line="320" w:lineRule="exact"/>
              <w:ind w:left="1369"/>
              <w:jc w:val="left"/>
              <w:textAlignment w:val="baseline"/>
              <w:rPr>
                <w:rFonts w:hint="eastAsia" w:ascii="黑体" w:hAnsi="黑体" w:eastAsia="黑体" w:cs="黑体"/>
                <w:b w:val="0"/>
                <w:bCs w:val="0"/>
                <w:sz w:val="23"/>
                <w:szCs w:val="23"/>
              </w:rPr>
            </w:pPr>
            <w:r>
              <w:rPr>
                <w:rFonts w:hint="eastAsia" w:ascii="黑体" w:hAnsi="黑体" w:eastAsia="黑体" w:cs="黑体"/>
                <w:b w:val="0"/>
                <w:bCs w:val="0"/>
                <w:spacing w:val="10"/>
                <w:sz w:val="23"/>
                <w:szCs w:val="23"/>
              </w:rPr>
              <w:t>企</w:t>
            </w:r>
            <w:r>
              <w:rPr>
                <w:rFonts w:hint="eastAsia" w:ascii="黑体" w:hAnsi="黑体" w:eastAsia="黑体" w:cs="黑体"/>
                <w:b w:val="0"/>
                <w:bCs w:val="0"/>
                <w:spacing w:val="7"/>
                <w:sz w:val="23"/>
                <w:szCs w:val="23"/>
              </w:rPr>
              <w:t>业名称</w:t>
            </w:r>
          </w:p>
        </w:tc>
        <w:tc>
          <w:tcPr>
            <w:tcW w:w="3400" w:type="dxa"/>
            <w:tcBorders>
              <w:tl2br w:val="nil"/>
              <w:tr2bl w:val="nil"/>
            </w:tcBorders>
            <w:noWrap w:val="0"/>
            <w:vAlign w:val="center"/>
          </w:tcPr>
          <w:p w14:paraId="322F52F0">
            <w:pPr>
              <w:keepNext w:val="0"/>
              <w:keepLines w:val="0"/>
              <w:pageBreakBefore w:val="0"/>
              <w:widowControl w:val="0"/>
              <w:kinsoku w:val="0"/>
              <w:wordWrap/>
              <w:overflowPunct/>
              <w:topLinePunct w:val="0"/>
              <w:autoSpaceDE w:val="0"/>
              <w:autoSpaceDN w:val="0"/>
              <w:bidi w:val="0"/>
              <w:adjustRightInd w:val="0"/>
              <w:snapToGrid w:val="0"/>
              <w:spacing w:line="320" w:lineRule="exact"/>
              <w:ind w:left="1238"/>
              <w:jc w:val="left"/>
              <w:textAlignment w:val="baseline"/>
              <w:rPr>
                <w:rFonts w:hint="eastAsia" w:ascii="黑体" w:hAnsi="黑体" w:eastAsia="黑体" w:cs="黑体"/>
                <w:b w:val="0"/>
                <w:bCs w:val="0"/>
                <w:sz w:val="23"/>
                <w:szCs w:val="23"/>
              </w:rPr>
            </w:pPr>
            <w:r>
              <w:rPr>
                <w:rFonts w:hint="eastAsia" w:ascii="黑体" w:hAnsi="黑体" w:eastAsia="黑体" w:cs="黑体"/>
                <w:b w:val="0"/>
                <w:bCs w:val="0"/>
                <w:spacing w:val="7"/>
                <w:sz w:val="23"/>
                <w:szCs w:val="23"/>
              </w:rPr>
              <w:t>主</w:t>
            </w:r>
            <w:r>
              <w:rPr>
                <w:rFonts w:hint="eastAsia" w:ascii="黑体" w:hAnsi="黑体" w:eastAsia="黑体" w:cs="黑体"/>
                <w:b w:val="0"/>
                <w:bCs w:val="0"/>
                <w:spacing w:val="5"/>
                <w:sz w:val="23"/>
                <w:szCs w:val="23"/>
              </w:rPr>
              <w:t>要产品</w:t>
            </w:r>
          </w:p>
        </w:tc>
        <w:tc>
          <w:tcPr>
            <w:tcW w:w="1295" w:type="dxa"/>
            <w:tcBorders>
              <w:tl2br w:val="nil"/>
              <w:tr2bl w:val="nil"/>
            </w:tcBorders>
            <w:noWrap w:val="0"/>
            <w:vAlign w:val="center"/>
          </w:tcPr>
          <w:p w14:paraId="2788F9CF">
            <w:pPr>
              <w:keepNext w:val="0"/>
              <w:keepLines w:val="0"/>
              <w:pageBreakBefore w:val="0"/>
              <w:widowControl w:val="0"/>
              <w:kinsoku w:val="0"/>
              <w:wordWrap/>
              <w:overflowPunct/>
              <w:topLinePunct w:val="0"/>
              <w:autoSpaceDE w:val="0"/>
              <w:autoSpaceDN w:val="0"/>
              <w:bidi w:val="0"/>
              <w:adjustRightInd w:val="0"/>
              <w:snapToGrid w:val="0"/>
              <w:spacing w:line="320" w:lineRule="exact"/>
              <w:ind w:left="173"/>
              <w:jc w:val="left"/>
              <w:textAlignment w:val="baseline"/>
              <w:rPr>
                <w:rFonts w:hint="eastAsia" w:ascii="黑体" w:hAnsi="黑体" w:eastAsia="黑体" w:cs="黑体"/>
                <w:b w:val="0"/>
                <w:bCs w:val="0"/>
                <w:sz w:val="23"/>
                <w:szCs w:val="23"/>
              </w:rPr>
            </w:pPr>
            <w:r>
              <w:rPr>
                <w:rFonts w:hint="eastAsia" w:ascii="黑体" w:hAnsi="黑体" w:eastAsia="黑体" w:cs="黑体"/>
                <w:b w:val="0"/>
                <w:bCs w:val="0"/>
                <w:spacing w:val="9"/>
                <w:sz w:val="23"/>
                <w:szCs w:val="23"/>
              </w:rPr>
              <w:t>产</w:t>
            </w:r>
            <w:r>
              <w:rPr>
                <w:rFonts w:hint="eastAsia" w:ascii="黑体" w:hAnsi="黑体" w:eastAsia="黑体" w:cs="黑体"/>
                <w:b w:val="0"/>
                <w:bCs w:val="0"/>
                <w:spacing w:val="8"/>
                <w:sz w:val="23"/>
                <w:szCs w:val="23"/>
              </w:rPr>
              <w:t>业板块</w:t>
            </w:r>
          </w:p>
        </w:tc>
      </w:tr>
      <w:tr w14:paraId="79465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821" w:type="dxa"/>
            <w:tcBorders>
              <w:tl2br w:val="nil"/>
              <w:tr2bl w:val="nil"/>
            </w:tcBorders>
            <w:noWrap w:val="0"/>
            <w:vAlign w:val="center"/>
          </w:tcPr>
          <w:p w14:paraId="465C175C">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1</w:t>
            </w:r>
          </w:p>
        </w:tc>
        <w:tc>
          <w:tcPr>
            <w:tcW w:w="3684" w:type="dxa"/>
            <w:tcBorders>
              <w:tl2br w:val="nil"/>
              <w:tr2bl w:val="nil"/>
            </w:tcBorders>
            <w:noWrap w:val="0"/>
            <w:vAlign w:val="center"/>
          </w:tcPr>
          <w:p w14:paraId="3566D24F">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福建纳川管材科技股份有限公司</w:t>
            </w:r>
          </w:p>
        </w:tc>
        <w:tc>
          <w:tcPr>
            <w:tcW w:w="3400" w:type="dxa"/>
            <w:tcBorders>
              <w:tl2br w:val="nil"/>
              <w:tr2bl w:val="nil"/>
            </w:tcBorders>
            <w:noWrap w:val="0"/>
            <w:vAlign w:val="center"/>
          </w:tcPr>
          <w:p w14:paraId="2A16E76F">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8"/>
                <w:sz w:val="23"/>
                <w:szCs w:val="23"/>
              </w:rPr>
              <w:t>高</w:t>
            </w:r>
            <w:r>
              <w:rPr>
                <w:rFonts w:ascii="仿宋" w:hAnsi="仿宋" w:eastAsia="仿宋" w:cs="仿宋"/>
                <w:spacing w:val="7"/>
                <w:sz w:val="23"/>
                <w:szCs w:val="23"/>
              </w:rPr>
              <w:t>密度聚乙烯管</w:t>
            </w:r>
          </w:p>
        </w:tc>
        <w:tc>
          <w:tcPr>
            <w:tcW w:w="1295" w:type="dxa"/>
            <w:vMerge w:val="restart"/>
            <w:tcBorders>
              <w:tl2br w:val="nil"/>
              <w:tr2bl w:val="nil"/>
            </w:tcBorders>
            <w:noWrap w:val="0"/>
            <w:vAlign w:val="center"/>
          </w:tcPr>
          <w:p w14:paraId="7D39AB75">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8"/>
                <w:sz w:val="23"/>
                <w:szCs w:val="23"/>
              </w:rPr>
              <w:t>橡胶和</w:t>
            </w:r>
            <w:r>
              <w:rPr>
                <w:rFonts w:ascii="仿宋" w:hAnsi="仿宋" w:eastAsia="仿宋" w:cs="仿宋"/>
                <w:spacing w:val="7"/>
                <w:sz w:val="23"/>
                <w:szCs w:val="23"/>
              </w:rPr>
              <w:t>塑</w:t>
            </w:r>
            <w:r>
              <w:rPr>
                <w:rFonts w:ascii="仿宋" w:hAnsi="仿宋" w:eastAsia="仿宋" w:cs="仿宋"/>
                <w:spacing w:val="8"/>
                <w:sz w:val="23"/>
                <w:szCs w:val="23"/>
              </w:rPr>
              <w:t>料</w:t>
            </w:r>
            <w:r>
              <w:rPr>
                <w:rFonts w:ascii="仿宋" w:hAnsi="仿宋" w:eastAsia="仿宋" w:cs="仿宋"/>
                <w:spacing w:val="6"/>
                <w:sz w:val="23"/>
                <w:szCs w:val="23"/>
              </w:rPr>
              <w:t>制品业</w:t>
            </w:r>
          </w:p>
        </w:tc>
      </w:tr>
      <w:tr w14:paraId="0ABDE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21" w:type="dxa"/>
            <w:tcBorders>
              <w:tl2br w:val="nil"/>
              <w:tr2bl w:val="nil"/>
            </w:tcBorders>
            <w:noWrap w:val="0"/>
            <w:vAlign w:val="center"/>
          </w:tcPr>
          <w:p w14:paraId="4FADA83E">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2</w:t>
            </w:r>
          </w:p>
        </w:tc>
        <w:tc>
          <w:tcPr>
            <w:tcW w:w="3684" w:type="dxa"/>
            <w:tcBorders>
              <w:tl2br w:val="nil"/>
              <w:tr2bl w:val="nil"/>
            </w:tcBorders>
            <w:noWrap w:val="0"/>
            <w:vAlign w:val="center"/>
          </w:tcPr>
          <w:p w14:paraId="01135742">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福建路通管业科技股份有限公司</w:t>
            </w:r>
          </w:p>
        </w:tc>
        <w:tc>
          <w:tcPr>
            <w:tcW w:w="3400" w:type="dxa"/>
            <w:tcBorders>
              <w:tl2br w:val="nil"/>
              <w:tr2bl w:val="nil"/>
            </w:tcBorders>
            <w:noWrap w:val="0"/>
            <w:vAlign w:val="center"/>
          </w:tcPr>
          <w:p w14:paraId="1DEFEABC">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4"/>
                <w:sz w:val="23"/>
                <w:szCs w:val="23"/>
              </w:rPr>
              <w:t>超</w:t>
            </w:r>
            <w:r>
              <w:rPr>
                <w:rFonts w:ascii="仿宋" w:hAnsi="仿宋" w:eastAsia="仿宋" w:cs="仿宋"/>
                <w:spacing w:val="9"/>
                <w:sz w:val="23"/>
                <w:szCs w:val="23"/>
              </w:rPr>
              <w:t>大口径化学建材管道</w:t>
            </w:r>
          </w:p>
        </w:tc>
        <w:tc>
          <w:tcPr>
            <w:tcW w:w="1295" w:type="dxa"/>
            <w:vMerge w:val="continue"/>
            <w:tcBorders>
              <w:tl2br w:val="nil"/>
              <w:tr2bl w:val="nil"/>
            </w:tcBorders>
            <w:noWrap w:val="0"/>
            <w:vAlign w:val="center"/>
          </w:tcPr>
          <w:p w14:paraId="779697F8">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172B9C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821" w:type="dxa"/>
            <w:tcBorders>
              <w:tl2br w:val="nil"/>
              <w:tr2bl w:val="nil"/>
            </w:tcBorders>
            <w:noWrap w:val="0"/>
            <w:vAlign w:val="center"/>
          </w:tcPr>
          <w:p w14:paraId="337CC688">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3</w:t>
            </w:r>
          </w:p>
        </w:tc>
        <w:tc>
          <w:tcPr>
            <w:tcW w:w="3684" w:type="dxa"/>
            <w:tcBorders>
              <w:tl2br w:val="nil"/>
              <w:tr2bl w:val="nil"/>
            </w:tcBorders>
            <w:noWrap w:val="0"/>
            <w:vAlign w:val="center"/>
          </w:tcPr>
          <w:p w14:paraId="2C3ADF92">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泉州市德诚高新树脂有限公司</w:t>
            </w:r>
          </w:p>
        </w:tc>
        <w:tc>
          <w:tcPr>
            <w:tcW w:w="3400" w:type="dxa"/>
            <w:tcBorders>
              <w:tl2br w:val="nil"/>
              <w:tr2bl w:val="nil"/>
            </w:tcBorders>
            <w:noWrap w:val="0"/>
            <w:vAlign w:val="center"/>
          </w:tcPr>
          <w:p w14:paraId="601D32FD">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0"/>
                <w:sz w:val="23"/>
                <w:szCs w:val="23"/>
              </w:rPr>
              <w:t>聚</w:t>
            </w:r>
            <w:r>
              <w:rPr>
                <w:rFonts w:ascii="仿宋" w:hAnsi="仿宋" w:eastAsia="仿宋" w:cs="仿宋"/>
                <w:spacing w:val="9"/>
                <w:sz w:val="23"/>
                <w:szCs w:val="23"/>
              </w:rPr>
              <w:t>氨酯树脂、高分子材料、涂</w:t>
            </w:r>
          </w:p>
          <w:p w14:paraId="00E90527">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
                <w:sz w:val="23"/>
                <w:szCs w:val="23"/>
              </w:rPr>
              <w:t>料</w:t>
            </w:r>
            <w:r>
              <w:rPr>
                <w:rFonts w:ascii="仿宋" w:hAnsi="仿宋" w:eastAsia="仿宋" w:cs="仿宋"/>
                <w:sz w:val="23"/>
                <w:szCs w:val="23"/>
              </w:rPr>
              <w:t>、油漆、电磁材料、磁性材料</w:t>
            </w:r>
          </w:p>
        </w:tc>
        <w:tc>
          <w:tcPr>
            <w:tcW w:w="1295" w:type="dxa"/>
            <w:vMerge w:val="restart"/>
            <w:tcBorders>
              <w:tl2br w:val="nil"/>
              <w:tr2bl w:val="nil"/>
            </w:tcBorders>
            <w:noWrap w:val="0"/>
            <w:vAlign w:val="center"/>
          </w:tcPr>
          <w:p w14:paraId="70189E77">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7"/>
                <w:sz w:val="23"/>
                <w:szCs w:val="23"/>
              </w:rPr>
              <w:t>化</w:t>
            </w:r>
            <w:r>
              <w:rPr>
                <w:rFonts w:ascii="仿宋" w:hAnsi="仿宋" w:eastAsia="仿宋" w:cs="仿宋"/>
                <w:spacing w:val="5"/>
                <w:sz w:val="23"/>
                <w:szCs w:val="23"/>
              </w:rPr>
              <w:t>学原料</w:t>
            </w:r>
            <w:r>
              <w:rPr>
                <w:rFonts w:ascii="仿宋" w:hAnsi="仿宋" w:eastAsia="仿宋" w:cs="仿宋"/>
                <w:spacing w:val="6"/>
                <w:sz w:val="23"/>
                <w:szCs w:val="23"/>
              </w:rPr>
              <w:t>和化学制品制造业</w:t>
            </w:r>
          </w:p>
        </w:tc>
      </w:tr>
      <w:tr w14:paraId="0D7B52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21" w:type="dxa"/>
            <w:tcBorders>
              <w:tl2br w:val="nil"/>
              <w:tr2bl w:val="nil"/>
            </w:tcBorders>
            <w:noWrap w:val="0"/>
            <w:vAlign w:val="center"/>
          </w:tcPr>
          <w:p w14:paraId="5B3634F4">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pacing w:val="2"/>
                <w:sz w:val="23"/>
                <w:szCs w:val="23"/>
              </w:rPr>
              <w:t>4</w:t>
            </w:r>
          </w:p>
        </w:tc>
        <w:tc>
          <w:tcPr>
            <w:tcW w:w="3684" w:type="dxa"/>
            <w:tcBorders>
              <w:tl2br w:val="nil"/>
              <w:tr2bl w:val="nil"/>
            </w:tcBorders>
            <w:noWrap w:val="0"/>
            <w:vAlign w:val="center"/>
          </w:tcPr>
          <w:p w14:paraId="12E2DB48">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泉州市泉港源盛工贸有限公司</w:t>
            </w:r>
          </w:p>
        </w:tc>
        <w:tc>
          <w:tcPr>
            <w:tcW w:w="3400" w:type="dxa"/>
            <w:tcBorders>
              <w:tl2br w:val="nil"/>
              <w:tr2bl w:val="nil"/>
            </w:tcBorders>
            <w:noWrap w:val="0"/>
            <w:vAlign w:val="center"/>
          </w:tcPr>
          <w:p w14:paraId="57DD58B4">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8"/>
                <w:sz w:val="23"/>
                <w:szCs w:val="23"/>
              </w:rPr>
              <w:t>聚</w:t>
            </w:r>
            <w:r>
              <w:rPr>
                <w:rFonts w:ascii="仿宋" w:hAnsi="仿宋" w:eastAsia="仿宋" w:cs="仿宋"/>
                <w:spacing w:val="7"/>
                <w:sz w:val="23"/>
                <w:szCs w:val="23"/>
              </w:rPr>
              <w:t>合物多元醇</w:t>
            </w:r>
          </w:p>
        </w:tc>
        <w:tc>
          <w:tcPr>
            <w:tcW w:w="1295" w:type="dxa"/>
            <w:vMerge w:val="continue"/>
            <w:tcBorders>
              <w:tl2br w:val="nil"/>
              <w:tr2bl w:val="nil"/>
            </w:tcBorders>
            <w:noWrap w:val="0"/>
            <w:vAlign w:val="center"/>
          </w:tcPr>
          <w:p w14:paraId="6A49E8CC">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6943B8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21" w:type="dxa"/>
            <w:tcBorders>
              <w:tl2br w:val="nil"/>
              <w:tr2bl w:val="nil"/>
            </w:tcBorders>
            <w:noWrap w:val="0"/>
            <w:vAlign w:val="center"/>
          </w:tcPr>
          <w:p w14:paraId="01B83F54">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5</w:t>
            </w:r>
          </w:p>
        </w:tc>
        <w:tc>
          <w:tcPr>
            <w:tcW w:w="3684" w:type="dxa"/>
            <w:tcBorders>
              <w:tl2br w:val="nil"/>
              <w:tr2bl w:val="nil"/>
            </w:tcBorders>
            <w:noWrap w:val="0"/>
            <w:vAlign w:val="center"/>
          </w:tcPr>
          <w:p w14:paraId="2DA81B62">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州德立化工有限公司</w:t>
            </w:r>
          </w:p>
        </w:tc>
        <w:tc>
          <w:tcPr>
            <w:tcW w:w="3400" w:type="dxa"/>
            <w:tcBorders>
              <w:tl2br w:val="nil"/>
              <w:tr2bl w:val="nil"/>
            </w:tcBorders>
            <w:noWrap w:val="0"/>
            <w:vAlign w:val="center"/>
          </w:tcPr>
          <w:p w14:paraId="172CF5B2">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7"/>
                <w:sz w:val="23"/>
                <w:szCs w:val="23"/>
              </w:rPr>
              <w:t>粘合剂</w:t>
            </w:r>
          </w:p>
        </w:tc>
        <w:tc>
          <w:tcPr>
            <w:tcW w:w="1295" w:type="dxa"/>
            <w:vMerge w:val="continue"/>
            <w:tcBorders>
              <w:tl2br w:val="nil"/>
              <w:tr2bl w:val="nil"/>
            </w:tcBorders>
            <w:noWrap w:val="0"/>
            <w:vAlign w:val="center"/>
          </w:tcPr>
          <w:p w14:paraId="5BD1B8AD">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036C7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821" w:type="dxa"/>
            <w:tcBorders>
              <w:tl2br w:val="nil"/>
              <w:tr2bl w:val="nil"/>
            </w:tcBorders>
            <w:noWrap w:val="0"/>
            <w:vAlign w:val="center"/>
          </w:tcPr>
          <w:p w14:paraId="0BAE4C3C">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6</w:t>
            </w:r>
          </w:p>
        </w:tc>
        <w:tc>
          <w:tcPr>
            <w:tcW w:w="3684" w:type="dxa"/>
            <w:tcBorders>
              <w:tl2br w:val="nil"/>
              <w:tr2bl w:val="nil"/>
            </w:tcBorders>
            <w:noWrap w:val="0"/>
            <w:vAlign w:val="center"/>
          </w:tcPr>
          <w:p w14:paraId="6EE121AA">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0"/>
                <w:sz w:val="23"/>
                <w:szCs w:val="23"/>
              </w:rPr>
              <w:t>泉</w:t>
            </w:r>
            <w:r>
              <w:rPr>
                <w:rFonts w:ascii="仿宋" w:hAnsi="仿宋" w:eastAsia="仿宋" w:cs="仿宋"/>
                <w:spacing w:val="9"/>
                <w:sz w:val="23"/>
                <w:szCs w:val="23"/>
              </w:rPr>
              <w:t>州泉港华福密胺树脂有限公司</w:t>
            </w:r>
          </w:p>
        </w:tc>
        <w:tc>
          <w:tcPr>
            <w:tcW w:w="3400" w:type="dxa"/>
            <w:tcBorders>
              <w:tl2br w:val="nil"/>
              <w:tr2bl w:val="nil"/>
            </w:tcBorders>
            <w:noWrap w:val="0"/>
            <w:vAlign w:val="center"/>
          </w:tcPr>
          <w:p w14:paraId="468DE063">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仿宋" w:hAnsi="仿宋" w:eastAsia="仿宋" w:cs="仿宋"/>
                <w:spacing w:val="8"/>
                <w:sz w:val="23"/>
                <w:szCs w:val="23"/>
              </w:rPr>
            </w:pPr>
            <w:r>
              <w:rPr>
                <w:rFonts w:ascii="仿宋" w:hAnsi="仿宋" w:eastAsia="仿宋" w:cs="仿宋"/>
                <w:spacing w:val="8"/>
                <w:sz w:val="23"/>
                <w:szCs w:val="23"/>
              </w:rPr>
              <w:t>三聚氰胺树脂成型粉、尿素</w:t>
            </w:r>
          </w:p>
          <w:p w14:paraId="48958603">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6"/>
                <w:sz w:val="23"/>
                <w:szCs w:val="23"/>
              </w:rPr>
              <w:t>树</w:t>
            </w:r>
            <w:r>
              <w:rPr>
                <w:rFonts w:ascii="仿宋" w:hAnsi="仿宋" w:eastAsia="仿宋" w:cs="仿宋"/>
                <w:spacing w:val="13"/>
                <w:sz w:val="23"/>
                <w:szCs w:val="23"/>
              </w:rPr>
              <w:t>脂</w:t>
            </w:r>
            <w:r>
              <w:rPr>
                <w:rFonts w:ascii="仿宋" w:hAnsi="仿宋" w:eastAsia="仿宋" w:cs="仿宋"/>
                <w:spacing w:val="8"/>
                <w:sz w:val="23"/>
                <w:szCs w:val="23"/>
              </w:rPr>
              <w:t>成型粉及亮光粉</w:t>
            </w:r>
          </w:p>
        </w:tc>
        <w:tc>
          <w:tcPr>
            <w:tcW w:w="1295" w:type="dxa"/>
            <w:vMerge w:val="continue"/>
            <w:tcBorders>
              <w:tl2br w:val="nil"/>
              <w:tr2bl w:val="nil"/>
            </w:tcBorders>
            <w:noWrap w:val="0"/>
            <w:vAlign w:val="center"/>
          </w:tcPr>
          <w:p w14:paraId="60D740D8">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67D9B6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21" w:type="dxa"/>
            <w:tcBorders>
              <w:tl2br w:val="nil"/>
              <w:tr2bl w:val="nil"/>
            </w:tcBorders>
            <w:noWrap w:val="0"/>
            <w:vAlign w:val="center"/>
          </w:tcPr>
          <w:p w14:paraId="605167B7">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7</w:t>
            </w:r>
          </w:p>
        </w:tc>
        <w:tc>
          <w:tcPr>
            <w:tcW w:w="3684" w:type="dxa"/>
            <w:tcBorders>
              <w:tl2br w:val="nil"/>
              <w:tr2bl w:val="nil"/>
            </w:tcBorders>
            <w:noWrap w:val="0"/>
            <w:vAlign w:val="center"/>
          </w:tcPr>
          <w:p w14:paraId="7407616E">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泉州市卓达环保科技有限公司</w:t>
            </w:r>
          </w:p>
        </w:tc>
        <w:tc>
          <w:tcPr>
            <w:tcW w:w="3400" w:type="dxa"/>
            <w:tcBorders>
              <w:tl2br w:val="nil"/>
              <w:tr2bl w:val="nil"/>
            </w:tcBorders>
            <w:noWrap w:val="0"/>
            <w:vAlign w:val="center"/>
          </w:tcPr>
          <w:p w14:paraId="7AECA618">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水</w:t>
            </w:r>
            <w:r>
              <w:rPr>
                <w:rFonts w:ascii="仿宋" w:hAnsi="仿宋" w:eastAsia="仿宋" w:cs="仿宋"/>
                <w:spacing w:val="8"/>
                <w:sz w:val="23"/>
                <w:szCs w:val="23"/>
              </w:rPr>
              <w:t>处理药剂</w:t>
            </w:r>
          </w:p>
        </w:tc>
        <w:tc>
          <w:tcPr>
            <w:tcW w:w="1295" w:type="dxa"/>
            <w:vMerge w:val="continue"/>
            <w:tcBorders>
              <w:tl2br w:val="nil"/>
              <w:tr2bl w:val="nil"/>
            </w:tcBorders>
            <w:noWrap w:val="0"/>
            <w:vAlign w:val="center"/>
          </w:tcPr>
          <w:p w14:paraId="522F3465">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3EBC6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821" w:type="dxa"/>
            <w:tcBorders>
              <w:tl2br w:val="nil"/>
              <w:tr2bl w:val="nil"/>
            </w:tcBorders>
            <w:noWrap w:val="0"/>
            <w:vAlign w:val="center"/>
          </w:tcPr>
          <w:p w14:paraId="00B7399D">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8</w:t>
            </w:r>
          </w:p>
        </w:tc>
        <w:tc>
          <w:tcPr>
            <w:tcW w:w="3684" w:type="dxa"/>
            <w:tcBorders>
              <w:tl2br w:val="nil"/>
              <w:tr2bl w:val="nil"/>
            </w:tcBorders>
            <w:noWrap w:val="0"/>
            <w:vAlign w:val="center"/>
          </w:tcPr>
          <w:p w14:paraId="39DA340F">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州博超实业有限公司</w:t>
            </w:r>
          </w:p>
        </w:tc>
        <w:tc>
          <w:tcPr>
            <w:tcW w:w="3400" w:type="dxa"/>
            <w:tcBorders>
              <w:tl2br w:val="nil"/>
              <w:tr2bl w:val="nil"/>
            </w:tcBorders>
            <w:noWrap w:val="0"/>
            <w:vAlign w:val="center"/>
          </w:tcPr>
          <w:p w14:paraId="5052F109">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智</w:t>
            </w:r>
            <w:r>
              <w:rPr>
                <w:rFonts w:ascii="仿宋" w:hAnsi="仿宋" w:eastAsia="仿宋" w:cs="仿宋"/>
                <w:spacing w:val="7"/>
                <w:sz w:val="23"/>
                <w:szCs w:val="23"/>
              </w:rPr>
              <w:t>能井盖</w:t>
            </w:r>
          </w:p>
        </w:tc>
        <w:tc>
          <w:tcPr>
            <w:tcW w:w="1295" w:type="dxa"/>
            <w:vMerge w:val="continue"/>
            <w:tcBorders>
              <w:tl2br w:val="nil"/>
              <w:tr2bl w:val="nil"/>
            </w:tcBorders>
            <w:noWrap w:val="0"/>
            <w:vAlign w:val="center"/>
          </w:tcPr>
          <w:p w14:paraId="60FC931C">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64C8C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21" w:type="dxa"/>
            <w:tcBorders>
              <w:tl2br w:val="nil"/>
              <w:tr2bl w:val="nil"/>
            </w:tcBorders>
            <w:noWrap w:val="0"/>
            <w:vAlign w:val="center"/>
          </w:tcPr>
          <w:p w14:paraId="56E5BC14">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z w:val="23"/>
                <w:szCs w:val="23"/>
              </w:rPr>
              <w:t>9</w:t>
            </w:r>
          </w:p>
        </w:tc>
        <w:tc>
          <w:tcPr>
            <w:tcW w:w="3684" w:type="dxa"/>
            <w:tcBorders>
              <w:tl2br w:val="nil"/>
              <w:tr2bl w:val="nil"/>
            </w:tcBorders>
            <w:noWrap w:val="0"/>
            <w:vAlign w:val="center"/>
          </w:tcPr>
          <w:p w14:paraId="10A15C28">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福建百川资源再生科技有限公司</w:t>
            </w:r>
          </w:p>
        </w:tc>
        <w:tc>
          <w:tcPr>
            <w:tcW w:w="3400" w:type="dxa"/>
            <w:tcBorders>
              <w:tl2br w:val="nil"/>
              <w:tr2bl w:val="nil"/>
            </w:tcBorders>
            <w:noWrap w:val="0"/>
            <w:vAlign w:val="center"/>
          </w:tcPr>
          <w:p w14:paraId="3EC95558">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0"/>
                <w:sz w:val="23"/>
                <w:szCs w:val="23"/>
              </w:rPr>
              <w:t>涤</w:t>
            </w:r>
            <w:r>
              <w:rPr>
                <w:rFonts w:ascii="仿宋" w:hAnsi="仿宋" w:eastAsia="仿宋" w:cs="仿宋"/>
                <w:spacing w:val="7"/>
                <w:sz w:val="23"/>
                <w:szCs w:val="23"/>
              </w:rPr>
              <w:t>纶丝、牛津布</w:t>
            </w:r>
          </w:p>
        </w:tc>
        <w:tc>
          <w:tcPr>
            <w:tcW w:w="1295" w:type="dxa"/>
            <w:vMerge w:val="restart"/>
            <w:tcBorders>
              <w:tl2br w:val="nil"/>
              <w:tr2bl w:val="nil"/>
            </w:tcBorders>
            <w:noWrap w:val="0"/>
            <w:vAlign w:val="center"/>
          </w:tcPr>
          <w:p w14:paraId="34D67DE7">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5"/>
                <w:sz w:val="23"/>
                <w:szCs w:val="23"/>
              </w:rPr>
              <w:t>纺织</w:t>
            </w:r>
            <w:r>
              <w:rPr>
                <w:rFonts w:ascii="仿宋" w:hAnsi="仿宋" w:eastAsia="仿宋" w:cs="仿宋"/>
                <w:spacing w:val="4"/>
                <w:sz w:val="23"/>
                <w:szCs w:val="23"/>
              </w:rPr>
              <w:t>业</w:t>
            </w:r>
          </w:p>
        </w:tc>
      </w:tr>
      <w:tr w14:paraId="61A8D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821" w:type="dxa"/>
            <w:tcBorders>
              <w:tl2br w:val="nil"/>
              <w:tr2bl w:val="nil"/>
            </w:tcBorders>
            <w:noWrap w:val="0"/>
            <w:vAlign w:val="center"/>
          </w:tcPr>
          <w:p w14:paraId="59FBE67F">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3684" w:type="dxa"/>
            <w:tcBorders>
              <w:tl2br w:val="nil"/>
              <w:tr2bl w:val="nil"/>
            </w:tcBorders>
            <w:noWrap w:val="0"/>
            <w:vAlign w:val="center"/>
          </w:tcPr>
          <w:p w14:paraId="3A826312">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福建省泉州弘耕鞋材有限公</w:t>
            </w:r>
            <w:r>
              <w:rPr>
                <w:rFonts w:ascii="仿宋" w:hAnsi="仿宋" w:eastAsia="仿宋" w:cs="仿宋"/>
                <w:spacing w:val="8"/>
                <w:sz w:val="23"/>
                <w:szCs w:val="23"/>
              </w:rPr>
              <w:t>司</w:t>
            </w:r>
          </w:p>
        </w:tc>
        <w:tc>
          <w:tcPr>
            <w:tcW w:w="3400" w:type="dxa"/>
            <w:tcBorders>
              <w:tl2br w:val="nil"/>
              <w:tr2bl w:val="nil"/>
            </w:tcBorders>
            <w:noWrap w:val="0"/>
            <w:vAlign w:val="center"/>
          </w:tcPr>
          <w:p w14:paraId="013B37F1">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无</w:t>
            </w:r>
            <w:r>
              <w:rPr>
                <w:rFonts w:ascii="仿宋" w:hAnsi="仿宋" w:eastAsia="仿宋" w:cs="仿宋"/>
                <w:spacing w:val="6"/>
                <w:sz w:val="23"/>
                <w:szCs w:val="23"/>
              </w:rPr>
              <w:t>纺布衬料</w:t>
            </w:r>
          </w:p>
        </w:tc>
        <w:tc>
          <w:tcPr>
            <w:tcW w:w="1295" w:type="dxa"/>
            <w:vMerge w:val="continue"/>
            <w:tcBorders>
              <w:tl2br w:val="nil"/>
              <w:tr2bl w:val="nil"/>
            </w:tcBorders>
            <w:noWrap w:val="0"/>
            <w:vAlign w:val="center"/>
          </w:tcPr>
          <w:p w14:paraId="7E4E21B6">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Arial"/>
                <w:sz w:val="21"/>
              </w:rPr>
            </w:pPr>
          </w:p>
        </w:tc>
      </w:tr>
      <w:tr w14:paraId="156718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821" w:type="dxa"/>
            <w:tcBorders>
              <w:tl2br w:val="nil"/>
              <w:tr2bl w:val="nil"/>
            </w:tcBorders>
            <w:noWrap w:val="0"/>
            <w:vAlign w:val="center"/>
          </w:tcPr>
          <w:p w14:paraId="4CF34F15">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Arial" w:hAnsi="Arial" w:eastAsia="Arial" w:cs="Arial"/>
                <w:sz w:val="23"/>
                <w:szCs w:val="23"/>
              </w:rPr>
            </w:pPr>
            <w:r>
              <w:rPr>
                <w:rFonts w:ascii="Arial" w:hAnsi="Arial" w:eastAsia="Arial" w:cs="Arial"/>
                <w:spacing w:val="-11"/>
                <w:sz w:val="23"/>
                <w:szCs w:val="23"/>
              </w:rPr>
              <w:t>1</w:t>
            </w:r>
            <w:r>
              <w:rPr>
                <w:rFonts w:ascii="Arial" w:hAnsi="Arial" w:eastAsia="Arial" w:cs="Arial"/>
                <w:spacing w:val="-36"/>
                <w:sz w:val="23"/>
                <w:szCs w:val="23"/>
              </w:rPr>
              <w:t xml:space="preserve"> </w:t>
            </w:r>
            <w:r>
              <w:rPr>
                <w:rFonts w:ascii="Arial" w:hAnsi="Arial" w:eastAsia="Arial" w:cs="Arial"/>
                <w:spacing w:val="-11"/>
                <w:sz w:val="23"/>
                <w:szCs w:val="23"/>
              </w:rPr>
              <w:t>1</w:t>
            </w:r>
          </w:p>
        </w:tc>
        <w:tc>
          <w:tcPr>
            <w:tcW w:w="3684" w:type="dxa"/>
            <w:tcBorders>
              <w:tl2br w:val="nil"/>
              <w:tr2bl w:val="nil"/>
            </w:tcBorders>
            <w:noWrap w:val="0"/>
            <w:vAlign w:val="center"/>
          </w:tcPr>
          <w:p w14:paraId="7B5EF9B7">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10"/>
                <w:sz w:val="23"/>
                <w:szCs w:val="23"/>
              </w:rPr>
              <w:t>中平</w:t>
            </w:r>
            <w:r>
              <w:rPr>
                <w:rFonts w:ascii="仿宋" w:hAnsi="仿宋" w:eastAsia="仿宋" w:cs="仿宋"/>
                <w:spacing w:val="7"/>
                <w:sz w:val="23"/>
                <w:szCs w:val="23"/>
              </w:rPr>
              <w:t>神</w:t>
            </w:r>
            <w:r>
              <w:rPr>
                <w:rFonts w:ascii="仿宋" w:hAnsi="仿宋" w:eastAsia="仿宋" w:cs="仿宋"/>
                <w:spacing w:val="5"/>
                <w:sz w:val="23"/>
                <w:szCs w:val="23"/>
              </w:rPr>
              <w:t>马(福建)科技发展有限</w:t>
            </w:r>
            <w:r>
              <w:rPr>
                <w:rFonts w:ascii="仿宋" w:hAnsi="仿宋" w:eastAsia="仿宋" w:cs="仿宋"/>
                <w:spacing w:val="6"/>
                <w:sz w:val="23"/>
                <w:szCs w:val="23"/>
              </w:rPr>
              <w:t>公</w:t>
            </w:r>
            <w:r>
              <w:rPr>
                <w:rFonts w:ascii="仿宋" w:hAnsi="仿宋" w:eastAsia="仿宋" w:cs="仿宋"/>
                <w:spacing w:val="5"/>
                <w:sz w:val="23"/>
                <w:szCs w:val="23"/>
              </w:rPr>
              <w:t>司</w:t>
            </w:r>
          </w:p>
        </w:tc>
        <w:tc>
          <w:tcPr>
            <w:tcW w:w="3400" w:type="dxa"/>
            <w:tcBorders>
              <w:tl2br w:val="nil"/>
              <w:tr2bl w:val="nil"/>
            </w:tcBorders>
            <w:noWrap w:val="0"/>
            <w:vAlign w:val="center"/>
          </w:tcPr>
          <w:p w14:paraId="204CEAAD">
            <w:pPr>
              <w:keepNext w:val="0"/>
              <w:keepLines w:val="0"/>
              <w:pageBreakBefore w:val="0"/>
              <w:widowControl w:val="0"/>
              <w:kinsoku w:val="0"/>
              <w:wordWrap/>
              <w:overflowPunct/>
              <w:topLinePunct w:val="0"/>
              <w:autoSpaceDE w:val="0"/>
              <w:autoSpaceDN w:val="0"/>
              <w:bidi w:val="0"/>
              <w:adjustRightInd w:val="0"/>
              <w:snapToGrid w:val="0"/>
              <w:spacing w:line="320" w:lineRule="exact"/>
              <w:ind w:left="0"/>
              <w:jc w:val="center"/>
              <w:textAlignment w:val="baseline"/>
              <w:rPr>
                <w:rFonts w:ascii="仿宋" w:hAnsi="仿宋" w:eastAsia="仿宋" w:cs="仿宋"/>
                <w:sz w:val="23"/>
                <w:szCs w:val="23"/>
              </w:rPr>
            </w:pPr>
            <w:r>
              <w:rPr>
                <w:rFonts w:ascii="仿宋" w:hAnsi="仿宋" w:eastAsia="仿宋" w:cs="仿宋"/>
                <w:spacing w:val="4"/>
                <w:sz w:val="23"/>
                <w:szCs w:val="23"/>
              </w:rPr>
              <w:t>生产</w:t>
            </w:r>
            <w:r>
              <w:rPr>
                <w:rFonts w:ascii="仿宋" w:hAnsi="仿宋" w:eastAsia="仿宋" w:cs="仿宋"/>
                <w:spacing w:val="3"/>
                <w:sz w:val="23"/>
                <w:szCs w:val="23"/>
              </w:rPr>
              <w:t>尼</w:t>
            </w:r>
            <w:r>
              <w:rPr>
                <w:rFonts w:ascii="仿宋" w:hAnsi="仿宋" w:eastAsia="仿宋" w:cs="仿宋"/>
                <w:spacing w:val="2"/>
                <w:sz w:val="23"/>
                <w:szCs w:val="23"/>
              </w:rPr>
              <w:t>龙</w:t>
            </w:r>
            <w:r>
              <w:rPr>
                <w:rFonts w:ascii="Arial" w:hAnsi="Arial" w:eastAsia="Arial" w:cs="Arial"/>
                <w:spacing w:val="2"/>
                <w:sz w:val="23"/>
                <w:szCs w:val="23"/>
              </w:rPr>
              <w:t>66</w:t>
            </w:r>
            <w:r>
              <w:rPr>
                <w:rFonts w:ascii="仿宋" w:hAnsi="仿宋" w:eastAsia="仿宋" w:cs="仿宋"/>
                <w:spacing w:val="2"/>
                <w:sz w:val="23"/>
                <w:szCs w:val="23"/>
              </w:rPr>
              <w:t>切片和鞋类产品、</w:t>
            </w:r>
            <w:r>
              <w:rPr>
                <w:rFonts w:ascii="仿宋" w:hAnsi="仿宋" w:eastAsia="仿宋" w:cs="仿宋"/>
                <w:spacing w:val="15"/>
                <w:sz w:val="23"/>
                <w:szCs w:val="23"/>
              </w:rPr>
              <w:t>服</w:t>
            </w:r>
            <w:r>
              <w:rPr>
                <w:rFonts w:ascii="仿宋" w:hAnsi="仿宋" w:eastAsia="仿宋" w:cs="仿宋"/>
                <w:spacing w:val="8"/>
                <w:sz w:val="23"/>
                <w:szCs w:val="23"/>
              </w:rPr>
              <w:t>装、包袋等体育用品</w:t>
            </w:r>
          </w:p>
        </w:tc>
        <w:tc>
          <w:tcPr>
            <w:tcW w:w="1295" w:type="dxa"/>
            <w:tcBorders>
              <w:tl2br w:val="nil"/>
              <w:tr2bl w:val="nil"/>
            </w:tcBorders>
            <w:noWrap w:val="0"/>
            <w:vAlign w:val="center"/>
          </w:tcPr>
          <w:p w14:paraId="56C576CD">
            <w:pPr>
              <w:keepNext w:val="0"/>
              <w:keepLines w:val="0"/>
              <w:pageBreakBefore w:val="0"/>
              <w:widowControl w:val="0"/>
              <w:kinsoku w:val="0"/>
              <w:wordWrap/>
              <w:overflowPunct/>
              <w:topLinePunct w:val="0"/>
              <w:autoSpaceDE w:val="0"/>
              <w:autoSpaceDN w:val="0"/>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5"/>
                <w:sz w:val="23"/>
                <w:szCs w:val="23"/>
              </w:rPr>
              <w:t>纺织</w:t>
            </w:r>
            <w:r>
              <w:rPr>
                <w:rFonts w:ascii="仿宋" w:hAnsi="仿宋" w:eastAsia="仿宋" w:cs="仿宋"/>
                <w:spacing w:val="4"/>
                <w:sz w:val="23"/>
                <w:szCs w:val="23"/>
              </w:rPr>
              <w:t>服</w:t>
            </w:r>
            <w:r>
              <w:rPr>
                <w:rFonts w:ascii="仿宋" w:hAnsi="仿宋" w:eastAsia="仿宋" w:cs="仿宋"/>
                <w:spacing w:val="7"/>
                <w:sz w:val="23"/>
                <w:szCs w:val="23"/>
              </w:rPr>
              <w:t>服饰</w:t>
            </w:r>
            <w:r>
              <w:rPr>
                <w:rFonts w:ascii="仿宋" w:hAnsi="仿宋" w:eastAsia="仿宋" w:cs="仿宋"/>
                <w:sz w:val="23"/>
                <w:szCs w:val="23"/>
              </w:rPr>
              <w:t>业</w:t>
            </w:r>
          </w:p>
        </w:tc>
      </w:tr>
      <w:tr w14:paraId="30510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04F4A7C4">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12</w:t>
            </w:r>
          </w:p>
        </w:tc>
        <w:tc>
          <w:tcPr>
            <w:tcW w:w="3684" w:type="dxa"/>
            <w:tcBorders>
              <w:tl2br w:val="nil"/>
              <w:tr2bl w:val="nil"/>
            </w:tcBorders>
            <w:noWrap w:val="0"/>
            <w:vAlign w:val="top"/>
          </w:tcPr>
          <w:p w14:paraId="7118165D">
            <w:pPr>
              <w:keepNext w:val="0"/>
              <w:keepLines w:val="0"/>
              <w:pageBreakBefore w:val="0"/>
              <w:widowControl w:val="0"/>
              <w:kinsoku/>
              <w:wordWrap/>
              <w:overflowPunct/>
              <w:topLinePunct/>
              <w:autoSpaceDE/>
              <w:autoSpaceDN/>
              <w:bidi w:val="0"/>
              <w:adjustRightInd w:val="0"/>
              <w:snapToGrid w:val="0"/>
              <w:spacing w:before="75" w:line="400" w:lineRule="exact"/>
              <w:ind w:left="0" w:leftChars="0" w:right="0" w:rightChars="0"/>
              <w:jc w:val="center"/>
              <w:textAlignment w:val="baseline"/>
              <w:rPr>
                <w:rFonts w:ascii="仿宋" w:hAnsi="仿宋" w:eastAsia="仿宋" w:cs="仿宋"/>
                <w:spacing w:val="15"/>
                <w:sz w:val="23"/>
                <w:szCs w:val="23"/>
              </w:rPr>
            </w:pPr>
          </w:p>
          <w:p w14:paraId="4AA848E6">
            <w:pPr>
              <w:keepNext w:val="0"/>
              <w:keepLines w:val="0"/>
              <w:pageBreakBefore w:val="0"/>
              <w:widowControl w:val="0"/>
              <w:kinsoku/>
              <w:wordWrap/>
              <w:overflowPunct/>
              <w:topLinePunct/>
              <w:autoSpaceDE/>
              <w:autoSpaceDN/>
              <w:bidi w:val="0"/>
              <w:adjustRightInd w:val="0"/>
              <w:snapToGrid w:val="0"/>
              <w:spacing w:before="75" w:line="400" w:lineRule="exact"/>
              <w:ind w:left="0" w:leftChars="0" w:right="0" w:right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5"/>
                <w:sz w:val="23"/>
                <w:szCs w:val="23"/>
              </w:rPr>
              <w:t>泉</w:t>
            </w:r>
            <w:r>
              <w:rPr>
                <w:rFonts w:ascii="仿宋" w:hAnsi="仿宋" w:eastAsia="仿宋" w:cs="仿宋"/>
                <w:spacing w:val="8"/>
                <w:sz w:val="23"/>
                <w:szCs w:val="23"/>
              </w:rPr>
              <w:t>州佳和服饰有限公司</w:t>
            </w:r>
          </w:p>
        </w:tc>
        <w:tc>
          <w:tcPr>
            <w:tcW w:w="3400" w:type="dxa"/>
            <w:tcBorders>
              <w:tl2br w:val="nil"/>
              <w:tr2bl w:val="nil"/>
            </w:tcBorders>
            <w:noWrap w:val="0"/>
            <w:vAlign w:val="top"/>
          </w:tcPr>
          <w:p w14:paraId="457F2368">
            <w:pPr>
              <w:keepNext w:val="0"/>
              <w:keepLines w:val="0"/>
              <w:pageBreakBefore w:val="0"/>
              <w:widowControl w:val="0"/>
              <w:kinsoku/>
              <w:wordWrap/>
              <w:overflowPunct/>
              <w:topLinePunct/>
              <w:autoSpaceDE/>
              <w:autoSpaceDN/>
              <w:bidi w:val="0"/>
              <w:adjustRightInd w:val="0"/>
              <w:snapToGrid w:val="0"/>
              <w:spacing w:before="76" w:line="400" w:lineRule="exact"/>
              <w:ind w:left="0" w:right="0" w:firstLine="0"/>
              <w:jc w:val="center"/>
              <w:textAlignment w:val="baseline"/>
              <w:rPr>
                <w:rFonts w:ascii="仿宋" w:hAnsi="仿宋" w:eastAsia="仿宋" w:cs="仿宋"/>
                <w:sz w:val="23"/>
                <w:szCs w:val="23"/>
              </w:rPr>
            </w:pPr>
            <w:r>
              <w:rPr>
                <w:rFonts w:ascii="仿宋" w:hAnsi="仿宋" w:eastAsia="仿宋" w:cs="仿宋"/>
                <w:spacing w:val="11"/>
                <w:sz w:val="23"/>
                <w:szCs w:val="23"/>
              </w:rPr>
              <w:t>服</w:t>
            </w:r>
            <w:r>
              <w:rPr>
                <w:rFonts w:ascii="仿宋" w:hAnsi="仿宋" w:eastAsia="仿宋" w:cs="仿宋"/>
                <w:spacing w:val="8"/>
                <w:sz w:val="23"/>
                <w:szCs w:val="23"/>
              </w:rPr>
              <w:t>装辅料、钮扣、胶针胶链、</w:t>
            </w:r>
          </w:p>
          <w:p w14:paraId="22EDADFE">
            <w:pPr>
              <w:keepNext w:val="0"/>
              <w:keepLines w:val="0"/>
              <w:pageBreakBefore w:val="0"/>
              <w:widowControl w:val="0"/>
              <w:kinsoku/>
              <w:wordWrap/>
              <w:overflowPunct/>
              <w:topLinePunct/>
              <w:autoSpaceDE/>
              <w:autoSpaceDN/>
              <w:bidi w:val="0"/>
              <w:adjustRightInd w:val="0"/>
              <w:snapToGrid w:val="0"/>
              <w:spacing w:before="34"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2"/>
                <w:sz w:val="23"/>
                <w:szCs w:val="23"/>
              </w:rPr>
              <w:t>四合扣、多用扣、</w:t>
            </w:r>
            <w:r>
              <w:rPr>
                <w:rFonts w:ascii="仿宋" w:hAnsi="仿宋" w:eastAsia="仿宋" w:cs="仿宋"/>
                <w:spacing w:val="-1"/>
                <w:sz w:val="23"/>
                <w:szCs w:val="23"/>
              </w:rPr>
              <w:t>吊粒、衣裤</w:t>
            </w:r>
            <w:r>
              <w:rPr>
                <w:rFonts w:ascii="仿宋" w:hAnsi="仿宋" w:eastAsia="仿宋" w:cs="仿宋"/>
                <w:spacing w:val="10"/>
                <w:sz w:val="23"/>
                <w:szCs w:val="23"/>
              </w:rPr>
              <w:t>夹</w:t>
            </w:r>
            <w:r>
              <w:rPr>
                <w:rFonts w:ascii="仿宋" w:hAnsi="仿宋" w:eastAsia="仿宋" w:cs="仿宋"/>
                <w:spacing w:val="8"/>
                <w:sz w:val="23"/>
                <w:szCs w:val="23"/>
              </w:rPr>
              <w:t>、衣架、箱包扣</w:t>
            </w:r>
          </w:p>
        </w:tc>
        <w:tc>
          <w:tcPr>
            <w:tcW w:w="1295" w:type="dxa"/>
            <w:vMerge w:val="restart"/>
            <w:tcBorders>
              <w:tl2br w:val="nil"/>
              <w:tr2bl w:val="nil"/>
            </w:tcBorders>
            <w:noWrap w:val="0"/>
            <w:vAlign w:val="center"/>
          </w:tcPr>
          <w:p w14:paraId="7CFFD3A5">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5"/>
                <w:sz w:val="23"/>
                <w:szCs w:val="23"/>
              </w:rPr>
              <w:t>纺织</w:t>
            </w:r>
            <w:r>
              <w:rPr>
                <w:rFonts w:ascii="仿宋" w:hAnsi="仿宋" w:eastAsia="仿宋" w:cs="仿宋"/>
                <w:spacing w:val="4"/>
                <w:sz w:val="23"/>
                <w:szCs w:val="23"/>
              </w:rPr>
              <w:t>服</w:t>
            </w:r>
            <w:r>
              <w:rPr>
                <w:rFonts w:ascii="仿宋" w:hAnsi="仿宋" w:eastAsia="仿宋" w:cs="仿宋"/>
                <w:spacing w:val="7"/>
                <w:sz w:val="23"/>
                <w:szCs w:val="23"/>
              </w:rPr>
              <w:t>服饰</w:t>
            </w:r>
            <w:r>
              <w:rPr>
                <w:rFonts w:ascii="仿宋" w:hAnsi="仿宋" w:eastAsia="仿宋" w:cs="仿宋"/>
                <w:sz w:val="23"/>
                <w:szCs w:val="23"/>
              </w:rPr>
              <w:t>业</w:t>
            </w:r>
          </w:p>
        </w:tc>
      </w:tr>
      <w:tr w14:paraId="3D4C1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68C7A22A">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13</w:t>
            </w:r>
          </w:p>
        </w:tc>
        <w:tc>
          <w:tcPr>
            <w:tcW w:w="3684" w:type="dxa"/>
            <w:tcBorders>
              <w:tl2br w:val="nil"/>
              <w:tr2bl w:val="nil"/>
            </w:tcBorders>
            <w:noWrap w:val="0"/>
            <w:vAlign w:val="center"/>
          </w:tcPr>
          <w:p w14:paraId="6E1373D6">
            <w:pPr>
              <w:keepNext w:val="0"/>
              <w:keepLines w:val="0"/>
              <w:pageBreakBefore w:val="0"/>
              <w:widowControl w:val="0"/>
              <w:kinsoku/>
              <w:wordWrap/>
              <w:overflowPunct/>
              <w:topLinePunct/>
              <w:autoSpaceDE/>
              <w:autoSpaceDN/>
              <w:bidi w:val="0"/>
              <w:adjustRightInd w:val="0"/>
              <w:snapToGrid w:val="0"/>
              <w:spacing w:before="78" w:line="40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13"/>
                <w:sz w:val="23"/>
                <w:szCs w:val="23"/>
              </w:rPr>
              <w:t>泉</w:t>
            </w:r>
            <w:r>
              <w:rPr>
                <w:rFonts w:ascii="仿宋" w:hAnsi="仿宋" w:eastAsia="仿宋" w:cs="仿宋"/>
                <w:spacing w:val="8"/>
                <w:sz w:val="23"/>
                <w:szCs w:val="23"/>
              </w:rPr>
              <w:t>州泉港万家鑫集团</w:t>
            </w:r>
          </w:p>
        </w:tc>
        <w:tc>
          <w:tcPr>
            <w:tcW w:w="3400" w:type="dxa"/>
            <w:tcBorders>
              <w:tl2br w:val="nil"/>
              <w:tr2bl w:val="nil"/>
            </w:tcBorders>
            <w:noWrap w:val="0"/>
            <w:vAlign w:val="center"/>
          </w:tcPr>
          <w:p w14:paraId="45A7822A">
            <w:pPr>
              <w:keepNext w:val="0"/>
              <w:keepLines w:val="0"/>
              <w:pageBreakBefore w:val="0"/>
              <w:widowControl w:val="0"/>
              <w:kinsoku/>
              <w:wordWrap/>
              <w:overflowPunct/>
              <w:topLinePunct/>
              <w:autoSpaceDE/>
              <w:autoSpaceDN/>
              <w:bidi w:val="0"/>
              <w:adjustRightInd w:val="0"/>
              <w:snapToGrid w:val="0"/>
              <w:spacing w:before="78" w:line="400" w:lineRule="exact"/>
              <w:ind w:left="0" w:leftChars="0" w:right="0" w:rightChars="0"/>
              <w:jc w:val="center"/>
              <w:textAlignment w:val="baseline"/>
              <w:rPr>
                <w:rFonts w:ascii="仿宋" w:hAnsi="仿宋" w:eastAsia="仿宋" w:cs="仿宋"/>
                <w:spacing w:val="4"/>
                <w:sz w:val="23"/>
                <w:szCs w:val="23"/>
              </w:rPr>
            </w:pPr>
            <w:r>
              <w:rPr>
                <w:rFonts w:ascii="仿宋" w:hAnsi="仿宋" w:eastAsia="仿宋" w:cs="仿宋"/>
                <w:spacing w:val="9"/>
                <w:sz w:val="23"/>
                <w:szCs w:val="23"/>
              </w:rPr>
              <w:t>成</w:t>
            </w:r>
            <w:r>
              <w:rPr>
                <w:rFonts w:ascii="仿宋" w:hAnsi="仿宋" w:eastAsia="仿宋" w:cs="仿宋"/>
                <w:spacing w:val="7"/>
                <w:sz w:val="23"/>
                <w:szCs w:val="23"/>
              </w:rPr>
              <w:t>品鞋及鞋底</w:t>
            </w:r>
          </w:p>
        </w:tc>
        <w:tc>
          <w:tcPr>
            <w:tcW w:w="1295" w:type="dxa"/>
            <w:vMerge w:val="continue"/>
            <w:tcBorders>
              <w:tl2br w:val="nil"/>
              <w:tr2bl w:val="nil"/>
            </w:tcBorders>
            <w:noWrap w:val="0"/>
            <w:vAlign w:val="center"/>
          </w:tcPr>
          <w:p w14:paraId="65E021D9">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70D1CC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003DE4D9">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14</w:t>
            </w:r>
          </w:p>
        </w:tc>
        <w:tc>
          <w:tcPr>
            <w:tcW w:w="3684" w:type="dxa"/>
            <w:tcBorders>
              <w:tl2br w:val="nil"/>
              <w:tr2bl w:val="nil"/>
            </w:tcBorders>
            <w:noWrap w:val="0"/>
            <w:vAlign w:val="center"/>
          </w:tcPr>
          <w:p w14:paraId="0238A046">
            <w:pPr>
              <w:keepNext w:val="0"/>
              <w:keepLines w:val="0"/>
              <w:pageBreakBefore w:val="0"/>
              <w:widowControl w:val="0"/>
              <w:kinsoku/>
              <w:wordWrap/>
              <w:overflowPunct/>
              <w:topLinePunct/>
              <w:autoSpaceDE/>
              <w:autoSpaceDN/>
              <w:bidi w:val="0"/>
              <w:adjustRightInd w:val="0"/>
              <w:snapToGrid w:val="0"/>
              <w:spacing w:before="78" w:line="40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9"/>
                <w:sz w:val="23"/>
                <w:szCs w:val="23"/>
              </w:rPr>
              <w:t>泉州市泉港兢诚轻工有限公司</w:t>
            </w:r>
          </w:p>
        </w:tc>
        <w:tc>
          <w:tcPr>
            <w:tcW w:w="3400" w:type="dxa"/>
            <w:tcBorders>
              <w:tl2br w:val="nil"/>
              <w:tr2bl w:val="nil"/>
            </w:tcBorders>
            <w:noWrap w:val="0"/>
            <w:vAlign w:val="center"/>
          </w:tcPr>
          <w:p w14:paraId="5F7E664A">
            <w:pPr>
              <w:keepNext w:val="0"/>
              <w:keepLines w:val="0"/>
              <w:pageBreakBefore w:val="0"/>
              <w:widowControl w:val="0"/>
              <w:kinsoku/>
              <w:wordWrap/>
              <w:overflowPunct/>
              <w:topLinePunct/>
              <w:autoSpaceDE/>
              <w:autoSpaceDN/>
              <w:bidi w:val="0"/>
              <w:adjustRightInd w:val="0"/>
              <w:snapToGrid w:val="0"/>
              <w:spacing w:before="78" w:line="400" w:lineRule="exact"/>
              <w:ind w:left="0" w:leftChars="0" w:right="0" w:rightChars="0"/>
              <w:jc w:val="center"/>
              <w:textAlignment w:val="baseline"/>
              <w:rPr>
                <w:rFonts w:ascii="仿宋" w:hAnsi="仿宋" w:eastAsia="仿宋" w:cs="仿宋"/>
                <w:spacing w:val="4"/>
                <w:sz w:val="23"/>
                <w:szCs w:val="23"/>
              </w:rPr>
            </w:pPr>
            <w:r>
              <w:rPr>
                <w:rFonts w:ascii="仿宋" w:hAnsi="仿宋" w:eastAsia="仿宋" w:cs="仿宋"/>
                <w:spacing w:val="10"/>
                <w:sz w:val="23"/>
                <w:szCs w:val="23"/>
              </w:rPr>
              <w:t>箱</w:t>
            </w:r>
            <w:r>
              <w:rPr>
                <w:rFonts w:ascii="仿宋" w:hAnsi="仿宋" w:eastAsia="仿宋" w:cs="仿宋"/>
                <w:spacing w:val="8"/>
                <w:sz w:val="23"/>
                <w:szCs w:val="23"/>
              </w:rPr>
              <w:t>包、旅行袋</w:t>
            </w:r>
          </w:p>
        </w:tc>
        <w:tc>
          <w:tcPr>
            <w:tcW w:w="1295" w:type="dxa"/>
            <w:vMerge w:val="continue"/>
            <w:tcBorders>
              <w:tl2br w:val="nil"/>
              <w:tr2bl w:val="nil"/>
            </w:tcBorders>
            <w:noWrap w:val="0"/>
            <w:vAlign w:val="center"/>
          </w:tcPr>
          <w:p w14:paraId="71E7E14B">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3892F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5ABB51FF">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15</w:t>
            </w:r>
          </w:p>
        </w:tc>
        <w:tc>
          <w:tcPr>
            <w:tcW w:w="3684" w:type="dxa"/>
            <w:tcBorders>
              <w:tl2br w:val="nil"/>
              <w:tr2bl w:val="nil"/>
            </w:tcBorders>
            <w:noWrap w:val="0"/>
            <w:vAlign w:val="center"/>
          </w:tcPr>
          <w:p w14:paraId="4CC7A25C">
            <w:pPr>
              <w:keepNext w:val="0"/>
              <w:keepLines w:val="0"/>
              <w:pageBreakBefore w:val="0"/>
              <w:widowControl w:val="0"/>
              <w:kinsoku/>
              <w:wordWrap/>
              <w:overflowPunct/>
              <w:topLinePunct/>
              <w:autoSpaceDE/>
              <w:autoSpaceDN/>
              <w:bidi w:val="0"/>
              <w:adjustRightInd w:val="0"/>
              <w:snapToGrid w:val="0"/>
              <w:spacing w:before="77" w:line="40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10"/>
                <w:sz w:val="23"/>
                <w:szCs w:val="23"/>
              </w:rPr>
              <w:t>泉</w:t>
            </w:r>
            <w:r>
              <w:rPr>
                <w:rFonts w:ascii="仿宋" w:hAnsi="仿宋" w:eastAsia="仿宋" w:cs="仿宋"/>
                <w:spacing w:val="9"/>
                <w:sz w:val="23"/>
                <w:szCs w:val="23"/>
              </w:rPr>
              <w:t>州市泉港区南港工贸有限公司</w:t>
            </w:r>
          </w:p>
        </w:tc>
        <w:tc>
          <w:tcPr>
            <w:tcW w:w="3400" w:type="dxa"/>
            <w:tcBorders>
              <w:tl2br w:val="nil"/>
              <w:tr2bl w:val="nil"/>
            </w:tcBorders>
            <w:noWrap w:val="0"/>
            <w:vAlign w:val="center"/>
          </w:tcPr>
          <w:p w14:paraId="16ADD645">
            <w:pPr>
              <w:keepNext w:val="0"/>
              <w:keepLines w:val="0"/>
              <w:pageBreakBefore w:val="0"/>
              <w:widowControl w:val="0"/>
              <w:kinsoku/>
              <w:wordWrap/>
              <w:overflowPunct/>
              <w:topLinePunct/>
              <w:autoSpaceDE/>
              <w:autoSpaceDN/>
              <w:bidi w:val="0"/>
              <w:adjustRightInd w:val="0"/>
              <w:snapToGrid w:val="0"/>
              <w:spacing w:before="77" w:line="400" w:lineRule="exact"/>
              <w:ind w:left="0" w:leftChars="0" w:right="0" w:rightChars="0"/>
              <w:jc w:val="center"/>
              <w:textAlignment w:val="baseline"/>
              <w:rPr>
                <w:rFonts w:ascii="仿宋" w:hAnsi="仿宋" w:eastAsia="仿宋" w:cs="仿宋"/>
                <w:spacing w:val="4"/>
                <w:sz w:val="23"/>
                <w:szCs w:val="23"/>
              </w:rPr>
            </w:pPr>
            <w:r>
              <w:rPr>
                <w:rFonts w:ascii="仿宋" w:hAnsi="仿宋" w:eastAsia="仿宋" w:cs="仿宋"/>
                <w:spacing w:val="12"/>
                <w:sz w:val="23"/>
                <w:szCs w:val="23"/>
              </w:rPr>
              <w:t>生</w:t>
            </w:r>
            <w:r>
              <w:rPr>
                <w:rFonts w:ascii="仿宋" w:hAnsi="仿宋" w:eastAsia="仿宋" w:cs="仿宋"/>
                <w:spacing w:val="7"/>
                <w:sz w:val="23"/>
                <w:szCs w:val="23"/>
              </w:rPr>
              <w:t>产针织布面料及服装</w:t>
            </w:r>
          </w:p>
        </w:tc>
        <w:tc>
          <w:tcPr>
            <w:tcW w:w="1295" w:type="dxa"/>
            <w:vMerge w:val="continue"/>
            <w:tcBorders>
              <w:tl2br w:val="nil"/>
              <w:tr2bl w:val="nil"/>
            </w:tcBorders>
            <w:noWrap w:val="0"/>
            <w:vAlign w:val="center"/>
          </w:tcPr>
          <w:p w14:paraId="51BE9F42">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4C344F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7CDD7CEE">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16</w:t>
            </w:r>
          </w:p>
        </w:tc>
        <w:tc>
          <w:tcPr>
            <w:tcW w:w="3684" w:type="dxa"/>
            <w:tcBorders>
              <w:tl2br w:val="nil"/>
              <w:tr2bl w:val="nil"/>
            </w:tcBorders>
            <w:noWrap w:val="0"/>
            <w:vAlign w:val="center"/>
          </w:tcPr>
          <w:p w14:paraId="377363CB">
            <w:pPr>
              <w:keepNext w:val="0"/>
              <w:keepLines w:val="0"/>
              <w:pageBreakBefore w:val="0"/>
              <w:widowControl w:val="0"/>
              <w:kinsoku/>
              <w:wordWrap/>
              <w:overflowPunct/>
              <w:topLinePunct/>
              <w:autoSpaceDE/>
              <w:autoSpaceDN/>
              <w:bidi w:val="0"/>
              <w:adjustRightInd w:val="0"/>
              <w:snapToGrid w:val="0"/>
              <w:spacing w:before="79" w:line="400" w:lineRule="exact"/>
              <w:ind w:left="0" w:leftChars="0" w:right="0" w:right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福建省鑫佳鼎轻工实业有限公司</w:t>
            </w:r>
          </w:p>
        </w:tc>
        <w:tc>
          <w:tcPr>
            <w:tcW w:w="3400" w:type="dxa"/>
            <w:tcBorders>
              <w:tl2br w:val="nil"/>
              <w:tr2bl w:val="nil"/>
            </w:tcBorders>
            <w:noWrap w:val="0"/>
            <w:vAlign w:val="center"/>
          </w:tcPr>
          <w:p w14:paraId="43AB2358">
            <w:pPr>
              <w:keepNext w:val="0"/>
              <w:keepLines w:val="0"/>
              <w:pageBreakBefore w:val="0"/>
              <w:widowControl w:val="0"/>
              <w:kinsoku/>
              <w:wordWrap/>
              <w:overflowPunct/>
              <w:topLinePunct/>
              <w:autoSpaceDE/>
              <w:autoSpaceDN/>
              <w:bidi w:val="0"/>
              <w:adjustRightInd w:val="0"/>
              <w:snapToGrid w:val="0"/>
              <w:spacing w:before="78" w:line="400" w:lineRule="exact"/>
              <w:ind w:left="0" w:leftChars="0" w:right="0" w:right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6"/>
                <w:sz w:val="23"/>
                <w:szCs w:val="23"/>
              </w:rPr>
              <w:t>纺</w:t>
            </w:r>
            <w:r>
              <w:rPr>
                <w:rFonts w:ascii="仿宋" w:hAnsi="仿宋" w:eastAsia="仿宋" w:cs="仿宋"/>
                <w:spacing w:val="-4"/>
                <w:sz w:val="23"/>
                <w:szCs w:val="23"/>
              </w:rPr>
              <w:t>织机械(已停产)</w:t>
            </w:r>
          </w:p>
        </w:tc>
        <w:tc>
          <w:tcPr>
            <w:tcW w:w="1295" w:type="dxa"/>
            <w:vMerge w:val="restart"/>
            <w:tcBorders>
              <w:tl2br w:val="nil"/>
              <w:tr2bl w:val="nil"/>
            </w:tcBorders>
            <w:noWrap w:val="0"/>
            <w:vAlign w:val="center"/>
          </w:tcPr>
          <w:p w14:paraId="45C3AB00">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6"/>
                <w:sz w:val="23"/>
                <w:szCs w:val="23"/>
              </w:rPr>
              <w:t>专用设</w:t>
            </w:r>
            <w:r>
              <w:rPr>
                <w:rFonts w:ascii="仿宋" w:hAnsi="仿宋" w:eastAsia="仿宋" w:cs="仿宋"/>
                <w:spacing w:val="5"/>
                <w:sz w:val="23"/>
                <w:szCs w:val="23"/>
              </w:rPr>
              <w:t>备制</w:t>
            </w:r>
            <w:r>
              <w:rPr>
                <w:rFonts w:ascii="仿宋" w:hAnsi="仿宋" w:eastAsia="仿宋" w:cs="仿宋"/>
                <w:spacing w:val="4"/>
                <w:sz w:val="23"/>
                <w:szCs w:val="23"/>
              </w:rPr>
              <w:t>造业</w:t>
            </w:r>
          </w:p>
        </w:tc>
      </w:tr>
      <w:tr w14:paraId="35EC6D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54025327">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17</w:t>
            </w:r>
          </w:p>
        </w:tc>
        <w:tc>
          <w:tcPr>
            <w:tcW w:w="3684" w:type="dxa"/>
            <w:tcBorders>
              <w:tl2br w:val="nil"/>
              <w:tr2bl w:val="nil"/>
            </w:tcBorders>
            <w:noWrap w:val="0"/>
            <w:vAlign w:val="center"/>
          </w:tcPr>
          <w:p w14:paraId="43D77EFF">
            <w:pPr>
              <w:keepNext w:val="0"/>
              <w:keepLines w:val="0"/>
              <w:pageBreakBefore w:val="0"/>
              <w:widowControl w:val="0"/>
              <w:kinsoku/>
              <w:wordWrap/>
              <w:overflowPunct/>
              <w:topLinePunct/>
              <w:autoSpaceDE/>
              <w:autoSpaceDN/>
              <w:bidi w:val="0"/>
              <w:adjustRightInd w:val="0"/>
              <w:snapToGrid w:val="0"/>
              <w:spacing w:before="79" w:line="400" w:lineRule="exact"/>
              <w:ind w:left="0" w:leftChars="0" w:right="0" w:rightChars="0" w:hanging="2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7"/>
                <w:sz w:val="23"/>
                <w:szCs w:val="23"/>
              </w:rPr>
              <w:t>福建和盛置信非晶合金变压器</w:t>
            </w:r>
            <w:r>
              <w:rPr>
                <w:rFonts w:ascii="仿宋" w:hAnsi="仿宋" w:eastAsia="仿宋" w:cs="仿宋"/>
                <w:spacing w:val="16"/>
                <w:sz w:val="23"/>
                <w:szCs w:val="23"/>
              </w:rPr>
              <w:t>有</w:t>
            </w:r>
            <w:r>
              <w:rPr>
                <w:rFonts w:ascii="仿宋" w:hAnsi="仿宋" w:eastAsia="仿宋" w:cs="仿宋"/>
                <w:spacing w:val="-2"/>
                <w:sz w:val="23"/>
                <w:szCs w:val="23"/>
              </w:rPr>
              <w:t>限</w:t>
            </w:r>
            <w:r>
              <w:rPr>
                <w:rFonts w:ascii="仿宋" w:hAnsi="仿宋" w:eastAsia="仿宋" w:cs="仿宋"/>
                <w:spacing w:val="-1"/>
                <w:sz w:val="23"/>
                <w:szCs w:val="23"/>
              </w:rPr>
              <w:t>公司</w:t>
            </w:r>
          </w:p>
        </w:tc>
        <w:tc>
          <w:tcPr>
            <w:tcW w:w="3400" w:type="dxa"/>
            <w:tcBorders>
              <w:tl2br w:val="nil"/>
              <w:tr2bl w:val="nil"/>
            </w:tcBorders>
            <w:noWrap w:val="0"/>
            <w:vAlign w:val="center"/>
          </w:tcPr>
          <w:p w14:paraId="47D29828">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1"/>
                <w:sz w:val="23"/>
                <w:szCs w:val="23"/>
              </w:rPr>
              <w:t>非</w:t>
            </w:r>
            <w:r>
              <w:rPr>
                <w:rFonts w:ascii="仿宋" w:hAnsi="仿宋" w:eastAsia="仿宋" w:cs="仿宋"/>
                <w:spacing w:val="6"/>
                <w:sz w:val="23"/>
                <w:szCs w:val="23"/>
              </w:rPr>
              <w:t>晶合金变压器</w:t>
            </w:r>
          </w:p>
        </w:tc>
        <w:tc>
          <w:tcPr>
            <w:tcW w:w="1295" w:type="dxa"/>
            <w:vMerge w:val="continue"/>
            <w:tcBorders>
              <w:tl2br w:val="nil"/>
              <w:tr2bl w:val="nil"/>
            </w:tcBorders>
            <w:noWrap w:val="0"/>
            <w:vAlign w:val="center"/>
          </w:tcPr>
          <w:p w14:paraId="3CC67E4D">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10DFE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0F0FA7FF">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18</w:t>
            </w:r>
          </w:p>
        </w:tc>
        <w:tc>
          <w:tcPr>
            <w:tcW w:w="3684" w:type="dxa"/>
            <w:tcBorders>
              <w:tl2br w:val="nil"/>
              <w:tr2bl w:val="nil"/>
            </w:tcBorders>
            <w:noWrap w:val="0"/>
            <w:vAlign w:val="center"/>
          </w:tcPr>
          <w:p w14:paraId="1F18A1AD">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本益科技股份有限公司</w:t>
            </w:r>
          </w:p>
        </w:tc>
        <w:tc>
          <w:tcPr>
            <w:tcW w:w="3400" w:type="dxa"/>
            <w:tcBorders>
              <w:tl2br w:val="nil"/>
              <w:tr2bl w:val="nil"/>
            </w:tcBorders>
            <w:noWrap w:val="0"/>
            <w:vAlign w:val="center"/>
          </w:tcPr>
          <w:p w14:paraId="0BFBEC3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人造石英石、新型碳材</w:t>
            </w:r>
            <w:r>
              <w:rPr>
                <w:rFonts w:ascii="仿宋" w:hAnsi="仿宋" w:eastAsia="仿宋" w:cs="仿宋"/>
                <w:spacing w:val="8"/>
                <w:sz w:val="23"/>
                <w:szCs w:val="23"/>
              </w:rPr>
              <w:t>料</w:t>
            </w:r>
          </w:p>
        </w:tc>
        <w:tc>
          <w:tcPr>
            <w:tcW w:w="1295" w:type="dxa"/>
            <w:vMerge w:val="restart"/>
            <w:tcBorders>
              <w:tl2br w:val="nil"/>
              <w:tr2bl w:val="nil"/>
            </w:tcBorders>
            <w:noWrap w:val="0"/>
            <w:vAlign w:val="center"/>
          </w:tcPr>
          <w:p w14:paraId="3781762A">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5"/>
                <w:sz w:val="23"/>
                <w:szCs w:val="23"/>
              </w:rPr>
              <w:t>非</w:t>
            </w:r>
            <w:r>
              <w:rPr>
                <w:rFonts w:ascii="仿宋" w:hAnsi="仿宋" w:eastAsia="仿宋" w:cs="仿宋"/>
                <w:spacing w:val="4"/>
                <w:sz w:val="23"/>
                <w:szCs w:val="23"/>
              </w:rPr>
              <w:t>金属矿</w:t>
            </w:r>
            <w:r>
              <w:rPr>
                <w:rFonts w:ascii="仿宋" w:hAnsi="仿宋" w:eastAsia="仿宋" w:cs="仿宋"/>
                <w:spacing w:val="6"/>
                <w:sz w:val="23"/>
                <w:szCs w:val="23"/>
              </w:rPr>
              <w:t>物制品</w:t>
            </w:r>
            <w:r>
              <w:rPr>
                <w:rFonts w:ascii="仿宋" w:hAnsi="仿宋" w:eastAsia="仿宋" w:cs="仿宋"/>
                <w:spacing w:val="5"/>
                <w:sz w:val="23"/>
                <w:szCs w:val="23"/>
              </w:rPr>
              <w:t>业</w:t>
            </w:r>
          </w:p>
        </w:tc>
      </w:tr>
      <w:tr w14:paraId="1B53B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7CC987F5">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19</w:t>
            </w:r>
          </w:p>
        </w:tc>
        <w:tc>
          <w:tcPr>
            <w:tcW w:w="3684" w:type="dxa"/>
            <w:tcBorders>
              <w:tl2br w:val="nil"/>
              <w:tr2bl w:val="nil"/>
            </w:tcBorders>
            <w:noWrap w:val="0"/>
            <w:vAlign w:val="center"/>
          </w:tcPr>
          <w:p w14:paraId="3E91D093">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4"/>
                <w:sz w:val="23"/>
                <w:szCs w:val="23"/>
              </w:rPr>
              <w:t>德</w:t>
            </w:r>
            <w:r>
              <w:rPr>
                <w:rFonts w:ascii="仿宋" w:hAnsi="仿宋" w:eastAsia="仿宋" w:cs="仿宋"/>
                <w:spacing w:val="9"/>
                <w:sz w:val="23"/>
                <w:szCs w:val="23"/>
              </w:rPr>
              <w:t>和水泥制品有限公司</w:t>
            </w:r>
          </w:p>
        </w:tc>
        <w:tc>
          <w:tcPr>
            <w:tcW w:w="3400" w:type="dxa"/>
            <w:tcBorders>
              <w:tl2br w:val="nil"/>
              <w:tr2bl w:val="nil"/>
            </w:tcBorders>
            <w:noWrap w:val="0"/>
            <w:vAlign w:val="center"/>
          </w:tcPr>
          <w:p w14:paraId="5E7D526F">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8"/>
                <w:sz w:val="23"/>
                <w:szCs w:val="23"/>
              </w:rPr>
              <w:t>水泥制</w:t>
            </w:r>
            <w:r>
              <w:rPr>
                <w:rFonts w:ascii="仿宋" w:hAnsi="仿宋" w:eastAsia="仿宋" w:cs="仿宋"/>
                <w:spacing w:val="7"/>
                <w:sz w:val="23"/>
                <w:szCs w:val="23"/>
              </w:rPr>
              <w:t>品</w:t>
            </w:r>
          </w:p>
        </w:tc>
        <w:tc>
          <w:tcPr>
            <w:tcW w:w="1295" w:type="dxa"/>
            <w:vMerge w:val="continue"/>
            <w:tcBorders>
              <w:tl2br w:val="nil"/>
              <w:tr2bl w:val="nil"/>
            </w:tcBorders>
            <w:noWrap w:val="0"/>
            <w:vAlign w:val="center"/>
          </w:tcPr>
          <w:p w14:paraId="78895DA6">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60FA5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36829535">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20</w:t>
            </w:r>
          </w:p>
        </w:tc>
        <w:tc>
          <w:tcPr>
            <w:tcW w:w="3684" w:type="dxa"/>
            <w:tcBorders>
              <w:tl2br w:val="nil"/>
              <w:tr2bl w:val="nil"/>
            </w:tcBorders>
            <w:noWrap w:val="0"/>
            <w:vAlign w:val="center"/>
          </w:tcPr>
          <w:p w14:paraId="52510AF3">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泉州市泉港厦日建材有限公司</w:t>
            </w:r>
          </w:p>
        </w:tc>
        <w:tc>
          <w:tcPr>
            <w:tcW w:w="3400" w:type="dxa"/>
            <w:tcBorders>
              <w:tl2br w:val="nil"/>
              <w:tr2bl w:val="nil"/>
            </w:tcBorders>
            <w:noWrap w:val="0"/>
            <w:vAlign w:val="center"/>
          </w:tcPr>
          <w:p w14:paraId="351969FF">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3"/>
                <w:sz w:val="23"/>
                <w:szCs w:val="23"/>
              </w:rPr>
              <w:t>防</w:t>
            </w:r>
            <w:r>
              <w:rPr>
                <w:rFonts w:ascii="仿宋" w:hAnsi="仿宋" w:eastAsia="仿宋" w:cs="仿宋"/>
                <w:spacing w:val="2"/>
                <w:sz w:val="23"/>
                <w:szCs w:val="23"/>
              </w:rPr>
              <w:t>水涂料</w:t>
            </w:r>
          </w:p>
        </w:tc>
        <w:tc>
          <w:tcPr>
            <w:tcW w:w="1295" w:type="dxa"/>
            <w:vMerge w:val="continue"/>
            <w:tcBorders>
              <w:tl2br w:val="nil"/>
              <w:tr2bl w:val="nil"/>
            </w:tcBorders>
            <w:noWrap w:val="0"/>
            <w:vAlign w:val="center"/>
          </w:tcPr>
          <w:p w14:paraId="017C1744">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39DBAA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2A267AB2">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21</w:t>
            </w:r>
          </w:p>
        </w:tc>
        <w:tc>
          <w:tcPr>
            <w:tcW w:w="3684" w:type="dxa"/>
            <w:tcBorders>
              <w:tl2br w:val="nil"/>
              <w:tr2bl w:val="nil"/>
            </w:tcBorders>
            <w:noWrap w:val="0"/>
            <w:vAlign w:val="center"/>
          </w:tcPr>
          <w:p w14:paraId="39BAFC53">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5"/>
                <w:sz w:val="23"/>
                <w:szCs w:val="23"/>
              </w:rPr>
              <w:t>泉</w:t>
            </w:r>
            <w:r>
              <w:rPr>
                <w:rFonts w:ascii="仿宋" w:hAnsi="仿宋" w:eastAsia="仿宋" w:cs="仿宋"/>
                <w:spacing w:val="8"/>
                <w:sz w:val="23"/>
                <w:szCs w:val="23"/>
              </w:rPr>
              <w:t>州市泉港安兴石材厂</w:t>
            </w:r>
          </w:p>
        </w:tc>
        <w:tc>
          <w:tcPr>
            <w:tcW w:w="3400" w:type="dxa"/>
            <w:tcBorders>
              <w:tl2br w:val="nil"/>
              <w:tr2bl w:val="nil"/>
            </w:tcBorders>
            <w:noWrap w:val="0"/>
            <w:vAlign w:val="center"/>
          </w:tcPr>
          <w:p w14:paraId="0DFC93C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6"/>
                <w:sz w:val="23"/>
                <w:szCs w:val="23"/>
              </w:rPr>
              <w:t>石</w:t>
            </w:r>
            <w:r>
              <w:rPr>
                <w:rFonts w:ascii="仿宋" w:hAnsi="仿宋" w:eastAsia="仿宋" w:cs="仿宋"/>
                <w:spacing w:val="5"/>
                <w:sz w:val="23"/>
                <w:szCs w:val="23"/>
              </w:rPr>
              <w:t>材加工</w:t>
            </w:r>
          </w:p>
        </w:tc>
        <w:tc>
          <w:tcPr>
            <w:tcW w:w="1295" w:type="dxa"/>
            <w:vMerge w:val="continue"/>
            <w:tcBorders>
              <w:tl2br w:val="nil"/>
              <w:tr2bl w:val="nil"/>
            </w:tcBorders>
            <w:noWrap w:val="0"/>
            <w:vAlign w:val="center"/>
          </w:tcPr>
          <w:p w14:paraId="004C6AE6">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4800BC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481E02D3">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22</w:t>
            </w:r>
          </w:p>
        </w:tc>
        <w:tc>
          <w:tcPr>
            <w:tcW w:w="3684" w:type="dxa"/>
            <w:tcBorders>
              <w:tl2br w:val="nil"/>
              <w:tr2bl w:val="nil"/>
            </w:tcBorders>
            <w:noWrap w:val="0"/>
            <w:vAlign w:val="center"/>
          </w:tcPr>
          <w:p w14:paraId="7602E222">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泉州开普勒车用电机有限公司</w:t>
            </w:r>
          </w:p>
        </w:tc>
        <w:tc>
          <w:tcPr>
            <w:tcW w:w="3400" w:type="dxa"/>
            <w:tcBorders>
              <w:tl2br w:val="nil"/>
              <w:tr2bl w:val="nil"/>
            </w:tcBorders>
            <w:noWrap w:val="0"/>
            <w:vAlign w:val="center"/>
          </w:tcPr>
          <w:p w14:paraId="1681B50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3"/>
                <w:sz w:val="23"/>
                <w:szCs w:val="23"/>
              </w:rPr>
              <w:t>汽</w:t>
            </w:r>
            <w:r>
              <w:rPr>
                <w:rFonts w:ascii="仿宋" w:hAnsi="仿宋" w:eastAsia="仿宋" w:cs="仿宋"/>
                <w:spacing w:val="8"/>
                <w:sz w:val="23"/>
                <w:szCs w:val="23"/>
              </w:rPr>
              <w:t>车用起动机、汽车用发电机</w:t>
            </w:r>
          </w:p>
        </w:tc>
        <w:tc>
          <w:tcPr>
            <w:tcW w:w="1295" w:type="dxa"/>
            <w:vMerge w:val="restart"/>
            <w:tcBorders>
              <w:tl2br w:val="nil"/>
              <w:tr2bl w:val="nil"/>
            </w:tcBorders>
            <w:noWrap w:val="0"/>
            <w:vAlign w:val="center"/>
          </w:tcPr>
          <w:p w14:paraId="54BFA8CF">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5"/>
                <w:sz w:val="23"/>
                <w:szCs w:val="23"/>
              </w:rPr>
              <w:t>汽车制</w:t>
            </w:r>
            <w:r>
              <w:rPr>
                <w:rFonts w:ascii="仿宋" w:hAnsi="仿宋" w:eastAsia="仿宋" w:cs="仿宋"/>
                <w:spacing w:val="4"/>
                <w:sz w:val="23"/>
                <w:szCs w:val="23"/>
              </w:rPr>
              <w:t>造</w:t>
            </w:r>
            <w:r>
              <w:rPr>
                <w:rFonts w:ascii="仿宋" w:hAnsi="仿宋" w:eastAsia="仿宋" w:cs="仿宋"/>
                <w:sz w:val="23"/>
                <w:szCs w:val="23"/>
              </w:rPr>
              <w:t>业</w:t>
            </w:r>
          </w:p>
        </w:tc>
      </w:tr>
      <w:tr w14:paraId="14071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0F932D5E">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23</w:t>
            </w:r>
          </w:p>
        </w:tc>
        <w:tc>
          <w:tcPr>
            <w:tcW w:w="3684" w:type="dxa"/>
            <w:tcBorders>
              <w:tl2br w:val="nil"/>
              <w:tr2bl w:val="nil"/>
            </w:tcBorders>
            <w:noWrap w:val="0"/>
            <w:vAlign w:val="center"/>
          </w:tcPr>
          <w:p w14:paraId="772AF1B4">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泉州市良辉液力机械有限公司</w:t>
            </w:r>
          </w:p>
        </w:tc>
        <w:tc>
          <w:tcPr>
            <w:tcW w:w="3400" w:type="dxa"/>
            <w:tcBorders>
              <w:tl2br w:val="nil"/>
              <w:tr2bl w:val="nil"/>
            </w:tcBorders>
            <w:noWrap w:val="0"/>
            <w:vAlign w:val="center"/>
          </w:tcPr>
          <w:p w14:paraId="74A30604">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6"/>
                <w:sz w:val="23"/>
                <w:szCs w:val="23"/>
              </w:rPr>
              <w:t>液力机械</w:t>
            </w:r>
          </w:p>
        </w:tc>
        <w:tc>
          <w:tcPr>
            <w:tcW w:w="1295" w:type="dxa"/>
            <w:vMerge w:val="continue"/>
            <w:tcBorders>
              <w:tl2br w:val="nil"/>
              <w:tr2bl w:val="nil"/>
            </w:tcBorders>
            <w:noWrap w:val="0"/>
            <w:vAlign w:val="center"/>
          </w:tcPr>
          <w:p w14:paraId="2C68F6FA">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7EACDB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7262B9CB">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24</w:t>
            </w:r>
          </w:p>
        </w:tc>
        <w:tc>
          <w:tcPr>
            <w:tcW w:w="3684" w:type="dxa"/>
            <w:tcBorders>
              <w:tl2br w:val="nil"/>
              <w:tr2bl w:val="nil"/>
            </w:tcBorders>
            <w:noWrap w:val="0"/>
            <w:vAlign w:val="center"/>
          </w:tcPr>
          <w:p w14:paraId="34A9B4A5">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fldChar w:fldCharType="begin"/>
            </w:r>
            <w:r>
              <w:instrText xml:space="preserve">HYPERLINK"http://www.baidu.com/link?url=Jy5JyMBJBMVbSwdUqXgS4yfFeKOeZNliSw_lZWEdS7vHH5RGDqbNBB2fSo4qoXsl6M5rrY3BvxckB4PQBJf7IgEnDysUMVtHz_9Z5YmvRPoI9GYeyh96vljAUNiWFXGo-UAcKHPtBBfTmhM3JLqVvGzyNGt51VR_dZm3JYc-CG_XRExlK0y8deVRHWMorHZdSVyvZWy2LJhb-PGHZ4BJJK"</w:instrText>
            </w:r>
            <w:r>
              <w:fldChar w:fldCharType="separate"/>
            </w:r>
            <w:r>
              <w:rPr>
                <w:rFonts w:ascii="仿宋" w:hAnsi="仿宋" w:eastAsia="仿宋" w:cs="仿宋"/>
                <w:spacing w:val="9"/>
                <w:sz w:val="23"/>
                <w:szCs w:val="23"/>
              </w:rPr>
              <w:t>泉州市东方世家皮革有限公司</w:t>
            </w:r>
            <w:r>
              <w:rPr>
                <w:rFonts w:ascii="仿宋" w:hAnsi="仿宋" w:eastAsia="仿宋" w:cs="仿宋"/>
                <w:spacing w:val="9"/>
                <w:sz w:val="23"/>
                <w:szCs w:val="23"/>
              </w:rPr>
              <w:fldChar w:fldCharType="end"/>
            </w:r>
          </w:p>
        </w:tc>
        <w:tc>
          <w:tcPr>
            <w:tcW w:w="3400" w:type="dxa"/>
            <w:tcBorders>
              <w:tl2br w:val="nil"/>
              <w:tr2bl w:val="nil"/>
            </w:tcBorders>
            <w:noWrap w:val="0"/>
            <w:vAlign w:val="center"/>
          </w:tcPr>
          <w:p w14:paraId="506FA003">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0"/>
                <w:sz w:val="23"/>
                <w:szCs w:val="23"/>
              </w:rPr>
              <w:t>皮</w:t>
            </w:r>
            <w:r>
              <w:rPr>
                <w:rFonts w:ascii="仿宋" w:hAnsi="仿宋" w:eastAsia="仿宋" w:cs="仿宋"/>
                <w:spacing w:val="-6"/>
                <w:sz w:val="23"/>
                <w:szCs w:val="23"/>
              </w:rPr>
              <w:t>革(已停产)</w:t>
            </w:r>
          </w:p>
        </w:tc>
        <w:tc>
          <w:tcPr>
            <w:tcW w:w="1295" w:type="dxa"/>
            <w:vMerge w:val="restart"/>
            <w:tcBorders>
              <w:tl2br w:val="nil"/>
              <w:tr2bl w:val="nil"/>
            </w:tcBorders>
            <w:noWrap w:val="0"/>
            <w:vAlign w:val="center"/>
          </w:tcPr>
          <w:p w14:paraId="7FB05642">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0"/>
                <w:sz w:val="23"/>
                <w:szCs w:val="23"/>
              </w:rPr>
              <w:t>皮革、毛皮、羽毛及其制品和制鞋业</w:t>
            </w:r>
          </w:p>
        </w:tc>
      </w:tr>
      <w:tr w14:paraId="0F5219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4ADF784C">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25</w:t>
            </w:r>
          </w:p>
        </w:tc>
        <w:tc>
          <w:tcPr>
            <w:tcW w:w="3684" w:type="dxa"/>
            <w:tcBorders>
              <w:tl2br w:val="nil"/>
              <w:tr2bl w:val="nil"/>
            </w:tcBorders>
            <w:noWrap w:val="0"/>
            <w:vAlign w:val="center"/>
          </w:tcPr>
          <w:p w14:paraId="1C63259E">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5"/>
                <w:sz w:val="23"/>
                <w:szCs w:val="23"/>
              </w:rPr>
              <w:t>泉</w:t>
            </w:r>
            <w:r>
              <w:rPr>
                <w:rFonts w:ascii="仿宋" w:hAnsi="仿宋" w:eastAsia="仿宋" w:cs="仿宋"/>
                <w:spacing w:val="8"/>
                <w:sz w:val="23"/>
                <w:szCs w:val="23"/>
              </w:rPr>
              <w:t>州隆泰皮革有限公司</w:t>
            </w:r>
          </w:p>
        </w:tc>
        <w:tc>
          <w:tcPr>
            <w:tcW w:w="3400" w:type="dxa"/>
            <w:tcBorders>
              <w:tl2br w:val="nil"/>
              <w:tr2bl w:val="nil"/>
            </w:tcBorders>
            <w:noWrap w:val="0"/>
            <w:vAlign w:val="center"/>
          </w:tcPr>
          <w:p w14:paraId="61E0827D">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7"/>
                <w:sz w:val="23"/>
                <w:szCs w:val="23"/>
              </w:rPr>
              <w:t>人</w:t>
            </w:r>
            <w:r>
              <w:rPr>
                <w:rFonts w:ascii="仿宋" w:hAnsi="仿宋" w:eastAsia="仿宋" w:cs="仿宋"/>
                <w:spacing w:val="-5"/>
                <w:sz w:val="23"/>
                <w:szCs w:val="23"/>
              </w:rPr>
              <w:t>造革(已停产)</w:t>
            </w:r>
          </w:p>
        </w:tc>
        <w:tc>
          <w:tcPr>
            <w:tcW w:w="1295" w:type="dxa"/>
            <w:vMerge w:val="continue"/>
            <w:tcBorders>
              <w:tl2br w:val="nil"/>
              <w:tr2bl w:val="nil"/>
            </w:tcBorders>
            <w:noWrap w:val="0"/>
            <w:vAlign w:val="center"/>
          </w:tcPr>
          <w:p w14:paraId="473ABBA0">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24D618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50990DB9">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26</w:t>
            </w:r>
          </w:p>
        </w:tc>
        <w:tc>
          <w:tcPr>
            <w:tcW w:w="3684" w:type="dxa"/>
            <w:tcBorders>
              <w:tl2br w:val="nil"/>
              <w:tr2bl w:val="nil"/>
            </w:tcBorders>
            <w:noWrap w:val="0"/>
            <w:vAlign w:val="center"/>
          </w:tcPr>
          <w:p w14:paraId="63090F82">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0"/>
                <w:sz w:val="23"/>
                <w:szCs w:val="23"/>
              </w:rPr>
              <w:t>泉</w:t>
            </w:r>
            <w:r>
              <w:rPr>
                <w:rFonts w:ascii="仿宋" w:hAnsi="仿宋" w:eastAsia="仿宋" w:cs="仿宋"/>
                <w:spacing w:val="9"/>
                <w:sz w:val="23"/>
                <w:szCs w:val="23"/>
              </w:rPr>
              <w:t>州市恒兴泰鞋业轻工有限公司</w:t>
            </w:r>
          </w:p>
        </w:tc>
        <w:tc>
          <w:tcPr>
            <w:tcW w:w="3400" w:type="dxa"/>
            <w:tcBorders>
              <w:tl2br w:val="nil"/>
              <w:tr2bl w:val="nil"/>
            </w:tcBorders>
            <w:noWrap w:val="0"/>
            <w:vAlign w:val="center"/>
          </w:tcPr>
          <w:p w14:paraId="7DDB37B0">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3"/>
                <w:sz w:val="23"/>
                <w:szCs w:val="23"/>
              </w:rPr>
              <w:t>劳保</w:t>
            </w:r>
            <w:r>
              <w:rPr>
                <w:rFonts w:ascii="仿宋" w:hAnsi="仿宋" w:eastAsia="仿宋" w:cs="仿宋"/>
                <w:spacing w:val="2"/>
                <w:sz w:val="23"/>
                <w:szCs w:val="23"/>
              </w:rPr>
              <w:t>鞋</w:t>
            </w:r>
          </w:p>
        </w:tc>
        <w:tc>
          <w:tcPr>
            <w:tcW w:w="1295" w:type="dxa"/>
            <w:vMerge w:val="continue"/>
            <w:tcBorders>
              <w:tl2br w:val="nil"/>
              <w:tr2bl w:val="nil"/>
            </w:tcBorders>
            <w:noWrap w:val="0"/>
            <w:vAlign w:val="center"/>
          </w:tcPr>
          <w:p w14:paraId="5DCFBCB9">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4C8F1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25402537">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27</w:t>
            </w:r>
          </w:p>
        </w:tc>
        <w:tc>
          <w:tcPr>
            <w:tcW w:w="3684" w:type="dxa"/>
            <w:tcBorders>
              <w:tl2br w:val="nil"/>
              <w:tr2bl w:val="nil"/>
            </w:tcBorders>
            <w:noWrap w:val="0"/>
            <w:vAlign w:val="center"/>
          </w:tcPr>
          <w:p w14:paraId="0DC10790">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9"/>
                <w:sz w:val="23"/>
                <w:szCs w:val="23"/>
              </w:rPr>
              <w:t>泉州成辉达门业有限公</w:t>
            </w:r>
            <w:r>
              <w:rPr>
                <w:rFonts w:ascii="仿宋" w:hAnsi="仿宋" w:eastAsia="仿宋" w:cs="仿宋"/>
                <w:spacing w:val="7"/>
                <w:sz w:val="23"/>
                <w:szCs w:val="23"/>
              </w:rPr>
              <w:t>司</w:t>
            </w:r>
          </w:p>
        </w:tc>
        <w:tc>
          <w:tcPr>
            <w:tcW w:w="3400" w:type="dxa"/>
            <w:tcBorders>
              <w:tl2br w:val="nil"/>
              <w:tr2bl w:val="nil"/>
            </w:tcBorders>
            <w:noWrap w:val="0"/>
            <w:vAlign w:val="center"/>
          </w:tcPr>
          <w:p w14:paraId="469398CC">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14"/>
                <w:sz w:val="23"/>
                <w:szCs w:val="23"/>
              </w:rPr>
              <w:t>钢</w:t>
            </w:r>
            <w:r>
              <w:rPr>
                <w:rFonts w:ascii="仿宋" w:hAnsi="仿宋" w:eastAsia="仿宋" w:cs="仿宋"/>
                <w:spacing w:val="9"/>
                <w:sz w:val="23"/>
                <w:szCs w:val="23"/>
              </w:rPr>
              <w:t>艺门、钢木门、木门、铜门</w:t>
            </w:r>
          </w:p>
        </w:tc>
        <w:tc>
          <w:tcPr>
            <w:tcW w:w="1295" w:type="dxa"/>
            <w:vMerge w:val="restart"/>
            <w:tcBorders>
              <w:tl2br w:val="nil"/>
              <w:tr2bl w:val="nil"/>
            </w:tcBorders>
            <w:noWrap w:val="0"/>
            <w:vAlign w:val="center"/>
          </w:tcPr>
          <w:p w14:paraId="49A7D938">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6"/>
                <w:sz w:val="23"/>
                <w:szCs w:val="23"/>
              </w:rPr>
              <w:t>建材</w:t>
            </w:r>
          </w:p>
        </w:tc>
      </w:tr>
      <w:tr w14:paraId="460D5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02E62FB1">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28</w:t>
            </w:r>
          </w:p>
        </w:tc>
        <w:tc>
          <w:tcPr>
            <w:tcW w:w="3684" w:type="dxa"/>
            <w:tcBorders>
              <w:tl2br w:val="nil"/>
              <w:tr2bl w:val="nil"/>
            </w:tcBorders>
            <w:noWrap w:val="0"/>
            <w:vAlign w:val="center"/>
          </w:tcPr>
          <w:p w14:paraId="33C3E64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9"/>
                <w:sz w:val="23"/>
                <w:szCs w:val="23"/>
              </w:rPr>
              <w:t>泉州鸿泰钢结构实业有限公司</w:t>
            </w:r>
          </w:p>
        </w:tc>
        <w:tc>
          <w:tcPr>
            <w:tcW w:w="3400" w:type="dxa"/>
            <w:tcBorders>
              <w:tl2br w:val="nil"/>
              <w:tr2bl w:val="nil"/>
            </w:tcBorders>
            <w:noWrap w:val="0"/>
            <w:vAlign w:val="center"/>
          </w:tcPr>
          <w:p w14:paraId="076EC2A7">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8"/>
                <w:sz w:val="23"/>
                <w:szCs w:val="23"/>
              </w:rPr>
              <w:t>钢</w:t>
            </w:r>
            <w:r>
              <w:rPr>
                <w:rFonts w:ascii="仿宋" w:hAnsi="仿宋" w:eastAsia="仿宋" w:cs="仿宋"/>
                <w:spacing w:val="-7"/>
                <w:sz w:val="23"/>
                <w:szCs w:val="23"/>
              </w:rPr>
              <w:t>构</w:t>
            </w:r>
            <w:r>
              <w:rPr>
                <w:rFonts w:ascii="仿宋" w:hAnsi="仿宋" w:eastAsia="仿宋" w:cs="仿宋"/>
                <w:spacing w:val="-4"/>
                <w:sz w:val="23"/>
                <w:szCs w:val="23"/>
              </w:rPr>
              <w:t>件、网架制造</w:t>
            </w:r>
          </w:p>
        </w:tc>
        <w:tc>
          <w:tcPr>
            <w:tcW w:w="1295" w:type="dxa"/>
            <w:vMerge w:val="continue"/>
            <w:tcBorders>
              <w:tl2br w:val="nil"/>
              <w:tr2bl w:val="nil"/>
            </w:tcBorders>
            <w:noWrap w:val="0"/>
            <w:vAlign w:val="center"/>
          </w:tcPr>
          <w:p w14:paraId="2AF2CCFE">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6632C8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5E1CECDC">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29</w:t>
            </w:r>
          </w:p>
        </w:tc>
        <w:tc>
          <w:tcPr>
            <w:tcW w:w="3684" w:type="dxa"/>
            <w:tcBorders>
              <w:tl2br w:val="nil"/>
              <w:tr2bl w:val="nil"/>
            </w:tcBorders>
            <w:noWrap w:val="0"/>
            <w:vAlign w:val="center"/>
          </w:tcPr>
          <w:p w14:paraId="096AA0C8">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10"/>
                <w:sz w:val="23"/>
                <w:szCs w:val="23"/>
              </w:rPr>
              <w:t>泉</w:t>
            </w:r>
            <w:r>
              <w:rPr>
                <w:rFonts w:ascii="仿宋" w:hAnsi="仿宋" w:eastAsia="仿宋" w:cs="仿宋"/>
                <w:spacing w:val="9"/>
                <w:sz w:val="23"/>
                <w:szCs w:val="23"/>
              </w:rPr>
              <w:t>州市泉港区天龙泉建材加工厂</w:t>
            </w:r>
          </w:p>
        </w:tc>
        <w:tc>
          <w:tcPr>
            <w:tcW w:w="3400" w:type="dxa"/>
            <w:tcBorders>
              <w:tl2br w:val="nil"/>
              <w:tr2bl w:val="nil"/>
            </w:tcBorders>
            <w:noWrap w:val="0"/>
            <w:vAlign w:val="center"/>
          </w:tcPr>
          <w:p w14:paraId="78709470">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10"/>
                <w:sz w:val="23"/>
                <w:szCs w:val="23"/>
              </w:rPr>
              <w:t>钢</w:t>
            </w:r>
            <w:r>
              <w:rPr>
                <w:rFonts w:ascii="仿宋" w:hAnsi="仿宋" w:eastAsia="仿宋" w:cs="仿宋"/>
                <w:spacing w:val="8"/>
                <w:sz w:val="23"/>
                <w:szCs w:val="23"/>
              </w:rPr>
              <w:t>管、扣件</w:t>
            </w:r>
          </w:p>
        </w:tc>
        <w:tc>
          <w:tcPr>
            <w:tcW w:w="1295" w:type="dxa"/>
            <w:vMerge w:val="continue"/>
            <w:tcBorders>
              <w:tl2br w:val="nil"/>
              <w:tr2bl w:val="nil"/>
            </w:tcBorders>
            <w:noWrap w:val="0"/>
            <w:vAlign w:val="center"/>
          </w:tcPr>
          <w:p w14:paraId="70E78B38">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57EFA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15970596">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30</w:t>
            </w:r>
          </w:p>
        </w:tc>
        <w:tc>
          <w:tcPr>
            <w:tcW w:w="3684" w:type="dxa"/>
            <w:tcBorders>
              <w:tl2br w:val="nil"/>
              <w:tr2bl w:val="nil"/>
            </w:tcBorders>
            <w:noWrap w:val="0"/>
            <w:vAlign w:val="center"/>
          </w:tcPr>
          <w:p w14:paraId="094FDFC2">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9"/>
                <w:sz w:val="23"/>
                <w:szCs w:val="23"/>
              </w:rPr>
              <w:t>福建荣盛钢结构实业有限公</w:t>
            </w:r>
            <w:r>
              <w:rPr>
                <w:rFonts w:ascii="仿宋" w:hAnsi="仿宋" w:eastAsia="仿宋" w:cs="仿宋"/>
                <w:spacing w:val="8"/>
                <w:sz w:val="23"/>
                <w:szCs w:val="23"/>
              </w:rPr>
              <w:t>司</w:t>
            </w:r>
          </w:p>
        </w:tc>
        <w:tc>
          <w:tcPr>
            <w:tcW w:w="3400" w:type="dxa"/>
            <w:tcBorders>
              <w:tl2br w:val="nil"/>
              <w:tr2bl w:val="nil"/>
            </w:tcBorders>
            <w:noWrap w:val="0"/>
            <w:vAlign w:val="center"/>
          </w:tcPr>
          <w:p w14:paraId="2BE177B9">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9"/>
                <w:sz w:val="23"/>
                <w:szCs w:val="23"/>
              </w:rPr>
              <w:t>钢结构、彩钢</w:t>
            </w:r>
            <w:r>
              <w:rPr>
                <w:rFonts w:ascii="仿宋" w:hAnsi="仿宋" w:eastAsia="仿宋" w:cs="仿宋"/>
                <w:spacing w:val="8"/>
                <w:sz w:val="23"/>
                <w:szCs w:val="23"/>
              </w:rPr>
              <w:t>板</w:t>
            </w:r>
          </w:p>
        </w:tc>
        <w:tc>
          <w:tcPr>
            <w:tcW w:w="1295" w:type="dxa"/>
            <w:vMerge w:val="continue"/>
            <w:tcBorders>
              <w:tl2br w:val="nil"/>
              <w:tr2bl w:val="nil"/>
            </w:tcBorders>
            <w:noWrap w:val="0"/>
            <w:vAlign w:val="center"/>
          </w:tcPr>
          <w:p w14:paraId="0A4012FF">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0A8EC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57A30696">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31</w:t>
            </w:r>
          </w:p>
        </w:tc>
        <w:tc>
          <w:tcPr>
            <w:tcW w:w="3684" w:type="dxa"/>
            <w:tcBorders>
              <w:tl2br w:val="nil"/>
              <w:tr2bl w:val="nil"/>
            </w:tcBorders>
            <w:noWrap w:val="0"/>
            <w:vAlign w:val="center"/>
          </w:tcPr>
          <w:p w14:paraId="417FA53B">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16"/>
                <w:sz w:val="23"/>
                <w:szCs w:val="23"/>
              </w:rPr>
              <w:t>德</w:t>
            </w:r>
            <w:r>
              <w:rPr>
                <w:rFonts w:ascii="仿宋" w:hAnsi="仿宋" w:eastAsia="仿宋" w:cs="仿宋"/>
                <w:spacing w:val="9"/>
                <w:sz w:val="23"/>
                <w:szCs w:val="23"/>
              </w:rPr>
              <w:t>和铁塔设备制品有限公司</w:t>
            </w:r>
          </w:p>
        </w:tc>
        <w:tc>
          <w:tcPr>
            <w:tcW w:w="3400" w:type="dxa"/>
            <w:tcBorders>
              <w:tl2br w:val="nil"/>
              <w:tr2bl w:val="nil"/>
            </w:tcBorders>
            <w:noWrap w:val="0"/>
            <w:vAlign w:val="center"/>
          </w:tcPr>
          <w:p w14:paraId="336316FA">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10"/>
                <w:sz w:val="23"/>
                <w:szCs w:val="23"/>
              </w:rPr>
              <w:t>金</w:t>
            </w:r>
            <w:r>
              <w:rPr>
                <w:rFonts w:ascii="仿宋" w:hAnsi="仿宋" w:eastAsia="仿宋" w:cs="仿宋"/>
                <w:spacing w:val="7"/>
                <w:sz w:val="23"/>
                <w:szCs w:val="23"/>
              </w:rPr>
              <w:t>属制品业</w:t>
            </w:r>
          </w:p>
        </w:tc>
        <w:tc>
          <w:tcPr>
            <w:tcW w:w="1295" w:type="dxa"/>
            <w:vMerge w:val="continue"/>
            <w:tcBorders>
              <w:tl2br w:val="nil"/>
              <w:tr2bl w:val="nil"/>
            </w:tcBorders>
            <w:noWrap w:val="0"/>
            <w:vAlign w:val="center"/>
          </w:tcPr>
          <w:p w14:paraId="22D50B55">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76594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135C9E58">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32</w:t>
            </w:r>
          </w:p>
        </w:tc>
        <w:tc>
          <w:tcPr>
            <w:tcW w:w="3684" w:type="dxa"/>
            <w:tcBorders>
              <w:tl2br w:val="nil"/>
              <w:tr2bl w:val="nil"/>
            </w:tcBorders>
            <w:noWrap w:val="0"/>
            <w:vAlign w:val="center"/>
          </w:tcPr>
          <w:p w14:paraId="7C1FAB8D">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9"/>
                <w:sz w:val="23"/>
                <w:szCs w:val="23"/>
              </w:rPr>
              <w:t>福建坚石电力配件制造有限公司</w:t>
            </w:r>
          </w:p>
        </w:tc>
        <w:tc>
          <w:tcPr>
            <w:tcW w:w="3400" w:type="dxa"/>
            <w:tcBorders>
              <w:tl2br w:val="nil"/>
              <w:tr2bl w:val="nil"/>
            </w:tcBorders>
            <w:noWrap w:val="0"/>
            <w:vAlign w:val="center"/>
          </w:tcPr>
          <w:p w14:paraId="4AA05763">
            <w:pPr>
              <w:keepNext w:val="0"/>
              <w:keepLines w:val="0"/>
              <w:pageBreakBefore w:val="0"/>
              <w:widowControl w:val="0"/>
              <w:kinsoku/>
              <w:wordWrap/>
              <w:overflowPunct/>
              <w:topLinePunct/>
              <w:autoSpaceDE/>
              <w:autoSpaceDN/>
              <w:bidi w:val="0"/>
              <w:adjustRightInd w:val="0"/>
              <w:snapToGrid w:val="0"/>
              <w:spacing w:line="40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生</w:t>
            </w:r>
            <w:r>
              <w:rPr>
                <w:rFonts w:ascii="仿宋" w:hAnsi="仿宋" w:eastAsia="仿宋" w:cs="仿宋"/>
                <w:spacing w:val="8"/>
                <w:sz w:val="23"/>
                <w:szCs w:val="23"/>
              </w:rPr>
              <w:t>产铁塔、棱形钢管杆、钢管</w:t>
            </w:r>
          </w:p>
          <w:p w14:paraId="2218E967">
            <w:pPr>
              <w:keepNext w:val="0"/>
              <w:keepLines w:val="0"/>
              <w:pageBreakBefore w:val="0"/>
              <w:widowControl w:val="0"/>
              <w:kinsoku/>
              <w:wordWrap/>
              <w:overflowPunct/>
              <w:topLinePunct/>
              <w:autoSpaceDE/>
              <w:autoSpaceDN/>
              <w:bidi w:val="0"/>
              <w:adjustRightInd w:val="0"/>
              <w:snapToGrid w:val="0"/>
              <w:spacing w:line="40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塔、钢管变电构支架、立体</w:t>
            </w:r>
            <w:r>
              <w:rPr>
                <w:rFonts w:ascii="仿宋" w:hAnsi="仿宋" w:eastAsia="仿宋" w:cs="仿宋"/>
                <w:spacing w:val="8"/>
                <w:sz w:val="23"/>
                <w:szCs w:val="23"/>
              </w:rPr>
              <w:t>停</w:t>
            </w:r>
          </w:p>
          <w:p w14:paraId="66CDBC3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8"/>
                <w:sz w:val="23"/>
                <w:szCs w:val="23"/>
              </w:rPr>
              <w:t>车设备及相关配套产品</w:t>
            </w:r>
          </w:p>
        </w:tc>
        <w:tc>
          <w:tcPr>
            <w:tcW w:w="1295" w:type="dxa"/>
            <w:vMerge w:val="continue"/>
            <w:tcBorders>
              <w:tl2br w:val="nil"/>
              <w:tr2bl w:val="nil"/>
            </w:tcBorders>
            <w:noWrap w:val="0"/>
            <w:vAlign w:val="center"/>
          </w:tcPr>
          <w:p w14:paraId="49AF0D59">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7AF3C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35EFCBB4">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33</w:t>
            </w:r>
          </w:p>
        </w:tc>
        <w:tc>
          <w:tcPr>
            <w:tcW w:w="3684" w:type="dxa"/>
            <w:tcBorders>
              <w:tl2br w:val="nil"/>
              <w:tr2bl w:val="nil"/>
            </w:tcBorders>
            <w:noWrap w:val="0"/>
            <w:vAlign w:val="center"/>
          </w:tcPr>
          <w:p w14:paraId="11422FEC">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9"/>
                <w:sz w:val="23"/>
                <w:szCs w:val="23"/>
              </w:rPr>
              <w:t>泉州玺堡家纺科技有限公</w:t>
            </w:r>
            <w:r>
              <w:rPr>
                <w:rFonts w:ascii="仿宋" w:hAnsi="仿宋" w:eastAsia="仿宋" w:cs="仿宋"/>
                <w:spacing w:val="8"/>
                <w:sz w:val="23"/>
                <w:szCs w:val="23"/>
              </w:rPr>
              <w:t>司</w:t>
            </w:r>
          </w:p>
        </w:tc>
        <w:tc>
          <w:tcPr>
            <w:tcW w:w="3400" w:type="dxa"/>
            <w:tcBorders>
              <w:tl2br w:val="nil"/>
              <w:tr2bl w:val="nil"/>
            </w:tcBorders>
            <w:noWrap w:val="0"/>
            <w:vAlign w:val="center"/>
          </w:tcPr>
          <w:p w14:paraId="513E0EF5">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9"/>
                <w:sz w:val="23"/>
                <w:szCs w:val="23"/>
              </w:rPr>
              <w:t>乳</w:t>
            </w:r>
            <w:r>
              <w:rPr>
                <w:rFonts w:ascii="仿宋" w:hAnsi="仿宋" w:eastAsia="仿宋" w:cs="仿宋"/>
                <w:spacing w:val="8"/>
                <w:sz w:val="23"/>
                <w:szCs w:val="23"/>
              </w:rPr>
              <w:t>胶床垫、乳胶枕头</w:t>
            </w:r>
          </w:p>
        </w:tc>
        <w:tc>
          <w:tcPr>
            <w:tcW w:w="1295" w:type="dxa"/>
            <w:vMerge w:val="restart"/>
            <w:tcBorders>
              <w:tl2br w:val="nil"/>
              <w:tr2bl w:val="nil"/>
            </w:tcBorders>
            <w:noWrap w:val="0"/>
            <w:vAlign w:val="center"/>
          </w:tcPr>
          <w:p w14:paraId="16087272">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6"/>
                <w:sz w:val="23"/>
                <w:szCs w:val="23"/>
              </w:rPr>
              <w:t>家具家居</w:t>
            </w:r>
          </w:p>
        </w:tc>
      </w:tr>
      <w:tr w14:paraId="02E09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0ED6FAA2">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34</w:t>
            </w:r>
          </w:p>
        </w:tc>
        <w:tc>
          <w:tcPr>
            <w:tcW w:w="3684" w:type="dxa"/>
            <w:tcBorders>
              <w:tl2br w:val="nil"/>
              <w:tr2bl w:val="nil"/>
            </w:tcBorders>
            <w:noWrap w:val="0"/>
            <w:vAlign w:val="center"/>
          </w:tcPr>
          <w:p w14:paraId="22AC00F3">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10"/>
                <w:sz w:val="23"/>
                <w:szCs w:val="23"/>
              </w:rPr>
            </w:pPr>
            <w:r>
              <w:rPr>
                <w:rFonts w:ascii="仿宋" w:hAnsi="仿宋" w:eastAsia="仿宋" w:cs="仿宋"/>
                <w:spacing w:val="15"/>
                <w:sz w:val="23"/>
                <w:szCs w:val="23"/>
              </w:rPr>
              <w:t>泉</w:t>
            </w:r>
            <w:r>
              <w:rPr>
                <w:rFonts w:ascii="仿宋" w:hAnsi="仿宋" w:eastAsia="仿宋" w:cs="仿宋"/>
                <w:spacing w:val="8"/>
                <w:sz w:val="23"/>
                <w:szCs w:val="23"/>
              </w:rPr>
              <w:t>州恒昂工贸有限公司</w:t>
            </w:r>
          </w:p>
        </w:tc>
        <w:tc>
          <w:tcPr>
            <w:tcW w:w="3400" w:type="dxa"/>
            <w:tcBorders>
              <w:tl2br w:val="nil"/>
              <w:tr2bl w:val="nil"/>
            </w:tcBorders>
            <w:noWrap w:val="0"/>
            <w:vAlign w:val="center"/>
          </w:tcPr>
          <w:p w14:paraId="773FDDCF">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spacing w:val="4"/>
                <w:sz w:val="23"/>
                <w:szCs w:val="23"/>
              </w:rPr>
            </w:pPr>
            <w:r>
              <w:rPr>
                <w:rFonts w:ascii="仿宋" w:hAnsi="仿宋" w:eastAsia="仿宋" w:cs="仿宋"/>
                <w:spacing w:val="9"/>
                <w:sz w:val="23"/>
                <w:szCs w:val="23"/>
              </w:rPr>
              <w:t>乳</w:t>
            </w:r>
            <w:r>
              <w:rPr>
                <w:rFonts w:ascii="仿宋" w:hAnsi="仿宋" w:eastAsia="仿宋" w:cs="仿宋"/>
                <w:spacing w:val="8"/>
                <w:sz w:val="23"/>
                <w:szCs w:val="23"/>
              </w:rPr>
              <w:t>胶床垫、乳胶枕头</w:t>
            </w:r>
          </w:p>
        </w:tc>
        <w:tc>
          <w:tcPr>
            <w:tcW w:w="1295" w:type="dxa"/>
            <w:vMerge w:val="continue"/>
            <w:tcBorders>
              <w:tl2br w:val="nil"/>
              <w:tr2bl w:val="nil"/>
            </w:tcBorders>
            <w:noWrap w:val="0"/>
            <w:vAlign w:val="center"/>
          </w:tcPr>
          <w:p w14:paraId="7734793E">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p>
        </w:tc>
      </w:tr>
      <w:tr w14:paraId="1470D9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21" w:type="dxa"/>
            <w:tcBorders>
              <w:tl2br w:val="nil"/>
              <w:tr2bl w:val="nil"/>
            </w:tcBorders>
            <w:noWrap w:val="0"/>
            <w:vAlign w:val="center"/>
          </w:tcPr>
          <w:p w14:paraId="74BCCB55">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hint="default" w:ascii="Arial" w:hAnsi="Arial" w:eastAsia="宋体" w:cs="Arial"/>
                <w:spacing w:val="-11"/>
                <w:sz w:val="23"/>
                <w:szCs w:val="23"/>
                <w:lang w:val="en-US" w:eastAsia="zh-CN"/>
              </w:rPr>
            </w:pPr>
            <w:r>
              <w:rPr>
                <w:rFonts w:hint="eastAsia" w:ascii="Arial" w:hAnsi="Arial" w:eastAsia="宋体" w:cs="Arial"/>
                <w:spacing w:val="-11"/>
                <w:sz w:val="23"/>
                <w:szCs w:val="23"/>
                <w:lang w:val="en-US" w:eastAsia="zh-CN"/>
              </w:rPr>
              <w:t>35</w:t>
            </w:r>
          </w:p>
        </w:tc>
        <w:tc>
          <w:tcPr>
            <w:tcW w:w="3684" w:type="dxa"/>
            <w:tcBorders>
              <w:tl2br w:val="nil"/>
              <w:tr2bl w:val="nil"/>
            </w:tcBorders>
            <w:noWrap w:val="0"/>
            <w:vAlign w:val="center"/>
          </w:tcPr>
          <w:p w14:paraId="2F57136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9"/>
                <w:sz w:val="23"/>
                <w:szCs w:val="23"/>
              </w:rPr>
              <w:t>福建天线宝宝食品股份有限公司</w:t>
            </w:r>
          </w:p>
        </w:tc>
        <w:tc>
          <w:tcPr>
            <w:tcW w:w="3400" w:type="dxa"/>
            <w:tcBorders>
              <w:tl2br w:val="nil"/>
              <w:tr2bl w:val="nil"/>
            </w:tcBorders>
            <w:noWrap w:val="0"/>
            <w:vAlign w:val="center"/>
          </w:tcPr>
          <w:p w14:paraId="6EACA3A1">
            <w:pPr>
              <w:keepNext w:val="0"/>
              <w:keepLines w:val="0"/>
              <w:pageBreakBefore w:val="0"/>
              <w:widowControl w:val="0"/>
              <w:kinsoku/>
              <w:wordWrap/>
              <w:overflowPunct/>
              <w:topLinePunct/>
              <w:autoSpaceDE/>
              <w:autoSpaceDN/>
              <w:bidi w:val="0"/>
              <w:adjustRightInd w:val="0"/>
              <w:snapToGrid w:val="0"/>
              <w:spacing w:line="400" w:lineRule="exact"/>
              <w:ind w:left="0" w:leftChars="0" w:right="0" w:rightChars="0" w:firstLine="0" w:firstLineChars="0"/>
              <w:jc w:val="center"/>
              <w:textAlignment w:val="baseline"/>
              <w:rPr>
                <w:rFonts w:ascii="仿宋" w:hAnsi="仿宋" w:eastAsia="仿宋" w:cs="仿宋"/>
                <w:kern w:val="2"/>
                <w:sz w:val="23"/>
                <w:szCs w:val="23"/>
                <w:lang w:val="en-US" w:eastAsia="zh-CN" w:bidi="ar-SA"/>
              </w:rPr>
            </w:pPr>
            <w:r>
              <w:rPr>
                <w:rFonts w:ascii="仿宋" w:hAnsi="仿宋" w:eastAsia="仿宋" w:cs="仿宋"/>
                <w:spacing w:val="11"/>
                <w:sz w:val="23"/>
                <w:szCs w:val="23"/>
              </w:rPr>
              <w:t>果</w:t>
            </w:r>
            <w:r>
              <w:rPr>
                <w:rFonts w:ascii="仿宋" w:hAnsi="仿宋" w:eastAsia="仿宋" w:cs="仿宋"/>
                <w:spacing w:val="9"/>
                <w:sz w:val="23"/>
                <w:szCs w:val="23"/>
              </w:rPr>
              <w:t>冻、糕点、糖果制品</w:t>
            </w:r>
          </w:p>
        </w:tc>
        <w:tc>
          <w:tcPr>
            <w:tcW w:w="1295" w:type="dxa"/>
            <w:tcBorders>
              <w:tl2br w:val="nil"/>
              <w:tr2bl w:val="nil"/>
            </w:tcBorders>
            <w:noWrap w:val="0"/>
            <w:vAlign w:val="center"/>
          </w:tcPr>
          <w:p w14:paraId="1EBF7837">
            <w:pPr>
              <w:keepNext w:val="0"/>
              <w:keepLines w:val="0"/>
              <w:pageBreakBefore w:val="0"/>
              <w:widowControl w:val="0"/>
              <w:kinsoku/>
              <w:wordWrap/>
              <w:overflowPunct/>
              <w:topLinePunct/>
              <w:autoSpaceDE/>
              <w:autoSpaceDN/>
              <w:bidi w:val="0"/>
              <w:adjustRightInd w:val="0"/>
              <w:snapToGrid w:val="0"/>
              <w:spacing w:line="400" w:lineRule="exact"/>
              <w:ind w:left="0" w:right="0" w:firstLine="0"/>
              <w:jc w:val="center"/>
              <w:textAlignment w:val="baseline"/>
              <w:rPr>
                <w:rFonts w:ascii="仿宋" w:hAnsi="仿宋" w:eastAsia="仿宋" w:cs="仿宋"/>
                <w:spacing w:val="6"/>
                <w:sz w:val="23"/>
                <w:szCs w:val="23"/>
              </w:rPr>
            </w:pPr>
            <w:r>
              <w:rPr>
                <w:rFonts w:ascii="仿宋" w:hAnsi="仿宋" w:eastAsia="仿宋" w:cs="仿宋"/>
                <w:spacing w:val="8"/>
                <w:sz w:val="23"/>
                <w:szCs w:val="23"/>
              </w:rPr>
              <w:t>食</w:t>
            </w:r>
            <w:r>
              <w:rPr>
                <w:rFonts w:ascii="仿宋" w:hAnsi="仿宋" w:eastAsia="仿宋" w:cs="仿宋"/>
                <w:spacing w:val="6"/>
                <w:sz w:val="23"/>
                <w:szCs w:val="23"/>
              </w:rPr>
              <w:t>品制</w:t>
            </w:r>
          </w:p>
          <w:p w14:paraId="52E509A9">
            <w:pPr>
              <w:keepNext w:val="0"/>
              <w:keepLines w:val="0"/>
              <w:pageBreakBefore w:val="0"/>
              <w:widowControl w:val="0"/>
              <w:kinsoku w:val="0"/>
              <w:wordWrap/>
              <w:overflowPunct/>
              <w:topLinePunct w:val="0"/>
              <w:autoSpaceDE w:val="0"/>
              <w:autoSpaceDN w:val="0"/>
              <w:bidi w:val="0"/>
              <w:adjustRightInd w:val="0"/>
              <w:snapToGrid w:val="0"/>
              <w:spacing w:line="400" w:lineRule="exact"/>
              <w:ind w:left="0"/>
              <w:jc w:val="center"/>
              <w:textAlignment w:val="baseline"/>
              <w:rPr>
                <w:rFonts w:ascii="仿宋" w:hAnsi="仿宋" w:eastAsia="仿宋" w:cs="仿宋"/>
                <w:spacing w:val="5"/>
                <w:sz w:val="23"/>
                <w:szCs w:val="23"/>
              </w:rPr>
            </w:pPr>
            <w:r>
              <w:rPr>
                <w:rFonts w:ascii="仿宋" w:hAnsi="仿宋" w:eastAsia="仿宋" w:cs="仿宋"/>
                <w:spacing w:val="6"/>
                <w:sz w:val="23"/>
                <w:szCs w:val="23"/>
              </w:rPr>
              <w:t>造</w:t>
            </w:r>
            <w:r>
              <w:rPr>
                <w:rFonts w:ascii="仿宋" w:hAnsi="仿宋" w:eastAsia="仿宋" w:cs="仿宋"/>
                <w:sz w:val="23"/>
                <w:szCs w:val="23"/>
              </w:rPr>
              <w:t>业</w:t>
            </w:r>
          </w:p>
        </w:tc>
      </w:tr>
    </w:tbl>
    <w:p w14:paraId="71CF4C78">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2B330BF">
      <w:pPr>
        <w:keepNext w:val="0"/>
        <w:keepLines w:val="0"/>
        <w:pageBreakBefore w:val="0"/>
        <w:widowControl w:val="0"/>
        <w:wordWrap/>
        <w:overflowPunct/>
        <w:bidi w:val="0"/>
        <w:spacing w:line="5467" w:lineRule="exact"/>
        <w:ind w:firstLine="290"/>
        <w:textAlignment w:val="center"/>
      </w:pPr>
      <w:r>
        <w:drawing>
          <wp:inline distT="0" distB="0" distL="114300" distR="114300">
            <wp:extent cx="5385435" cy="3470910"/>
            <wp:effectExtent l="0" t="0" r="1270" b="5080"/>
            <wp:docPr id="12" name="图片 5"/>
            <wp:cNvGraphicFramePr/>
            <a:graphic xmlns:a="http://schemas.openxmlformats.org/drawingml/2006/main">
              <a:graphicData uri="http://schemas.openxmlformats.org/drawingml/2006/picture">
                <pic:pic xmlns:pic="http://schemas.openxmlformats.org/drawingml/2006/picture">
                  <pic:nvPicPr>
                    <pic:cNvPr id="12" name="图片 5"/>
                    <pic:cNvPicPr/>
                  </pic:nvPicPr>
                  <pic:blipFill>
                    <a:blip r:embed="rId11"/>
                    <a:stretch>
                      <a:fillRect/>
                    </a:stretch>
                  </pic:blipFill>
                  <pic:spPr>
                    <a:xfrm>
                      <a:off x="0" y="0"/>
                      <a:ext cx="5385435" cy="3470910"/>
                    </a:xfrm>
                    <a:prstGeom prst="rect">
                      <a:avLst/>
                    </a:prstGeom>
                    <a:noFill/>
                    <a:ln>
                      <a:noFill/>
                    </a:ln>
                  </pic:spPr>
                </pic:pic>
              </a:graphicData>
            </a:graphic>
          </wp:inline>
        </w:drawing>
      </w:r>
    </w:p>
    <w:p w14:paraId="5AABA7A2">
      <w:pPr>
        <w:keepNext w:val="0"/>
        <w:keepLines w:val="0"/>
        <w:pageBreakBefore w:val="0"/>
        <w:widowControl w:val="0"/>
        <w:wordWrap/>
        <w:overflowPunct/>
        <w:bidi w:val="0"/>
        <w:spacing w:before="297" w:line="225" w:lineRule="auto"/>
        <w:jc w:val="center"/>
        <w:rPr>
          <w:rFonts w:ascii="Arial"/>
          <w:sz w:val="21"/>
        </w:rPr>
      </w:pPr>
      <w:r>
        <w:rPr>
          <w:rFonts w:ascii="黑体" w:hAnsi="黑体" w:eastAsia="黑体" w:cs="黑体"/>
          <w:spacing w:val="8"/>
          <w:sz w:val="23"/>
          <w:szCs w:val="23"/>
        </w:rPr>
        <w:t>图</w:t>
      </w:r>
      <w:r>
        <w:rPr>
          <w:rFonts w:ascii="Arial" w:hAnsi="Arial" w:eastAsia="Arial" w:cs="Arial"/>
          <w:b/>
          <w:bCs/>
          <w:spacing w:val="4"/>
          <w:sz w:val="23"/>
          <w:szCs w:val="23"/>
        </w:rPr>
        <w:t>2-5</w:t>
      </w:r>
      <w:r>
        <w:rPr>
          <w:rFonts w:ascii="黑体" w:hAnsi="黑体" w:eastAsia="黑体" w:cs="黑体"/>
          <w:spacing w:val="4"/>
          <w:sz w:val="23"/>
          <w:szCs w:val="23"/>
        </w:rPr>
        <w:t>泉港高新区现状工业企业分布图</w:t>
      </w:r>
    </w:p>
    <w:p w14:paraId="30F49E14">
      <w:pPr>
        <w:keepNext w:val="0"/>
        <w:keepLines w:val="0"/>
        <w:pageBreakBefore w:val="0"/>
        <w:widowControl w:val="0"/>
        <w:wordWrap/>
        <w:overflowPunct/>
        <w:bidi w:val="0"/>
        <w:spacing w:line="5494" w:lineRule="exact"/>
        <w:ind w:firstLine="298"/>
        <w:textAlignment w:val="center"/>
      </w:pPr>
      <w:r>
        <w:drawing>
          <wp:inline distT="0" distB="0" distL="114300" distR="114300">
            <wp:extent cx="5379720" cy="3488055"/>
            <wp:effectExtent l="0" t="0" r="6985" b="9525"/>
            <wp:docPr id="13" name="图片 6"/>
            <wp:cNvGraphicFramePr/>
            <a:graphic xmlns:a="http://schemas.openxmlformats.org/drawingml/2006/main">
              <a:graphicData uri="http://schemas.openxmlformats.org/drawingml/2006/picture">
                <pic:pic xmlns:pic="http://schemas.openxmlformats.org/drawingml/2006/picture">
                  <pic:nvPicPr>
                    <pic:cNvPr id="13" name="图片 6"/>
                    <pic:cNvPicPr/>
                  </pic:nvPicPr>
                  <pic:blipFill>
                    <a:blip r:embed="rId12"/>
                    <a:stretch>
                      <a:fillRect/>
                    </a:stretch>
                  </pic:blipFill>
                  <pic:spPr>
                    <a:xfrm>
                      <a:off x="0" y="0"/>
                      <a:ext cx="5379720" cy="3488055"/>
                    </a:xfrm>
                    <a:prstGeom prst="rect">
                      <a:avLst/>
                    </a:prstGeom>
                    <a:noFill/>
                    <a:ln>
                      <a:noFill/>
                    </a:ln>
                  </pic:spPr>
                </pic:pic>
              </a:graphicData>
            </a:graphic>
          </wp:inline>
        </w:drawing>
      </w:r>
    </w:p>
    <w:p w14:paraId="61D3D0BC">
      <w:pPr>
        <w:pStyle w:val="2"/>
        <w:keepNext w:val="0"/>
        <w:keepLines w:val="0"/>
        <w:pageBreakBefore w:val="0"/>
        <w:widowControl w:val="0"/>
        <w:kinsoku/>
        <w:wordWrap/>
        <w:overflowPunct/>
        <w:topLinePunct w:val="0"/>
        <w:autoSpaceDE/>
        <w:autoSpaceDN/>
        <w:bidi w:val="0"/>
        <w:adjustRightInd/>
        <w:snapToGrid/>
        <w:spacing w:before="0" w:beforeAutospacing="0" w:line="520" w:lineRule="exact"/>
        <w:jc w:val="center"/>
        <w:textAlignment w:val="auto"/>
        <w:rPr>
          <w:rFonts w:ascii="黑体" w:hAnsi="黑体" w:eastAsia="黑体" w:cs="黑体"/>
          <w:spacing w:val="5"/>
          <w:sz w:val="23"/>
          <w:szCs w:val="23"/>
        </w:rPr>
      </w:pPr>
      <w:r>
        <w:rPr>
          <w:rFonts w:ascii="黑体" w:hAnsi="黑体" w:eastAsia="黑体" w:cs="黑体"/>
          <w:spacing w:val="10"/>
          <w:sz w:val="23"/>
          <w:szCs w:val="23"/>
        </w:rPr>
        <w:t>图</w:t>
      </w:r>
      <w:r>
        <w:rPr>
          <w:rFonts w:ascii="Arial" w:hAnsi="Arial" w:eastAsia="Arial" w:cs="Arial"/>
          <w:b/>
          <w:bCs/>
          <w:spacing w:val="9"/>
          <w:sz w:val="23"/>
          <w:szCs w:val="23"/>
        </w:rPr>
        <w:t>2</w:t>
      </w:r>
      <w:r>
        <w:rPr>
          <w:rFonts w:ascii="Arial" w:hAnsi="Arial" w:eastAsia="Arial" w:cs="Arial"/>
          <w:b/>
          <w:bCs/>
          <w:spacing w:val="5"/>
          <w:sz w:val="23"/>
          <w:szCs w:val="23"/>
        </w:rPr>
        <w:t>-6</w:t>
      </w:r>
      <w:r>
        <w:rPr>
          <w:rFonts w:ascii="黑体" w:hAnsi="黑体" w:eastAsia="黑体" w:cs="黑体"/>
          <w:spacing w:val="5"/>
          <w:sz w:val="23"/>
          <w:szCs w:val="23"/>
        </w:rPr>
        <w:t>泉港高新区现状闲置用地与低效用地分布</w:t>
      </w:r>
    </w:p>
    <w:p w14:paraId="236D8D4B">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与此同时，高新园区内产业发展过程中也暴露出一些问题：</w:t>
      </w:r>
    </w:p>
    <w:p w14:paraId="25293C68">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（1）产业门类很多，但整体上层次不高，以传统工业为主。</w:t>
      </w:r>
    </w:p>
    <w:p w14:paraId="3D41310F">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企业数量较多且相对集中分布在驿峰路两侧，但大多规模不大，且用地低效与闲置现象突出。规划编制过程中通过初步的排查，区域内低效与闲置用地约1.5平方公里，其中低效用地约1平方公里，闲置厂房占地约0.5平方公里。</w:t>
      </w:r>
    </w:p>
    <w:p w14:paraId="1DB7E8D2">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（3）高新园区内还存在化工企业等危险化学品生产企业，与高新园区的定位及化工项目进入化工园区的要求不符。</w:t>
      </w:r>
    </w:p>
    <w:p w14:paraId="7AA1442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2.2.2社会人口</w:t>
      </w:r>
    </w:p>
    <w:p w14:paraId="510D3862">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泉港高新区分别位于山腰街道、前黄镇与涂岭镇的部分区域，包括路口村、驿坂村、丘后村、前烧村、香芹村、普安村、海滨村、三朱村、前黄村共计个9行政村。</w:t>
      </w:r>
    </w:p>
    <w:p w14:paraId="32974C4F">
      <w:pPr>
        <w:keepNext w:val="0"/>
        <w:keepLines w:val="0"/>
        <w:pageBreakBefore w:val="0"/>
        <w:widowControl w:val="0"/>
        <w:wordWrap/>
        <w:overflowPunct/>
        <w:bidi w:val="0"/>
        <w:spacing w:before="67" w:line="5587" w:lineRule="exact"/>
        <w:ind w:firstLine="209"/>
        <w:textAlignment w:val="center"/>
      </w:pPr>
      <w:r>
        <w:drawing>
          <wp:inline distT="0" distB="0" distL="114300" distR="114300">
            <wp:extent cx="5494655" cy="3547110"/>
            <wp:effectExtent l="0" t="0" r="0" b="4445"/>
            <wp:docPr id="14" name="图片 7"/>
            <wp:cNvGraphicFramePr/>
            <a:graphic xmlns:a="http://schemas.openxmlformats.org/drawingml/2006/main">
              <a:graphicData uri="http://schemas.openxmlformats.org/drawingml/2006/picture">
                <pic:pic xmlns:pic="http://schemas.openxmlformats.org/drawingml/2006/picture">
                  <pic:nvPicPr>
                    <pic:cNvPr id="14" name="图片 7"/>
                    <pic:cNvPicPr/>
                  </pic:nvPicPr>
                  <pic:blipFill>
                    <a:blip r:embed="rId13"/>
                    <a:stretch>
                      <a:fillRect/>
                    </a:stretch>
                  </pic:blipFill>
                  <pic:spPr>
                    <a:xfrm>
                      <a:off x="0" y="0"/>
                      <a:ext cx="5494655" cy="3547110"/>
                    </a:xfrm>
                    <a:prstGeom prst="rect">
                      <a:avLst/>
                    </a:prstGeom>
                    <a:noFill/>
                    <a:ln>
                      <a:noFill/>
                    </a:ln>
                  </pic:spPr>
                </pic:pic>
              </a:graphicData>
            </a:graphic>
          </wp:inline>
        </w:drawing>
      </w:r>
    </w:p>
    <w:p w14:paraId="468A04BF">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center"/>
        <w:textAlignment w:val="auto"/>
        <w:rPr>
          <w:rFonts w:ascii="黑体" w:hAnsi="黑体" w:eastAsia="黑体" w:cs="黑体"/>
          <w:spacing w:val="5"/>
          <w:sz w:val="23"/>
          <w:szCs w:val="23"/>
        </w:rPr>
      </w:pPr>
      <w:r>
        <w:rPr>
          <w:rFonts w:ascii="黑体" w:hAnsi="黑体" w:eastAsia="黑体" w:cs="黑体"/>
          <w:spacing w:val="10"/>
          <w:sz w:val="23"/>
          <w:szCs w:val="23"/>
        </w:rPr>
        <w:t>图</w:t>
      </w:r>
      <w:r>
        <w:rPr>
          <w:rFonts w:ascii="Arial" w:hAnsi="Arial" w:eastAsia="Arial" w:cs="Arial"/>
          <w:b/>
          <w:bCs/>
          <w:spacing w:val="10"/>
          <w:sz w:val="23"/>
          <w:szCs w:val="23"/>
        </w:rPr>
        <w:t>2</w:t>
      </w:r>
      <w:r>
        <w:rPr>
          <w:rFonts w:ascii="Arial" w:hAnsi="Arial" w:eastAsia="Arial" w:cs="Arial"/>
          <w:b/>
          <w:bCs/>
          <w:spacing w:val="9"/>
          <w:sz w:val="23"/>
          <w:szCs w:val="23"/>
        </w:rPr>
        <w:t>-</w:t>
      </w:r>
      <w:r>
        <w:rPr>
          <w:rFonts w:ascii="Arial" w:hAnsi="Arial" w:eastAsia="Arial" w:cs="Arial"/>
          <w:b/>
          <w:bCs/>
          <w:spacing w:val="5"/>
          <w:sz w:val="23"/>
          <w:szCs w:val="23"/>
        </w:rPr>
        <w:t>7</w:t>
      </w:r>
      <w:r>
        <w:rPr>
          <w:rFonts w:ascii="黑体" w:hAnsi="黑体" w:eastAsia="黑体" w:cs="黑体"/>
          <w:spacing w:val="5"/>
          <w:sz w:val="23"/>
          <w:szCs w:val="23"/>
        </w:rPr>
        <w:t>泉港新材料高新技术产业园区现状村庄分布图</w:t>
      </w:r>
    </w:p>
    <w:p w14:paraId="32125AA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2.2.3文物保护</w:t>
      </w:r>
    </w:p>
    <w:p w14:paraId="03F038F3">
      <w:pPr>
        <w:keepNext w:val="0"/>
        <w:keepLines w:val="0"/>
        <w:pageBreakBefore w:val="0"/>
        <w:widowControl w:val="0"/>
        <w:kinsoku/>
        <w:wordWrap/>
        <w:overflowPunct/>
        <w:topLinePunct w:val="0"/>
        <w:autoSpaceDE/>
        <w:autoSpaceDN/>
        <w:bidi w:val="0"/>
        <w:adjustRightInd/>
        <w:snapToGrid/>
        <w:spacing w:line="520" w:lineRule="exact"/>
        <w:ind w:firstLine="544" w:firstLineChars="200"/>
        <w:textAlignment w:val="auto"/>
        <w:rPr>
          <w:rFonts w:ascii="仿宋" w:hAnsi="仿宋" w:eastAsia="仿宋" w:cs="仿宋"/>
          <w:spacing w:val="-2"/>
          <w:sz w:val="28"/>
          <w:szCs w:val="28"/>
        </w:rPr>
      </w:pPr>
      <w:r>
        <w:rPr>
          <w:rFonts w:ascii="仿宋" w:hAnsi="仿宋" w:eastAsia="仿宋" w:cs="仿宋"/>
          <w:spacing w:val="-4"/>
          <w:sz w:val="28"/>
          <w:szCs w:val="28"/>
        </w:rPr>
        <w:t>园</w:t>
      </w:r>
      <w:r>
        <w:rPr>
          <w:rFonts w:ascii="仿宋" w:hAnsi="仿宋" w:eastAsia="仿宋" w:cs="仿宋"/>
          <w:spacing w:val="-3"/>
          <w:sz w:val="28"/>
          <w:szCs w:val="28"/>
        </w:rPr>
        <w:t>区</w:t>
      </w:r>
      <w:r>
        <w:rPr>
          <w:rFonts w:ascii="仿宋" w:hAnsi="仿宋" w:eastAsia="仿宋" w:cs="仿宋"/>
          <w:spacing w:val="-2"/>
          <w:sz w:val="28"/>
          <w:szCs w:val="28"/>
        </w:rPr>
        <w:t>内历史文物保护单位如下表所示：</w:t>
      </w:r>
    </w:p>
    <w:p w14:paraId="38EB3C1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ascii="Arial"/>
          <w:sz w:val="2"/>
        </w:rPr>
      </w:pPr>
      <w:r>
        <w:rPr>
          <w:rFonts w:ascii="黑体" w:hAnsi="黑体" w:eastAsia="黑体" w:cs="黑体"/>
          <w:spacing w:val="10"/>
          <w:sz w:val="23"/>
          <w:szCs w:val="23"/>
        </w:rPr>
        <w:t>表</w:t>
      </w:r>
      <w:r>
        <w:rPr>
          <w:rFonts w:ascii="Arial" w:hAnsi="Arial" w:eastAsia="Arial" w:cs="Arial"/>
          <w:b/>
          <w:bCs/>
          <w:spacing w:val="5"/>
          <w:sz w:val="23"/>
          <w:szCs w:val="23"/>
        </w:rPr>
        <w:t>5-1</w:t>
      </w:r>
      <w:r>
        <w:rPr>
          <w:rFonts w:ascii="黑体" w:hAnsi="黑体" w:eastAsia="黑体" w:cs="黑体"/>
          <w:spacing w:val="5"/>
          <w:sz w:val="23"/>
          <w:szCs w:val="23"/>
        </w:rPr>
        <w:t>区级及以上历史文物保护单位一览表</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46"/>
        <w:gridCol w:w="4646"/>
      </w:tblGrid>
      <w:tr w14:paraId="27026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646" w:type="dxa"/>
            <w:tcBorders>
              <w:tl2br w:val="nil"/>
              <w:tr2bl w:val="nil"/>
            </w:tcBorders>
            <w:noWrap w:val="0"/>
            <w:vAlign w:val="top"/>
          </w:tcPr>
          <w:p w14:paraId="06847B97">
            <w:pPr>
              <w:keepNext w:val="0"/>
              <w:keepLines w:val="0"/>
              <w:pageBreakBefore w:val="0"/>
              <w:widowControl w:val="0"/>
              <w:wordWrap/>
              <w:overflowPunct/>
              <w:bidi w:val="0"/>
              <w:spacing w:before="80" w:line="224" w:lineRule="auto"/>
              <w:ind w:left="114"/>
              <w:jc w:val="center"/>
              <w:rPr>
                <w:rFonts w:hint="eastAsia" w:ascii="黑体" w:hAnsi="黑体" w:eastAsia="黑体" w:cs="黑体"/>
                <w:sz w:val="23"/>
                <w:szCs w:val="23"/>
              </w:rPr>
            </w:pPr>
            <w:r>
              <w:rPr>
                <w:rFonts w:hint="eastAsia" w:ascii="黑体" w:hAnsi="黑体" w:eastAsia="黑体" w:cs="黑体"/>
                <w:spacing w:val="9"/>
                <w:sz w:val="23"/>
                <w:szCs w:val="23"/>
              </w:rPr>
              <w:t>保护要</w:t>
            </w:r>
            <w:r>
              <w:rPr>
                <w:rFonts w:hint="eastAsia" w:ascii="黑体" w:hAnsi="黑体" w:eastAsia="黑体" w:cs="黑体"/>
                <w:spacing w:val="8"/>
                <w:sz w:val="23"/>
                <w:szCs w:val="23"/>
              </w:rPr>
              <w:t>素</w:t>
            </w:r>
          </w:p>
        </w:tc>
        <w:tc>
          <w:tcPr>
            <w:tcW w:w="4646" w:type="dxa"/>
            <w:tcBorders>
              <w:tl2br w:val="nil"/>
              <w:tr2bl w:val="nil"/>
            </w:tcBorders>
            <w:noWrap w:val="0"/>
            <w:vAlign w:val="top"/>
          </w:tcPr>
          <w:p w14:paraId="5D1F7A00">
            <w:pPr>
              <w:keepNext w:val="0"/>
              <w:keepLines w:val="0"/>
              <w:pageBreakBefore w:val="0"/>
              <w:widowControl w:val="0"/>
              <w:wordWrap/>
              <w:overflowPunct/>
              <w:bidi w:val="0"/>
              <w:spacing w:before="80" w:line="224" w:lineRule="auto"/>
              <w:ind w:left="125"/>
              <w:jc w:val="center"/>
              <w:rPr>
                <w:rFonts w:hint="eastAsia" w:ascii="黑体" w:hAnsi="黑体" w:eastAsia="黑体" w:cs="黑体"/>
                <w:sz w:val="23"/>
                <w:szCs w:val="23"/>
              </w:rPr>
            </w:pPr>
            <w:r>
              <w:rPr>
                <w:rFonts w:hint="eastAsia" w:ascii="黑体" w:hAnsi="黑体" w:eastAsia="黑体" w:cs="黑体"/>
                <w:spacing w:val="7"/>
                <w:sz w:val="23"/>
                <w:szCs w:val="23"/>
              </w:rPr>
              <w:t>文</w:t>
            </w:r>
            <w:r>
              <w:rPr>
                <w:rFonts w:hint="eastAsia" w:ascii="黑体" w:hAnsi="黑体" w:eastAsia="黑体" w:cs="黑体"/>
                <w:spacing w:val="5"/>
                <w:sz w:val="23"/>
                <w:szCs w:val="23"/>
              </w:rPr>
              <w:t>物名称</w:t>
            </w:r>
          </w:p>
        </w:tc>
      </w:tr>
      <w:tr w14:paraId="4159C8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4646" w:type="dxa"/>
            <w:tcBorders>
              <w:tl2br w:val="nil"/>
              <w:tr2bl w:val="nil"/>
            </w:tcBorders>
            <w:noWrap w:val="0"/>
            <w:vAlign w:val="top"/>
          </w:tcPr>
          <w:p w14:paraId="0EC8C35B">
            <w:pPr>
              <w:keepNext w:val="0"/>
              <w:keepLines w:val="0"/>
              <w:pageBreakBefore w:val="0"/>
              <w:widowControl w:val="0"/>
              <w:wordWrap/>
              <w:overflowPunct/>
              <w:bidi w:val="0"/>
              <w:spacing w:before="262" w:line="224" w:lineRule="auto"/>
              <w:ind w:left="125"/>
              <w:rPr>
                <w:rFonts w:ascii="仿宋" w:hAnsi="仿宋" w:eastAsia="仿宋" w:cs="仿宋"/>
                <w:sz w:val="23"/>
                <w:szCs w:val="23"/>
              </w:rPr>
            </w:pPr>
            <w:r>
              <w:rPr>
                <w:rFonts w:ascii="仿宋" w:hAnsi="仿宋" w:eastAsia="仿宋" w:cs="仿宋"/>
                <w:spacing w:val="11"/>
                <w:sz w:val="23"/>
                <w:szCs w:val="23"/>
              </w:rPr>
              <w:t>省</w:t>
            </w:r>
            <w:r>
              <w:rPr>
                <w:rFonts w:ascii="仿宋" w:hAnsi="仿宋" w:eastAsia="仿宋" w:cs="仿宋"/>
                <w:spacing w:val="8"/>
                <w:sz w:val="23"/>
                <w:szCs w:val="23"/>
              </w:rPr>
              <w:t>级历史文物保护单位</w:t>
            </w:r>
          </w:p>
        </w:tc>
        <w:tc>
          <w:tcPr>
            <w:tcW w:w="4646" w:type="dxa"/>
            <w:tcBorders>
              <w:tl2br w:val="nil"/>
              <w:tr2bl w:val="nil"/>
            </w:tcBorders>
            <w:noWrap w:val="0"/>
            <w:vAlign w:val="top"/>
          </w:tcPr>
          <w:p w14:paraId="77983261">
            <w:pPr>
              <w:keepNext w:val="0"/>
              <w:keepLines w:val="0"/>
              <w:pageBreakBefore w:val="0"/>
              <w:widowControl w:val="0"/>
              <w:wordWrap/>
              <w:overflowPunct/>
              <w:bidi w:val="0"/>
              <w:spacing w:before="78" w:line="225" w:lineRule="auto"/>
              <w:ind w:left="111"/>
              <w:rPr>
                <w:rFonts w:ascii="仿宋" w:hAnsi="仿宋" w:eastAsia="仿宋" w:cs="仿宋"/>
                <w:sz w:val="23"/>
                <w:szCs w:val="23"/>
              </w:rPr>
            </w:pPr>
            <w:r>
              <w:rPr>
                <w:rFonts w:ascii="仿宋" w:hAnsi="仿宋" w:eastAsia="仿宋" w:cs="仿宋"/>
                <w:spacing w:val="8"/>
                <w:sz w:val="23"/>
                <w:szCs w:val="23"/>
              </w:rPr>
              <w:t>(</w:t>
            </w:r>
            <w:r>
              <w:rPr>
                <w:rFonts w:ascii="Arial" w:hAnsi="Arial" w:eastAsia="Arial" w:cs="Arial"/>
                <w:spacing w:val="8"/>
                <w:sz w:val="23"/>
                <w:szCs w:val="23"/>
              </w:rPr>
              <w:t>1</w:t>
            </w:r>
            <w:r>
              <w:rPr>
                <w:rFonts w:ascii="仿宋" w:hAnsi="仿宋" w:eastAsia="仿宋" w:cs="仿宋"/>
                <w:spacing w:val="4"/>
                <w:sz w:val="23"/>
                <w:szCs w:val="23"/>
              </w:rPr>
              <w:t>)闽中特委(地委)三朱地下交通站</w:t>
            </w:r>
          </w:p>
          <w:p w14:paraId="411A035B">
            <w:pPr>
              <w:keepNext w:val="0"/>
              <w:keepLines w:val="0"/>
              <w:pageBreakBefore w:val="0"/>
              <w:widowControl w:val="0"/>
              <w:wordWrap/>
              <w:overflowPunct/>
              <w:bidi w:val="0"/>
              <w:spacing w:before="89" w:line="225" w:lineRule="auto"/>
              <w:ind w:left="111"/>
              <w:rPr>
                <w:rFonts w:ascii="仿宋" w:hAnsi="仿宋" w:eastAsia="仿宋" w:cs="仿宋"/>
                <w:sz w:val="23"/>
                <w:szCs w:val="23"/>
              </w:rPr>
            </w:pPr>
            <w:r>
              <w:rPr>
                <w:rFonts w:ascii="仿宋" w:hAnsi="仿宋" w:eastAsia="仿宋" w:cs="仿宋"/>
                <w:spacing w:val="27"/>
                <w:sz w:val="23"/>
                <w:szCs w:val="23"/>
              </w:rPr>
              <w:t>(</w:t>
            </w:r>
            <w:r>
              <w:rPr>
                <w:rFonts w:ascii="Arial" w:hAnsi="Arial" w:eastAsia="Arial" w:cs="Arial"/>
                <w:spacing w:val="21"/>
                <w:sz w:val="23"/>
                <w:szCs w:val="23"/>
              </w:rPr>
              <w:t>2</w:t>
            </w:r>
            <w:r>
              <w:rPr>
                <w:rFonts w:ascii="仿宋" w:hAnsi="仿宋" w:eastAsia="仿宋" w:cs="仿宋"/>
                <w:spacing w:val="21"/>
                <w:sz w:val="23"/>
                <w:szCs w:val="23"/>
              </w:rPr>
              <w:t>)黄素石楼</w:t>
            </w:r>
          </w:p>
        </w:tc>
      </w:tr>
      <w:tr w14:paraId="41013A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32" w:hRule="atLeast"/>
          <w:jc w:val="center"/>
        </w:trPr>
        <w:tc>
          <w:tcPr>
            <w:tcW w:w="4646" w:type="dxa"/>
            <w:tcBorders>
              <w:tl2br w:val="nil"/>
              <w:tr2bl w:val="nil"/>
            </w:tcBorders>
            <w:noWrap w:val="0"/>
            <w:vAlign w:val="center"/>
          </w:tcPr>
          <w:p w14:paraId="0472D990">
            <w:pPr>
              <w:keepNext w:val="0"/>
              <w:keepLines w:val="0"/>
              <w:pageBreakBefore w:val="0"/>
              <w:widowControl w:val="0"/>
              <w:wordWrap/>
              <w:overflowPunct/>
              <w:bidi w:val="0"/>
              <w:spacing w:before="75" w:line="224" w:lineRule="auto"/>
              <w:ind w:left="127"/>
              <w:jc w:val="both"/>
              <w:rPr>
                <w:rFonts w:ascii="仿宋" w:hAnsi="仿宋" w:eastAsia="仿宋" w:cs="仿宋"/>
                <w:sz w:val="23"/>
                <w:szCs w:val="23"/>
              </w:rPr>
            </w:pPr>
            <w:r>
              <w:rPr>
                <w:rFonts w:ascii="仿宋" w:hAnsi="仿宋" w:eastAsia="仿宋" w:cs="仿宋"/>
                <w:spacing w:val="8"/>
                <w:sz w:val="23"/>
                <w:szCs w:val="23"/>
              </w:rPr>
              <w:t>市级历史文物保护单位</w:t>
            </w:r>
          </w:p>
        </w:tc>
        <w:tc>
          <w:tcPr>
            <w:tcW w:w="4646" w:type="dxa"/>
            <w:tcBorders>
              <w:tl2br w:val="nil"/>
              <w:tr2bl w:val="nil"/>
            </w:tcBorders>
            <w:noWrap w:val="0"/>
            <w:vAlign w:val="top"/>
          </w:tcPr>
          <w:p w14:paraId="5D31A1D1">
            <w:pPr>
              <w:keepNext w:val="0"/>
              <w:keepLines w:val="0"/>
              <w:pageBreakBefore w:val="0"/>
              <w:widowControl w:val="0"/>
              <w:wordWrap/>
              <w:overflowPunct/>
              <w:bidi w:val="0"/>
              <w:spacing w:before="79" w:line="222" w:lineRule="auto"/>
              <w:ind w:left="111"/>
              <w:rPr>
                <w:rFonts w:ascii="仿宋" w:hAnsi="仿宋" w:eastAsia="仿宋" w:cs="仿宋"/>
                <w:sz w:val="23"/>
                <w:szCs w:val="23"/>
              </w:rPr>
            </w:pPr>
            <w:r>
              <w:rPr>
                <w:rFonts w:ascii="仿宋" w:hAnsi="仿宋" w:eastAsia="仿宋" w:cs="仿宋"/>
                <w:spacing w:val="3"/>
                <w:sz w:val="23"/>
                <w:szCs w:val="23"/>
              </w:rPr>
              <w:t>(</w:t>
            </w:r>
            <w:r>
              <w:rPr>
                <w:rFonts w:ascii="Arial" w:hAnsi="Arial" w:eastAsia="Arial" w:cs="Arial"/>
                <w:spacing w:val="3"/>
                <w:sz w:val="23"/>
                <w:szCs w:val="23"/>
              </w:rPr>
              <w:t>1</w:t>
            </w:r>
            <w:r>
              <w:rPr>
                <w:rFonts w:ascii="仿宋" w:hAnsi="仿宋" w:eastAsia="仿宋" w:cs="仿宋"/>
                <w:spacing w:val="3"/>
                <w:sz w:val="23"/>
                <w:szCs w:val="23"/>
              </w:rPr>
              <w:t>)三朱革命斗争纪念碑</w:t>
            </w:r>
          </w:p>
          <w:p w14:paraId="6E62D2C9">
            <w:pPr>
              <w:keepNext w:val="0"/>
              <w:keepLines w:val="0"/>
              <w:pageBreakBefore w:val="0"/>
              <w:widowControl w:val="0"/>
              <w:wordWrap/>
              <w:overflowPunct/>
              <w:bidi w:val="0"/>
              <w:spacing w:before="93" w:line="222" w:lineRule="auto"/>
              <w:ind w:left="111"/>
              <w:rPr>
                <w:rFonts w:ascii="仿宋" w:hAnsi="仿宋" w:eastAsia="仿宋" w:cs="仿宋"/>
                <w:sz w:val="23"/>
                <w:szCs w:val="23"/>
              </w:rPr>
            </w:pPr>
            <w:r>
              <w:rPr>
                <w:rFonts w:ascii="仿宋" w:hAnsi="仿宋" w:eastAsia="仿宋" w:cs="仿宋"/>
                <w:spacing w:val="18"/>
                <w:sz w:val="23"/>
                <w:szCs w:val="23"/>
              </w:rPr>
              <w:t>(</w:t>
            </w:r>
            <w:r>
              <w:rPr>
                <w:rFonts w:ascii="Arial" w:hAnsi="Arial" w:eastAsia="Arial" w:cs="Arial"/>
                <w:spacing w:val="18"/>
                <w:sz w:val="23"/>
                <w:szCs w:val="23"/>
              </w:rPr>
              <w:t>2</w:t>
            </w:r>
            <w:r>
              <w:rPr>
                <w:rFonts w:ascii="仿宋" w:hAnsi="仿宋" w:eastAsia="仿宋" w:cs="仿宋"/>
                <w:spacing w:val="18"/>
                <w:sz w:val="23"/>
                <w:szCs w:val="23"/>
              </w:rPr>
              <w:t>)朱成吉烈士纪念</w:t>
            </w:r>
            <w:r>
              <w:rPr>
                <w:rFonts w:ascii="仿宋" w:hAnsi="仿宋" w:eastAsia="仿宋" w:cs="仿宋"/>
                <w:spacing w:val="16"/>
                <w:sz w:val="23"/>
                <w:szCs w:val="23"/>
              </w:rPr>
              <w:t>碑</w:t>
            </w:r>
          </w:p>
          <w:p w14:paraId="47D4ADF6">
            <w:pPr>
              <w:keepNext w:val="0"/>
              <w:keepLines w:val="0"/>
              <w:pageBreakBefore w:val="0"/>
              <w:widowControl w:val="0"/>
              <w:wordWrap/>
              <w:overflowPunct/>
              <w:bidi w:val="0"/>
              <w:spacing w:before="95" w:line="225" w:lineRule="auto"/>
              <w:ind w:left="111"/>
              <w:rPr>
                <w:rFonts w:ascii="仿宋" w:hAnsi="仿宋" w:eastAsia="仿宋" w:cs="仿宋"/>
                <w:sz w:val="23"/>
                <w:szCs w:val="23"/>
              </w:rPr>
            </w:pPr>
            <w:r>
              <w:rPr>
                <w:rFonts w:ascii="仿宋" w:hAnsi="仿宋" w:eastAsia="仿宋" w:cs="仿宋"/>
                <w:spacing w:val="26"/>
                <w:sz w:val="23"/>
                <w:szCs w:val="23"/>
              </w:rPr>
              <w:t>(</w:t>
            </w:r>
            <w:r>
              <w:rPr>
                <w:rFonts w:ascii="Arial" w:hAnsi="Arial" w:eastAsia="Arial" w:cs="Arial"/>
                <w:spacing w:val="23"/>
                <w:sz w:val="23"/>
                <w:szCs w:val="23"/>
              </w:rPr>
              <w:t>3</w:t>
            </w:r>
            <w:r>
              <w:rPr>
                <w:rFonts w:ascii="仿宋" w:hAnsi="仿宋" w:eastAsia="仿宋" w:cs="仿宋"/>
                <w:spacing w:val="23"/>
                <w:sz w:val="23"/>
                <w:szCs w:val="23"/>
              </w:rPr>
              <w:t>)大德桥</w:t>
            </w:r>
          </w:p>
          <w:p w14:paraId="79F08309">
            <w:pPr>
              <w:keepNext w:val="0"/>
              <w:keepLines w:val="0"/>
              <w:pageBreakBefore w:val="0"/>
              <w:widowControl w:val="0"/>
              <w:wordWrap/>
              <w:overflowPunct/>
              <w:bidi w:val="0"/>
              <w:spacing w:before="89" w:line="224" w:lineRule="auto"/>
              <w:ind w:left="111"/>
              <w:rPr>
                <w:rFonts w:ascii="仿宋" w:hAnsi="仿宋" w:eastAsia="仿宋" w:cs="仿宋"/>
                <w:sz w:val="23"/>
                <w:szCs w:val="23"/>
              </w:rPr>
            </w:pPr>
            <w:r>
              <w:rPr>
                <w:rFonts w:ascii="仿宋" w:hAnsi="仿宋" w:eastAsia="仿宋" w:cs="仿宋"/>
                <w:spacing w:val="27"/>
                <w:sz w:val="23"/>
                <w:szCs w:val="23"/>
              </w:rPr>
              <w:t>(</w:t>
            </w:r>
            <w:r>
              <w:rPr>
                <w:rFonts w:ascii="Arial" w:hAnsi="Arial" w:eastAsia="Arial" w:cs="Arial"/>
                <w:spacing w:val="21"/>
                <w:sz w:val="23"/>
                <w:szCs w:val="23"/>
              </w:rPr>
              <w:t>4</w:t>
            </w:r>
            <w:r>
              <w:rPr>
                <w:rFonts w:ascii="仿宋" w:hAnsi="仿宋" w:eastAsia="仿宋" w:cs="仿宋"/>
                <w:spacing w:val="21"/>
                <w:sz w:val="23"/>
                <w:szCs w:val="23"/>
              </w:rPr>
              <w:t>)前黄祖祠</w:t>
            </w:r>
          </w:p>
        </w:tc>
      </w:tr>
    </w:tbl>
    <w:p w14:paraId="31047C1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2.2.4土地利用</w:t>
      </w:r>
    </w:p>
    <w:p w14:paraId="353C5FCD">
      <w:pPr>
        <w:keepNext w:val="0"/>
        <w:keepLines w:val="0"/>
        <w:pageBreakBefore w:val="0"/>
        <w:widowControl w:val="0"/>
        <w:kinsoku/>
        <w:wordWrap/>
        <w:overflowPunct/>
        <w:topLinePunct/>
        <w:autoSpaceDE/>
        <w:autoSpaceDN/>
        <w:bidi w:val="0"/>
        <w:adjustRightInd w:val="0"/>
        <w:snapToGrid w:val="0"/>
        <w:spacing w:line="520" w:lineRule="exact"/>
        <w:ind w:left="0" w:right="0" w:firstLine="569"/>
        <w:textAlignment w:val="baseline"/>
        <w:rPr>
          <w:rFonts w:hint="default" w:ascii="黑体" w:hAnsi="黑体" w:eastAsia="黑体" w:cs="黑体"/>
          <w:spacing w:val="5"/>
          <w:sz w:val="23"/>
          <w:szCs w:val="23"/>
          <w:lang w:val="en-US" w:eastAsia="zh-CN"/>
        </w:rPr>
      </w:pPr>
      <w:r>
        <w:rPr>
          <w:rFonts w:ascii="仿宋" w:hAnsi="仿宋" w:eastAsia="仿宋" w:cs="仿宋"/>
          <w:spacing w:val="0"/>
          <w:sz w:val="28"/>
          <w:szCs w:val="28"/>
        </w:rPr>
        <w:t>泉港高新区规划范围内现状用地主要为工业用地、村庄建设用地、教育科研用地、居住用地、商业用地、医疗卫生用地、交通设施用地、公共设施用地等建设用地，以及水域、农林用地等非建设用地。</w:t>
      </w:r>
    </w:p>
    <w:p w14:paraId="4BE1DA69">
      <w:pPr>
        <w:keepNext w:val="0"/>
        <w:keepLines w:val="0"/>
        <w:pageBreakBefore w:val="0"/>
        <w:widowControl w:val="0"/>
        <w:wordWrap/>
        <w:overflowPunct/>
        <w:bidi w:val="0"/>
        <w:spacing w:before="62" w:line="5441" w:lineRule="exact"/>
        <w:ind w:firstLine="418"/>
        <w:textAlignment w:val="center"/>
      </w:pPr>
      <w:r>
        <w:drawing>
          <wp:inline distT="0" distB="0" distL="114300" distR="114300">
            <wp:extent cx="5372735" cy="3454400"/>
            <wp:effectExtent l="0" t="0" r="3175" b="0"/>
            <wp:docPr id="15" name="图片 8"/>
            <wp:cNvGraphicFramePr/>
            <a:graphic xmlns:a="http://schemas.openxmlformats.org/drawingml/2006/main">
              <a:graphicData uri="http://schemas.openxmlformats.org/drawingml/2006/picture">
                <pic:pic xmlns:pic="http://schemas.openxmlformats.org/drawingml/2006/picture">
                  <pic:nvPicPr>
                    <pic:cNvPr id="15" name="图片 8"/>
                    <pic:cNvPicPr/>
                  </pic:nvPicPr>
                  <pic:blipFill>
                    <a:blip r:embed="rId14"/>
                    <a:stretch>
                      <a:fillRect/>
                    </a:stretch>
                  </pic:blipFill>
                  <pic:spPr>
                    <a:xfrm>
                      <a:off x="0" y="0"/>
                      <a:ext cx="5372735" cy="3454400"/>
                    </a:xfrm>
                    <a:prstGeom prst="rect">
                      <a:avLst/>
                    </a:prstGeom>
                    <a:noFill/>
                    <a:ln>
                      <a:noFill/>
                    </a:ln>
                  </pic:spPr>
                </pic:pic>
              </a:graphicData>
            </a:graphic>
          </wp:inline>
        </w:drawing>
      </w:r>
    </w:p>
    <w:p w14:paraId="3392885C">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center"/>
        <w:textAlignment w:val="auto"/>
        <w:rPr>
          <w:rFonts w:hint="default" w:ascii="黑体" w:hAnsi="黑体" w:eastAsia="黑体" w:cs="黑体"/>
          <w:spacing w:val="5"/>
          <w:sz w:val="23"/>
          <w:szCs w:val="23"/>
          <w:lang w:val="en-US" w:eastAsia="zh-CN"/>
        </w:rPr>
      </w:pPr>
      <w:r>
        <w:rPr>
          <w:rFonts w:ascii="黑体" w:hAnsi="黑体" w:eastAsia="黑体" w:cs="黑体"/>
          <w:spacing w:val="1"/>
          <w:sz w:val="23"/>
          <w:szCs w:val="23"/>
        </w:rPr>
        <w:t>图</w:t>
      </w:r>
      <w:r>
        <w:rPr>
          <w:rFonts w:ascii="Arial" w:hAnsi="Arial" w:eastAsia="Arial" w:cs="Arial"/>
          <w:b/>
          <w:bCs/>
          <w:spacing w:val="1"/>
          <w:sz w:val="23"/>
          <w:szCs w:val="23"/>
        </w:rPr>
        <w:t>2-8</w:t>
      </w:r>
      <w:r>
        <w:rPr>
          <w:rFonts w:ascii="黑体" w:hAnsi="黑体" w:eastAsia="黑体" w:cs="黑体"/>
          <w:spacing w:val="1"/>
          <w:sz w:val="23"/>
          <w:szCs w:val="23"/>
        </w:rPr>
        <w:t>土地利用现</w:t>
      </w:r>
      <w:r>
        <w:rPr>
          <w:rFonts w:ascii="黑体" w:hAnsi="黑体" w:eastAsia="黑体" w:cs="黑体"/>
          <w:sz w:val="23"/>
          <w:szCs w:val="23"/>
        </w:rPr>
        <w:t>状图</w:t>
      </w:r>
    </w:p>
    <w:p w14:paraId="54C8927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现状工业用地主要分布于园区东西向主干道驿峰路两侧及东西两端，项目类型涉及石化新材料、高端精细化工、环保设备以及汽配机械等产业。</w:t>
      </w:r>
    </w:p>
    <w:p w14:paraId="39E903E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现状村镇建设用地主要为规划区内交错分布的大量村庄，包括邱后村、前烧村、香芹村、普安村和海滨村等。</w:t>
      </w:r>
    </w:p>
    <w:p w14:paraId="114A859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现状居住用地包括万兆山庄、五里松、福鑫新城及前黄镇政府附近的商住楼等。</w:t>
      </w:r>
    </w:p>
    <w:p w14:paraId="5D66FCA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现状教育科研用地主要包括福州大学石油化工学院、福建师范大学泉港石化研究院、博文中学、三朱中学、普安小学、前黄小学、三朱小学等。</w:t>
      </w:r>
    </w:p>
    <w:p w14:paraId="41BAFDD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现状医疗卫生用地为仁爱医院。</w:t>
      </w:r>
    </w:p>
    <w:p w14:paraId="1455510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现状交通设施用地主要为驿峰路、通六街等道路。</w:t>
      </w:r>
    </w:p>
    <w:p w14:paraId="1751F98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现状公用工程设施用地包括园区内110kV普安变电站等。</w:t>
      </w:r>
    </w:p>
    <w:p w14:paraId="6DA1D3A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现状水域主要为前烧水库、昆山水库、菱溪、坝头溪及零散的坑塘、水系等。</w:t>
      </w:r>
    </w:p>
    <w:p w14:paraId="5F7209A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现状农林用地分布最广，其中还包含有基本农田保护区、生态林地等。</w:t>
      </w:r>
    </w:p>
    <w:p w14:paraId="431FD40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2.2.5用地评价</w:t>
      </w:r>
    </w:p>
    <w:p w14:paraId="6AF8670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（1）规划范围内村庄居民点分布散且多，建筑数量大，现状“厂村混杂”问题较为突出。</w:t>
      </w:r>
    </w:p>
    <w:p w14:paraId="04FB428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（2）基础设施建设滞后，园区缺乏集中的供水、污水处理、消防等公用设施。</w:t>
      </w:r>
    </w:p>
    <w:p w14:paraId="36F7687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（3）整体路网干线道路不足，未形成完整的次、支等级道路体系，道路系统不完善。</w:t>
      </w:r>
    </w:p>
    <w:p w14:paraId="2CAD4F6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（4）现状和规划的公路、铁路、高压走廊等分割了园区用地，使规划区内用地分散。</w:t>
      </w:r>
    </w:p>
    <w:p w14:paraId="1B41491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（5）规划范围内涉及生态保护红线、生态公益林、基本农田保护区等，近期开发难度较大，未来的开发建设应结合项目建设有计划的逐步进行调整并制定可行有效的补偿方式。</w:t>
      </w:r>
    </w:p>
    <w:p w14:paraId="4471AF6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总体来说，规划范围内工业用地集约利用水平低，土地利用方式较为粗放，土地开发难度较高。</w:t>
      </w:r>
    </w:p>
    <w:p w14:paraId="48908CA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5667514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686F08D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1210157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71F2276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06FCCA3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397209A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5864941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16E2D6AE">
      <w:pPr>
        <w:pStyle w:val="2"/>
        <w:keepNext w:val="0"/>
        <w:keepLines w:val="0"/>
        <w:pageBreakBefore w:val="0"/>
        <w:widowControl w:val="0"/>
        <w:kinsoku/>
        <w:wordWrap/>
        <w:overflowPunct/>
        <w:topLinePunct w:val="0"/>
        <w:autoSpaceDE/>
        <w:autoSpaceDN/>
        <w:bidi w:val="0"/>
        <w:adjustRightInd/>
        <w:snapToGrid/>
        <w:spacing w:before="0" w:beforeAutospacing="0" w:line="490" w:lineRule="exact"/>
        <w:ind w:left="0" w:leftChars="0" w:firstLine="0" w:firstLineChars="0"/>
        <w:jc w:val="center"/>
        <w:textAlignment w:val="auto"/>
        <w:rPr>
          <w:rFonts w:hint="default" w:ascii="方正小标宋_GBK" w:hAnsi="方正小标宋_GBK" w:eastAsia="方正小标宋_GBK" w:cs="方正小标宋_GBK"/>
          <w:b w:val="0"/>
          <w:bCs w:val="0"/>
          <w:snapToGrid w:val="0"/>
          <w:color w:val="000000"/>
          <w:spacing w:val="10"/>
          <w:kern w:val="0"/>
          <w:sz w:val="36"/>
          <w:szCs w:val="36"/>
          <w:lang w:val="en-US" w:eastAsia="zh-CN"/>
        </w:rPr>
      </w:pPr>
      <w:r>
        <w:rPr>
          <w:rFonts w:hint="default" w:ascii="方正小标宋_GBK" w:hAnsi="方正小标宋_GBK" w:eastAsia="方正小标宋_GBK" w:cs="方正小标宋_GBK"/>
          <w:b w:val="0"/>
          <w:bCs w:val="0"/>
          <w:snapToGrid w:val="0"/>
          <w:color w:val="000000"/>
          <w:spacing w:val="10"/>
          <w:kern w:val="0"/>
          <w:sz w:val="36"/>
          <w:szCs w:val="36"/>
          <w:lang w:val="en-US" w:eastAsia="zh-CN"/>
        </w:rPr>
        <w:t>3发展目标与路径</w:t>
      </w:r>
    </w:p>
    <w:p w14:paraId="4375E46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B829F2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3.1</w:t>
      </w:r>
      <w:r>
        <w:rPr>
          <w:rFonts w:hint="eastAsia" w:ascii="黑体" w:hAnsi="黑体" w:eastAsia="黑体" w:cs="黑体"/>
          <w:spacing w:val="0"/>
          <w:sz w:val="28"/>
          <w:szCs w:val="28"/>
          <w:lang w:val="en-US" w:eastAsia="zh-CN"/>
        </w:rPr>
        <w:t>目标定位</w:t>
      </w:r>
    </w:p>
    <w:p w14:paraId="105A890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3.1.1发展定位</w:t>
      </w:r>
    </w:p>
    <w:p w14:paraId="72AD536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w:t>
      </w:r>
      <w:r>
        <w:rPr>
          <w:rFonts w:hint="eastAsia" w:ascii="仿宋_GB2312" w:hAnsi="仿宋_GB2312" w:eastAsia="仿宋_GB2312" w:cs="仿宋_GB2312"/>
          <w:spacing w:val="9"/>
          <w:sz w:val="28"/>
          <w:szCs w:val="28"/>
          <w:lang w:val="en-US" w:eastAsia="zh-CN"/>
        </w:rPr>
        <w:t>现代化泉港中心城区的组成部分，产城融合、宜业宜居的生态新区；</w:t>
      </w:r>
    </w:p>
    <w:p w14:paraId="7B058A1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（2）海西经济区创新网络的重要节点，泉州市的创新高地，泉港区的创新中枢；</w:t>
      </w:r>
    </w:p>
    <w:p w14:paraId="7E70582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（3）大石化背景下泉州市新材料产业发展的核心承载区。</w:t>
      </w:r>
    </w:p>
    <w:p w14:paraId="51B7AFF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3.1.2发展目标</w:t>
      </w:r>
    </w:p>
    <w:p w14:paraId="180913F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通过十余年的发展，力争引领带动全区转型升级与高质量发展取得重大突破，产业竞争力与区域影响力不断跃升，现代化城市功能和品质形象大幅提升，建成创新驱动型特色园区。</w:t>
      </w:r>
    </w:p>
    <w:p w14:paraId="1DF082A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（1）以高新技术产业为主体，宜业宜居的生态新区</w:t>
      </w:r>
    </w:p>
    <w:p w14:paraId="5B17B67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按照《泉港区城市总体规划纲要》的要求及职能分工，园区是泉港区中心城区的组成部分，是以产业功能为主的一个城市分区。因此规划园区不同于其它单一性质的独立开发区，它比邻城市旧区，也是中心组团的有机组成部分。因此决定了其功能组成与布局都不能孤立和脱离中心组团的大环境而独立存在，它是中心组团用地布局规划中产业用地的主体与核心所在，它要为强化、优化中心组团的城市功能提供动力。因此，总结其它类似高新区的成功经验，规划应使其功能相对复合、完整。</w:t>
      </w:r>
    </w:p>
    <w:p w14:paraId="28C4EAF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（2）海峡西岸科技创新网络的重要节点</w:t>
      </w:r>
    </w:p>
    <w:p w14:paraId="396CC7E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国家高新区即将迈入第四个十年，在国家创新驱动战略实施的大背景下逐步回归本源——创新驱动。此外，新时代也赋予了高新区新的历史使命：肩负着经济发展与科技创新的双重使命，率先、创新、高端成为发展要义。新形势下，泉港高新区作为国家级泉州高新区及福厦泉自主创新示范区的重要组成部分，应深度融入海西高新技术产业圈层，切实以</w:t>
      </w:r>
      <w:r>
        <w:rPr>
          <w:rFonts w:hint="default" w:ascii="仿宋_GB2312" w:hAnsi="仿宋_GB2312" w:eastAsia="仿宋_GB2312" w:cs="仿宋_GB2312"/>
          <w:spacing w:val="0"/>
          <w:sz w:val="28"/>
          <w:szCs w:val="28"/>
          <w:lang w:val="en-US" w:eastAsia="zh-CN"/>
        </w:rPr>
        <w:t>“率先</w:t>
      </w:r>
      <w:r>
        <w:rPr>
          <w:rFonts w:hint="eastAsia" w:ascii="仿宋_GB2312" w:hAnsi="仿宋_GB2312" w:eastAsia="仿宋_GB2312" w:cs="仿宋_GB2312"/>
          <w:spacing w:val="0"/>
          <w:sz w:val="28"/>
          <w:szCs w:val="28"/>
          <w:lang w:val="en-US" w:eastAsia="zh-CN"/>
        </w:rPr>
        <w:t>转型升级、创新发展示范、优化发展质量与结构”为目标，以新材料作为突出的产业特色与着力点，发展成为区域性产业社区、知识社区、创业社区，建成知识技术密集、社交接触频繁、创新创业活跃的高技术社区，成为海峡西岸科技创新网络的重要节点。</w:t>
      </w:r>
    </w:p>
    <w:p w14:paraId="408A120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（3）泉港区重要经济增长极及创新中枢</w:t>
      </w:r>
    </w:p>
    <w:p w14:paraId="120E523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从高新区在区域发展中所起的作用来看，它是一个科技、人才和资本有机结合的大平台，是科技创新、产业创新和制度创新的策源地，必须坚持产业优先，并引导优化提升产业结构，为泉州市、泉港区的产业优化升级和引进高新适用技术提供充足的、高质量的载体，也为泉港区打造高质量发展示范区提供动力。</w:t>
      </w:r>
    </w:p>
    <w:p w14:paraId="5CECAA1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（4）闽南特色鲜明的生态型、现代化的高新园区</w:t>
      </w:r>
    </w:p>
    <w:p w14:paraId="6C5B48B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的建设顺应现代高新园区绿色化、生态化的发展趋势，从现状“山水田园”的自然条件与区位优势来看，也利于塑造出其鲜明的闽南地方特色。另外，通过人工城市景观形象的塑造，并体现一定的生态、现代气息，提升城市品位。</w:t>
      </w:r>
    </w:p>
    <w:p w14:paraId="500F6CB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3.2路径战略</w:t>
      </w:r>
    </w:p>
    <w:p w14:paraId="6E81A9D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6"/>
          <w:sz w:val="28"/>
          <w:szCs w:val="28"/>
          <w:lang w:val="en-US" w:eastAsia="zh-CN"/>
        </w:rPr>
      </w:pPr>
      <w:r>
        <w:rPr>
          <w:rFonts w:hint="default" w:ascii="楷体_GB2312" w:hAnsi="楷体_GB2312" w:eastAsia="楷体_GB2312" w:cs="楷体_GB2312"/>
          <w:b/>
          <w:bCs/>
          <w:spacing w:val="0"/>
          <w:sz w:val="28"/>
          <w:szCs w:val="28"/>
          <w:lang w:val="en-US" w:eastAsia="zh-CN"/>
        </w:rPr>
        <w:t>3.2.1</w:t>
      </w:r>
      <w:r>
        <w:rPr>
          <w:rFonts w:hint="default" w:ascii="楷体_GB2312" w:hAnsi="楷体_GB2312" w:eastAsia="楷体_GB2312" w:cs="楷体_GB2312"/>
          <w:b/>
          <w:bCs/>
          <w:spacing w:val="6"/>
          <w:sz w:val="28"/>
          <w:szCs w:val="28"/>
          <w:lang w:val="en-US" w:eastAsia="zh-CN"/>
        </w:rPr>
        <w:t>构筑大石化背景下特色突出、深度融合的高新技术产业发展新形态</w:t>
      </w:r>
    </w:p>
    <w:p w14:paraId="522EF94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3.2.1.1背景</w:t>
      </w:r>
    </w:p>
    <w:p w14:paraId="36501F8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化产业是泉州市的支柱产业，泉州市已有福建联合石化炼化一体化项目和中化泉州石化炼化一体化项目建成投运，石化上游产业已经形成一定规模。目前福建省炼油、乙烯的生产主要集中在湄洲湾石化基地，其中福建联合石化已形成炼油产能1400万吨、乙烯产能110万吨。近年来泉州地区石化产业保持了较快的增长速度，有机原料及下游产品产量不断上升，发展下游深加工产业的原料较为充足。</w:t>
      </w:r>
    </w:p>
    <w:p w14:paraId="2264C95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材料作为高新技术发展的支撑和先导，其研究水平和产业化规模已成为衡量一个国家经济发展、科技进步和国防实力的重要标志。化工新材料作为新材料的重要门类，目前总产值达到4000亿元左右，约占全部新材料总产值的20%。新材料也是新一代信息技术、高端装备(包括航空航天装备、军工装备、海洋工程和高技术船舶、轨道交通)、生物、新能源汽车、节能环保等战略性新兴产业发展的基础甚至关键，其保障能力是中国制造2025目标实现的重要基础。</w:t>
      </w:r>
    </w:p>
    <w:p w14:paraId="48F1708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整个石化行业全产业链分析，化工新材料是化工产业转型升级的重点。化工新材料包括高性能树脂、高性能合成橡胶、高性能纤维、功能性膜材料和高端专用化学品等。与传统化工材料相比，具有性能优异、功能性强(多)、技术含量高、附加值高等特点，位于石油化工产业金字塔的顶端。目前，化工新材料在欧美、日韩等发达国家的化工产品中所占比重已超过20%</w:t>
      </w:r>
      <w:r>
        <w:rPr>
          <w:rFonts w:hint="eastAsia" w:ascii="仿宋_GB2312" w:hAnsi="仿宋_GB2312" w:eastAsia="仿宋_GB2312" w:cs="仿宋_GB2312"/>
          <w:spacing w:val="0"/>
          <w:sz w:val="28"/>
          <w:szCs w:val="28"/>
          <w:lang w:val="en-US" w:eastAsia="zh-CN"/>
        </w:rPr>
        <w:t>，</w:t>
      </w:r>
      <w:r>
        <w:rPr>
          <w:rFonts w:hint="default" w:ascii="仿宋_GB2312" w:hAnsi="仿宋_GB2312" w:eastAsia="仿宋_GB2312" w:cs="仿宋_GB2312"/>
          <w:spacing w:val="0"/>
          <w:sz w:val="28"/>
          <w:szCs w:val="28"/>
          <w:lang w:val="en-US" w:eastAsia="zh-CN"/>
        </w:rPr>
        <w:t>而在国内，化工新材料产值仅占化学工业总产值的5%，具有较大的发展空间。</w:t>
      </w:r>
    </w:p>
    <w:p w14:paraId="03E2011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3.2.1.2现状诉求</w:t>
      </w:r>
    </w:p>
    <w:p w14:paraId="3E2964A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材料市场需求旺盛，新材料产业已被全国多数省市列为重点培育和优先发展的高新技术产业，成为改造传统产业、推动地方经济发展的重要抓手和有效途径。福建省周边的广东、浙江等省份是全国新材料生产和需求较为集中的地区，具有良好的产业基础。福建省特别是泉州地区的石化化工产业较为发达，下游深加工及化工新材料等产业有重点发展和培育的基础。</w:t>
      </w:r>
    </w:p>
    <w:p w14:paraId="1B7D88D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与周边省份相比，福建省新材料产业总体发展水平相对落后，泉州市地处海西经济区，与台湾隔海相望，具有对台交往的独特优势；同时，泉州市还是国家发展战略“一带一路”中海上丝绸之路的起点。泉州市纺织鞋服、石油化工、机械装备、建材家居四大主导产业转型升级、做大做强的背景下，新材料对高新技术产业优化提升的先导和基础作用日益突出，对传统产业转型升级的支撑和促进作用日益增强，发展前景广阔。</w:t>
      </w:r>
    </w:p>
    <w:p w14:paraId="6CDCE78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区“一区多园”中，泉港高新区的定位为以新材料为主导，这一定位契合泉港区的产业特点，同时也可以充分开发泉港区目前在石化化工领域的优质教育资源。但目前园区的产业特征、用地条件尚不足以支撑高端化工新材料项目的快速引进建设。</w:t>
      </w:r>
    </w:p>
    <w:p w14:paraId="3294FB8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从新材料产业发展角度来看，迫切需要生产性服务业的有力支撑——主要体现在科学研发以及金融服务等产业领域。在科学研发方面，依托福州大学石油化工学院、福建师范大学泉港石化研究院等科研机构及中国福建化学工程科学与技术实验室、相关工程研究中心等平台，泉港区具备发展化工新材料的智力优势。目前迫切需要的是将相关研发机构科研成果转化为生产力所需要的成果孵化、投融资、信息服务等高新服务业。</w:t>
      </w:r>
    </w:p>
    <w:p w14:paraId="5FDFF0E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3.2.1.3发展要求</w:t>
      </w:r>
    </w:p>
    <w:p w14:paraId="6D3141A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（1）打造大石化背景下海峡西岸经济区的创新增长极</w:t>
      </w:r>
    </w:p>
    <w:p w14:paraId="56184AE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构建以石化下游新材料为发展主体，以高端制造为特色的中高端产业体系，坚持“外引内培”双轮驱动，实现经济规模快速增长、经济效益显著提高，成为带动全市及海峡西岸经济区产业结构调整和经济更快更好发展的创新增长极。</w:t>
      </w:r>
    </w:p>
    <w:p w14:paraId="6D8EAD5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（2）构筑“一、一、四、四”产业体系</w:t>
      </w:r>
    </w:p>
    <w:p w14:paraId="158ECE9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1个目标：福建省一流的特色高新区；</w:t>
      </w:r>
    </w:p>
    <w:p w14:paraId="1FC7502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1个中心：打造新材料产业为中心的产业集群；</w:t>
      </w:r>
    </w:p>
    <w:p w14:paraId="61C3B20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4个面向：面向下游汽车和轨道交通、新能源、节能环保、大健康四大产业；</w:t>
      </w:r>
    </w:p>
    <w:p w14:paraId="6C51298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4个平台：科技成果孵化平台、培训教育基地、物联网和云服务数据信息平台、金融服务平台等四大公共服务平台；</w:t>
      </w:r>
    </w:p>
    <w:p w14:paraId="328E066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（4）构建福建地区创新创业标杆区</w:t>
      </w:r>
    </w:p>
    <w:p w14:paraId="3ACF782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全面提升“创新、人才、金融”要素配置效率，完善“双创”服务，重点在创新服务、双创载体、双创主体、产业组织创新等层面实现突破，探索具有高新特色的创新发展道路，构建福建地区开放式创新创业标杆区。</w:t>
      </w:r>
    </w:p>
    <w:p w14:paraId="46C2961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3.2.2探索传统产业园区通向高新技术园区的转型之路</w:t>
      </w:r>
    </w:p>
    <w:p w14:paraId="5C178AD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kern w:val="2"/>
          <w:sz w:val="28"/>
          <w:szCs w:val="28"/>
          <w:lang w:val="en-US" w:eastAsia="zh-CN" w:bidi="ar-SA"/>
        </w:rPr>
        <w:t>3.2.2.1</w:t>
      </w:r>
      <w:r>
        <w:rPr>
          <w:rFonts w:hint="eastAsia" w:ascii="仿宋_GB2312" w:hAnsi="仿宋_GB2312" w:eastAsia="仿宋_GB2312" w:cs="仿宋_GB2312"/>
          <w:b/>
          <w:bCs/>
          <w:spacing w:val="0"/>
          <w:sz w:val="28"/>
          <w:szCs w:val="28"/>
          <w:lang w:val="en-US" w:eastAsia="zh-CN"/>
        </w:rPr>
        <w:t>背景</w:t>
      </w:r>
    </w:p>
    <w:p w14:paraId="47A1CE6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过去数十年中国经济的崛起，大大小小的工业园区可谓功不可没。除</w:t>
      </w:r>
    </w:p>
    <w:p w14:paraId="26E739A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了为各地带来不菲的税收，贡献了显著的GDP，还催生了地方政府经营城市和土地的积极性，不断扩大着城市边界和建设用地规模。但与此同时，传统产业园区也面临着日益严峻的发展问题，主要表现在：产业结构单一、土地厂房闲置、与周边区域的连通性差、功能配套严重不足、就业和消费结构不匹配等等。尤其在当下以智能制造为代表的产业升级和新一轮城市更新的双重冲击之下，传统产业园区的转型升级势在必行。</w:t>
      </w:r>
    </w:p>
    <w:p w14:paraId="5533797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3.2.2.2现状诉求</w:t>
      </w:r>
    </w:p>
    <w:p w14:paraId="31BC989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原为普安高新技术开发区，成立于2002年。经过多年开发与建设，基本形成橡胶与塑料制品、精细化工、纺织服装服饰、装备制造、建材、家居家具等为主的产业格局。目前园区的产业层次整体上仍比较低端，以传统产业为主，尚未形成适应新经济的产业结构与产业体系。</w:t>
      </w:r>
    </w:p>
    <w:p w14:paraId="75D7E1B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3.2.2.3发展要求</w:t>
      </w:r>
    </w:p>
    <w:p w14:paraId="4563043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（1）区域的转型升级应基于既有的区域禀赋和产业优势</w:t>
      </w:r>
    </w:p>
    <w:p w14:paraId="2C1DEAB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一方面，对区域内现有产业进行梳理，明确哪些产业必须关停，哪些产业可以进行转型升级。对于需要进行转型升级的产业，可以通过建设智慧化、智能化工具升级传统行业。高新园区通过适度发展大数据产业，优化传统产业的生产与销售模式，促进高新园区传统产业的升级。</w:t>
      </w:r>
    </w:p>
    <w:p w14:paraId="4920AD2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另一方面，区域内发展新的产业形态应与泉港区乃至泉州市的产业特点、建设条件相匹配，立足于区域内现有的产业基础，发挥产业优势，才能扬长避短，快速实现产业转型升级。</w:t>
      </w:r>
    </w:p>
    <w:p w14:paraId="643E656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（2）建立产业生态平台，推动产业融合升级</w:t>
      </w:r>
    </w:p>
    <w:p w14:paraId="44A62A2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区域经济转型是一项长期工程，往往需耗时数年乃至数十年。成功的关键在于培育创新生态，以适应不断出现的新情况。</w:t>
      </w:r>
    </w:p>
    <w:p w14:paraId="5C93AB0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高效的创新生态系统由五个重要组成部分组成，分别为：</w:t>
      </w:r>
    </w:p>
    <w:p w14:paraId="7E1B155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技术——研发创新技术和共享资源的科技教育机构；</w:t>
      </w:r>
    </w:p>
    <w:p w14:paraId="2A51417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资本——技术商业化需要投入的资本；</w:t>
      </w:r>
    </w:p>
    <w:p w14:paraId="4C404B0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领军企业——拥有广泛的市场占有率和研究/生产设施，且管理完善的成熟企业；</w:t>
      </w:r>
    </w:p>
    <w:p w14:paraId="7E501FA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创新企业——推动技术转让和服务升级的孵化平台和初创</w:t>
      </w:r>
      <w:r>
        <w:rPr>
          <w:rFonts w:hint="default" w:ascii="仿宋_GB2312" w:hAnsi="仿宋_GB2312" w:eastAsia="仿宋_GB2312" w:cs="仿宋_GB2312"/>
          <w:spacing w:val="0"/>
          <w:sz w:val="28"/>
          <w:szCs w:val="28"/>
          <w:lang w:val="en-US" w:eastAsia="zh-CN"/>
        </w:rPr>
        <w:t>企业；</w:t>
      </w:r>
    </w:p>
    <w:p w14:paraId="49111D78">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政府——积极有作为的服务型政府，出台支持政策，并提供必要的基础建设。</w:t>
      </w:r>
    </w:p>
    <w:p w14:paraId="528ECA1B">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良好的产业生态下，上述各方之间的边界日益模糊，并互相影响，形成良好的“生态系统”，而非一个线性的进程。因此，政府层面需要由管理者的角色向服务者的角色转变，这样才能有效促进产业融合生态的构建。</w:t>
      </w:r>
    </w:p>
    <w:p w14:paraId="6153F92E">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（3）规划层面适度留白，为未来发展预留空间</w:t>
      </w:r>
    </w:p>
    <w:p w14:paraId="475F99CA">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技术进步日新月异，集中式经济规划的弊端日益显现。现阶段规划必须具有灵活性，为新机遇预留部分土地及资金。</w:t>
      </w:r>
    </w:p>
    <w:p w14:paraId="74D09452">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借鉴目前国内同类型城市的发展经验，产业小镇的模式更加适合泉港新材料高新技术产业园区这类现状复杂，既有一定的产业基础，同时面临着突出矛盾的园区。产业小镇可实现自给自足，并为未来可能出现的机会预留了土地。目前高新园区内已经建设了前黄特色小镇，以研发孵化为主，将成为高新园区的发展大脑。按照产业空间布局规划，可以在前黄特色小镇的基础上进一步发展物流小镇、工业小镇，通过融合主导产业、居住、商业活动，在区域内实现自给自足，减少大规模人口迁移的同时有效地促进了新兴产业的发展。</w:t>
      </w:r>
    </w:p>
    <w:p w14:paraId="4E84639B">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（4）以人为本，关注人的全面需求，吸引创新人才</w:t>
      </w:r>
    </w:p>
    <w:p w14:paraId="472827F8">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的规划及开发不应再局限于工业区、科技园或集中式商业区等固有概念，应从更广泛的视角思考园区开发，比如如何响应居民的需求、建立关系的连接、打造创新社区等。为此，需要畅通的交通网络、便利的商业、综合用途的楼宇、公园，友好共生的邻里社区供人们工作和休闲，以及多样化的生活和工作空间。所有这些将合力营造一个有利于交流和互动的活动环境。</w:t>
      </w:r>
    </w:p>
    <w:p w14:paraId="35BF9BE0">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因此，未来高新园区应在以人为本原则的指导下重新开发。医院、住宅和娱乐等新设施陆续完善，将高新园区发展成为活泼、和谐、开放且便利的全天候宜居之地；以孵化平台为中心，附近配套建设完备的商业、绿化和生活设施等。同时建设涵盖商场、公寓、办公场所、企业孵化平台、实验室等综合体设施；围绕人才公园发展共享式居住，即以相对较低的价格确保高质量的共享空间，以吸引创新人才。</w:t>
      </w:r>
    </w:p>
    <w:p w14:paraId="6F4EEF8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3.2.3培育“三生融合”的创新型城市发展新空间</w:t>
      </w:r>
    </w:p>
    <w:p w14:paraId="6E45146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3.2.3.1背景</w:t>
      </w:r>
    </w:p>
    <w:p w14:paraId="70F97C06">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工业化是过去70年间我国城市化的主要推动因素，城市的发展围绕少数产业向上下游延伸，聚集从事固定产业的单一人群，生产和生活空间相对独立。随着城市化进程的推进及新经济的推动，创新日益成为城市经济发展的核心驱动力，也是未来城市参与区域竞争的第一资源。创新活动的不断增加，加快了产业融合与多元人群聚集，从而推动城市格局的变化，催生城市空间新形态。为适应经济、人群、空间的三重变化，国内的领先城市在推动创新活动、探索产业升级的过程中，也积极打造生产、生活和生态“三生融合”的城市新空间，这些领先城市的探索和尝试为泉港高新区的发展提供了参考与启示。</w:t>
      </w:r>
    </w:p>
    <w:p w14:paraId="7933D3E1">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首先，经济的变化。创新引领的城市往往新技术与新模式生长活跃，使得该地区的经济形态从围绕特定产业上下游拓展的传统经济向多产业交融形成的创新经济演化；创新活动的无界融合趋势带动了产业空间布局的新变化，让不同产业门类在空间上实现深度交融。</w:t>
      </w:r>
    </w:p>
    <w:p w14:paraId="3798BA61">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其次，人群的变化。一方面，创新引领的城市从单一的产业人群聚集到多元的创新、创业人才汇聚；另一方面，他们对工作空间和城市功能提出了新的要求，客观上推动着集职、住、学、娱多种功能于一体的集合空间向深度融合。</w:t>
      </w:r>
    </w:p>
    <w:p w14:paraId="6908F579">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最后，空间的变化。城市用地的日益紧张和生态红线也必然要求集约高效地营造空间。即从固化产业与功能的特定空间转向功能混合的开放空间，纵向打破空间的单一功能限制，横向构筑小尺度、多功能的社区。</w:t>
      </w:r>
    </w:p>
    <w:p w14:paraId="734BABB0">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纵观国内领先城市的发展历程与思路，产业和业态的升级率先引爆，人群结构的演变随之而来，最终落脚于生产生活方式的颠覆。经济、人群、空间的三重变化催生了城市的“三生融合”新形态。</w:t>
      </w:r>
    </w:p>
    <w:p w14:paraId="2D0EF68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3.2.3.2现状诉求</w:t>
      </w:r>
    </w:p>
    <w:p w14:paraId="6ADAD3E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（1）生产空间</w:t>
      </w:r>
    </w:p>
    <w:p w14:paraId="5CDF490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园区现状生产用地布局散乱，用地低效与闲置现象突出。规划编制过程中通过初步的排查，区域内低效与闲置用地约1.5平方公里，其中低效用地约1平方公里，闲置厂房占地约0.5平方公里。</w:t>
      </w:r>
    </w:p>
    <w:p w14:paraId="2A63E2E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此外，园区内现状部分企业为化工项目，按照目前国家关于化工项目的布局政策需要进入专属的化工园区发展，因此需要对相应企业土地进行腾退或转型；此外，园区东南部原为皮革生产企业集中布局的区域，需要对原有土地进行检测修复后进行后续开发建设。</w:t>
      </w:r>
    </w:p>
    <w:p w14:paraId="4D8FA9A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（2）生活空间</w:t>
      </w:r>
    </w:p>
    <w:p w14:paraId="64EB5EA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高新园区内尚未形成集中的生活空间，目前主要为散乱分布的村庄建设用地，这与未来高新城区的建设要求不匹配。按照本次规划范围，园区分别位于山腰街道、前黄镇与涂岭镇的部分区域，包括路口村、驿坂村、丘后村、前烧村、香芹村、普安村、海滨村、三朱村、前黄村共计个9行政村，现状人口约3万人。</w:t>
      </w:r>
    </w:p>
    <w:p w14:paraId="15B6965E">
      <w:pPr>
        <w:keepNext w:val="0"/>
        <w:keepLines w:val="0"/>
        <w:pageBreakBefore w:val="0"/>
        <w:widowControl w:val="0"/>
        <w:wordWrap/>
        <w:overflowPunct/>
        <w:bidi w:val="0"/>
        <w:spacing w:before="66" w:line="5280" w:lineRule="exact"/>
        <w:ind w:firstLine="410"/>
        <w:textAlignment w:val="center"/>
      </w:pPr>
      <w:r>
        <w:drawing>
          <wp:inline distT="0" distB="0" distL="114300" distR="114300">
            <wp:extent cx="5234305" cy="3352800"/>
            <wp:effectExtent l="0" t="0" r="1270" b="4445"/>
            <wp:docPr id="17" name="图片 9"/>
            <wp:cNvGraphicFramePr/>
            <a:graphic xmlns:a="http://schemas.openxmlformats.org/drawingml/2006/main">
              <a:graphicData uri="http://schemas.openxmlformats.org/drawingml/2006/picture">
                <pic:pic xmlns:pic="http://schemas.openxmlformats.org/drawingml/2006/picture">
                  <pic:nvPicPr>
                    <pic:cNvPr id="17" name="图片 9"/>
                    <pic:cNvPicPr/>
                  </pic:nvPicPr>
                  <pic:blipFill>
                    <a:blip r:embed="rId15"/>
                    <a:stretch>
                      <a:fillRect/>
                    </a:stretch>
                  </pic:blipFill>
                  <pic:spPr>
                    <a:xfrm>
                      <a:off x="0" y="0"/>
                      <a:ext cx="5234305" cy="3352800"/>
                    </a:xfrm>
                    <a:prstGeom prst="rect">
                      <a:avLst/>
                    </a:prstGeom>
                    <a:noFill/>
                    <a:ln>
                      <a:noFill/>
                    </a:ln>
                  </pic:spPr>
                </pic:pic>
              </a:graphicData>
            </a:graphic>
          </wp:inline>
        </w:drawing>
      </w:r>
    </w:p>
    <w:p w14:paraId="53A915E0">
      <w:pPr>
        <w:keepNext w:val="0"/>
        <w:keepLines w:val="0"/>
        <w:pageBreakBefore w:val="0"/>
        <w:widowControl w:val="0"/>
        <w:wordWrap/>
        <w:overflowPunct/>
        <w:bidi w:val="0"/>
        <w:spacing w:before="180" w:line="226" w:lineRule="auto"/>
        <w:ind w:left="3337"/>
        <w:rPr>
          <w:rFonts w:hint="default" w:ascii="仿宋_GB2312" w:hAnsi="仿宋_GB2312" w:eastAsia="仿宋_GB2312" w:cs="仿宋_GB2312"/>
          <w:spacing w:val="0"/>
          <w:sz w:val="28"/>
          <w:szCs w:val="28"/>
          <w:lang w:val="en-US" w:eastAsia="zh-CN"/>
        </w:rPr>
      </w:pPr>
      <w:r>
        <w:rPr>
          <w:rFonts w:ascii="黑体" w:hAnsi="黑体" w:eastAsia="黑体" w:cs="黑体"/>
          <w:spacing w:val="1"/>
          <w:sz w:val="23"/>
          <w:szCs w:val="23"/>
        </w:rPr>
        <w:t>图</w:t>
      </w:r>
      <w:r>
        <w:rPr>
          <w:rFonts w:ascii="Arial" w:hAnsi="Arial" w:eastAsia="Arial" w:cs="Arial"/>
          <w:b/>
          <w:bCs/>
          <w:spacing w:val="1"/>
          <w:sz w:val="23"/>
          <w:szCs w:val="23"/>
        </w:rPr>
        <w:t>3-3</w:t>
      </w:r>
      <w:r>
        <w:rPr>
          <w:rFonts w:ascii="黑体" w:hAnsi="黑体" w:eastAsia="黑体" w:cs="黑体"/>
          <w:spacing w:val="1"/>
          <w:sz w:val="23"/>
          <w:szCs w:val="23"/>
        </w:rPr>
        <w:t>现状村庄分</w:t>
      </w:r>
      <w:r>
        <w:rPr>
          <w:rFonts w:ascii="黑体" w:hAnsi="黑体" w:eastAsia="黑体" w:cs="黑体"/>
          <w:sz w:val="23"/>
          <w:szCs w:val="23"/>
        </w:rPr>
        <w:t>布图</w:t>
      </w:r>
    </w:p>
    <w:p w14:paraId="13C665A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（3）生态空间</w:t>
      </w:r>
    </w:p>
    <w:p w14:paraId="3BCB99A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高新园区内的生态用地包括生态保护红线、基本农田保护区、生态公益林、一般林地等，占地面积约4.9平方公里，其中基本农田保护区占地约1.3平方公里。目前园区内的生态空间主要为天然形态的空间格局，未经过系统的整理改造。</w:t>
      </w:r>
    </w:p>
    <w:p w14:paraId="1EAE59BF">
      <w:pPr>
        <w:keepNext w:val="0"/>
        <w:keepLines w:val="0"/>
        <w:pageBreakBefore w:val="0"/>
        <w:widowControl w:val="0"/>
        <w:wordWrap/>
        <w:overflowPunct/>
        <w:bidi w:val="0"/>
        <w:spacing w:before="63" w:line="5995" w:lineRule="exact"/>
        <w:ind w:firstLine="125"/>
        <w:textAlignment w:val="center"/>
      </w:pPr>
      <w:r>
        <w:drawing>
          <wp:inline distT="0" distB="0" distL="114300" distR="114300">
            <wp:extent cx="5592445" cy="3807460"/>
            <wp:effectExtent l="0" t="0" r="10160" b="3175"/>
            <wp:docPr id="18" name="图片 10"/>
            <wp:cNvGraphicFramePr/>
            <a:graphic xmlns:a="http://schemas.openxmlformats.org/drawingml/2006/main">
              <a:graphicData uri="http://schemas.openxmlformats.org/drawingml/2006/picture">
                <pic:pic xmlns:pic="http://schemas.openxmlformats.org/drawingml/2006/picture">
                  <pic:nvPicPr>
                    <pic:cNvPr id="18" name="图片 10"/>
                    <pic:cNvPicPr/>
                  </pic:nvPicPr>
                  <pic:blipFill>
                    <a:blip r:embed="rId16"/>
                    <a:stretch>
                      <a:fillRect/>
                    </a:stretch>
                  </pic:blipFill>
                  <pic:spPr>
                    <a:xfrm>
                      <a:off x="0" y="0"/>
                      <a:ext cx="5592445" cy="3807460"/>
                    </a:xfrm>
                    <a:prstGeom prst="rect">
                      <a:avLst/>
                    </a:prstGeom>
                    <a:noFill/>
                    <a:ln>
                      <a:noFill/>
                    </a:ln>
                  </pic:spPr>
                </pic:pic>
              </a:graphicData>
            </a:graphic>
          </wp:inline>
        </w:drawing>
      </w:r>
    </w:p>
    <w:p w14:paraId="06C24850">
      <w:pPr>
        <w:keepNext w:val="0"/>
        <w:keepLines w:val="0"/>
        <w:pageBreakBefore w:val="0"/>
        <w:widowControl w:val="0"/>
        <w:wordWrap/>
        <w:overflowPunct/>
        <w:bidi w:val="0"/>
        <w:spacing w:before="304" w:line="227" w:lineRule="auto"/>
        <w:ind w:left="2857"/>
        <w:rPr>
          <w:rFonts w:hint="default" w:ascii="仿宋_GB2312" w:hAnsi="仿宋_GB2312" w:eastAsia="仿宋_GB2312" w:cs="仿宋_GB2312"/>
          <w:spacing w:val="0"/>
          <w:sz w:val="28"/>
          <w:szCs w:val="28"/>
          <w:lang w:val="en-US" w:eastAsia="zh-CN"/>
        </w:rPr>
      </w:pPr>
      <w:r>
        <w:rPr>
          <w:rFonts w:ascii="黑体" w:hAnsi="黑体" w:eastAsia="黑体" w:cs="黑体"/>
          <w:spacing w:val="6"/>
          <w:sz w:val="23"/>
          <w:szCs w:val="23"/>
        </w:rPr>
        <w:t>图</w:t>
      </w:r>
      <w:r>
        <w:rPr>
          <w:rFonts w:ascii="Arial" w:hAnsi="Arial" w:eastAsia="Arial" w:cs="Arial"/>
          <w:b/>
          <w:bCs/>
          <w:spacing w:val="3"/>
          <w:sz w:val="23"/>
          <w:szCs w:val="23"/>
        </w:rPr>
        <w:t>3-4</w:t>
      </w:r>
      <w:r>
        <w:rPr>
          <w:rFonts w:ascii="黑体" w:hAnsi="黑体" w:eastAsia="黑体" w:cs="黑体"/>
          <w:spacing w:val="3"/>
          <w:sz w:val="23"/>
          <w:szCs w:val="23"/>
        </w:rPr>
        <w:t>园区现状生态空间分布图</w:t>
      </w:r>
    </w:p>
    <w:p w14:paraId="66C97C4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3.2.3.3发展要求</w:t>
      </w:r>
    </w:p>
    <w:p w14:paraId="754646A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培育“三生融合”的城市发展空间要求来说，高新区的建设应以人为核心，汇聚多元无界、层次融合的创新人群。区域功能的打造应从目标人群的需求出发，既要考虑新移民多样的生产生活需求，又要兼顾原居民原有的生活方式。</w:t>
      </w:r>
    </w:p>
    <w:p w14:paraId="7978B39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首先，软性环境和硬性环境充分融合。开放包容的软性环境是打造创新生态体系的基石，创新创业人才和企业受优越的软硬环境的吸引而纷至沓来，而开放包容的软性环境则进一步促进多元主体协同共荣，城市治理实现共享与创新。</w:t>
      </w:r>
    </w:p>
    <w:p w14:paraId="72B6F60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其次，产业与城市空间充分融合。高新区城市新形态强调市民的“职住平衡”，生产空间与生活空间相互交融，因此要求对现有生产空间进行优化提升的同时，对新规划的生产空间需要与生活空间进行有效衔接，实现产业与城市空间的充分融合。</w:t>
      </w:r>
    </w:p>
    <w:p w14:paraId="73C6E4F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再次，城市经济活动与居民公共活动充分融合。产业布局与居民的生活紧密联系，最大化开放公共空间、满足公共需求，才能落实公共共享的城市发展新理念。</w:t>
      </w:r>
    </w:p>
    <w:p w14:paraId="089353E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最后，高新园区与传统城区或工业区最大的不同在于人员的结构。未来高素质人才的入驻对优质生态空间的需求将日趋旺盛，因此生态空间的整理与优化需要与生产生活空间的布局相融合，做到抬眼见绿。</w:t>
      </w:r>
    </w:p>
    <w:p w14:paraId="4113DC1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437A6A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3157D5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2CD6AD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03BB1D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573836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25A061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2D4473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69A34A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E42AAC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7FCCBB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E65955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7BC4C9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9DE805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91696F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3495D5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BC0247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142D82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2B72B0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C548A27">
      <w:pPr>
        <w:pStyle w:val="2"/>
        <w:keepNext w:val="0"/>
        <w:keepLines w:val="0"/>
        <w:pageBreakBefore w:val="0"/>
        <w:widowControl w:val="0"/>
        <w:kinsoku/>
        <w:wordWrap/>
        <w:overflowPunct/>
        <w:topLinePunct w:val="0"/>
        <w:autoSpaceDE/>
        <w:autoSpaceDN/>
        <w:bidi w:val="0"/>
        <w:adjustRightInd/>
        <w:snapToGrid/>
        <w:spacing w:before="0" w:beforeAutospacing="0" w:line="520" w:lineRule="exact"/>
        <w:ind w:left="0" w:leftChars="0" w:firstLine="0" w:firstLineChars="0"/>
        <w:jc w:val="center"/>
        <w:textAlignment w:val="auto"/>
        <w:rPr>
          <w:rFonts w:hint="default" w:ascii="方正小标宋_GBK" w:hAnsi="方正小标宋_GBK" w:eastAsia="方正小标宋_GBK" w:cs="方正小标宋_GBK"/>
          <w:b w:val="0"/>
          <w:bCs w:val="0"/>
          <w:snapToGrid w:val="0"/>
          <w:color w:val="000000"/>
          <w:spacing w:val="10"/>
          <w:kern w:val="0"/>
          <w:sz w:val="36"/>
          <w:szCs w:val="36"/>
          <w:lang w:val="en-US" w:eastAsia="zh-CN"/>
        </w:rPr>
      </w:pPr>
      <w:r>
        <w:rPr>
          <w:rFonts w:hint="default" w:ascii="方正小标宋_GBK" w:hAnsi="方正小标宋_GBK" w:eastAsia="方正小标宋_GBK" w:cs="方正小标宋_GBK"/>
          <w:b w:val="0"/>
          <w:bCs w:val="0"/>
          <w:snapToGrid w:val="0"/>
          <w:color w:val="000000"/>
          <w:spacing w:val="10"/>
          <w:kern w:val="0"/>
          <w:sz w:val="36"/>
          <w:szCs w:val="36"/>
          <w:lang w:val="en-US" w:eastAsia="zh-CN"/>
        </w:rPr>
        <w:t>4发展规模</w:t>
      </w:r>
    </w:p>
    <w:p w14:paraId="498A2D9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1362326">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4.1</w:t>
      </w:r>
      <w:r>
        <w:rPr>
          <w:rFonts w:hint="eastAsia" w:ascii="黑体" w:hAnsi="黑体" w:eastAsia="黑体" w:cs="黑体"/>
          <w:spacing w:val="0"/>
          <w:sz w:val="28"/>
          <w:szCs w:val="28"/>
          <w:lang w:val="en-US" w:eastAsia="zh-CN"/>
        </w:rPr>
        <w:t>产业规模</w:t>
      </w:r>
    </w:p>
    <w:p w14:paraId="05D3BD29">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对规划重点产业项目的预测，规划项目实施后，到2025年，泉港高新区产业项目新增总投资将达到53亿元，年新增产值将达到131亿元，年新增利税额约16亿元，年利润额11亿元左右；到2030年，泉港高新区产业项目新增总投资将达到89亿元，年产值将达到约219亿元，年利税额约27亿元，年利润额约18亿元；到规划期末(2035年)，泉港高新区实现新增总投资181亿元，年产值462亿元，年利税额57亿元，年利润额39亿元。</w:t>
      </w:r>
    </w:p>
    <w:p w14:paraId="64C0FC2D">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4.2</w:t>
      </w:r>
      <w:r>
        <w:rPr>
          <w:rFonts w:hint="eastAsia" w:ascii="黑体" w:hAnsi="黑体" w:eastAsia="黑体" w:cs="黑体"/>
          <w:spacing w:val="0"/>
          <w:sz w:val="28"/>
          <w:szCs w:val="28"/>
          <w:lang w:val="en-US" w:eastAsia="zh-CN"/>
        </w:rPr>
        <w:t>用地规模</w:t>
      </w:r>
    </w:p>
    <w:p w14:paraId="7F608C68">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泉港高新区位于泉港区境内，规划区西面以规划的联十一线为界，北接虎岩山郊野公园，东连坝头溪、山腰盐场，南至规划的沈海高速复线连接线，总用地面积18.35平方公里。</w:t>
      </w:r>
    </w:p>
    <w:p w14:paraId="283BD31E">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4.2.1持续保障生态空间</w:t>
      </w:r>
    </w:p>
    <w:p w14:paraId="4945FA45">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结合区域生态基底，积极调整生态用地结构，确保生态空间只增不减，至2035年，划定生态空间面积共计4.85平方公里。围绕菱溪、坝头溪打造生态廊道，围绕虎岩山、后郭山打造主要的景观节点，构筑生态绿网。</w:t>
      </w:r>
    </w:p>
    <w:p w14:paraId="192061BC">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4.2.2积极拓展生产空间</w:t>
      </w:r>
    </w:p>
    <w:p w14:paraId="190A09E4">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土地资源是高新技术产业发展的基础性资源。立足高新园区用地现状，整合现有工业用地及村庄建设用地，按照功能划分调整用地功能，创新土地分类方式，确保生产空间充足。</w:t>
      </w:r>
    </w:p>
    <w:p w14:paraId="0CD1D728">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4.2.3合理控制生活空间</w:t>
      </w:r>
    </w:p>
    <w:p w14:paraId="506B801D">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立足于集约节约用地的基本原则，合理控制生活空间用地规模，规划期末区域内居住、行政及商业用地总量控制在3.56平方公里。</w:t>
      </w:r>
    </w:p>
    <w:p w14:paraId="0D70BD65">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4.3人口规模</w:t>
      </w:r>
    </w:p>
    <w:p w14:paraId="5EE37AA7">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4.3.1人口发展因素</w:t>
      </w:r>
    </w:p>
    <w:p w14:paraId="36797585">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经济发展：经济发展带动就业增加，是人口增长的直接动因。同时，由于产业定位由传统工业向高新技术产业转变，会带来人口素质的提升。</w:t>
      </w:r>
    </w:p>
    <w:p w14:paraId="31FE176F">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定位提升：产业人口以外的服务、综合型人口的进一步集聚。</w:t>
      </w:r>
    </w:p>
    <w:p w14:paraId="62A0C54E">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交通、区位条件的改善：随着经济快速高质量发展，园区交通设施逐步健全，城市品位逐步提升，与周边城区的联系日益紧密，人口集聚将进入新的阶段。</w:t>
      </w:r>
    </w:p>
    <w:p w14:paraId="60819F9E">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4.3.2人口增长途径</w:t>
      </w:r>
    </w:p>
    <w:p w14:paraId="00BCAAF6">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（1）人口的自然增长(户籍人口数据)</w:t>
      </w:r>
    </w:p>
    <w:p w14:paraId="38C4DE50">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自然增长主要针对户籍人口的变化，近期已呈现逐年下降的趋势，特别是远期有可能出现负增长。</w:t>
      </w:r>
    </w:p>
    <w:p w14:paraId="2E3A9ECC">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（2）产业人口的机械增长(产业人口数据)</w:t>
      </w:r>
    </w:p>
    <w:p w14:paraId="37786F38">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产业人口的增长是高新园区作为增长极对周边地块的吸纳作用的体现，是人口增长的主要途径，增长量级占据主导性优势。</w:t>
      </w:r>
    </w:p>
    <w:p w14:paraId="68C5F0A0">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（3）高新园区生活服务人口的集聚增长(服务人口比重预估)</w:t>
      </w:r>
    </w:p>
    <w:p w14:paraId="15410ADE">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高新园区发展带来的服务人口，指由于园区的扩展和商业发展，规划范围吸引的外来从事商业、服务的人口数量。</w:t>
      </w:r>
    </w:p>
    <w:p w14:paraId="30683566">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同时，居住生活空间的增加及居住品质的提升将为更多的工作者提供居住、餐饮、娱乐和交通等服务。因此，生活服务人口的集聚增长将在规划期内逐渐显现，并将成为重要的增长力量呈现巨大的增长量级。</w:t>
      </w:r>
    </w:p>
    <w:p w14:paraId="22A319A2">
      <w:pPr>
        <w:pStyle w:val="2"/>
        <w:keepNext w:val="0"/>
        <w:keepLines w:val="0"/>
        <w:pageBreakBefore w:val="0"/>
        <w:widowControl w:val="0"/>
        <w:kinsoku/>
        <w:wordWrap/>
        <w:overflowPunct/>
        <w:topLinePunct w:val="0"/>
        <w:autoSpaceDE/>
        <w:autoSpaceDN/>
        <w:bidi w:val="0"/>
        <w:adjustRightInd/>
        <w:snapToGrid/>
        <w:spacing w:before="0" w:beforeAutospacing="0" w:line="5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4.3.3人口规模预测</w:t>
      </w:r>
    </w:p>
    <w:p w14:paraId="582527DD">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（1）户籍人口</w:t>
      </w:r>
    </w:p>
    <w:p w14:paraId="2CC2BBD8">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根据《泉州市泉港区城市总体规划修编(2017-2035年)》中分析，泉港区人口城镇化率与泉州其他区县相比相对较低，2017年常住人口城镇化率为47.6%，远低于同年泉州的平均常住人口城镇化率65.7%。同时，泉港常住人口少于户籍人口，人口外流现象明显。根据公安局统计数据，2017年泉港户籍人口为41.2万，机械增长率自2015年至2017呈现负增长，迁出人口数多于迁入人口数，呈现人口外流现象。</w:t>
      </w:r>
    </w:p>
    <w:p w14:paraId="12B1C12C">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其次，泉港的中心城区人口集聚能力较弱。据泉港公安分局数据显示，2017年的泉港各镇街人口总量及人口密度差距不大，中心城区(前黄镇、山腰街道、峰尾镇、后龙镇)的人口总量甚至小于周边的南埔镇，人口密度除峰尾镇稍高(2717人/平方公里)，中心城区其他镇街的人口密度与南埔镇、界山镇相差无几，无法起到中心城区的龙头引领作用。</w:t>
      </w:r>
    </w:p>
    <w:p w14:paraId="1685E8DF">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综合上述分析，泉港区整体上城镇化程度较低，并存在人口外流的现象。究其原因，主要是由于泉港区整体上产业结构偏重，以重化工业为主，高新技术产业及服务业等发展不充分造成的。因此，通过高新园区内高新技术产业的发展带动服务业的发展及城镇化进程，可以有效缓解区域人口外流现象。</w:t>
      </w:r>
    </w:p>
    <w:p w14:paraId="6EE378B0">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通过现状调查分析，目前高新园区内城镇化程度较低，人口主要为村庄人口，通过城镇化改造及产城融合，村庄人口将转换为城镇人口，与之相对应人口自然增长率将进一步降低。因此，本次规划园区内户籍人口按照现状人口估算，总数约3万人。</w:t>
      </w:r>
    </w:p>
    <w:p w14:paraId="73E1F1D0">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（2）产业人口</w:t>
      </w:r>
    </w:p>
    <w:p w14:paraId="49B95265">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直接产业人口：直接产业人口指直接从事相关工作的人口，本次规划按人口密度法预测。根据调查国内高新园区的人口密度，多集中在5000~8000人/平方公里。相对于其他高新区，泉港高新区主要立足于产业，特别是新材料产业的发展。按照国内新材料产业园区的人口密度统计，本次人口预测按照2000人/平方公里指标核算人口，则产业人口总量约为1.2万人。</w:t>
      </w:r>
    </w:p>
    <w:p w14:paraId="7AAE2A22">
      <w:pPr>
        <w:pStyle w:val="2"/>
        <w:keepNext w:val="0"/>
        <w:keepLines w:val="0"/>
        <w:pageBreakBefore w:val="0"/>
        <w:widowControl w:val="0"/>
        <w:kinsoku/>
        <w:wordWrap/>
        <w:overflowPunct/>
        <w:topLinePunct/>
        <w:autoSpaceDE/>
        <w:autoSpaceDN/>
        <w:bidi w:val="0"/>
        <w:adjustRightInd/>
        <w:snapToGrid/>
        <w:spacing w:before="0" w:beforeAutospacing="0" w:line="5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带眷系数修正：区域内拟发展的高新技术产业主要为新材料等高新技术产业及现代服务业，职工整体年龄层次不高，带眷职工比例不高。</w:t>
      </w:r>
    </w:p>
    <w:p w14:paraId="7E22F1B2">
      <w:pPr>
        <w:pStyle w:val="2"/>
        <w:keepNext w:val="0"/>
        <w:keepLines w:val="0"/>
        <w:pageBreakBefore w:val="0"/>
        <w:widowControl w:val="0"/>
        <w:kinsoku/>
        <w:wordWrap/>
        <w:overflowPunct/>
        <w:topLinePunct/>
        <w:autoSpaceDE/>
        <w:autoSpaceDN/>
        <w:bidi w:val="0"/>
        <w:adjustRightInd/>
        <w:snapToGrid/>
        <w:spacing w:before="0" w:beforeAutospacing="0" w:line="580" w:lineRule="exact"/>
        <w:ind w:left="0" w:leftChars="0" w:firstLine="468" w:firstLineChars="200"/>
        <w:jc w:val="center"/>
        <w:textAlignment w:val="auto"/>
      </w:pPr>
      <w:r>
        <w:rPr>
          <w:rFonts w:ascii="黑体" w:hAnsi="黑体" w:eastAsia="黑体" w:cs="黑体"/>
          <w:spacing w:val="2"/>
          <w:sz w:val="23"/>
          <w:szCs w:val="23"/>
        </w:rPr>
        <w:t>表</w:t>
      </w:r>
      <w:r>
        <w:rPr>
          <w:rFonts w:ascii="Arial" w:hAnsi="Arial" w:eastAsia="Arial" w:cs="Arial"/>
          <w:b/>
          <w:bCs/>
          <w:spacing w:val="2"/>
          <w:sz w:val="23"/>
          <w:szCs w:val="23"/>
        </w:rPr>
        <w:t>4-1</w:t>
      </w:r>
      <w:r>
        <w:rPr>
          <w:rFonts w:ascii="黑体" w:hAnsi="黑体" w:eastAsia="黑体" w:cs="黑体"/>
          <w:spacing w:val="2"/>
          <w:sz w:val="23"/>
          <w:szCs w:val="23"/>
        </w:rPr>
        <w:t>职工带眷指</w:t>
      </w:r>
      <w:r>
        <w:rPr>
          <w:rFonts w:ascii="黑体" w:hAnsi="黑体" w:eastAsia="黑体" w:cs="黑体"/>
          <w:spacing w:val="1"/>
          <w:sz w:val="23"/>
          <w:szCs w:val="23"/>
        </w:rPr>
        <w:t>标</w:t>
      </w:r>
      <w:r>
        <w:rPr>
          <w:rFonts w:ascii="黑体" w:hAnsi="黑体" w:eastAsia="黑体" w:cs="黑体"/>
          <w:sz w:val="23"/>
          <w:szCs w:val="23"/>
        </w:rPr>
        <w:t>表</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2137"/>
        <w:gridCol w:w="5758"/>
      </w:tblGrid>
      <w:tr w14:paraId="3F212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97" w:type="dxa"/>
            <w:tcBorders>
              <w:tl2br w:val="nil"/>
              <w:tr2bl w:val="nil"/>
            </w:tcBorders>
            <w:noWrap w:val="0"/>
            <w:vAlign w:val="top"/>
          </w:tcPr>
          <w:p w14:paraId="3B697336">
            <w:pPr>
              <w:keepNext w:val="0"/>
              <w:keepLines w:val="0"/>
              <w:pageBreakBefore w:val="0"/>
              <w:widowControl w:val="0"/>
              <w:wordWrap/>
              <w:overflowPunct/>
              <w:bidi w:val="0"/>
              <w:spacing w:before="81" w:line="226" w:lineRule="auto"/>
              <w:ind w:left="477"/>
              <w:rPr>
                <w:rFonts w:hint="eastAsia" w:ascii="黑体" w:hAnsi="黑体" w:eastAsia="黑体" w:cs="黑体"/>
                <w:sz w:val="23"/>
                <w:szCs w:val="23"/>
              </w:rPr>
            </w:pPr>
            <w:r>
              <w:rPr>
                <w:rFonts w:hint="eastAsia" w:ascii="黑体" w:hAnsi="黑体" w:eastAsia="黑体" w:cs="黑体"/>
                <w:spacing w:val="-1"/>
                <w:sz w:val="23"/>
                <w:szCs w:val="23"/>
              </w:rPr>
              <w:t>类别</w:t>
            </w:r>
          </w:p>
        </w:tc>
        <w:tc>
          <w:tcPr>
            <w:tcW w:w="2137" w:type="dxa"/>
            <w:tcBorders>
              <w:tl2br w:val="nil"/>
              <w:tr2bl w:val="nil"/>
            </w:tcBorders>
            <w:noWrap w:val="0"/>
            <w:vAlign w:val="top"/>
          </w:tcPr>
          <w:p w14:paraId="563DC8FD">
            <w:pPr>
              <w:keepNext w:val="0"/>
              <w:keepLines w:val="0"/>
              <w:pageBreakBefore w:val="0"/>
              <w:widowControl w:val="0"/>
              <w:wordWrap/>
              <w:overflowPunct/>
              <w:bidi w:val="0"/>
              <w:spacing w:before="82" w:line="229" w:lineRule="auto"/>
              <w:ind w:left="273"/>
              <w:rPr>
                <w:rFonts w:hint="eastAsia" w:ascii="黑体" w:hAnsi="黑体" w:eastAsia="黑体" w:cs="黑体"/>
                <w:sz w:val="23"/>
                <w:szCs w:val="23"/>
              </w:rPr>
            </w:pPr>
            <w:r>
              <w:rPr>
                <w:rFonts w:hint="eastAsia" w:ascii="黑体" w:hAnsi="黑体" w:eastAsia="黑体" w:cs="黑体"/>
                <w:spacing w:val="-11"/>
                <w:sz w:val="23"/>
                <w:szCs w:val="23"/>
              </w:rPr>
              <w:t>占工业人口比重</w:t>
            </w:r>
          </w:p>
        </w:tc>
        <w:tc>
          <w:tcPr>
            <w:tcW w:w="5758" w:type="dxa"/>
            <w:tcBorders>
              <w:tl2br w:val="nil"/>
              <w:tr2bl w:val="nil"/>
            </w:tcBorders>
            <w:noWrap w:val="0"/>
            <w:vAlign w:val="top"/>
          </w:tcPr>
          <w:p w14:paraId="1DFD4C37">
            <w:pPr>
              <w:keepNext w:val="0"/>
              <w:keepLines w:val="0"/>
              <w:pageBreakBefore w:val="0"/>
              <w:widowControl w:val="0"/>
              <w:wordWrap/>
              <w:overflowPunct/>
              <w:bidi w:val="0"/>
              <w:spacing w:before="82" w:line="227" w:lineRule="auto"/>
              <w:ind w:left="2646"/>
              <w:rPr>
                <w:rFonts w:hint="eastAsia" w:ascii="黑体" w:hAnsi="黑体" w:eastAsia="黑体" w:cs="黑体"/>
                <w:sz w:val="23"/>
                <w:szCs w:val="23"/>
              </w:rPr>
            </w:pPr>
            <w:r>
              <w:rPr>
                <w:rFonts w:hint="eastAsia" w:ascii="黑体" w:hAnsi="黑体" w:eastAsia="黑体" w:cs="黑体"/>
                <w:spacing w:val="4"/>
                <w:sz w:val="23"/>
                <w:szCs w:val="23"/>
              </w:rPr>
              <w:t>备</w:t>
            </w:r>
            <w:r>
              <w:rPr>
                <w:rFonts w:hint="eastAsia" w:ascii="黑体" w:hAnsi="黑体" w:eastAsia="黑体" w:cs="黑体"/>
                <w:spacing w:val="3"/>
                <w:sz w:val="23"/>
                <w:szCs w:val="23"/>
              </w:rPr>
              <w:t>注</w:t>
            </w:r>
          </w:p>
        </w:tc>
      </w:tr>
      <w:tr w14:paraId="0B0721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397" w:type="dxa"/>
            <w:tcBorders>
              <w:tl2br w:val="nil"/>
              <w:tr2bl w:val="nil"/>
            </w:tcBorders>
            <w:noWrap w:val="0"/>
            <w:vAlign w:val="top"/>
          </w:tcPr>
          <w:p w14:paraId="45242026">
            <w:pPr>
              <w:keepNext w:val="0"/>
              <w:keepLines w:val="0"/>
              <w:pageBreakBefore w:val="0"/>
              <w:widowControl w:val="0"/>
              <w:wordWrap/>
              <w:overflowPunct/>
              <w:bidi w:val="0"/>
              <w:spacing w:before="232" w:line="224" w:lineRule="auto"/>
              <w:ind w:left="123"/>
              <w:rPr>
                <w:rFonts w:ascii="仿宋" w:hAnsi="仿宋" w:eastAsia="仿宋" w:cs="仿宋"/>
                <w:sz w:val="23"/>
                <w:szCs w:val="23"/>
              </w:rPr>
            </w:pPr>
            <w:r>
              <w:rPr>
                <w:rFonts w:ascii="仿宋" w:hAnsi="仿宋" w:eastAsia="仿宋" w:cs="仿宋"/>
                <w:spacing w:val="6"/>
                <w:sz w:val="23"/>
                <w:szCs w:val="23"/>
              </w:rPr>
              <w:t>单身职工</w:t>
            </w:r>
          </w:p>
        </w:tc>
        <w:tc>
          <w:tcPr>
            <w:tcW w:w="2137" w:type="dxa"/>
            <w:tcBorders>
              <w:tl2br w:val="nil"/>
              <w:tr2bl w:val="nil"/>
            </w:tcBorders>
            <w:noWrap w:val="0"/>
            <w:vAlign w:val="top"/>
          </w:tcPr>
          <w:p w14:paraId="6692B117">
            <w:pPr>
              <w:keepNext w:val="0"/>
              <w:keepLines w:val="0"/>
              <w:pageBreakBefore w:val="0"/>
              <w:widowControl w:val="0"/>
              <w:wordWrap/>
              <w:overflowPunct/>
              <w:bidi w:val="0"/>
              <w:spacing w:before="196" w:line="319" w:lineRule="exact"/>
              <w:ind w:left="106"/>
              <w:rPr>
                <w:rFonts w:ascii="Arial" w:hAnsi="Arial" w:eastAsia="Arial" w:cs="Arial"/>
                <w:sz w:val="23"/>
                <w:szCs w:val="23"/>
              </w:rPr>
            </w:pPr>
            <w:r>
              <w:rPr>
                <w:rFonts w:ascii="Arial" w:hAnsi="Arial" w:eastAsia="Arial" w:cs="Arial"/>
                <w:spacing w:val="7"/>
                <w:position w:val="1"/>
                <w:sz w:val="23"/>
                <w:szCs w:val="23"/>
              </w:rPr>
              <w:t>4</w:t>
            </w:r>
            <w:r>
              <w:rPr>
                <w:rFonts w:ascii="Arial" w:hAnsi="Arial" w:eastAsia="Arial" w:cs="Arial"/>
                <w:spacing w:val="6"/>
                <w:position w:val="1"/>
                <w:sz w:val="23"/>
                <w:szCs w:val="23"/>
              </w:rPr>
              <w:t>0%~80%</w:t>
            </w:r>
          </w:p>
        </w:tc>
        <w:tc>
          <w:tcPr>
            <w:tcW w:w="5758" w:type="dxa"/>
            <w:tcBorders>
              <w:tl2br w:val="nil"/>
              <w:tr2bl w:val="nil"/>
            </w:tcBorders>
            <w:noWrap w:val="0"/>
            <w:vAlign w:val="top"/>
          </w:tcPr>
          <w:p w14:paraId="12F7F887">
            <w:pPr>
              <w:keepNext w:val="0"/>
              <w:keepLines w:val="0"/>
              <w:pageBreakBefore w:val="0"/>
              <w:widowControl w:val="0"/>
              <w:wordWrap/>
              <w:overflowPunct/>
              <w:bidi w:val="0"/>
              <w:spacing w:before="76" w:line="261" w:lineRule="auto"/>
              <w:ind w:left="119" w:right="106" w:firstLine="11"/>
              <w:rPr>
                <w:rFonts w:ascii="仿宋" w:hAnsi="仿宋" w:eastAsia="仿宋" w:cs="仿宋"/>
                <w:sz w:val="23"/>
                <w:szCs w:val="23"/>
              </w:rPr>
            </w:pPr>
            <w:r>
              <w:rPr>
                <w:rFonts w:ascii="仿宋" w:hAnsi="仿宋" w:eastAsia="仿宋" w:cs="仿宋"/>
                <w:spacing w:val="18"/>
                <w:sz w:val="23"/>
                <w:szCs w:val="23"/>
              </w:rPr>
              <w:t>带眷</w:t>
            </w:r>
            <w:r>
              <w:rPr>
                <w:rFonts w:ascii="仿宋" w:hAnsi="仿宋" w:eastAsia="仿宋" w:cs="仿宋"/>
                <w:spacing w:val="9"/>
                <w:sz w:val="23"/>
                <w:szCs w:val="23"/>
              </w:rPr>
              <w:t>职工比</w:t>
            </w:r>
            <w:r>
              <w:rPr>
                <w:rFonts w:hint="eastAsia" w:ascii="仿宋" w:hAnsi="仿宋" w:eastAsia="仿宋" w:cs="仿宋"/>
                <w:spacing w:val="9"/>
                <w:sz w:val="23"/>
                <w:szCs w:val="23"/>
                <w:lang w:eastAsia="zh-CN"/>
              </w:rPr>
              <w:t>例</w:t>
            </w:r>
            <w:r>
              <w:rPr>
                <w:rFonts w:ascii="仿宋" w:hAnsi="仿宋" w:eastAsia="仿宋" w:cs="仿宋"/>
                <w:spacing w:val="9"/>
                <w:sz w:val="23"/>
                <w:szCs w:val="23"/>
              </w:rPr>
              <w:t>要根据具体情况而定。独立工业城镇采用</w:t>
            </w:r>
            <w:r>
              <w:rPr>
                <w:rFonts w:ascii="仿宋" w:hAnsi="仿宋" w:eastAsia="仿宋" w:cs="仿宋"/>
                <w:spacing w:val="8"/>
                <w:sz w:val="23"/>
                <w:szCs w:val="23"/>
              </w:rPr>
              <w:t>上限，靠近旧城采用下限</w:t>
            </w:r>
            <w:r>
              <w:rPr>
                <w:rFonts w:ascii="仿宋" w:hAnsi="仿宋" w:eastAsia="仿宋" w:cs="仿宋"/>
                <w:spacing w:val="6"/>
                <w:sz w:val="23"/>
                <w:szCs w:val="23"/>
              </w:rPr>
              <w:t>，</w:t>
            </w:r>
          </w:p>
        </w:tc>
      </w:tr>
      <w:tr w14:paraId="4ED18B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1397" w:type="dxa"/>
            <w:tcBorders>
              <w:tl2br w:val="nil"/>
              <w:tr2bl w:val="nil"/>
            </w:tcBorders>
            <w:noWrap w:val="0"/>
            <w:vAlign w:val="top"/>
          </w:tcPr>
          <w:p w14:paraId="211CA0CF">
            <w:pPr>
              <w:keepNext w:val="0"/>
              <w:keepLines w:val="0"/>
              <w:pageBreakBefore w:val="0"/>
              <w:widowControl w:val="0"/>
              <w:wordWrap/>
              <w:overflowPunct/>
              <w:bidi w:val="0"/>
              <w:spacing w:before="232" w:line="223" w:lineRule="auto"/>
              <w:ind w:left="134"/>
              <w:rPr>
                <w:rFonts w:ascii="仿宋" w:hAnsi="仿宋" w:eastAsia="仿宋" w:cs="仿宋"/>
                <w:sz w:val="23"/>
                <w:szCs w:val="23"/>
              </w:rPr>
            </w:pPr>
            <w:r>
              <w:rPr>
                <w:rFonts w:ascii="仿宋" w:hAnsi="仿宋" w:eastAsia="仿宋" w:cs="仿宋"/>
                <w:spacing w:val="4"/>
                <w:sz w:val="23"/>
                <w:szCs w:val="23"/>
              </w:rPr>
              <w:t>带</w:t>
            </w:r>
            <w:r>
              <w:rPr>
                <w:rFonts w:ascii="仿宋" w:hAnsi="仿宋" w:eastAsia="仿宋" w:cs="仿宋"/>
                <w:spacing w:val="3"/>
                <w:sz w:val="23"/>
                <w:szCs w:val="23"/>
              </w:rPr>
              <w:t>眷职工</w:t>
            </w:r>
          </w:p>
        </w:tc>
        <w:tc>
          <w:tcPr>
            <w:tcW w:w="2137" w:type="dxa"/>
            <w:tcBorders>
              <w:tl2br w:val="nil"/>
              <w:tr2bl w:val="nil"/>
            </w:tcBorders>
            <w:noWrap w:val="0"/>
            <w:vAlign w:val="top"/>
          </w:tcPr>
          <w:p w14:paraId="4B8F3828">
            <w:pPr>
              <w:keepNext w:val="0"/>
              <w:keepLines w:val="0"/>
              <w:pageBreakBefore w:val="0"/>
              <w:widowControl w:val="0"/>
              <w:wordWrap/>
              <w:overflowPunct/>
              <w:bidi w:val="0"/>
              <w:spacing w:before="196" w:line="319" w:lineRule="exact"/>
              <w:ind w:left="110"/>
              <w:rPr>
                <w:rFonts w:ascii="Arial" w:hAnsi="Arial" w:eastAsia="Arial" w:cs="Arial"/>
                <w:sz w:val="23"/>
                <w:szCs w:val="23"/>
              </w:rPr>
            </w:pPr>
            <w:r>
              <w:rPr>
                <w:rFonts w:ascii="Arial" w:hAnsi="Arial" w:eastAsia="Arial" w:cs="Arial"/>
                <w:spacing w:val="9"/>
                <w:position w:val="1"/>
                <w:sz w:val="23"/>
                <w:szCs w:val="23"/>
              </w:rPr>
              <w:t>2</w:t>
            </w:r>
            <w:r>
              <w:rPr>
                <w:rFonts w:ascii="Arial" w:hAnsi="Arial" w:eastAsia="Arial" w:cs="Arial"/>
                <w:spacing w:val="5"/>
                <w:position w:val="1"/>
                <w:sz w:val="23"/>
                <w:szCs w:val="23"/>
              </w:rPr>
              <w:t>0%~60%</w:t>
            </w:r>
          </w:p>
        </w:tc>
        <w:tc>
          <w:tcPr>
            <w:tcW w:w="5758" w:type="dxa"/>
            <w:tcBorders>
              <w:tl2br w:val="nil"/>
              <w:tr2bl w:val="nil"/>
            </w:tcBorders>
            <w:noWrap w:val="0"/>
            <w:vAlign w:val="top"/>
          </w:tcPr>
          <w:p w14:paraId="5F330254">
            <w:pPr>
              <w:keepNext w:val="0"/>
              <w:keepLines w:val="0"/>
              <w:pageBreakBefore w:val="0"/>
              <w:widowControl w:val="0"/>
              <w:wordWrap/>
              <w:overflowPunct/>
              <w:bidi w:val="0"/>
              <w:spacing w:before="77" w:line="260" w:lineRule="auto"/>
              <w:ind w:left="137" w:right="106" w:hanging="20"/>
              <w:rPr>
                <w:rFonts w:ascii="仿宋" w:hAnsi="仿宋" w:eastAsia="仿宋" w:cs="仿宋"/>
                <w:sz w:val="23"/>
                <w:szCs w:val="23"/>
              </w:rPr>
            </w:pPr>
            <w:r>
              <w:rPr>
                <w:rFonts w:ascii="仿宋" w:hAnsi="仿宋" w:eastAsia="仿宋" w:cs="仿宋"/>
                <w:spacing w:val="18"/>
                <w:sz w:val="23"/>
                <w:szCs w:val="23"/>
              </w:rPr>
              <w:t>新</w:t>
            </w:r>
            <w:r>
              <w:rPr>
                <w:rFonts w:ascii="仿宋" w:hAnsi="仿宋" w:eastAsia="仿宋" w:cs="仿宋"/>
                <w:spacing w:val="10"/>
                <w:sz w:val="23"/>
                <w:szCs w:val="23"/>
              </w:rPr>
              <w:t>厂采用下限；建设初期采用下限，建设后期采用上</w:t>
            </w:r>
            <w:r>
              <w:rPr>
                <w:rFonts w:ascii="仿宋" w:hAnsi="仿宋" w:eastAsia="仿宋" w:cs="仿宋"/>
                <w:spacing w:val="12"/>
                <w:sz w:val="23"/>
                <w:szCs w:val="23"/>
              </w:rPr>
              <w:t>限</w:t>
            </w:r>
            <w:r>
              <w:rPr>
                <w:rFonts w:ascii="仿宋" w:hAnsi="仿宋" w:eastAsia="仿宋" w:cs="仿宋"/>
                <w:spacing w:val="8"/>
                <w:sz w:val="23"/>
                <w:szCs w:val="23"/>
              </w:rPr>
              <w:t>。</w:t>
            </w:r>
            <w:r>
              <w:rPr>
                <w:rFonts w:ascii="仿宋" w:hAnsi="仿宋" w:eastAsia="仿宋" w:cs="仿宋"/>
                <w:spacing w:val="6"/>
                <w:sz w:val="23"/>
                <w:szCs w:val="23"/>
              </w:rPr>
              <w:t>单身职工比</w:t>
            </w:r>
            <w:r>
              <w:rPr>
                <w:rFonts w:hint="eastAsia" w:ascii="仿宋" w:hAnsi="仿宋" w:eastAsia="仿宋" w:cs="仿宋"/>
                <w:spacing w:val="6"/>
                <w:sz w:val="23"/>
                <w:szCs w:val="23"/>
                <w:lang w:eastAsia="zh-CN"/>
              </w:rPr>
              <w:t>例</w:t>
            </w:r>
            <w:r>
              <w:rPr>
                <w:rFonts w:ascii="仿宋" w:hAnsi="仿宋" w:eastAsia="仿宋" w:cs="仿宋"/>
                <w:spacing w:val="6"/>
                <w:sz w:val="23"/>
                <w:szCs w:val="23"/>
              </w:rPr>
              <w:t>相应而变化。</w:t>
            </w:r>
          </w:p>
        </w:tc>
      </w:tr>
      <w:tr w14:paraId="78D58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1397" w:type="dxa"/>
            <w:tcBorders>
              <w:tl2br w:val="nil"/>
              <w:tr2bl w:val="nil"/>
            </w:tcBorders>
            <w:noWrap w:val="0"/>
            <w:vAlign w:val="top"/>
          </w:tcPr>
          <w:p w14:paraId="6062E36A">
            <w:pPr>
              <w:keepNext w:val="0"/>
              <w:keepLines w:val="0"/>
              <w:pageBreakBefore w:val="0"/>
              <w:widowControl w:val="0"/>
              <w:wordWrap/>
              <w:overflowPunct/>
              <w:bidi w:val="0"/>
              <w:spacing w:before="234" w:line="223" w:lineRule="auto"/>
              <w:ind w:left="134"/>
              <w:rPr>
                <w:rFonts w:ascii="仿宋" w:hAnsi="仿宋" w:eastAsia="仿宋" w:cs="仿宋"/>
                <w:sz w:val="23"/>
                <w:szCs w:val="23"/>
              </w:rPr>
            </w:pPr>
            <w:r>
              <w:rPr>
                <w:rFonts w:ascii="仿宋" w:hAnsi="仿宋" w:eastAsia="仿宋" w:cs="仿宋"/>
                <w:spacing w:val="4"/>
                <w:sz w:val="23"/>
                <w:szCs w:val="23"/>
              </w:rPr>
              <w:t>带</w:t>
            </w:r>
            <w:r>
              <w:rPr>
                <w:rFonts w:ascii="仿宋" w:hAnsi="仿宋" w:eastAsia="仿宋" w:cs="仿宋"/>
                <w:spacing w:val="3"/>
                <w:sz w:val="23"/>
                <w:szCs w:val="23"/>
              </w:rPr>
              <w:t>眷系数</w:t>
            </w:r>
          </w:p>
        </w:tc>
        <w:tc>
          <w:tcPr>
            <w:tcW w:w="2137" w:type="dxa"/>
            <w:tcBorders>
              <w:tl2br w:val="nil"/>
              <w:tr2bl w:val="nil"/>
            </w:tcBorders>
            <w:noWrap w:val="0"/>
            <w:vAlign w:val="top"/>
          </w:tcPr>
          <w:p w14:paraId="5C505757">
            <w:pPr>
              <w:keepNext w:val="0"/>
              <w:keepLines w:val="0"/>
              <w:pageBreakBefore w:val="0"/>
              <w:widowControl w:val="0"/>
              <w:wordWrap/>
              <w:overflowPunct/>
              <w:bidi w:val="0"/>
              <w:spacing w:before="266" w:line="206" w:lineRule="auto"/>
              <w:ind w:left="129"/>
              <w:rPr>
                <w:rFonts w:ascii="Arial" w:hAnsi="Arial" w:eastAsia="Arial" w:cs="Arial"/>
                <w:sz w:val="23"/>
                <w:szCs w:val="23"/>
              </w:rPr>
            </w:pPr>
            <w:r>
              <w:rPr>
                <w:rFonts w:ascii="Arial" w:hAnsi="Arial" w:eastAsia="Arial" w:cs="Arial"/>
                <w:spacing w:val="1"/>
                <w:sz w:val="23"/>
                <w:szCs w:val="23"/>
              </w:rPr>
              <w:t>1~1.5</w:t>
            </w:r>
          </w:p>
        </w:tc>
        <w:tc>
          <w:tcPr>
            <w:tcW w:w="5758" w:type="dxa"/>
            <w:tcBorders>
              <w:tl2br w:val="nil"/>
              <w:tr2bl w:val="nil"/>
            </w:tcBorders>
            <w:noWrap w:val="0"/>
            <w:vAlign w:val="top"/>
          </w:tcPr>
          <w:p w14:paraId="7F0CB66C">
            <w:pPr>
              <w:keepNext w:val="0"/>
              <w:keepLines w:val="0"/>
              <w:pageBreakBefore w:val="0"/>
              <w:widowControl w:val="0"/>
              <w:wordWrap/>
              <w:overflowPunct/>
              <w:bidi w:val="0"/>
              <w:spacing w:before="80" w:line="261" w:lineRule="auto"/>
              <w:ind w:left="137" w:right="106" w:hanging="7"/>
              <w:rPr>
                <w:rFonts w:ascii="仿宋" w:hAnsi="仿宋" w:eastAsia="仿宋" w:cs="仿宋"/>
                <w:sz w:val="23"/>
                <w:szCs w:val="23"/>
              </w:rPr>
            </w:pPr>
            <w:r>
              <w:rPr>
                <w:rFonts w:ascii="仿宋" w:hAnsi="仿宋" w:eastAsia="仿宋" w:cs="仿宋"/>
                <w:spacing w:val="8"/>
                <w:sz w:val="23"/>
                <w:szCs w:val="23"/>
              </w:rPr>
              <w:t>带眷系</w:t>
            </w:r>
            <w:r>
              <w:rPr>
                <w:rFonts w:ascii="仿宋" w:hAnsi="仿宋" w:eastAsia="仿宋" w:cs="仿宋"/>
                <w:spacing w:val="6"/>
                <w:sz w:val="23"/>
                <w:szCs w:val="23"/>
              </w:rPr>
              <w:t>数</w:t>
            </w:r>
            <w:r>
              <w:rPr>
                <w:rFonts w:ascii="仿宋" w:hAnsi="仿宋" w:eastAsia="仿宋" w:cs="仿宋"/>
                <w:spacing w:val="4"/>
                <w:sz w:val="23"/>
                <w:szCs w:val="23"/>
              </w:rPr>
              <w:t>双职工比例高的采用下限，比例低的采用上</w:t>
            </w:r>
            <w:r>
              <w:rPr>
                <w:rFonts w:ascii="仿宋" w:hAnsi="仿宋" w:eastAsia="仿宋" w:cs="仿宋"/>
                <w:spacing w:val="10"/>
                <w:sz w:val="23"/>
                <w:szCs w:val="23"/>
              </w:rPr>
              <w:t>限</w:t>
            </w:r>
            <w:r>
              <w:rPr>
                <w:rFonts w:ascii="仿宋" w:hAnsi="仿宋" w:eastAsia="仿宋" w:cs="仿宋"/>
                <w:spacing w:val="6"/>
                <w:sz w:val="23"/>
                <w:szCs w:val="23"/>
              </w:rPr>
              <w:t>，可根据具体情况而定。</w:t>
            </w:r>
          </w:p>
        </w:tc>
      </w:tr>
    </w:tbl>
    <w:p w14:paraId="25927D0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根据上表，本次规划带眷职工人口比重定为50%，带眷系数为1.5，则高新园区内带眷人口总数为0.9万人。</w:t>
      </w:r>
    </w:p>
    <w:p w14:paraId="6E35945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（3）服务人口</w:t>
      </w:r>
    </w:p>
    <w:p w14:paraId="2000855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园区发展带来的服务人口比例约占产业人口的20%~60%。考虑到泉港高新区的实际情况，重点规划了高新服务业，因此本次预测按上限预测，即服务产业人口比例60%，则高新园区服务人口总数为0.7万人。</w:t>
      </w:r>
    </w:p>
    <w:p w14:paraId="0F10468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（4）人口总数</w:t>
      </w:r>
    </w:p>
    <w:p w14:paraId="17CC1B41">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综上所述，根据人口增长来源预测园区人口总量，规划期末园区新增人口总数为2.8万人。考虑园区户籍人口本地就业等情况(按适龄人口的60%计)，则规划期末园区人口总量约4.8万人。</w:t>
      </w:r>
    </w:p>
    <w:p w14:paraId="432C1F3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ED7B5C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BFB231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A4C5C5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3A232E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8EFFF2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397EED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905CD29">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655A0F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51CC589">
      <w:pPr>
        <w:keepNext w:val="0"/>
        <w:keepLines w:val="0"/>
        <w:pageBreakBefore w:val="0"/>
        <w:widowControl w:val="0"/>
        <w:wordWrap/>
        <w:overflowPunct/>
        <w:bidi w:val="0"/>
        <w:spacing w:before="114" w:line="222" w:lineRule="auto"/>
        <w:jc w:val="center"/>
        <w:outlineLvl w:val="0"/>
        <w:rPr>
          <w:rFonts w:hint="eastAsia" w:ascii="仿宋" w:hAnsi="仿宋" w:eastAsia="仿宋" w:cs="仿宋"/>
          <w:spacing w:val="0"/>
          <w:sz w:val="35"/>
          <w:szCs w:val="35"/>
        </w:rPr>
      </w:pPr>
    </w:p>
    <w:p w14:paraId="76CEA3AB">
      <w:pPr>
        <w:keepNext w:val="0"/>
        <w:keepLines w:val="0"/>
        <w:pageBreakBefore w:val="0"/>
        <w:widowControl w:val="0"/>
        <w:wordWrap/>
        <w:overflowPunct/>
        <w:bidi w:val="0"/>
        <w:spacing w:before="114" w:line="222" w:lineRule="auto"/>
        <w:jc w:val="center"/>
        <w:outlineLvl w:val="0"/>
        <w:rPr>
          <w:rFonts w:hint="eastAsia" w:ascii="仿宋" w:hAnsi="仿宋" w:eastAsia="仿宋" w:cs="仿宋"/>
          <w:spacing w:val="0"/>
          <w:sz w:val="35"/>
          <w:szCs w:val="35"/>
        </w:rPr>
      </w:pPr>
    </w:p>
    <w:p w14:paraId="5BD377C2">
      <w:pPr>
        <w:keepNext w:val="0"/>
        <w:keepLines w:val="0"/>
        <w:pageBreakBefore w:val="0"/>
        <w:widowControl w:val="0"/>
        <w:wordWrap/>
        <w:overflowPunct/>
        <w:bidi w:val="0"/>
        <w:spacing w:before="114" w:line="222" w:lineRule="auto"/>
        <w:jc w:val="center"/>
        <w:outlineLvl w:val="0"/>
        <w:rPr>
          <w:rFonts w:hint="eastAsia" w:ascii="仿宋" w:hAnsi="仿宋" w:eastAsia="仿宋" w:cs="仿宋"/>
          <w:spacing w:val="0"/>
          <w:sz w:val="35"/>
          <w:szCs w:val="35"/>
        </w:rPr>
      </w:pPr>
    </w:p>
    <w:p w14:paraId="597FB5A1">
      <w:pPr>
        <w:keepNext w:val="0"/>
        <w:keepLines w:val="0"/>
        <w:pageBreakBefore w:val="0"/>
        <w:widowControl w:val="0"/>
        <w:wordWrap/>
        <w:overflowPunct/>
        <w:bidi w:val="0"/>
        <w:spacing w:before="114" w:line="222" w:lineRule="auto"/>
        <w:jc w:val="center"/>
        <w:outlineLvl w:val="0"/>
        <w:rPr>
          <w:rFonts w:hint="eastAsia" w:ascii="仿宋" w:hAnsi="仿宋" w:eastAsia="仿宋" w:cs="仿宋"/>
          <w:spacing w:val="0"/>
          <w:sz w:val="35"/>
          <w:szCs w:val="35"/>
        </w:rPr>
      </w:pPr>
    </w:p>
    <w:p w14:paraId="50642A42">
      <w:pPr>
        <w:keepNext w:val="0"/>
        <w:keepLines w:val="0"/>
        <w:pageBreakBefore w:val="0"/>
        <w:widowControl w:val="0"/>
        <w:wordWrap/>
        <w:overflowPunct/>
        <w:bidi w:val="0"/>
        <w:spacing w:before="114" w:line="222" w:lineRule="auto"/>
        <w:jc w:val="center"/>
        <w:outlineLvl w:val="0"/>
        <w:rPr>
          <w:rFonts w:hint="eastAsia" w:ascii="仿宋" w:hAnsi="仿宋" w:eastAsia="仿宋" w:cs="仿宋"/>
          <w:spacing w:val="0"/>
          <w:sz w:val="35"/>
          <w:szCs w:val="35"/>
        </w:rPr>
      </w:pPr>
    </w:p>
    <w:p w14:paraId="54AFC01B">
      <w:pPr>
        <w:keepNext w:val="0"/>
        <w:keepLines w:val="0"/>
        <w:pageBreakBefore w:val="0"/>
        <w:widowControl w:val="0"/>
        <w:wordWrap/>
        <w:overflowPunct/>
        <w:bidi w:val="0"/>
        <w:spacing w:before="114" w:line="222" w:lineRule="auto"/>
        <w:jc w:val="center"/>
        <w:outlineLvl w:val="0"/>
        <w:rPr>
          <w:rFonts w:ascii="仿宋" w:hAnsi="仿宋" w:eastAsia="仿宋" w:cs="仿宋"/>
          <w:spacing w:val="0"/>
          <w:sz w:val="35"/>
          <w:szCs w:val="35"/>
        </w:rPr>
      </w:pPr>
      <w:r>
        <w:rPr>
          <w:rFonts w:hint="eastAsia" w:ascii="仿宋" w:hAnsi="仿宋" w:eastAsia="仿宋" w:cs="仿宋"/>
          <w:spacing w:val="0"/>
          <w:sz w:val="35"/>
          <w:szCs w:val="35"/>
        </w:rPr>
        <w:t>第二部分</w:t>
      </w:r>
    </w:p>
    <w:p w14:paraId="24D515BC">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r>
        <w:rPr>
          <w:rFonts w:hint="eastAsia" w:ascii="仿宋" w:hAnsi="仿宋" w:eastAsia="仿宋" w:cs="仿宋"/>
          <w:spacing w:val="0"/>
          <w:sz w:val="43"/>
          <w:szCs w:val="43"/>
        </w:rPr>
        <w:t>空间布局与土地利用</w:t>
      </w:r>
    </w:p>
    <w:p w14:paraId="4798E521">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240DAE1E">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4363ED35">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465D9899">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3811478F">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0D3C1FB">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7ACB5AFB">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828C1E3">
      <w:pPr>
        <w:pStyle w:val="2"/>
        <w:keepNext w:val="0"/>
        <w:keepLines w:val="0"/>
        <w:pageBreakBefore w:val="0"/>
        <w:widowControl w:val="0"/>
        <w:wordWrap/>
        <w:overflowPunct/>
        <w:bidi w:val="0"/>
        <w:ind w:left="0" w:leftChars="0" w:firstLine="0" w:firstLineChars="0"/>
        <w:jc w:val="center"/>
        <w:rPr>
          <w:rFonts w:hint="eastAsia" w:ascii="仿宋" w:hAnsi="仿宋" w:eastAsia="仿宋" w:cs="仿宋"/>
          <w:spacing w:val="3"/>
          <w:sz w:val="43"/>
          <w:szCs w:val="43"/>
          <w:lang w:val="en-US" w:eastAsia="zh-CN"/>
        </w:rPr>
      </w:pPr>
    </w:p>
    <w:p w14:paraId="71F87E0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1477760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0" w:firstLineChars="0"/>
        <w:jc w:val="center"/>
        <w:textAlignment w:val="auto"/>
        <w:rPr>
          <w:rFonts w:hint="eastAsia" w:ascii="方正小标宋_GBK" w:hAnsi="方正小标宋_GBK" w:eastAsia="方正小标宋_GBK" w:cs="方正小标宋_GBK"/>
          <w:spacing w:val="0"/>
          <w:sz w:val="36"/>
          <w:szCs w:val="36"/>
          <w:lang w:val="en-US" w:eastAsia="zh-CN"/>
        </w:rPr>
      </w:pPr>
      <w:r>
        <w:rPr>
          <w:rFonts w:hint="eastAsia" w:ascii="方正小标宋_GBK" w:hAnsi="方正小标宋_GBK" w:eastAsia="方正小标宋_GBK" w:cs="方正小标宋_GBK"/>
          <w:b/>
          <w:bCs/>
          <w:snapToGrid w:val="0"/>
          <w:color w:val="000000"/>
          <w:spacing w:val="10"/>
          <w:kern w:val="0"/>
          <w:sz w:val="36"/>
          <w:szCs w:val="36"/>
          <w:lang w:val="en-US" w:eastAsia="zh-CN"/>
        </w:rPr>
        <w:t>5</w:t>
      </w:r>
      <w:r>
        <w:rPr>
          <w:rFonts w:hint="eastAsia" w:ascii="方正小标宋_GBK" w:hAnsi="方正小标宋_GBK" w:eastAsia="方正小标宋_GBK" w:cs="方正小标宋_GBK"/>
          <w:spacing w:val="0"/>
          <w:sz w:val="36"/>
          <w:szCs w:val="36"/>
          <w:lang w:val="en-US" w:eastAsia="zh-CN"/>
        </w:rPr>
        <w:t>规划条件</w:t>
      </w:r>
    </w:p>
    <w:p w14:paraId="367A74A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39462E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5.1</w:t>
      </w:r>
      <w:r>
        <w:rPr>
          <w:rFonts w:hint="eastAsia" w:ascii="黑体" w:hAnsi="黑体" w:eastAsia="黑体" w:cs="黑体"/>
          <w:spacing w:val="0"/>
          <w:sz w:val="28"/>
          <w:szCs w:val="28"/>
          <w:lang w:val="en-US" w:eastAsia="zh-CN"/>
        </w:rPr>
        <w:t>区位情况</w:t>
      </w:r>
    </w:p>
    <w:p w14:paraId="3D28D4D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新材料高新技术产业园区地处泉州市北部泉港区，紧邻国家一类口岸肖厝港，距离泉州晋江机场50公里、厦门高崎机场120公里、福州长乐机场150公里。沈海高速公路、国道324线以及省道201线穿过泉港区。区域内部形成由铁路、高速公路、港口等多种形式构成的复合对外交通网络，交通便捷，微观区位条件突出。</w:t>
      </w:r>
    </w:p>
    <w:p w14:paraId="05A9B777">
      <w:pPr>
        <w:keepNext w:val="0"/>
        <w:keepLines w:val="0"/>
        <w:pageBreakBefore w:val="0"/>
        <w:widowControl w:val="0"/>
        <w:wordWrap/>
        <w:overflowPunct/>
        <w:bidi w:val="0"/>
        <w:spacing w:before="66" w:line="4615" w:lineRule="exact"/>
        <w:ind w:firstLine="425"/>
        <w:textAlignment w:val="center"/>
      </w:pPr>
      <w:r>
        <w:drawing>
          <wp:inline distT="0" distB="0" distL="114300" distR="114300">
            <wp:extent cx="5219700" cy="2930525"/>
            <wp:effectExtent l="0" t="0" r="5080" b="5715"/>
            <wp:docPr id="19" name="图片 11"/>
            <wp:cNvGraphicFramePr/>
            <a:graphic xmlns:a="http://schemas.openxmlformats.org/drawingml/2006/main">
              <a:graphicData uri="http://schemas.openxmlformats.org/drawingml/2006/picture">
                <pic:pic xmlns:pic="http://schemas.openxmlformats.org/drawingml/2006/picture">
                  <pic:nvPicPr>
                    <pic:cNvPr id="19" name="图片 11"/>
                    <pic:cNvPicPr/>
                  </pic:nvPicPr>
                  <pic:blipFill>
                    <a:blip r:embed="rId17"/>
                    <a:stretch>
                      <a:fillRect/>
                    </a:stretch>
                  </pic:blipFill>
                  <pic:spPr>
                    <a:xfrm>
                      <a:off x="0" y="0"/>
                      <a:ext cx="5219700" cy="2930525"/>
                    </a:xfrm>
                    <a:prstGeom prst="rect">
                      <a:avLst/>
                    </a:prstGeom>
                    <a:noFill/>
                    <a:ln>
                      <a:noFill/>
                    </a:ln>
                  </pic:spPr>
                </pic:pic>
              </a:graphicData>
            </a:graphic>
          </wp:inline>
        </w:drawing>
      </w:r>
    </w:p>
    <w:p w14:paraId="2C510A38">
      <w:pPr>
        <w:keepNext w:val="0"/>
        <w:keepLines w:val="0"/>
        <w:pageBreakBefore w:val="0"/>
        <w:widowControl w:val="0"/>
        <w:wordWrap/>
        <w:overflowPunct/>
        <w:bidi w:val="0"/>
        <w:spacing w:before="305" w:line="225" w:lineRule="auto"/>
        <w:ind w:left="2257"/>
      </w:pPr>
      <w:r>
        <w:rPr>
          <w:rFonts w:ascii="黑体" w:hAnsi="黑体" w:eastAsia="黑体" w:cs="黑体"/>
          <w:spacing w:val="5"/>
          <w:sz w:val="23"/>
          <w:szCs w:val="23"/>
        </w:rPr>
        <w:t>图</w:t>
      </w:r>
      <w:r>
        <w:rPr>
          <w:rFonts w:ascii="Arial" w:hAnsi="Arial" w:eastAsia="Arial" w:cs="Arial"/>
          <w:b/>
          <w:bCs/>
          <w:spacing w:val="5"/>
          <w:sz w:val="23"/>
          <w:szCs w:val="23"/>
        </w:rPr>
        <w:t>5-1</w:t>
      </w:r>
      <w:r>
        <w:rPr>
          <w:rFonts w:ascii="黑体" w:hAnsi="黑体" w:eastAsia="黑体" w:cs="黑体"/>
          <w:spacing w:val="5"/>
          <w:sz w:val="23"/>
          <w:szCs w:val="23"/>
        </w:rPr>
        <w:t>泉港新材料高新技术产业园区区位</w:t>
      </w:r>
      <w:r>
        <w:rPr>
          <w:rFonts w:ascii="黑体" w:hAnsi="黑体" w:eastAsia="黑体" w:cs="黑体"/>
          <w:spacing w:val="1"/>
          <w:sz w:val="23"/>
          <w:szCs w:val="23"/>
        </w:rPr>
        <w:t>图</w:t>
      </w:r>
    </w:p>
    <w:p w14:paraId="6B63FA7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5.2自然与环境状况</w:t>
      </w:r>
    </w:p>
    <w:p w14:paraId="349E66DD">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kern w:val="2"/>
          <w:sz w:val="28"/>
          <w:szCs w:val="28"/>
          <w:lang w:val="en-US" w:eastAsia="zh-CN" w:bidi="ar-SA"/>
        </w:rPr>
        <w:t>5.2.1</w:t>
      </w:r>
      <w:r>
        <w:rPr>
          <w:rFonts w:hint="eastAsia" w:ascii="楷体_GB2312" w:hAnsi="楷体_GB2312" w:eastAsia="楷体_GB2312" w:cs="楷体_GB2312"/>
          <w:b/>
          <w:bCs/>
          <w:spacing w:val="0"/>
          <w:sz w:val="28"/>
          <w:szCs w:val="28"/>
          <w:lang w:val="en-US" w:eastAsia="zh-CN"/>
        </w:rPr>
        <w:t>地形地貌</w:t>
      </w:r>
    </w:p>
    <w:p w14:paraId="790B520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地处戴云山系东南麓，戴云山东延支脉从涂岭西北部的照船山、大林山逶迤入境，并持续向南延伸，至鸡笼山、烟倒山、观音山、大雾山、笔架山连成一脉。地形西北高东南低，以沈海高速公路为界，西部主要为山地地形，包含海拔700米以上的山峰两座-大雾山(797.5米)和笔架山(752.3米)，海拔300米以上山峰40余座。沈海高速公路以东主要为</w:t>
      </w:r>
    </w:p>
    <w:p w14:paraId="30017AD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剥蚀矮丘红土台地和滨海海积——冲积平原，地势较为平缓，海拔高于300米以上的山峰仅有虎岩山一座(323.3米)。</w:t>
      </w:r>
    </w:p>
    <w:p w14:paraId="3059C49C">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5.2.2水文水利</w:t>
      </w:r>
    </w:p>
    <w:p w14:paraId="4FC8352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河流：泉港内陆无跨区过境河流，多为季节性溪流，其地表水主要靠降水补给，受雨季影响，地表径流量小且季节性变化大，地下基岩裂隙水和沉积冲积层孔隙潜水量有限。河流自西向东流入大海，主要河流有菱溪和坝头溪，其余河流较为短小，就近入海。</w:t>
      </w:r>
    </w:p>
    <w:p w14:paraId="10A6528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水库：泉港区的水库集中于西部山区，主要有4个水库：菱溪水库、泗洲水库、山外水库和陈田水库，目前正在修建双溪水库。其中菱溪水库和泗洲水库为饮用水源地，其他水库主要用于农田灌溉。</w:t>
      </w:r>
    </w:p>
    <w:p w14:paraId="260F43F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5.2.3气候环境</w:t>
      </w:r>
    </w:p>
    <w:p w14:paraId="305C39E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气温：泉港为南亚热带海洋性季风气候，冬无严寒，夏无酷暑，气候温暖湿润，雨量充沛，台风活动频繁。年平均气温28℃，7-8月为最热月份，最冷月份为2月，月平均气温11.7℃。</w:t>
      </w:r>
    </w:p>
    <w:p w14:paraId="29AE394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降雨：泉港年均降雨量1240.9毫米，降雨量主要集中于4-9月，占全年降雨量75%左右。7-10月为台风活动期，常有台风正面袭击或侧面影响，带来强度大的降雨，造成严重的洪涝灾害。</w:t>
      </w:r>
    </w:p>
    <w:p w14:paraId="79452917">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风向：泉港常年主导风向为东北风，频率为31%，1月东北风最高风频可达61%，6、8月夏季盛行西南风，台风活动期风速可达40米/秒。</w:t>
      </w:r>
    </w:p>
    <w:p w14:paraId="09151BD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1E524A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1B25D0D">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BEBCD6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CBF889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305B45F">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FC5C58D">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940D080">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EC2DA57">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0" w:firstLineChars="0"/>
        <w:jc w:val="center"/>
        <w:textAlignment w:val="auto"/>
        <w:rPr>
          <w:rFonts w:hint="default" w:ascii="方正小标宋_GBK" w:hAnsi="方正小标宋_GBK" w:eastAsia="方正小标宋_GBK" w:cs="方正小标宋_GBK"/>
          <w:b w:val="0"/>
          <w:bCs w:val="0"/>
          <w:snapToGrid w:val="0"/>
          <w:color w:val="000000"/>
          <w:spacing w:val="10"/>
          <w:kern w:val="0"/>
          <w:sz w:val="36"/>
          <w:szCs w:val="36"/>
          <w:lang w:val="en-US" w:eastAsia="zh-CN"/>
        </w:rPr>
      </w:pPr>
      <w:r>
        <w:rPr>
          <w:rFonts w:hint="default" w:ascii="方正小标宋_GBK" w:hAnsi="方正小标宋_GBK" w:eastAsia="方正小标宋_GBK" w:cs="方正小标宋_GBK"/>
          <w:b w:val="0"/>
          <w:bCs w:val="0"/>
          <w:snapToGrid w:val="0"/>
          <w:color w:val="000000"/>
          <w:spacing w:val="10"/>
          <w:kern w:val="0"/>
          <w:sz w:val="36"/>
          <w:szCs w:val="36"/>
          <w:lang w:val="en-US" w:eastAsia="zh-CN"/>
        </w:rPr>
        <w:t>6空间布局与土地利用</w:t>
      </w:r>
    </w:p>
    <w:p w14:paraId="28B4E4B1">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0" w:firstLineChars="0"/>
        <w:jc w:val="center"/>
        <w:textAlignment w:val="auto"/>
        <w:rPr>
          <w:rFonts w:hint="default" w:ascii="方正小标宋_GBK" w:hAnsi="方正小标宋_GBK" w:eastAsia="方正小标宋_GBK" w:cs="方正小标宋_GBK"/>
          <w:b w:val="0"/>
          <w:bCs w:val="0"/>
          <w:snapToGrid w:val="0"/>
          <w:color w:val="000000"/>
          <w:spacing w:val="10"/>
          <w:kern w:val="0"/>
          <w:sz w:val="36"/>
          <w:szCs w:val="36"/>
          <w:lang w:val="en-US" w:eastAsia="zh-CN"/>
        </w:rPr>
      </w:pPr>
    </w:p>
    <w:p w14:paraId="5D3ABDC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6.1主要任务</w:t>
      </w:r>
    </w:p>
    <w:p w14:paraId="1111F5D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6.1.1</w:t>
      </w:r>
      <w:r>
        <w:rPr>
          <w:rFonts w:hint="eastAsia" w:ascii="楷体_GB2312" w:hAnsi="楷体_GB2312" w:eastAsia="楷体_GB2312" w:cs="楷体_GB2312"/>
          <w:b/>
          <w:bCs/>
          <w:spacing w:val="0"/>
          <w:kern w:val="2"/>
          <w:sz w:val="28"/>
          <w:szCs w:val="28"/>
          <w:lang w:val="en-US" w:eastAsia="zh-CN" w:bidi="ar-SA"/>
        </w:rPr>
        <w:t>完善空间体系基本构架</w:t>
      </w:r>
    </w:p>
    <w:p w14:paraId="1E196C88">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主要由生产空间、生活空间和生态空间构成。生产空间是实现发展的基本载体；生活空间是服务于整个生产空间的活力源泉；而生态空间是实现区域可持续发展的重要组成部分，并成为提升生产与生活空间品质的重要部分。只有三者协调才能促进产业间、产业与城市区域功能间的协调发展。因此，本次规划过程中空间布局将重点关注高新园区生产、生活与生态三个基本空间体系间的耦合与互通，促进产业集群的形成，实现高质量发展。</w:t>
      </w:r>
    </w:p>
    <w:p w14:paraId="7EC63B9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6.1.2明确功能布局分区</w:t>
      </w:r>
    </w:p>
    <w:p w14:paraId="2DE091FD">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结合园区用地被高速铁路、高速公路及区域性电力通道分割的情况，以及土地征用与开发建设的时序性，规划采用组团式结构组织功能分区。规划划分若干产业片区。考虑产城融合的要求，高新园区内集中布局了居住用地、商业用地。此外，产业用地划分时，在满足安全环保要求的前提下兼容少量的居住及商业设施。</w:t>
      </w:r>
    </w:p>
    <w:p w14:paraId="508FC07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6.1.3确立发展轴</w:t>
      </w:r>
    </w:p>
    <w:p w14:paraId="0922908E">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规划中结合主干路与用地布局确定园区的发展轴。发展轴的确定重点注重与泉港中心城区、高铁新城等联系频繁的地区之间的承接与协调关系，同时注重园区内部居住区块与产业区块之间的联系与沟通。利用发展轴既实现了园区近远期发展的连续性，同时也是保证引导园区发展的具体需要。</w:t>
      </w:r>
    </w:p>
    <w:p w14:paraId="357736D2">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6.1.4完善配套基础设施和公共服务设施</w:t>
      </w:r>
    </w:p>
    <w:p w14:paraId="6DDDC366">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高新园区的硬件设施是吸引投资的基本平台，而现状的基础设施和公共服务设施的基础又比较薄弱。从完善高新园区投资环境和方便居民生活</w:t>
      </w:r>
    </w:p>
    <w:p w14:paraId="7FEC291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的角度出发，规划重点关注完善市政基础设施(道路、污水处理厂、邮局、消防站等)以及公共服务设施，以提升区域的综合竞争力和居民的生活环境品质。</w:t>
      </w:r>
    </w:p>
    <w:p w14:paraId="68110A02">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6.1.5分期开发与空间管治</w:t>
      </w:r>
    </w:p>
    <w:p w14:paraId="093504D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受土地用途的影响较大，不可能一次性开发完毕，因此规划根据发展的需要，将园区分解为若干组团：以时间划分，可分为近期优先发展区、远期发展备用区及远景拓展区等；以产业类型划分，可分为高新技术产业区、传统产业升级区等。将园区的发展过程与空间管治结合，确保园区的可持续开发。</w:t>
      </w:r>
    </w:p>
    <w:p w14:paraId="1520226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6.2空间布局思路</w:t>
      </w:r>
    </w:p>
    <w:p w14:paraId="7825B1B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6.2.1整合现状土地资源，拓展产业发展空间</w:t>
      </w:r>
    </w:p>
    <w:p w14:paraId="3F9BE8A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据统计，当前园区已建、在建、已批的工业企业占地约4平方公里，剩余可用于发展产业项目的建设用地十分有限。土地是高新区产业发展的前提，用地现状决定了要拓展产业发展空间，必须从存量优化与增量拓展两手出发，拓展产业用地界线。</w:t>
      </w:r>
    </w:p>
    <w:p w14:paraId="0B50F58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经初步统计，规划区内各级公益林及基本农田保护区占地约5平方公里，现状村庄占地约3.5平方公里，占据了规划区内大部分用地。为满足产业发展需求，对上述用地的调整将不可避免。因此，本次规划考虑对中部的后郭村、香芹村等村庄实施城镇化改造；同时将分布于西部、南部的部分公益林和基本农田保护区调整为建设用地。通过上述调整，本规划最终形成工业用地的规模约为6平方公里，基本满足规划区远期发展的工业用地需求。</w:t>
      </w:r>
    </w:p>
    <w:p w14:paraId="4EDDDFD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6.2.2优化生活空间布局，促进产城融合</w:t>
      </w:r>
    </w:p>
    <w:p w14:paraId="65471CB1">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的目的就是为了吸引人才和高新技术产业，其关键是在于提升核心竞争力，要利于科技研发，要方便人员的工作生活，并能降低生产与流通成本。因此在空间布局上一方面坚持产业上要适度地集中，另外要便于与周边的服务设施便捷连通。</w:t>
      </w:r>
    </w:p>
    <w:p w14:paraId="5124364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就高新园区本身而言，它也应是一个功能的综合体，即“将新科技成果与开发生产结合起来的科学与工业的综合体，一种集教育、科研、开发、生产和贸易等多项功能于一体的新型经济发展区域”。虽然该园区比邻、依附于主城区，但其所占的建设用地规模较大，所容纳的人口也较多(远期约10万人口)，因此有着一定城市区域特征，应适当借鉴城市开发的部分理念，作为中心城区的组成部分，在突出产业功能的同时，适当将其所包含的其他功能进一步加强，并使之多样化、综合化、区域化和完整化。</w:t>
      </w:r>
    </w:p>
    <w:p w14:paraId="2A894F8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基于上述分析，本次规划在空间布局上避免将其建设成为纯粹的产业园区，同时也要优先保证产业用地，防止出现产业园区“变异”现象。因此，本次规划在空间架构上形成了产业功能区、创新平台区、生活配套区及生态涵养区四大主体功能区块；同时在各主体功能区块间互相掺混有其他的功能用地，实现人、产、城“共融”的效果。</w:t>
      </w:r>
    </w:p>
    <w:p w14:paraId="0FFE5C87">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6.2.3保障生态空间，提升品位</w:t>
      </w:r>
    </w:p>
    <w:p w14:paraId="2FBA54E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背靠虎岩山郊野公园，东临坝头溪，区内有前烧水库、昆山书库、后郭山、菱溪、坝头溪等，山水景观丰富，为园区景观建设提供了良好的自然条件。基于福建生态省建设的总要求，本次规划中充分贯彻“绿水青山就是金山银山”的发展理念，将生态文明建设的思路及要求落实在各项规划方案内。</w:t>
      </w:r>
    </w:p>
    <w:p w14:paraId="74419000">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(1)本次规划立足生态优先的理念，对规划区内涉及的生态保护红线均予以完整保留，并在外围设置一定的绿化空间拓展其生态保护范围。</w:t>
      </w:r>
    </w:p>
    <w:p w14:paraId="245CF4B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(2)产业布局中将产业区域集中布置在驿峰路的南侧，适当远离北侧的虎岩山等自然山体。</w:t>
      </w:r>
    </w:p>
    <w:p w14:paraId="367E512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(3)统筹规划区域内及周边的山水环境，进行分类保护规划，对外围的山水环境进行严格保护，区内的自然山水做到以保护为主，引导建设为辅。从而达到自然山水与园区建设的共融关系，使其和谐发展。</w:t>
      </w:r>
    </w:p>
    <w:p w14:paraId="24C25B7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(4)在规划中充分考虑自然风貌与城市空间之间的视线廊道和山水周边的空间预留，做到透山露水。同时规划结合区内自然沟渠进行适当整理拓宽，作为区域的景观廊道与通风廊道。</w:t>
      </w:r>
    </w:p>
    <w:p w14:paraId="3962402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6.2.4创新用地功能，增加操作弹性</w:t>
      </w:r>
    </w:p>
    <w:p w14:paraId="5FA88009">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新经济形态的不断涌现，高新区的发展过程中逐步出现传统的用地功能划分兼容性不足、对部分复合型产业用地适应性差等问题。在“三生融合”大背景下，部分发达地区在传统的用地分类基础上，针对新型产业形态的需要对用地分类进行了拓展。如东莞市在城市用地分类“工业用地(M)”大类下，增设“新型产业用地(M0)”中类。“新型产业用地(M0)”是指：“融合研发、创意、设计、中试、无污染生产等新型产业功能以及相关配套服务的用地。新型产业用地(M0)项目用房包括产业用房和配套用房。本办法所称产业用房指可用于生产、研发设计、勘察、检验检测、技术推广、环境评估与监测等功能用途的用房。配套用房包括小型商业、配套宿舍等”。从上述定义可以看出，该类型用地属于典型的复合型用地，更加适应新经济形态融合发展的需要，因此在广东省内逐步开始推广。</w:t>
      </w:r>
    </w:p>
    <w:p w14:paraId="24C8E056">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由于该类用地划分方式目前仅在国内部分地方推广使用，本次规划界定的用地功能仍以国家及福建省用地要求为主。但考虑到未来高新技术产业发展的实际需要，且本次规划并非城乡规划体系内的法定规划，在借鉴相应经验的基础上对高新区内工业用地形态进行了适当调整：</w:t>
      </w:r>
    </w:p>
    <w:p w14:paraId="6F24099D">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M0用地：研发创意及配套服务用地。主要借鉴东莞市对M0用地分类界定，融合研发、创意、设计、中试、无污染生产等新型产业功能以及相关配套服务的用地。</w:t>
      </w:r>
    </w:p>
    <w:p w14:paraId="1E9B6D27">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M4用地：高新产业用地。是指以无污染或轻微污染的生产型产业用地为主，同时兼顾部分研发、配套宿舍的复合型用地分类。具体适宜发展的生产型产业项目遵照产业发展推荐目录及负面清单执行。</w:t>
      </w:r>
    </w:p>
    <w:p w14:paraId="7D97CA9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6.3空间布局结构</w:t>
      </w:r>
    </w:p>
    <w:p w14:paraId="059C7D0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6.3.1总体架构</w:t>
      </w:r>
    </w:p>
    <w:p w14:paraId="277005C7">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规划结合场地条件，构造富有弹性、适应性强的规划结构，提出了“一轴、八区”的空间结构。</w:t>
      </w:r>
    </w:p>
    <w:p w14:paraId="6257EDEF">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“一轴”：为驿峰路产业联系轴。</w:t>
      </w:r>
    </w:p>
    <w:p w14:paraId="18D3B6E1">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“八区”：即八大功能分区，包括高新技术产业区、科技创新平台区、产业优化提升区、现代物流区、道口商业区、生活服务区、绿色生态区及远景发展区。</w:t>
      </w:r>
    </w:p>
    <w:p w14:paraId="0BE2D19D">
      <w:pPr>
        <w:keepNext w:val="0"/>
        <w:keepLines w:val="0"/>
        <w:pageBreakBefore w:val="0"/>
        <w:widowControl w:val="0"/>
        <w:wordWrap/>
        <w:overflowPunct/>
        <w:bidi w:val="0"/>
        <w:spacing w:before="64" w:line="6384" w:lineRule="exact"/>
        <w:ind w:firstLine="29"/>
        <w:textAlignment w:val="center"/>
      </w:pPr>
      <w:r>
        <w:drawing>
          <wp:inline distT="0" distB="0" distL="114300" distR="114300">
            <wp:extent cx="5724525" cy="4054475"/>
            <wp:effectExtent l="0" t="0" r="7620" b="4445"/>
            <wp:docPr id="20" name="图片 12"/>
            <wp:cNvGraphicFramePr/>
            <a:graphic xmlns:a="http://schemas.openxmlformats.org/drawingml/2006/main">
              <a:graphicData uri="http://schemas.openxmlformats.org/drawingml/2006/picture">
                <pic:pic xmlns:pic="http://schemas.openxmlformats.org/drawingml/2006/picture">
                  <pic:nvPicPr>
                    <pic:cNvPr id="20" name="图片 12"/>
                    <pic:cNvPicPr/>
                  </pic:nvPicPr>
                  <pic:blipFill>
                    <a:blip r:embed="rId18"/>
                    <a:stretch>
                      <a:fillRect/>
                    </a:stretch>
                  </pic:blipFill>
                  <pic:spPr>
                    <a:xfrm>
                      <a:off x="0" y="0"/>
                      <a:ext cx="5724525" cy="4054475"/>
                    </a:xfrm>
                    <a:prstGeom prst="rect">
                      <a:avLst/>
                    </a:prstGeom>
                    <a:noFill/>
                    <a:ln>
                      <a:noFill/>
                    </a:ln>
                  </pic:spPr>
                </pic:pic>
              </a:graphicData>
            </a:graphic>
          </wp:inline>
        </w:drawing>
      </w:r>
    </w:p>
    <w:p w14:paraId="4BB15F13">
      <w:pPr>
        <w:keepNext w:val="0"/>
        <w:keepLines w:val="0"/>
        <w:pageBreakBefore w:val="0"/>
        <w:widowControl w:val="0"/>
        <w:wordWrap/>
        <w:overflowPunct/>
        <w:bidi w:val="0"/>
        <w:spacing w:before="304" w:line="225" w:lineRule="auto"/>
        <w:jc w:val="center"/>
        <w:rPr>
          <w:rFonts w:hint="default" w:ascii="仿宋_GB2312" w:hAnsi="仿宋_GB2312" w:eastAsia="仿宋_GB2312" w:cs="仿宋_GB2312"/>
          <w:spacing w:val="0"/>
          <w:sz w:val="28"/>
          <w:szCs w:val="28"/>
          <w:lang w:val="en-US" w:eastAsia="zh-CN"/>
        </w:rPr>
      </w:pPr>
      <w:r>
        <w:rPr>
          <w:rFonts w:ascii="黑体" w:hAnsi="黑体" w:eastAsia="黑体" w:cs="黑体"/>
          <w:spacing w:val="10"/>
          <w:sz w:val="23"/>
          <w:szCs w:val="23"/>
        </w:rPr>
        <w:t>图</w:t>
      </w:r>
      <w:r>
        <w:rPr>
          <w:rFonts w:ascii="Arial" w:hAnsi="Arial" w:eastAsia="Arial" w:cs="Arial"/>
          <w:b/>
          <w:bCs/>
          <w:spacing w:val="10"/>
          <w:sz w:val="23"/>
          <w:szCs w:val="23"/>
        </w:rPr>
        <w:t>6</w:t>
      </w:r>
      <w:r>
        <w:rPr>
          <w:rFonts w:ascii="Arial" w:hAnsi="Arial" w:eastAsia="Arial" w:cs="Arial"/>
          <w:b/>
          <w:bCs/>
          <w:spacing w:val="9"/>
          <w:sz w:val="23"/>
          <w:szCs w:val="23"/>
        </w:rPr>
        <w:t>-</w:t>
      </w:r>
      <w:r>
        <w:rPr>
          <w:rFonts w:ascii="Arial" w:hAnsi="Arial" w:eastAsia="Arial" w:cs="Arial"/>
          <w:b/>
          <w:bCs/>
          <w:spacing w:val="5"/>
          <w:sz w:val="23"/>
          <w:szCs w:val="23"/>
        </w:rPr>
        <w:t>1</w:t>
      </w:r>
      <w:r>
        <w:rPr>
          <w:rFonts w:ascii="黑体" w:hAnsi="黑体" w:eastAsia="黑体" w:cs="黑体"/>
          <w:spacing w:val="5"/>
          <w:sz w:val="23"/>
          <w:szCs w:val="23"/>
        </w:rPr>
        <w:t>泉港新材料高新技术产业园区功能结构规划图</w:t>
      </w:r>
    </w:p>
    <w:p w14:paraId="57A6C35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6.3.2高新技术产业区</w:t>
      </w:r>
    </w:p>
    <w:p w14:paraId="45D78F4C">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位于驿峰路以南，综合交通廊道以西，第二疏港大道以北。该区域主要结合现状工业企业布局，产业类型以新材料产业为主。</w:t>
      </w:r>
    </w:p>
    <w:p w14:paraId="6EB094A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6.3.3科技创新平台区</w:t>
      </w:r>
    </w:p>
    <w:p w14:paraId="29D44126">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结合目前高新区内已引进福建师范大学泉港石化研究院、福州大学石油化工学院等高校和研究机构，规划于驿峰路以北，综合交通廊道以西用地布局科技创新平台区，打造科技成果孵化平台、培训教育基地、互联网和云服务数据信息平台、金融服务平台，塑造园区良好的发展软环境。该区域北侧为虎岩山郊野公园、前烧水库，南侧与高新技术产业区以驿峰路为界进行隔离，发展基础、发展环境优良，并与规划的集中生活区毗邻，适宜开发建成为科技创新平台区。</w:t>
      </w:r>
    </w:p>
    <w:p w14:paraId="3BC4B70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6.3.4产业优化提升区</w:t>
      </w:r>
    </w:p>
    <w:p w14:paraId="44910A25">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位于驿峰路以南，漳泉肖铁路以东。该区域传统上为皮革集控区，原来密集分布皮革生产企业。近年随着环保整治，原来的皮革生产企业逐渐关停，形成了一定体量的闲置工业用地。高新技术产业园区范围内现阶段部分企业在国内有较高的市场地位，因此在该区域内集中产业优化提升区，一方面可以促进高新园区存量企业的优化升级，腾退部分工业用地用于发展高新技术产业；另一方面也可以对泉港区范围内部分优质项目的发展提供一定的用地空间。</w:t>
      </w:r>
    </w:p>
    <w:p w14:paraId="6953482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6.3.5现代物流区</w:t>
      </w:r>
    </w:p>
    <w:p w14:paraId="65981B32">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位于园区西部和东部。西部现代物流区位于驿峰路以南，沈海高速公路以东。该区域毗邻高新园区的主干通道及高速公路，向西可直接接入国道，适宜连片建设物流区，发展区域性现代物流产业。东部现代物流区位于肖厝站东侧，依托漳肖泉铁路为园区内企业提供物流服务。</w:t>
      </w:r>
    </w:p>
    <w:p w14:paraId="778499BC">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6.3.6生活服务区</w:t>
      </w:r>
    </w:p>
    <w:p w14:paraId="654E6E52">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生活服务区主要为集中居住用地，园区东侧与西侧各集中规划布局。其中东侧主要在前黄镇区基础上进行升级改造，西侧依托现状的高端住宅项目提升区域的居住品质。</w:t>
      </w:r>
    </w:p>
    <w:p w14:paraId="23B33676">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需要说明的是，本次规划的高新技术产业用地(M4)、研发创意及配套用地(M0)也可以适当规划布局配套宿舍，便于对现有村庄建设用地进行就地整理盘活，同时提升区域的居住品位，降低大规模拆迁成本。</w:t>
      </w:r>
    </w:p>
    <w:p w14:paraId="6B313C2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6.3.7道口商业区</w:t>
      </w:r>
    </w:p>
    <w:p w14:paraId="491D4480">
      <w:pPr>
        <w:pStyle w:val="2"/>
        <w:keepNext w:val="0"/>
        <w:keepLines w:val="0"/>
        <w:pageBreakBefore w:val="0"/>
        <w:widowControl w:val="0"/>
        <w:kinsoku/>
        <w:wordWrap/>
        <w:overflowPunct/>
        <w:topLinePunct/>
        <w:autoSpaceDE/>
        <w:autoSpaceDN/>
        <w:bidi w:val="0"/>
        <w:adjustRightInd/>
        <w:snapToGrid/>
        <w:spacing w:before="0" w:beforeAutospacing="0" w:line="51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道口商业区布局在沈海高速公路与国道之间形成的天然交叉。利用该区域的交通优势，依托泉港区特色产品发展商贸服务业，提高土地的利用效率。</w:t>
      </w:r>
    </w:p>
    <w:p w14:paraId="14F580B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6.3.8绿色生态区</w:t>
      </w:r>
    </w:p>
    <w:p w14:paraId="2E193F3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绿色生态区主要体现融合的特色，结合区域内现有的自然本底情况，在北侧、西侧及南侧分别布局了集中的绿色生态区。同时，依托道路、沟渠等也会建设小型的景观设施，提高区域的生态保障程度，满足高品质工作、居住、生活需求。</w:t>
      </w:r>
    </w:p>
    <w:p w14:paraId="668C9E1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6.3.9远景发展区</w:t>
      </w:r>
    </w:p>
    <w:p w14:paraId="3779BE7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该区域现状主要为基本农田，因此本次规划不对该区域的功能进行界定，适度留白。未来根据发展需求确定该区域的形态功能。</w:t>
      </w:r>
    </w:p>
    <w:p w14:paraId="4F447F6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6.4</w:t>
      </w:r>
      <w:r>
        <w:rPr>
          <w:rFonts w:hint="eastAsia" w:ascii="黑体" w:hAnsi="黑体" w:eastAsia="黑体" w:cs="黑体"/>
          <w:spacing w:val="0"/>
          <w:sz w:val="28"/>
          <w:szCs w:val="28"/>
          <w:lang w:val="en-US" w:eastAsia="zh-CN"/>
        </w:rPr>
        <w:t>土地利用与空间管制</w:t>
      </w:r>
    </w:p>
    <w:p w14:paraId="7321494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6.4.1用地分类</w:t>
      </w:r>
    </w:p>
    <w:p w14:paraId="60C8AD6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用地类型包括居住用地、工业用地、公共管理与公共服务设施用地、商业服务业设施用地、公共设施用地、道路与交通设施用地、绿地与广场用地等城市建设用地，以及部分村庄建设用地，非建设用地包括水域及农林用地等。根据规划定位、资源特点、区位特点因素综合考虑，对各类用地作出以下规划：</w:t>
      </w:r>
    </w:p>
    <w:p w14:paraId="5F95FBD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w:t>
      </w:r>
      <w:r>
        <w:rPr>
          <w:rFonts w:hint="default" w:ascii="仿宋_GB2312" w:hAnsi="仿宋_GB2312" w:eastAsia="仿宋_GB2312" w:cs="仿宋_GB2312"/>
          <w:spacing w:val="0"/>
          <w:sz w:val="28"/>
          <w:szCs w:val="28"/>
          <w:lang w:val="en-US" w:eastAsia="zh-CN"/>
        </w:rPr>
        <w:t>工业用地</w:t>
      </w:r>
    </w:p>
    <w:p w14:paraId="38437E3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21" name="图片 13"/>
            <wp:cNvGraphicFramePr/>
            <a:graphic xmlns:a="http://schemas.openxmlformats.org/drawingml/2006/main">
              <a:graphicData uri="http://schemas.openxmlformats.org/drawingml/2006/picture">
                <pic:pic xmlns:pic="http://schemas.openxmlformats.org/drawingml/2006/picture">
                  <pic:nvPicPr>
                    <pic:cNvPr id="21" name="图片 13"/>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研发创意及配套服务用地(M0)：</w:t>
      </w:r>
    </w:p>
    <w:p w14:paraId="50578DA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研发创意及配套服务用地布局在驿峰路北侧，为融合研发、创意、设计、中试、无污染生产等新型产业功能以及相关配套服务的用地。研发创意及配套服务用地内的项目用房包括产业用房和配套用房。产业用房指可用于生产、研发设计、勘察、检验检测、技术推广、环境评估与监测等功能用途的用房。配套用房主要为宿舍。</w:t>
      </w:r>
    </w:p>
    <w:p w14:paraId="36850A4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36" w:firstLineChars="200"/>
        <w:jc w:val="both"/>
        <w:textAlignment w:val="auto"/>
        <w:rPr>
          <w:rFonts w:hint="default" w:ascii="仿宋_GB2312" w:hAnsi="仿宋_GB2312" w:eastAsia="仿宋_GB2312" w:cs="仿宋_GB2312"/>
          <w:spacing w:val="-6"/>
          <w:sz w:val="28"/>
          <w:szCs w:val="28"/>
          <w:lang w:val="en-US" w:eastAsia="zh-CN"/>
        </w:rPr>
      </w:pPr>
      <w:r>
        <w:rPr>
          <w:rFonts w:hint="default" w:ascii="仿宋_GB2312" w:hAnsi="仿宋_GB2312" w:eastAsia="仿宋_GB2312" w:cs="仿宋_GB2312"/>
          <w:spacing w:val="-6"/>
          <w:sz w:val="28"/>
          <w:szCs w:val="28"/>
          <w:lang w:val="en-US" w:eastAsia="zh-CN"/>
        </w:rPr>
        <w:t>研发创意及配套服务用地面积为30.86公顷，占城市建设用地面积的2%。</w:t>
      </w:r>
    </w:p>
    <w:p w14:paraId="5CC1857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22" name="图片 13"/>
            <wp:cNvGraphicFramePr/>
            <a:graphic xmlns:a="http://schemas.openxmlformats.org/drawingml/2006/main">
              <a:graphicData uri="http://schemas.openxmlformats.org/drawingml/2006/picture">
                <pic:pic xmlns:pic="http://schemas.openxmlformats.org/drawingml/2006/picture">
                  <pic:nvPicPr>
                    <pic:cNvPr id="22" name="图片 13"/>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高新产业用地(M4)：</w:t>
      </w:r>
    </w:p>
    <w:p w14:paraId="0C3C6FA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left"/>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高新产业用地是指以无污染或轻微污染的生产型产业用地为主，同时兼顾部分研发、配套宿舍等需求的复合型用地分类。具体适宜发展的生产型产业项目遵照产业发展推荐目录及负面清单执行。</w:t>
      </w:r>
    </w:p>
    <w:p w14:paraId="0EA2DE0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高新产业用地主要布局在驿峰路南侧，用地面积为440.34公顷，占城市建设用地面积的30%。</w:t>
      </w:r>
    </w:p>
    <w:p w14:paraId="485F600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23" name="图片 13"/>
            <wp:cNvGraphicFramePr/>
            <a:graphic xmlns:a="http://schemas.openxmlformats.org/drawingml/2006/main">
              <a:graphicData uri="http://schemas.openxmlformats.org/drawingml/2006/picture">
                <pic:pic xmlns:pic="http://schemas.openxmlformats.org/drawingml/2006/picture">
                  <pic:nvPicPr>
                    <pic:cNvPr id="23" name="图片 13"/>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二类工业用地(M2)：</w:t>
      </w:r>
    </w:p>
    <w:p w14:paraId="61C9E32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二类工业用地布局在驿峰路以南、漳泉肖铁路以东的区域内，用地面积为66.58公顷，占城市建设用地面积的4.57%。</w:t>
      </w:r>
    </w:p>
    <w:p w14:paraId="3077103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w:t>
      </w:r>
      <w:r>
        <w:rPr>
          <w:rFonts w:hint="default" w:ascii="仿宋_GB2312" w:hAnsi="仿宋_GB2312" w:eastAsia="仿宋_GB2312" w:cs="仿宋_GB2312"/>
          <w:spacing w:val="0"/>
          <w:sz w:val="28"/>
          <w:szCs w:val="28"/>
          <w:lang w:val="en-US" w:eastAsia="zh-CN"/>
        </w:rPr>
        <w:t>居住用地</w:t>
      </w:r>
    </w:p>
    <w:p w14:paraId="0244A5E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居住用地依照居住环境及建设标准定位为一类居住用地和二类居住用地。一类居住用地是指独立式住宅集中、拥有齐全的配套设施、并且布局完整的用地，独立式住宅的层数基本是3层或3层以下。二类居住用地为规划区内主要居住用地类型，以多层及小、中高层为主，配套设施齐全，布局完善，环境较好。同时结合现有的村庄建设，解决拆迁安置问题。规划居住用地206.11公顷，占规划区城市建设用地的13.95%。</w:t>
      </w:r>
    </w:p>
    <w:p w14:paraId="277E137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此外，规划区内规划了部分居住商业混合用地，规划用地面积为20.31公顷，占规划区城市建设用地的1.37%。</w:t>
      </w:r>
    </w:p>
    <w:p w14:paraId="3F90E40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w:t>
      </w:r>
      <w:r>
        <w:rPr>
          <w:rFonts w:hint="default" w:ascii="仿宋_GB2312" w:hAnsi="仿宋_GB2312" w:eastAsia="仿宋_GB2312" w:cs="仿宋_GB2312"/>
          <w:spacing w:val="0"/>
          <w:sz w:val="28"/>
          <w:szCs w:val="28"/>
          <w:lang w:val="en-US" w:eastAsia="zh-CN"/>
        </w:rPr>
        <w:t>公共管理与公共服务设施用地</w:t>
      </w:r>
    </w:p>
    <w:p w14:paraId="0E44479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公共管理与公共服务设施用地主要包括行政办公用地、教育科研用地、医疗用地等。规划公共管理与公共服务设施用地面积57.71公顷，占规划区城市建设用地的3.83%。</w:t>
      </w:r>
    </w:p>
    <w:p w14:paraId="1CDAB56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w:t>
      </w:r>
      <w:r>
        <w:rPr>
          <w:rFonts w:hint="default" w:ascii="仿宋_GB2312" w:hAnsi="仿宋_GB2312" w:eastAsia="仿宋_GB2312" w:cs="仿宋_GB2312"/>
          <w:spacing w:val="0"/>
          <w:sz w:val="28"/>
          <w:szCs w:val="28"/>
          <w:lang w:val="en-US" w:eastAsia="zh-CN"/>
        </w:rPr>
        <w:t>商业服务业设施用地</w:t>
      </w:r>
    </w:p>
    <w:p w14:paraId="49EDE5A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商业服务业设施用地包括商业用地、商务用地和公用设施营业网点用地，主要分布于科技创新平台区、道口商业区、生活服务区内。规划商业服务业设施用地78.97公顷，占规划区城市建设用地的5.35%。</w:t>
      </w:r>
    </w:p>
    <w:p w14:paraId="1D79A76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w:t>
      </w:r>
      <w:r>
        <w:rPr>
          <w:rFonts w:hint="default" w:ascii="仿宋_GB2312" w:hAnsi="仿宋_GB2312" w:eastAsia="仿宋_GB2312" w:cs="仿宋_GB2312"/>
          <w:spacing w:val="0"/>
          <w:sz w:val="28"/>
          <w:szCs w:val="28"/>
          <w:lang w:val="en-US" w:eastAsia="zh-CN"/>
        </w:rPr>
        <w:t>物流仓储用地</w:t>
      </w:r>
    </w:p>
    <w:p w14:paraId="2BC4EBB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物流仓储用地为一类物流仓储用地，分布于规划区用地中部和东部，包括现状粮库及规划的物流园。规划物流仓储用地90.8公顷，占规划区城市建设用地的6.15%。</w:t>
      </w:r>
    </w:p>
    <w:p w14:paraId="4F00D6E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（6）</w:t>
      </w:r>
      <w:r>
        <w:rPr>
          <w:rFonts w:hint="default" w:ascii="仿宋_GB2312" w:hAnsi="仿宋_GB2312" w:eastAsia="仿宋_GB2312" w:cs="仿宋_GB2312"/>
          <w:spacing w:val="0"/>
          <w:sz w:val="28"/>
          <w:szCs w:val="28"/>
          <w:lang w:val="en-US" w:eastAsia="zh-CN"/>
        </w:rPr>
        <w:t>道路与交通设施用地</w:t>
      </w:r>
    </w:p>
    <w:p w14:paraId="1F86B05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规划形成城市快速路、主干道、次干道、支路四级城市干道网络，同</w:t>
      </w:r>
    </w:p>
    <w:p w14:paraId="5F0A464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时设置客运站、公交首末站和社会停车场，占地面积308.89公顷，占规划区城市建设用地的20.91%。</w:t>
      </w:r>
    </w:p>
    <w:p w14:paraId="2C87C8A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（7）公用设施用地</w:t>
      </w:r>
    </w:p>
    <w:p w14:paraId="4D38FC4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规划公用设施用地主要为变电站、消防站等设施用地，占地面积16.74公顷，占规划区城市建设用地的1.13%</w:t>
      </w:r>
    </w:p>
    <w:p w14:paraId="069E3B9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（8）绿地与广场用地</w:t>
      </w:r>
    </w:p>
    <w:p w14:paraId="0D2FA8A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规划绿地与广场用地包括公园绿地、防护绿地和广场用地，总用地面积186.44公顷，占规划区城市建设用地的12.62%。</w:t>
      </w:r>
    </w:p>
    <w:p w14:paraId="4324BF8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（9）区域交通设施用地</w:t>
      </w:r>
    </w:p>
    <w:p w14:paraId="79F2C01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规划区域交通设施用地主</w:t>
      </w:r>
      <w:r>
        <w:rPr>
          <w:rFonts w:hint="default" w:ascii="仿宋_GB2312" w:hAnsi="仿宋_GB2312" w:eastAsia="仿宋_GB2312" w:cs="仿宋_GB2312"/>
          <w:spacing w:val="0"/>
          <w:sz w:val="28"/>
          <w:szCs w:val="28"/>
          <w:lang w:val="en-US" w:eastAsia="zh-CN"/>
        </w:rPr>
        <w:t>要为区域交通廊道，占地面积41.4公顷。</w:t>
      </w:r>
    </w:p>
    <w:p w14:paraId="40A85B6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（10）</w:t>
      </w:r>
      <w:r>
        <w:rPr>
          <w:rFonts w:hint="default" w:ascii="仿宋_GB2312" w:hAnsi="仿宋_GB2312" w:eastAsia="仿宋_GB2312" w:cs="仿宋_GB2312"/>
          <w:spacing w:val="0"/>
          <w:sz w:val="28"/>
          <w:szCs w:val="28"/>
          <w:lang w:val="en-US" w:eastAsia="zh-CN"/>
        </w:rPr>
        <w:t>非建设用地</w:t>
      </w:r>
    </w:p>
    <w:p w14:paraId="247F110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非建设用地包括农林用地和水域，占地面积为298.95公顷。</w:t>
      </w:r>
    </w:p>
    <w:p w14:paraId="1B3258FE">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6.4.2用地统计</w:t>
      </w:r>
    </w:p>
    <w:p w14:paraId="243F1CA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根据高新园区功能布局情况统计园区用地，园区规划用地面积为18.35平方公里，具体用地分类统计见表7-1。</w:t>
      </w:r>
    </w:p>
    <w:p w14:paraId="5D63A07E">
      <w:pPr>
        <w:keepNext w:val="0"/>
        <w:keepLines w:val="0"/>
        <w:pageBreakBefore w:val="0"/>
        <w:widowControl w:val="0"/>
        <w:kinsoku/>
        <w:wordWrap/>
        <w:overflowPunct/>
        <w:topLinePunct w:val="0"/>
        <w:autoSpaceDE/>
        <w:autoSpaceDN/>
        <w:bidi w:val="0"/>
        <w:adjustRightInd/>
        <w:snapToGrid/>
        <w:spacing w:before="316" w:line="226" w:lineRule="auto"/>
        <w:ind w:left="2136"/>
        <w:textAlignment w:val="auto"/>
      </w:pPr>
      <w:r>
        <w:rPr>
          <w:rFonts w:ascii="黑体" w:hAnsi="黑体" w:eastAsia="黑体" w:cs="黑体"/>
          <w:spacing w:val="12"/>
          <w:sz w:val="23"/>
          <w:szCs w:val="23"/>
        </w:rPr>
        <w:t>表</w:t>
      </w:r>
      <w:r>
        <w:rPr>
          <w:rFonts w:ascii="Times New Roman" w:hAnsi="Times New Roman" w:eastAsia="Times New Roman" w:cs="Times New Roman"/>
          <w:b/>
          <w:bCs/>
          <w:spacing w:val="6"/>
          <w:sz w:val="23"/>
          <w:szCs w:val="23"/>
        </w:rPr>
        <w:t>7-1</w:t>
      </w:r>
      <w:r>
        <w:rPr>
          <w:rFonts w:ascii="黑体" w:hAnsi="黑体" w:eastAsia="黑体" w:cs="黑体"/>
          <w:spacing w:val="6"/>
          <w:sz w:val="23"/>
          <w:szCs w:val="23"/>
        </w:rPr>
        <w:t>泉港新材料高新技术产业园区用地汇总表</w:t>
      </w:r>
    </w:p>
    <w:tbl>
      <w:tblPr>
        <w:tblStyle w:val="9"/>
        <w:tblW w:w="929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78"/>
        <w:gridCol w:w="471"/>
        <w:gridCol w:w="843"/>
        <w:gridCol w:w="3505"/>
        <w:gridCol w:w="1755"/>
        <w:gridCol w:w="1839"/>
      </w:tblGrid>
      <w:tr w14:paraId="6192AF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8" w:hRule="atLeast"/>
          <w:tblHeader/>
          <w:jc w:val="center"/>
        </w:trPr>
        <w:tc>
          <w:tcPr>
            <w:tcW w:w="878" w:type="dxa"/>
            <w:tcBorders>
              <w:tl2br w:val="nil"/>
              <w:tr2bl w:val="nil"/>
            </w:tcBorders>
            <w:noWrap w:val="0"/>
            <w:vAlign w:val="top"/>
          </w:tcPr>
          <w:p w14:paraId="297772E9">
            <w:pPr>
              <w:keepNext w:val="0"/>
              <w:keepLines w:val="0"/>
              <w:pageBreakBefore w:val="0"/>
              <w:widowControl w:val="0"/>
              <w:kinsoku w:val="0"/>
              <w:wordWrap/>
              <w:overflowPunct/>
              <w:topLinePunct w:val="0"/>
              <w:autoSpaceDE w:val="0"/>
              <w:autoSpaceDN w:val="0"/>
              <w:bidi w:val="0"/>
              <w:adjustRightInd w:val="0"/>
              <w:snapToGrid w:val="0"/>
              <w:spacing w:before="247" w:line="225" w:lineRule="auto"/>
              <w:ind w:left="0"/>
              <w:jc w:val="center"/>
              <w:textAlignment w:val="baseline"/>
              <w:rPr>
                <w:rFonts w:hint="eastAsia" w:ascii="黑体" w:hAnsi="黑体" w:eastAsia="黑体" w:cs="黑体"/>
                <w:sz w:val="23"/>
                <w:szCs w:val="23"/>
              </w:rPr>
            </w:pPr>
            <w:r>
              <w:rPr>
                <w:rFonts w:hint="eastAsia" w:ascii="黑体" w:hAnsi="黑体" w:eastAsia="黑体" w:cs="黑体"/>
                <w:spacing w:val="6"/>
                <w:sz w:val="23"/>
                <w:szCs w:val="23"/>
              </w:rPr>
              <w:t>序号</w:t>
            </w:r>
          </w:p>
        </w:tc>
        <w:tc>
          <w:tcPr>
            <w:tcW w:w="1314" w:type="dxa"/>
            <w:gridSpan w:val="2"/>
            <w:tcBorders>
              <w:tl2br w:val="nil"/>
              <w:tr2bl w:val="nil"/>
            </w:tcBorders>
            <w:noWrap w:val="0"/>
            <w:vAlign w:val="top"/>
          </w:tcPr>
          <w:p w14:paraId="170161D7">
            <w:pPr>
              <w:keepNext w:val="0"/>
              <w:keepLines w:val="0"/>
              <w:pageBreakBefore w:val="0"/>
              <w:widowControl w:val="0"/>
              <w:wordWrap/>
              <w:overflowPunct/>
              <w:bidi w:val="0"/>
              <w:spacing w:before="247" w:line="226" w:lineRule="auto"/>
              <w:ind w:left="103"/>
              <w:jc w:val="center"/>
              <w:rPr>
                <w:rFonts w:hint="eastAsia" w:ascii="黑体" w:hAnsi="黑体" w:eastAsia="黑体" w:cs="黑体"/>
                <w:sz w:val="23"/>
                <w:szCs w:val="23"/>
              </w:rPr>
            </w:pPr>
            <w:r>
              <w:rPr>
                <w:rFonts w:hint="eastAsia" w:ascii="黑体" w:hAnsi="黑体" w:eastAsia="黑体" w:cs="黑体"/>
                <w:spacing w:val="9"/>
                <w:sz w:val="23"/>
                <w:szCs w:val="23"/>
              </w:rPr>
              <w:t>用</w:t>
            </w:r>
            <w:r>
              <w:rPr>
                <w:rFonts w:hint="eastAsia" w:ascii="黑体" w:hAnsi="黑体" w:eastAsia="黑体" w:cs="黑体"/>
                <w:spacing w:val="8"/>
                <w:sz w:val="23"/>
                <w:szCs w:val="23"/>
              </w:rPr>
              <w:t>地代码</w:t>
            </w:r>
          </w:p>
        </w:tc>
        <w:tc>
          <w:tcPr>
            <w:tcW w:w="3505" w:type="dxa"/>
            <w:tcBorders>
              <w:tl2br w:val="nil"/>
              <w:tr2bl w:val="nil"/>
            </w:tcBorders>
            <w:noWrap w:val="0"/>
            <w:vAlign w:val="top"/>
          </w:tcPr>
          <w:p w14:paraId="7AD1A96B">
            <w:pPr>
              <w:keepNext w:val="0"/>
              <w:keepLines w:val="0"/>
              <w:pageBreakBefore w:val="0"/>
              <w:widowControl w:val="0"/>
              <w:wordWrap/>
              <w:overflowPunct/>
              <w:bidi w:val="0"/>
              <w:spacing w:before="246" w:line="227" w:lineRule="auto"/>
              <w:ind w:left="106"/>
              <w:jc w:val="center"/>
              <w:rPr>
                <w:rFonts w:hint="eastAsia" w:ascii="黑体" w:hAnsi="黑体" w:eastAsia="黑体" w:cs="黑体"/>
                <w:sz w:val="23"/>
                <w:szCs w:val="23"/>
              </w:rPr>
            </w:pPr>
            <w:r>
              <w:rPr>
                <w:rFonts w:hint="eastAsia" w:ascii="黑体" w:hAnsi="黑体" w:eastAsia="黑体" w:cs="黑体"/>
                <w:spacing w:val="9"/>
                <w:sz w:val="23"/>
                <w:szCs w:val="23"/>
              </w:rPr>
              <w:t>用</w:t>
            </w:r>
            <w:r>
              <w:rPr>
                <w:rFonts w:hint="eastAsia" w:ascii="黑体" w:hAnsi="黑体" w:eastAsia="黑体" w:cs="黑体"/>
                <w:spacing w:val="8"/>
                <w:sz w:val="23"/>
                <w:szCs w:val="23"/>
              </w:rPr>
              <w:t>地分类</w:t>
            </w:r>
          </w:p>
        </w:tc>
        <w:tc>
          <w:tcPr>
            <w:tcW w:w="1755" w:type="dxa"/>
            <w:tcBorders>
              <w:tl2br w:val="nil"/>
              <w:tr2bl w:val="nil"/>
            </w:tcBorders>
            <w:noWrap w:val="0"/>
            <w:vAlign w:val="top"/>
          </w:tcPr>
          <w:p w14:paraId="527C2E5D">
            <w:pPr>
              <w:keepNext w:val="0"/>
              <w:keepLines w:val="0"/>
              <w:pageBreakBefore w:val="0"/>
              <w:widowControl w:val="0"/>
              <w:wordWrap/>
              <w:overflowPunct/>
              <w:bidi w:val="0"/>
              <w:spacing w:before="206" w:line="334" w:lineRule="exact"/>
              <w:ind w:left="112"/>
              <w:jc w:val="center"/>
              <w:rPr>
                <w:rFonts w:ascii="Arial" w:hAnsi="Arial" w:eastAsia="Arial" w:cs="Arial"/>
                <w:sz w:val="23"/>
                <w:szCs w:val="23"/>
              </w:rPr>
            </w:pPr>
            <w:r>
              <w:rPr>
                <w:rFonts w:hint="eastAsia" w:ascii="黑体" w:hAnsi="黑体" w:eastAsia="黑体" w:cs="黑体"/>
                <w:spacing w:val="8"/>
                <w:sz w:val="23"/>
                <w:szCs w:val="23"/>
              </w:rPr>
              <w:t>用地面积</w:t>
            </w:r>
            <w:r>
              <w:rPr>
                <w:rFonts w:ascii="Arial" w:hAnsi="Arial" w:eastAsia="Arial" w:cs="Arial"/>
                <w:b/>
                <w:bCs/>
                <w:spacing w:val="3"/>
                <w:position w:val="3"/>
                <w:sz w:val="23"/>
                <w:szCs w:val="23"/>
              </w:rPr>
              <w:t>(</w:t>
            </w:r>
            <w:r>
              <w:rPr>
                <w:rFonts w:ascii="Arial" w:hAnsi="Arial" w:eastAsia="Arial" w:cs="Arial"/>
                <w:b/>
                <w:bCs/>
                <w:position w:val="3"/>
                <w:sz w:val="23"/>
                <w:szCs w:val="23"/>
              </w:rPr>
              <w:t>h</w:t>
            </w:r>
            <w:r>
              <w:rPr>
                <w:rFonts w:ascii="宋体" w:hAnsi="宋体" w:eastAsia="宋体" w:cs="宋体"/>
                <w:spacing w:val="3"/>
                <w:position w:val="3"/>
                <w:sz w:val="23"/>
                <w:szCs w:val="23"/>
              </w:rPr>
              <w:t>㎡</w:t>
            </w:r>
            <w:r>
              <w:rPr>
                <w:rFonts w:ascii="Arial" w:hAnsi="Arial" w:eastAsia="Arial" w:cs="Arial"/>
                <w:b/>
                <w:bCs/>
                <w:spacing w:val="3"/>
                <w:position w:val="3"/>
                <w:sz w:val="23"/>
                <w:szCs w:val="23"/>
              </w:rPr>
              <w:t>)</w:t>
            </w:r>
          </w:p>
        </w:tc>
        <w:tc>
          <w:tcPr>
            <w:tcW w:w="1839" w:type="dxa"/>
            <w:tcBorders>
              <w:tl2br w:val="nil"/>
              <w:tr2bl w:val="nil"/>
            </w:tcBorders>
            <w:noWrap w:val="0"/>
            <w:vAlign w:val="top"/>
          </w:tcPr>
          <w:p w14:paraId="7D3B192F">
            <w:pPr>
              <w:keepNext w:val="0"/>
              <w:keepLines w:val="0"/>
              <w:pageBreakBefore w:val="0"/>
              <w:widowControl w:val="0"/>
              <w:wordWrap/>
              <w:overflowPunct/>
              <w:bidi w:val="0"/>
              <w:spacing w:before="90" w:line="262" w:lineRule="auto"/>
              <w:ind w:left="112" w:right="98" w:firstLine="40"/>
              <w:jc w:val="center"/>
              <w:rPr>
                <w:rFonts w:ascii="Arial" w:hAnsi="Arial" w:eastAsia="Arial" w:cs="Arial"/>
                <w:sz w:val="23"/>
                <w:szCs w:val="23"/>
              </w:rPr>
            </w:pPr>
            <w:r>
              <w:rPr>
                <w:rFonts w:hint="eastAsia" w:ascii="黑体" w:hAnsi="黑体" w:eastAsia="黑体" w:cs="黑体"/>
                <w:spacing w:val="8"/>
                <w:sz w:val="23"/>
                <w:szCs w:val="23"/>
              </w:rPr>
              <w:t>占规划建设用地比例</w:t>
            </w:r>
            <w:r>
              <w:rPr>
                <w:rFonts w:ascii="Arial" w:hAnsi="Arial" w:eastAsia="Arial" w:cs="Arial"/>
                <w:b/>
                <w:bCs/>
                <w:spacing w:val="6"/>
                <w:sz w:val="23"/>
                <w:szCs w:val="23"/>
              </w:rPr>
              <w:t>(%)</w:t>
            </w:r>
          </w:p>
        </w:tc>
      </w:tr>
      <w:tr w14:paraId="22DA97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tcBorders>
              <w:tl2br w:val="nil"/>
              <w:tr2bl w:val="nil"/>
            </w:tcBorders>
            <w:noWrap w:val="0"/>
            <w:vAlign w:val="top"/>
          </w:tcPr>
          <w:p w14:paraId="1AE9188E">
            <w:pPr>
              <w:keepNext w:val="0"/>
              <w:keepLines w:val="0"/>
              <w:pageBreakBefore w:val="0"/>
              <w:widowControl w:val="0"/>
              <w:kinsoku w:val="0"/>
              <w:wordWrap/>
              <w:overflowPunct/>
              <w:topLinePunct w:val="0"/>
              <w:autoSpaceDE w:val="0"/>
              <w:autoSpaceDN w:val="0"/>
              <w:bidi w:val="0"/>
              <w:adjustRightInd w:val="0"/>
              <w:snapToGrid w:val="0"/>
              <w:spacing w:before="111" w:line="203" w:lineRule="auto"/>
              <w:ind w:left="0"/>
              <w:jc w:val="center"/>
              <w:textAlignment w:val="baseline"/>
              <w:rPr>
                <w:rFonts w:ascii="Arial" w:hAnsi="Arial" w:eastAsia="Arial" w:cs="Arial"/>
                <w:sz w:val="23"/>
                <w:szCs w:val="23"/>
              </w:rPr>
            </w:pPr>
            <w:r>
              <w:rPr>
                <w:rFonts w:ascii="Arial" w:hAnsi="Arial" w:eastAsia="Arial" w:cs="Arial"/>
                <w:sz w:val="23"/>
                <w:szCs w:val="23"/>
              </w:rPr>
              <w:t>1</w:t>
            </w:r>
          </w:p>
        </w:tc>
        <w:tc>
          <w:tcPr>
            <w:tcW w:w="1314" w:type="dxa"/>
            <w:gridSpan w:val="2"/>
            <w:tcBorders>
              <w:tl2br w:val="nil"/>
              <w:tr2bl w:val="nil"/>
            </w:tcBorders>
            <w:noWrap w:val="0"/>
            <w:vAlign w:val="top"/>
          </w:tcPr>
          <w:p w14:paraId="0DDE33EB">
            <w:pPr>
              <w:keepNext w:val="0"/>
              <w:keepLines w:val="0"/>
              <w:pageBreakBefore w:val="0"/>
              <w:widowControl w:val="0"/>
              <w:wordWrap/>
              <w:overflowPunct/>
              <w:bidi w:val="0"/>
              <w:spacing w:before="111" w:line="203" w:lineRule="auto"/>
              <w:ind w:left="112"/>
              <w:rPr>
                <w:rFonts w:ascii="Arial" w:hAnsi="Arial" w:eastAsia="Arial" w:cs="Arial"/>
                <w:sz w:val="23"/>
                <w:szCs w:val="23"/>
              </w:rPr>
            </w:pPr>
            <w:r>
              <w:rPr>
                <w:rFonts w:ascii="Arial" w:hAnsi="Arial" w:eastAsia="Arial" w:cs="Arial"/>
                <w:sz w:val="23"/>
                <w:szCs w:val="23"/>
              </w:rPr>
              <w:t>R</w:t>
            </w:r>
          </w:p>
        </w:tc>
        <w:tc>
          <w:tcPr>
            <w:tcW w:w="3505" w:type="dxa"/>
            <w:tcBorders>
              <w:tl2br w:val="nil"/>
              <w:tr2bl w:val="nil"/>
            </w:tcBorders>
            <w:noWrap w:val="0"/>
            <w:vAlign w:val="top"/>
          </w:tcPr>
          <w:p w14:paraId="4C69DEAA">
            <w:pPr>
              <w:keepNext w:val="0"/>
              <w:keepLines w:val="0"/>
              <w:pageBreakBefore w:val="0"/>
              <w:widowControl w:val="0"/>
              <w:wordWrap/>
              <w:overflowPunct/>
              <w:bidi w:val="0"/>
              <w:spacing w:before="81" w:line="224" w:lineRule="auto"/>
              <w:ind w:left="101"/>
              <w:rPr>
                <w:rFonts w:ascii="仿宋" w:hAnsi="仿宋" w:eastAsia="仿宋" w:cs="仿宋"/>
                <w:sz w:val="23"/>
                <w:szCs w:val="23"/>
              </w:rPr>
            </w:pPr>
            <w:r>
              <w:rPr>
                <w:rFonts w:ascii="仿宋" w:hAnsi="仿宋" w:eastAsia="仿宋" w:cs="仿宋"/>
                <w:spacing w:val="9"/>
                <w:sz w:val="23"/>
                <w:szCs w:val="23"/>
              </w:rPr>
              <w:t>居住用地</w:t>
            </w:r>
          </w:p>
        </w:tc>
        <w:tc>
          <w:tcPr>
            <w:tcW w:w="1755" w:type="dxa"/>
            <w:tcBorders>
              <w:tl2br w:val="nil"/>
              <w:tr2bl w:val="nil"/>
            </w:tcBorders>
            <w:noWrap w:val="0"/>
            <w:vAlign w:val="top"/>
          </w:tcPr>
          <w:p w14:paraId="6B8F5E9C">
            <w:pPr>
              <w:keepNext w:val="0"/>
              <w:keepLines w:val="0"/>
              <w:pageBreakBefore w:val="0"/>
              <w:widowControl w:val="0"/>
              <w:wordWrap/>
              <w:overflowPunct/>
              <w:bidi w:val="0"/>
              <w:spacing w:before="111" w:line="203" w:lineRule="auto"/>
              <w:ind w:left="110"/>
              <w:rPr>
                <w:rFonts w:ascii="Arial" w:hAnsi="Arial" w:eastAsia="Arial" w:cs="Arial"/>
                <w:sz w:val="23"/>
                <w:szCs w:val="23"/>
              </w:rPr>
            </w:pPr>
            <w:r>
              <w:rPr>
                <w:rFonts w:ascii="Arial" w:hAnsi="Arial" w:eastAsia="Arial" w:cs="Arial"/>
                <w:spacing w:val="-3"/>
                <w:sz w:val="23"/>
                <w:szCs w:val="23"/>
              </w:rPr>
              <w:t>206.11</w:t>
            </w:r>
          </w:p>
        </w:tc>
        <w:tc>
          <w:tcPr>
            <w:tcW w:w="1839" w:type="dxa"/>
            <w:tcBorders>
              <w:tl2br w:val="nil"/>
              <w:tr2bl w:val="nil"/>
            </w:tcBorders>
            <w:noWrap w:val="0"/>
            <w:vAlign w:val="top"/>
          </w:tcPr>
          <w:p w14:paraId="655538FD">
            <w:pPr>
              <w:keepNext w:val="0"/>
              <w:keepLines w:val="0"/>
              <w:pageBreakBefore w:val="0"/>
              <w:widowControl w:val="0"/>
              <w:wordWrap/>
              <w:overflowPunct/>
              <w:bidi w:val="0"/>
              <w:spacing w:before="111" w:line="203" w:lineRule="auto"/>
              <w:ind w:left="131"/>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3.95</w:t>
            </w:r>
          </w:p>
        </w:tc>
      </w:tr>
      <w:tr w14:paraId="7184C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tcBorders>
              <w:tl2br w:val="nil"/>
              <w:tr2bl w:val="nil"/>
            </w:tcBorders>
            <w:noWrap w:val="0"/>
            <w:vAlign w:val="top"/>
          </w:tcPr>
          <w:p w14:paraId="5AAC9605">
            <w:pPr>
              <w:keepNext w:val="0"/>
              <w:keepLines w:val="0"/>
              <w:pageBreakBefore w:val="0"/>
              <w:widowControl w:val="0"/>
              <w:kinsoku w:val="0"/>
              <w:wordWrap/>
              <w:overflowPunct/>
              <w:topLinePunct w:val="0"/>
              <w:autoSpaceDE w:val="0"/>
              <w:autoSpaceDN w:val="0"/>
              <w:bidi w:val="0"/>
              <w:adjustRightInd w:val="0"/>
              <w:snapToGrid w:val="0"/>
              <w:spacing w:before="112" w:line="203" w:lineRule="auto"/>
              <w:ind w:left="0"/>
              <w:jc w:val="center"/>
              <w:textAlignment w:val="baseline"/>
              <w:rPr>
                <w:rFonts w:ascii="Arial" w:hAnsi="Arial" w:eastAsia="Arial" w:cs="Arial"/>
                <w:sz w:val="23"/>
                <w:szCs w:val="23"/>
              </w:rPr>
            </w:pPr>
            <w:r>
              <w:rPr>
                <w:rFonts w:ascii="Arial" w:hAnsi="Arial" w:eastAsia="Arial" w:cs="Arial"/>
                <w:sz w:val="23"/>
                <w:szCs w:val="23"/>
              </w:rPr>
              <w:t>2</w:t>
            </w:r>
          </w:p>
        </w:tc>
        <w:tc>
          <w:tcPr>
            <w:tcW w:w="1314" w:type="dxa"/>
            <w:gridSpan w:val="2"/>
            <w:tcBorders>
              <w:tl2br w:val="nil"/>
              <w:tr2bl w:val="nil"/>
            </w:tcBorders>
            <w:noWrap w:val="0"/>
            <w:vAlign w:val="top"/>
          </w:tcPr>
          <w:p w14:paraId="5F05BD07">
            <w:pPr>
              <w:keepNext w:val="0"/>
              <w:keepLines w:val="0"/>
              <w:pageBreakBefore w:val="0"/>
              <w:widowControl w:val="0"/>
              <w:wordWrap/>
              <w:overflowPunct/>
              <w:bidi w:val="0"/>
              <w:spacing w:before="112" w:line="203" w:lineRule="auto"/>
              <w:ind w:left="111"/>
              <w:rPr>
                <w:rFonts w:ascii="Arial" w:hAnsi="Arial" w:eastAsia="Arial" w:cs="Arial"/>
                <w:sz w:val="23"/>
                <w:szCs w:val="23"/>
              </w:rPr>
            </w:pPr>
            <w:r>
              <w:rPr>
                <w:rFonts w:ascii="Arial" w:hAnsi="Arial" w:eastAsia="Arial" w:cs="Arial"/>
                <w:spacing w:val="-2"/>
                <w:sz w:val="23"/>
                <w:szCs w:val="23"/>
              </w:rPr>
              <w:t>B</w:t>
            </w:r>
            <w:r>
              <w:rPr>
                <w:rFonts w:ascii="Arial" w:hAnsi="Arial" w:eastAsia="Arial" w:cs="Arial"/>
                <w:spacing w:val="-1"/>
                <w:sz w:val="23"/>
                <w:szCs w:val="23"/>
              </w:rPr>
              <w:t>R</w:t>
            </w:r>
          </w:p>
        </w:tc>
        <w:tc>
          <w:tcPr>
            <w:tcW w:w="3505" w:type="dxa"/>
            <w:tcBorders>
              <w:tl2br w:val="nil"/>
              <w:tr2bl w:val="nil"/>
            </w:tcBorders>
            <w:noWrap w:val="0"/>
            <w:vAlign w:val="top"/>
          </w:tcPr>
          <w:p w14:paraId="60B3FE8E">
            <w:pPr>
              <w:keepNext w:val="0"/>
              <w:keepLines w:val="0"/>
              <w:pageBreakBefore w:val="0"/>
              <w:widowControl w:val="0"/>
              <w:wordWrap/>
              <w:overflowPunct/>
              <w:bidi w:val="0"/>
              <w:spacing w:before="82" w:line="224" w:lineRule="auto"/>
              <w:ind w:left="101"/>
              <w:rPr>
                <w:rFonts w:ascii="仿宋" w:hAnsi="仿宋" w:eastAsia="仿宋" w:cs="仿宋"/>
                <w:sz w:val="23"/>
                <w:szCs w:val="23"/>
              </w:rPr>
            </w:pPr>
            <w:r>
              <w:rPr>
                <w:rFonts w:ascii="仿宋" w:hAnsi="仿宋" w:eastAsia="仿宋" w:cs="仿宋"/>
                <w:spacing w:val="13"/>
                <w:sz w:val="23"/>
                <w:szCs w:val="23"/>
              </w:rPr>
              <w:t>居</w:t>
            </w:r>
            <w:r>
              <w:rPr>
                <w:rFonts w:ascii="仿宋" w:hAnsi="仿宋" w:eastAsia="仿宋" w:cs="仿宋"/>
                <w:spacing w:val="9"/>
                <w:sz w:val="23"/>
                <w:szCs w:val="23"/>
              </w:rPr>
              <w:t>住商业混合用地</w:t>
            </w:r>
          </w:p>
        </w:tc>
        <w:tc>
          <w:tcPr>
            <w:tcW w:w="1755" w:type="dxa"/>
            <w:tcBorders>
              <w:tl2br w:val="nil"/>
              <w:tr2bl w:val="nil"/>
            </w:tcBorders>
            <w:noWrap w:val="0"/>
            <w:vAlign w:val="top"/>
          </w:tcPr>
          <w:p w14:paraId="2A9F5C88">
            <w:pPr>
              <w:keepNext w:val="0"/>
              <w:keepLines w:val="0"/>
              <w:pageBreakBefore w:val="0"/>
              <w:widowControl w:val="0"/>
              <w:wordWrap/>
              <w:overflowPunct/>
              <w:bidi w:val="0"/>
              <w:spacing w:before="112" w:line="203" w:lineRule="auto"/>
              <w:ind w:left="110"/>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3"/>
                <w:sz w:val="23"/>
                <w:szCs w:val="23"/>
              </w:rPr>
              <w:t>0.31</w:t>
            </w:r>
          </w:p>
        </w:tc>
        <w:tc>
          <w:tcPr>
            <w:tcW w:w="1839" w:type="dxa"/>
            <w:tcBorders>
              <w:tl2br w:val="nil"/>
              <w:tr2bl w:val="nil"/>
            </w:tcBorders>
            <w:noWrap w:val="0"/>
            <w:vAlign w:val="top"/>
          </w:tcPr>
          <w:p w14:paraId="02E1F0A3">
            <w:pPr>
              <w:keepNext w:val="0"/>
              <w:keepLines w:val="0"/>
              <w:pageBreakBefore w:val="0"/>
              <w:widowControl w:val="0"/>
              <w:wordWrap/>
              <w:overflowPunct/>
              <w:bidi w:val="0"/>
              <w:spacing w:before="111" w:line="206" w:lineRule="auto"/>
              <w:ind w:left="131"/>
              <w:rPr>
                <w:rFonts w:ascii="Arial" w:hAnsi="Arial" w:eastAsia="Arial" w:cs="Arial"/>
                <w:sz w:val="23"/>
                <w:szCs w:val="23"/>
              </w:rPr>
            </w:pPr>
            <w:r>
              <w:rPr>
                <w:rFonts w:ascii="Arial" w:hAnsi="Arial" w:eastAsia="Arial" w:cs="Arial"/>
                <w:spacing w:val="-2"/>
                <w:sz w:val="23"/>
                <w:szCs w:val="23"/>
              </w:rPr>
              <w:t>1</w:t>
            </w:r>
            <w:r>
              <w:rPr>
                <w:rFonts w:ascii="Arial" w:hAnsi="Arial" w:eastAsia="Arial" w:cs="Arial"/>
                <w:spacing w:val="-1"/>
                <w:sz w:val="23"/>
                <w:szCs w:val="23"/>
              </w:rPr>
              <w:t>.37</w:t>
            </w:r>
          </w:p>
        </w:tc>
      </w:tr>
      <w:tr w14:paraId="1C752F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tcBorders>
              <w:tl2br w:val="nil"/>
              <w:tr2bl w:val="nil"/>
            </w:tcBorders>
            <w:noWrap w:val="0"/>
            <w:vAlign w:val="top"/>
          </w:tcPr>
          <w:p w14:paraId="3B32B4DB">
            <w:pPr>
              <w:keepNext w:val="0"/>
              <w:keepLines w:val="0"/>
              <w:pageBreakBefore w:val="0"/>
              <w:widowControl w:val="0"/>
              <w:kinsoku w:val="0"/>
              <w:wordWrap/>
              <w:overflowPunct/>
              <w:topLinePunct w:val="0"/>
              <w:autoSpaceDE w:val="0"/>
              <w:autoSpaceDN w:val="0"/>
              <w:bidi w:val="0"/>
              <w:adjustRightInd w:val="0"/>
              <w:snapToGrid w:val="0"/>
              <w:spacing w:before="113" w:line="203" w:lineRule="auto"/>
              <w:ind w:left="0"/>
              <w:jc w:val="center"/>
              <w:textAlignment w:val="baseline"/>
              <w:rPr>
                <w:rFonts w:ascii="Arial" w:hAnsi="Arial" w:eastAsia="Arial" w:cs="Arial"/>
                <w:sz w:val="23"/>
                <w:szCs w:val="23"/>
              </w:rPr>
            </w:pPr>
            <w:r>
              <w:rPr>
                <w:rFonts w:ascii="Arial" w:hAnsi="Arial" w:eastAsia="Arial" w:cs="Arial"/>
                <w:sz w:val="23"/>
                <w:szCs w:val="23"/>
              </w:rPr>
              <w:t>3</w:t>
            </w:r>
          </w:p>
        </w:tc>
        <w:tc>
          <w:tcPr>
            <w:tcW w:w="1314" w:type="dxa"/>
            <w:gridSpan w:val="2"/>
            <w:tcBorders>
              <w:tl2br w:val="nil"/>
              <w:tr2bl w:val="nil"/>
            </w:tcBorders>
            <w:noWrap w:val="0"/>
            <w:vAlign w:val="top"/>
          </w:tcPr>
          <w:p w14:paraId="0AF6F310">
            <w:pPr>
              <w:keepNext w:val="0"/>
              <w:keepLines w:val="0"/>
              <w:pageBreakBefore w:val="0"/>
              <w:widowControl w:val="0"/>
              <w:wordWrap/>
              <w:overflowPunct/>
              <w:bidi w:val="0"/>
              <w:spacing w:before="113" w:line="203" w:lineRule="auto"/>
              <w:ind w:left="93"/>
              <w:rPr>
                <w:rFonts w:ascii="Arial" w:hAnsi="Arial" w:eastAsia="Arial" w:cs="Arial"/>
                <w:sz w:val="23"/>
                <w:szCs w:val="23"/>
              </w:rPr>
            </w:pPr>
            <w:r>
              <w:rPr>
                <w:rFonts w:ascii="Arial" w:hAnsi="Arial" w:eastAsia="Arial" w:cs="Arial"/>
                <w:spacing w:val="6"/>
                <w:sz w:val="23"/>
                <w:szCs w:val="23"/>
              </w:rPr>
              <w:t>A</w:t>
            </w:r>
          </w:p>
        </w:tc>
        <w:tc>
          <w:tcPr>
            <w:tcW w:w="3505" w:type="dxa"/>
            <w:tcBorders>
              <w:tl2br w:val="nil"/>
              <w:tr2bl w:val="nil"/>
            </w:tcBorders>
            <w:noWrap w:val="0"/>
            <w:vAlign w:val="top"/>
          </w:tcPr>
          <w:p w14:paraId="1886BE4A">
            <w:pPr>
              <w:keepNext w:val="0"/>
              <w:keepLines w:val="0"/>
              <w:pageBreakBefore w:val="0"/>
              <w:widowControl w:val="0"/>
              <w:wordWrap/>
              <w:overflowPunct/>
              <w:bidi w:val="0"/>
              <w:spacing w:before="83" w:line="225" w:lineRule="auto"/>
              <w:ind w:left="105"/>
              <w:rPr>
                <w:rFonts w:ascii="仿宋" w:hAnsi="仿宋" w:eastAsia="仿宋" w:cs="仿宋"/>
                <w:sz w:val="23"/>
                <w:szCs w:val="23"/>
              </w:rPr>
            </w:pPr>
            <w:r>
              <w:rPr>
                <w:rFonts w:ascii="仿宋" w:hAnsi="仿宋" w:eastAsia="仿宋" w:cs="仿宋"/>
                <w:spacing w:val="13"/>
                <w:sz w:val="23"/>
                <w:szCs w:val="23"/>
              </w:rPr>
              <w:t>公</w:t>
            </w:r>
            <w:r>
              <w:rPr>
                <w:rFonts w:ascii="仿宋" w:hAnsi="仿宋" w:eastAsia="仿宋" w:cs="仿宋"/>
                <w:spacing w:val="9"/>
                <w:sz w:val="23"/>
                <w:szCs w:val="23"/>
              </w:rPr>
              <w:t>共管理与公共服务设施用地</w:t>
            </w:r>
          </w:p>
        </w:tc>
        <w:tc>
          <w:tcPr>
            <w:tcW w:w="1755" w:type="dxa"/>
            <w:tcBorders>
              <w:tl2br w:val="nil"/>
              <w:tr2bl w:val="nil"/>
            </w:tcBorders>
            <w:noWrap w:val="0"/>
            <w:vAlign w:val="top"/>
          </w:tcPr>
          <w:p w14:paraId="6D3EA5C2">
            <w:pPr>
              <w:keepNext w:val="0"/>
              <w:keepLines w:val="0"/>
              <w:pageBreakBefore w:val="0"/>
              <w:widowControl w:val="0"/>
              <w:wordWrap/>
              <w:overflowPunct/>
              <w:bidi w:val="0"/>
              <w:spacing w:before="113" w:line="203" w:lineRule="auto"/>
              <w:ind w:left="114"/>
              <w:rPr>
                <w:rFonts w:ascii="Arial" w:hAnsi="Arial" w:eastAsia="Arial" w:cs="Arial"/>
                <w:sz w:val="23"/>
                <w:szCs w:val="23"/>
              </w:rPr>
            </w:pPr>
            <w:r>
              <w:rPr>
                <w:rFonts w:ascii="Arial" w:hAnsi="Arial" w:eastAsia="Arial" w:cs="Arial"/>
                <w:spacing w:val="3"/>
                <w:sz w:val="23"/>
                <w:szCs w:val="23"/>
              </w:rPr>
              <w:t>78.9</w:t>
            </w:r>
            <w:r>
              <w:rPr>
                <w:rFonts w:ascii="Arial" w:hAnsi="Arial" w:eastAsia="Arial" w:cs="Arial"/>
                <w:spacing w:val="2"/>
                <w:sz w:val="23"/>
                <w:szCs w:val="23"/>
              </w:rPr>
              <w:t>7</w:t>
            </w:r>
          </w:p>
        </w:tc>
        <w:tc>
          <w:tcPr>
            <w:tcW w:w="1839" w:type="dxa"/>
            <w:tcBorders>
              <w:tl2br w:val="nil"/>
              <w:tr2bl w:val="nil"/>
            </w:tcBorders>
            <w:noWrap w:val="0"/>
            <w:vAlign w:val="top"/>
          </w:tcPr>
          <w:p w14:paraId="43A3467D">
            <w:pPr>
              <w:keepNext w:val="0"/>
              <w:keepLines w:val="0"/>
              <w:pageBreakBefore w:val="0"/>
              <w:widowControl w:val="0"/>
              <w:wordWrap/>
              <w:overflowPunct/>
              <w:bidi w:val="0"/>
              <w:spacing w:before="113" w:line="203" w:lineRule="auto"/>
              <w:ind w:left="115"/>
              <w:rPr>
                <w:rFonts w:ascii="Arial" w:hAnsi="Arial" w:eastAsia="Arial" w:cs="Arial"/>
                <w:sz w:val="23"/>
                <w:szCs w:val="23"/>
              </w:rPr>
            </w:pPr>
            <w:r>
              <w:rPr>
                <w:rFonts w:ascii="Arial" w:hAnsi="Arial" w:eastAsia="Arial" w:cs="Arial"/>
                <w:spacing w:val="3"/>
                <w:sz w:val="23"/>
                <w:szCs w:val="23"/>
              </w:rPr>
              <w:t>5.3</w:t>
            </w:r>
            <w:r>
              <w:rPr>
                <w:rFonts w:ascii="Arial" w:hAnsi="Arial" w:eastAsia="Arial" w:cs="Arial"/>
                <w:spacing w:val="2"/>
                <w:sz w:val="23"/>
                <w:szCs w:val="23"/>
              </w:rPr>
              <w:t>5</w:t>
            </w:r>
          </w:p>
        </w:tc>
      </w:tr>
      <w:tr w14:paraId="67021C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tcBorders>
              <w:tl2br w:val="nil"/>
              <w:tr2bl w:val="nil"/>
            </w:tcBorders>
            <w:noWrap w:val="0"/>
            <w:vAlign w:val="top"/>
          </w:tcPr>
          <w:p w14:paraId="6D4234F7">
            <w:pPr>
              <w:keepNext w:val="0"/>
              <w:keepLines w:val="0"/>
              <w:pageBreakBefore w:val="0"/>
              <w:widowControl w:val="0"/>
              <w:kinsoku w:val="0"/>
              <w:wordWrap/>
              <w:overflowPunct/>
              <w:topLinePunct w:val="0"/>
              <w:autoSpaceDE w:val="0"/>
              <w:autoSpaceDN w:val="0"/>
              <w:bidi w:val="0"/>
              <w:adjustRightInd w:val="0"/>
              <w:snapToGrid w:val="0"/>
              <w:spacing w:before="111" w:line="203" w:lineRule="auto"/>
              <w:ind w:left="0"/>
              <w:jc w:val="center"/>
              <w:textAlignment w:val="baseline"/>
              <w:rPr>
                <w:rFonts w:ascii="Arial" w:hAnsi="Arial" w:eastAsia="Arial" w:cs="Arial"/>
                <w:sz w:val="23"/>
                <w:szCs w:val="23"/>
              </w:rPr>
            </w:pPr>
            <w:r>
              <w:rPr>
                <w:rFonts w:ascii="Arial" w:hAnsi="Arial" w:eastAsia="Arial" w:cs="Arial"/>
                <w:spacing w:val="2"/>
                <w:sz w:val="23"/>
                <w:szCs w:val="23"/>
              </w:rPr>
              <w:t>4</w:t>
            </w:r>
          </w:p>
        </w:tc>
        <w:tc>
          <w:tcPr>
            <w:tcW w:w="1314" w:type="dxa"/>
            <w:gridSpan w:val="2"/>
            <w:tcBorders>
              <w:tl2br w:val="nil"/>
              <w:tr2bl w:val="nil"/>
            </w:tcBorders>
            <w:noWrap w:val="0"/>
            <w:vAlign w:val="top"/>
          </w:tcPr>
          <w:p w14:paraId="64E30DA1">
            <w:pPr>
              <w:keepNext w:val="0"/>
              <w:keepLines w:val="0"/>
              <w:pageBreakBefore w:val="0"/>
              <w:widowControl w:val="0"/>
              <w:wordWrap/>
              <w:overflowPunct/>
              <w:bidi w:val="0"/>
              <w:spacing w:before="111" w:line="203" w:lineRule="auto"/>
              <w:ind w:left="111"/>
              <w:rPr>
                <w:rFonts w:ascii="Arial" w:hAnsi="Arial" w:eastAsia="Arial" w:cs="Arial"/>
                <w:sz w:val="23"/>
                <w:szCs w:val="23"/>
              </w:rPr>
            </w:pPr>
            <w:r>
              <w:rPr>
                <w:rFonts w:ascii="Arial" w:hAnsi="Arial" w:eastAsia="Arial" w:cs="Arial"/>
                <w:sz w:val="23"/>
                <w:szCs w:val="23"/>
              </w:rPr>
              <w:t>B</w:t>
            </w:r>
          </w:p>
        </w:tc>
        <w:tc>
          <w:tcPr>
            <w:tcW w:w="3505" w:type="dxa"/>
            <w:tcBorders>
              <w:tl2br w:val="nil"/>
              <w:tr2bl w:val="nil"/>
            </w:tcBorders>
            <w:noWrap w:val="0"/>
            <w:vAlign w:val="top"/>
          </w:tcPr>
          <w:p w14:paraId="0CE73BA4">
            <w:pPr>
              <w:keepNext w:val="0"/>
              <w:keepLines w:val="0"/>
              <w:pageBreakBefore w:val="0"/>
              <w:widowControl w:val="0"/>
              <w:wordWrap/>
              <w:overflowPunct/>
              <w:bidi w:val="0"/>
              <w:spacing w:before="81" w:line="225" w:lineRule="auto"/>
              <w:ind w:left="117"/>
              <w:rPr>
                <w:rFonts w:ascii="仿宋" w:hAnsi="仿宋" w:eastAsia="仿宋" w:cs="仿宋"/>
                <w:sz w:val="23"/>
                <w:szCs w:val="23"/>
              </w:rPr>
            </w:pPr>
            <w:r>
              <w:rPr>
                <w:rFonts w:ascii="仿宋" w:hAnsi="仿宋" w:eastAsia="仿宋" w:cs="仿宋"/>
                <w:spacing w:val="8"/>
                <w:sz w:val="23"/>
                <w:szCs w:val="23"/>
              </w:rPr>
              <w:t>商业服务业设施用</w:t>
            </w:r>
            <w:r>
              <w:rPr>
                <w:rFonts w:ascii="仿宋" w:hAnsi="仿宋" w:eastAsia="仿宋" w:cs="仿宋"/>
                <w:spacing w:val="6"/>
                <w:sz w:val="23"/>
                <w:szCs w:val="23"/>
              </w:rPr>
              <w:t>地</w:t>
            </w:r>
          </w:p>
        </w:tc>
        <w:tc>
          <w:tcPr>
            <w:tcW w:w="1755" w:type="dxa"/>
            <w:tcBorders>
              <w:tl2br w:val="nil"/>
              <w:tr2bl w:val="nil"/>
            </w:tcBorders>
            <w:noWrap w:val="0"/>
            <w:vAlign w:val="top"/>
          </w:tcPr>
          <w:p w14:paraId="144495E1">
            <w:pPr>
              <w:keepNext w:val="0"/>
              <w:keepLines w:val="0"/>
              <w:pageBreakBefore w:val="0"/>
              <w:widowControl w:val="0"/>
              <w:wordWrap/>
              <w:overflowPunct/>
              <w:bidi w:val="0"/>
              <w:spacing w:before="111" w:line="203" w:lineRule="auto"/>
              <w:ind w:left="113"/>
              <w:rPr>
                <w:rFonts w:ascii="Arial" w:hAnsi="Arial" w:eastAsia="Arial" w:cs="Arial"/>
                <w:sz w:val="23"/>
                <w:szCs w:val="23"/>
              </w:rPr>
            </w:pPr>
            <w:r>
              <w:rPr>
                <w:rFonts w:ascii="Arial" w:hAnsi="Arial" w:eastAsia="Arial" w:cs="Arial"/>
                <w:spacing w:val="3"/>
                <w:sz w:val="23"/>
                <w:szCs w:val="23"/>
              </w:rPr>
              <w:t>50.72</w:t>
            </w:r>
          </w:p>
        </w:tc>
        <w:tc>
          <w:tcPr>
            <w:tcW w:w="1839" w:type="dxa"/>
            <w:tcBorders>
              <w:tl2br w:val="nil"/>
              <w:tr2bl w:val="nil"/>
            </w:tcBorders>
            <w:noWrap w:val="0"/>
            <w:vAlign w:val="top"/>
          </w:tcPr>
          <w:p w14:paraId="2EF24BC3">
            <w:pPr>
              <w:keepNext w:val="0"/>
              <w:keepLines w:val="0"/>
              <w:pageBreakBefore w:val="0"/>
              <w:widowControl w:val="0"/>
              <w:wordWrap/>
              <w:overflowPunct/>
              <w:bidi w:val="0"/>
              <w:spacing w:before="111" w:line="203" w:lineRule="auto"/>
              <w:ind w:left="115"/>
              <w:rPr>
                <w:rFonts w:ascii="Arial" w:hAnsi="Arial" w:eastAsia="Arial" w:cs="Arial"/>
                <w:sz w:val="23"/>
                <w:szCs w:val="23"/>
              </w:rPr>
            </w:pPr>
            <w:r>
              <w:rPr>
                <w:rFonts w:ascii="Arial" w:hAnsi="Arial" w:eastAsia="Arial" w:cs="Arial"/>
                <w:spacing w:val="3"/>
                <w:sz w:val="23"/>
                <w:szCs w:val="23"/>
              </w:rPr>
              <w:t>3.4</w:t>
            </w:r>
            <w:r>
              <w:rPr>
                <w:rFonts w:ascii="Arial" w:hAnsi="Arial" w:eastAsia="Arial" w:cs="Arial"/>
                <w:spacing w:val="2"/>
                <w:sz w:val="23"/>
                <w:szCs w:val="23"/>
              </w:rPr>
              <w:t>3</w:t>
            </w:r>
          </w:p>
        </w:tc>
      </w:tr>
      <w:tr w14:paraId="10E184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878" w:type="dxa"/>
            <w:vMerge w:val="restart"/>
            <w:tcBorders>
              <w:tl2br w:val="nil"/>
              <w:tr2bl w:val="nil"/>
            </w:tcBorders>
            <w:noWrap w:val="0"/>
            <w:vAlign w:val="top"/>
          </w:tcPr>
          <w:p w14:paraId="6B134E8E">
            <w:pPr>
              <w:keepNext w:val="0"/>
              <w:keepLines w:val="0"/>
              <w:pageBreakBefore w:val="0"/>
              <w:widowControl w:val="0"/>
              <w:kinsoku w:val="0"/>
              <w:wordWrap/>
              <w:overflowPunct/>
              <w:topLinePunct w:val="0"/>
              <w:autoSpaceDE w:val="0"/>
              <w:autoSpaceDN w:val="0"/>
              <w:bidi w:val="0"/>
              <w:adjustRightInd w:val="0"/>
              <w:snapToGrid w:val="0"/>
              <w:spacing w:line="346" w:lineRule="auto"/>
              <w:ind w:left="0"/>
              <w:jc w:val="center"/>
              <w:textAlignment w:val="baseline"/>
              <w:rPr>
                <w:rFonts w:ascii="Arial"/>
                <w:sz w:val="21"/>
              </w:rPr>
            </w:pPr>
          </w:p>
          <w:p w14:paraId="184CABC9">
            <w:pPr>
              <w:keepNext w:val="0"/>
              <w:keepLines w:val="0"/>
              <w:pageBreakBefore w:val="0"/>
              <w:widowControl w:val="0"/>
              <w:kinsoku w:val="0"/>
              <w:wordWrap/>
              <w:overflowPunct/>
              <w:topLinePunct w:val="0"/>
              <w:autoSpaceDE w:val="0"/>
              <w:autoSpaceDN w:val="0"/>
              <w:bidi w:val="0"/>
              <w:adjustRightInd w:val="0"/>
              <w:snapToGrid w:val="0"/>
              <w:spacing w:line="347" w:lineRule="auto"/>
              <w:ind w:left="0"/>
              <w:jc w:val="center"/>
              <w:textAlignment w:val="baseline"/>
              <w:rPr>
                <w:rFonts w:ascii="Arial"/>
                <w:sz w:val="21"/>
              </w:rPr>
            </w:pPr>
          </w:p>
          <w:p w14:paraId="215904E3">
            <w:pPr>
              <w:keepNext w:val="0"/>
              <w:keepLines w:val="0"/>
              <w:pageBreakBefore w:val="0"/>
              <w:widowControl w:val="0"/>
              <w:kinsoku w:val="0"/>
              <w:wordWrap/>
              <w:overflowPunct/>
              <w:topLinePunct w:val="0"/>
              <w:autoSpaceDE w:val="0"/>
              <w:autoSpaceDN w:val="0"/>
              <w:bidi w:val="0"/>
              <w:adjustRightInd w:val="0"/>
              <w:snapToGrid w:val="0"/>
              <w:spacing w:before="66" w:line="200" w:lineRule="auto"/>
              <w:ind w:left="0"/>
              <w:jc w:val="center"/>
              <w:textAlignment w:val="baseline"/>
              <w:rPr>
                <w:rFonts w:ascii="Arial" w:hAnsi="Arial" w:eastAsia="Arial" w:cs="Arial"/>
                <w:sz w:val="23"/>
                <w:szCs w:val="23"/>
              </w:rPr>
            </w:pPr>
            <w:r>
              <w:rPr>
                <w:rFonts w:ascii="Arial" w:hAnsi="Arial" w:eastAsia="Arial" w:cs="Arial"/>
                <w:sz w:val="23"/>
                <w:szCs w:val="23"/>
              </w:rPr>
              <w:t>5</w:t>
            </w:r>
          </w:p>
        </w:tc>
        <w:tc>
          <w:tcPr>
            <w:tcW w:w="1314" w:type="dxa"/>
            <w:gridSpan w:val="2"/>
            <w:tcBorders>
              <w:tl2br w:val="nil"/>
              <w:tr2bl w:val="nil"/>
            </w:tcBorders>
            <w:noWrap w:val="0"/>
            <w:vAlign w:val="top"/>
          </w:tcPr>
          <w:p w14:paraId="64771B44">
            <w:pPr>
              <w:keepNext w:val="0"/>
              <w:keepLines w:val="0"/>
              <w:pageBreakBefore w:val="0"/>
              <w:widowControl w:val="0"/>
              <w:wordWrap/>
              <w:overflowPunct/>
              <w:bidi w:val="0"/>
              <w:spacing w:before="112" w:line="203" w:lineRule="auto"/>
              <w:ind w:left="111"/>
              <w:rPr>
                <w:rFonts w:ascii="Arial" w:hAnsi="Arial" w:eastAsia="Arial" w:cs="Arial"/>
                <w:sz w:val="23"/>
                <w:szCs w:val="23"/>
              </w:rPr>
            </w:pPr>
            <w:r>
              <w:rPr>
                <w:rFonts w:ascii="Arial" w:hAnsi="Arial" w:eastAsia="Arial" w:cs="Arial"/>
                <w:sz w:val="23"/>
                <w:szCs w:val="23"/>
              </w:rPr>
              <w:t>M</w:t>
            </w:r>
          </w:p>
        </w:tc>
        <w:tc>
          <w:tcPr>
            <w:tcW w:w="3505" w:type="dxa"/>
            <w:tcBorders>
              <w:tl2br w:val="nil"/>
              <w:tr2bl w:val="nil"/>
            </w:tcBorders>
            <w:noWrap w:val="0"/>
            <w:vAlign w:val="top"/>
          </w:tcPr>
          <w:p w14:paraId="4F8B5B88">
            <w:pPr>
              <w:keepNext w:val="0"/>
              <w:keepLines w:val="0"/>
              <w:pageBreakBefore w:val="0"/>
              <w:widowControl w:val="0"/>
              <w:wordWrap/>
              <w:overflowPunct/>
              <w:bidi w:val="0"/>
              <w:spacing w:before="82" w:line="227" w:lineRule="auto"/>
              <w:ind w:left="112"/>
              <w:rPr>
                <w:rFonts w:ascii="仿宋" w:hAnsi="仿宋" w:eastAsia="仿宋" w:cs="仿宋"/>
                <w:sz w:val="23"/>
                <w:szCs w:val="23"/>
              </w:rPr>
            </w:pPr>
            <w:r>
              <w:rPr>
                <w:rFonts w:ascii="仿宋" w:hAnsi="仿宋" w:eastAsia="仿宋" w:cs="仿宋"/>
                <w:spacing w:val="6"/>
                <w:sz w:val="23"/>
                <w:szCs w:val="23"/>
              </w:rPr>
              <w:t>工业用地</w:t>
            </w:r>
          </w:p>
        </w:tc>
        <w:tc>
          <w:tcPr>
            <w:tcW w:w="1755" w:type="dxa"/>
            <w:tcBorders>
              <w:tl2br w:val="nil"/>
              <w:tr2bl w:val="nil"/>
            </w:tcBorders>
            <w:noWrap w:val="0"/>
            <w:vAlign w:val="top"/>
          </w:tcPr>
          <w:p w14:paraId="3DDDC3A9">
            <w:pPr>
              <w:keepNext w:val="0"/>
              <w:keepLines w:val="0"/>
              <w:pageBreakBefore w:val="0"/>
              <w:widowControl w:val="0"/>
              <w:wordWrap/>
              <w:overflowPunct/>
              <w:bidi w:val="0"/>
              <w:spacing w:before="112" w:line="203" w:lineRule="auto"/>
              <w:ind w:left="113"/>
              <w:rPr>
                <w:rFonts w:ascii="Arial" w:hAnsi="Arial" w:eastAsia="Arial" w:cs="Arial"/>
                <w:sz w:val="23"/>
                <w:szCs w:val="23"/>
              </w:rPr>
            </w:pPr>
            <w:r>
              <w:rPr>
                <w:rFonts w:ascii="Arial" w:hAnsi="Arial" w:eastAsia="Arial" w:cs="Arial"/>
                <w:spacing w:val="4"/>
                <w:sz w:val="23"/>
                <w:szCs w:val="23"/>
              </w:rPr>
              <w:t>5</w:t>
            </w:r>
            <w:r>
              <w:rPr>
                <w:rFonts w:ascii="Arial" w:hAnsi="Arial" w:eastAsia="Arial" w:cs="Arial"/>
                <w:spacing w:val="3"/>
                <w:sz w:val="23"/>
                <w:szCs w:val="23"/>
              </w:rPr>
              <w:t>38.78</w:t>
            </w:r>
          </w:p>
        </w:tc>
        <w:tc>
          <w:tcPr>
            <w:tcW w:w="1839" w:type="dxa"/>
            <w:tcBorders>
              <w:tl2br w:val="nil"/>
              <w:tr2bl w:val="nil"/>
            </w:tcBorders>
            <w:noWrap w:val="0"/>
            <w:vAlign w:val="top"/>
          </w:tcPr>
          <w:p w14:paraId="619BD1A5">
            <w:pPr>
              <w:keepNext w:val="0"/>
              <w:keepLines w:val="0"/>
              <w:pageBreakBefore w:val="0"/>
              <w:widowControl w:val="0"/>
              <w:wordWrap/>
              <w:overflowPunct/>
              <w:bidi w:val="0"/>
              <w:spacing w:before="112" w:line="203" w:lineRule="auto"/>
              <w:ind w:left="115"/>
              <w:rPr>
                <w:rFonts w:ascii="Arial" w:hAnsi="Arial" w:eastAsia="Arial" w:cs="Arial"/>
                <w:sz w:val="23"/>
                <w:szCs w:val="23"/>
              </w:rPr>
            </w:pPr>
            <w:r>
              <w:rPr>
                <w:rFonts w:ascii="Arial" w:hAnsi="Arial" w:eastAsia="Arial" w:cs="Arial"/>
                <w:spacing w:val="3"/>
                <w:sz w:val="23"/>
                <w:szCs w:val="23"/>
              </w:rPr>
              <w:t>36.47</w:t>
            </w:r>
          </w:p>
        </w:tc>
      </w:tr>
      <w:tr w14:paraId="1EAF22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878" w:type="dxa"/>
            <w:vMerge w:val="continue"/>
            <w:tcBorders>
              <w:tl2br w:val="nil"/>
              <w:tr2bl w:val="nil"/>
            </w:tcBorders>
            <w:noWrap w:val="0"/>
            <w:vAlign w:val="top"/>
          </w:tcPr>
          <w:p w14:paraId="747A0665">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restart"/>
            <w:tcBorders>
              <w:tl2br w:val="nil"/>
              <w:tr2bl w:val="nil"/>
            </w:tcBorders>
            <w:noWrap w:val="0"/>
            <w:textDirection w:val="tbRlV"/>
            <w:vAlign w:val="top"/>
          </w:tcPr>
          <w:p w14:paraId="19AEE05A">
            <w:pPr>
              <w:keepNext w:val="0"/>
              <w:keepLines w:val="0"/>
              <w:pageBreakBefore w:val="0"/>
              <w:widowControl w:val="0"/>
              <w:wordWrap/>
              <w:overflowPunct/>
              <w:bidi w:val="0"/>
              <w:spacing w:before="122" w:line="214" w:lineRule="auto"/>
              <w:ind w:left="358"/>
              <w:rPr>
                <w:rFonts w:ascii="仿宋" w:hAnsi="仿宋" w:eastAsia="仿宋" w:cs="仿宋"/>
                <w:sz w:val="23"/>
                <w:szCs w:val="23"/>
              </w:rPr>
            </w:pPr>
            <w:r>
              <w:rPr>
                <w:rFonts w:ascii="仿宋" w:hAnsi="仿宋" w:eastAsia="仿宋" w:cs="仿宋"/>
                <w:spacing w:val="-9"/>
                <w:sz w:val="23"/>
                <w:szCs w:val="23"/>
              </w:rPr>
              <w:t>其</w:t>
            </w:r>
            <w:r>
              <w:rPr>
                <w:rFonts w:ascii="仿宋" w:hAnsi="仿宋" w:eastAsia="仿宋" w:cs="仿宋"/>
                <w:spacing w:val="-8"/>
                <w:sz w:val="23"/>
                <w:szCs w:val="23"/>
              </w:rPr>
              <w:t>中</w:t>
            </w:r>
          </w:p>
        </w:tc>
        <w:tc>
          <w:tcPr>
            <w:tcW w:w="843" w:type="dxa"/>
            <w:tcBorders>
              <w:tl2br w:val="nil"/>
              <w:tr2bl w:val="nil"/>
            </w:tcBorders>
            <w:noWrap w:val="0"/>
            <w:vAlign w:val="top"/>
          </w:tcPr>
          <w:p w14:paraId="00214A11">
            <w:pPr>
              <w:keepNext w:val="0"/>
              <w:keepLines w:val="0"/>
              <w:pageBreakBefore w:val="0"/>
              <w:widowControl w:val="0"/>
              <w:wordWrap/>
              <w:overflowPunct/>
              <w:bidi w:val="0"/>
              <w:spacing w:before="107" w:line="202" w:lineRule="auto"/>
              <w:ind w:left="114"/>
              <w:rPr>
                <w:rFonts w:ascii="Arial" w:hAnsi="Arial" w:eastAsia="Arial" w:cs="Arial"/>
                <w:sz w:val="25"/>
                <w:szCs w:val="25"/>
              </w:rPr>
            </w:pPr>
            <w:r>
              <w:rPr>
                <w:rFonts w:ascii="Arial" w:hAnsi="Arial" w:eastAsia="Arial" w:cs="Arial"/>
                <w:spacing w:val="-3"/>
                <w:sz w:val="25"/>
                <w:szCs w:val="25"/>
              </w:rPr>
              <w:t>M</w:t>
            </w:r>
            <w:r>
              <w:rPr>
                <w:rFonts w:ascii="Arial" w:hAnsi="Arial" w:eastAsia="Arial" w:cs="Arial"/>
                <w:spacing w:val="-4"/>
                <w:sz w:val="25"/>
                <w:szCs w:val="25"/>
              </w:rPr>
              <w:t>0</w:t>
            </w:r>
          </w:p>
        </w:tc>
        <w:tc>
          <w:tcPr>
            <w:tcW w:w="3505" w:type="dxa"/>
            <w:tcBorders>
              <w:tl2br w:val="nil"/>
              <w:tr2bl w:val="nil"/>
            </w:tcBorders>
            <w:noWrap w:val="0"/>
            <w:vAlign w:val="top"/>
          </w:tcPr>
          <w:p w14:paraId="79F71E32">
            <w:pPr>
              <w:keepNext w:val="0"/>
              <w:keepLines w:val="0"/>
              <w:pageBreakBefore w:val="0"/>
              <w:widowControl w:val="0"/>
              <w:wordWrap/>
              <w:overflowPunct/>
              <w:bidi w:val="0"/>
              <w:spacing w:before="82" w:line="227" w:lineRule="auto"/>
              <w:ind w:left="100"/>
              <w:rPr>
                <w:rFonts w:ascii="仿宋" w:hAnsi="仿宋" w:eastAsia="仿宋" w:cs="仿宋"/>
                <w:sz w:val="23"/>
                <w:szCs w:val="23"/>
              </w:rPr>
            </w:pPr>
            <w:r>
              <w:rPr>
                <w:rFonts w:ascii="仿宋" w:hAnsi="仿宋" w:eastAsia="仿宋" w:cs="仿宋"/>
                <w:spacing w:val="17"/>
                <w:sz w:val="23"/>
                <w:szCs w:val="23"/>
              </w:rPr>
              <w:t>研</w:t>
            </w:r>
            <w:r>
              <w:rPr>
                <w:rFonts w:ascii="仿宋" w:hAnsi="仿宋" w:eastAsia="仿宋" w:cs="仿宋"/>
                <w:spacing w:val="9"/>
                <w:sz w:val="23"/>
                <w:szCs w:val="23"/>
              </w:rPr>
              <w:t>发创意及配套服务用地</w:t>
            </w:r>
          </w:p>
        </w:tc>
        <w:tc>
          <w:tcPr>
            <w:tcW w:w="1755" w:type="dxa"/>
            <w:tcBorders>
              <w:tl2br w:val="nil"/>
              <w:tr2bl w:val="nil"/>
            </w:tcBorders>
            <w:noWrap w:val="0"/>
            <w:vAlign w:val="top"/>
          </w:tcPr>
          <w:p w14:paraId="5B5C774C">
            <w:pPr>
              <w:keepNext w:val="0"/>
              <w:keepLines w:val="0"/>
              <w:pageBreakBefore w:val="0"/>
              <w:widowControl w:val="0"/>
              <w:wordWrap/>
              <w:overflowPunct/>
              <w:bidi w:val="0"/>
              <w:spacing w:before="114" w:line="203" w:lineRule="auto"/>
              <w:ind w:left="113"/>
              <w:rPr>
                <w:rFonts w:ascii="Arial" w:hAnsi="Arial" w:eastAsia="Arial" w:cs="Arial"/>
                <w:sz w:val="23"/>
                <w:szCs w:val="23"/>
              </w:rPr>
            </w:pPr>
            <w:r>
              <w:rPr>
                <w:rFonts w:ascii="Arial" w:hAnsi="Arial" w:eastAsia="Arial" w:cs="Arial"/>
                <w:spacing w:val="3"/>
                <w:sz w:val="23"/>
                <w:szCs w:val="23"/>
              </w:rPr>
              <w:t>30.86</w:t>
            </w:r>
          </w:p>
        </w:tc>
        <w:tc>
          <w:tcPr>
            <w:tcW w:w="1839" w:type="dxa"/>
            <w:tcBorders>
              <w:tl2br w:val="nil"/>
              <w:tr2bl w:val="nil"/>
            </w:tcBorders>
            <w:noWrap w:val="0"/>
            <w:vAlign w:val="top"/>
          </w:tcPr>
          <w:p w14:paraId="3C7E187E">
            <w:pPr>
              <w:keepNext w:val="0"/>
              <w:keepLines w:val="0"/>
              <w:pageBreakBefore w:val="0"/>
              <w:widowControl w:val="0"/>
              <w:wordWrap/>
              <w:overflowPunct/>
              <w:bidi w:val="0"/>
              <w:spacing w:before="114" w:line="206" w:lineRule="auto"/>
              <w:ind w:left="112"/>
              <w:rPr>
                <w:rFonts w:ascii="Arial" w:hAnsi="Arial" w:eastAsia="Arial" w:cs="Arial"/>
                <w:sz w:val="23"/>
                <w:szCs w:val="23"/>
              </w:rPr>
            </w:pPr>
            <w:r>
              <w:rPr>
                <w:rFonts w:ascii="Arial" w:hAnsi="Arial" w:eastAsia="Arial" w:cs="Arial"/>
                <w:spacing w:val="5"/>
                <w:sz w:val="23"/>
                <w:szCs w:val="23"/>
              </w:rPr>
              <w:t>2</w:t>
            </w:r>
            <w:r>
              <w:rPr>
                <w:rFonts w:ascii="Arial" w:hAnsi="Arial" w:eastAsia="Arial" w:cs="Arial"/>
                <w:spacing w:val="3"/>
                <w:sz w:val="23"/>
                <w:szCs w:val="23"/>
              </w:rPr>
              <w:t>.09</w:t>
            </w:r>
          </w:p>
        </w:tc>
      </w:tr>
      <w:tr w14:paraId="32F4F2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noWrap w:val="0"/>
            <w:vAlign w:val="top"/>
          </w:tcPr>
          <w:p w14:paraId="46DDFAE6">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continue"/>
            <w:tcBorders>
              <w:tl2br w:val="nil"/>
              <w:tr2bl w:val="nil"/>
            </w:tcBorders>
            <w:noWrap w:val="0"/>
            <w:textDirection w:val="tbRlV"/>
            <w:vAlign w:val="top"/>
          </w:tcPr>
          <w:p w14:paraId="5D96A34E">
            <w:pPr>
              <w:keepNext w:val="0"/>
              <w:keepLines w:val="0"/>
              <w:pageBreakBefore w:val="0"/>
              <w:widowControl w:val="0"/>
              <w:wordWrap/>
              <w:overflowPunct/>
              <w:bidi w:val="0"/>
              <w:rPr>
                <w:rFonts w:ascii="Arial"/>
                <w:sz w:val="21"/>
              </w:rPr>
            </w:pPr>
          </w:p>
        </w:tc>
        <w:tc>
          <w:tcPr>
            <w:tcW w:w="843" w:type="dxa"/>
            <w:tcBorders>
              <w:tl2br w:val="nil"/>
              <w:tr2bl w:val="nil"/>
            </w:tcBorders>
            <w:noWrap w:val="0"/>
            <w:vAlign w:val="top"/>
          </w:tcPr>
          <w:p w14:paraId="2FEE5EBE">
            <w:pPr>
              <w:keepNext w:val="0"/>
              <w:keepLines w:val="0"/>
              <w:pageBreakBefore w:val="0"/>
              <w:widowControl w:val="0"/>
              <w:wordWrap/>
              <w:overflowPunct/>
              <w:bidi w:val="0"/>
              <w:spacing w:before="111" w:line="201" w:lineRule="auto"/>
              <w:ind w:left="114"/>
              <w:rPr>
                <w:rFonts w:ascii="Arial" w:hAnsi="Arial" w:eastAsia="Arial" w:cs="Arial"/>
                <w:sz w:val="25"/>
                <w:szCs w:val="25"/>
              </w:rPr>
            </w:pPr>
            <w:r>
              <w:rPr>
                <w:rFonts w:ascii="Arial" w:hAnsi="Arial" w:eastAsia="Arial" w:cs="Arial"/>
                <w:spacing w:val="-3"/>
                <w:sz w:val="25"/>
                <w:szCs w:val="25"/>
              </w:rPr>
              <w:t>M</w:t>
            </w:r>
            <w:r>
              <w:rPr>
                <w:rFonts w:ascii="Arial" w:hAnsi="Arial" w:eastAsia="Arial" w:cs="Arial"/>
                <w:spacing w:val="-4"/>
                <w:sz w:val="25"/>
                <w:szCs w:val="25"/>
              </w:rPr>
              <w:t>4</w:t>
            </w:r>
          </w:p>
        </w:tc>
        <w:tc>
          <w:tcPr>
            <w:tcW w:w="3505" w:type="dxa"/>
            <w:tcBorders>
              <w:tl2br w:val="nil"/>
              <w:tr2bl w:val="nil"/>
            </w:tcBorders>
            <w:noWrap w:val="0"/>
            <w:vAlign w:val="top"/>
          </w:tcPr>
          <w:p w14:paraId="0A08D889">
            <w:pPr>
              <w:keepNext w:val="0"/>
              <w:keepLines w:val="0"/>
              <w:pageBreakBefore w:val="0"/>
              <w:widowControl w:val="0"/>
              <w:wordWrap/>
              <w:overflowPunct/>
              <w:bidi w:val="0"/>
              <w:spacing w:before="86" w:line="225" w:lineRule="auto"/>
              <w:ind w:left="117"/>
              <w:rPr>
                <w:rFonts w:ascii="仿宋" w:hAnsi="仿宋" w:eastAsia="仿宋" w:cs="仿宋"/>
                <w:sz w:val="23"/>
                <w:szCs w:val="23"/>
              </w:rPr>
            </w:pPr>
            <w:r>
              <w:rPr>
                <w:rFonts w:ascii="仿宋" w:hAnsi="仿宋" w:eastAsia="仿宋" w:cs="仿宋"/>
                <w:spacing w:val="10"/>
                <w:sz w:val="23"/>
                <w:szCs w:val="23"/>
              </w:rPr>
              <w:t>高</w:t>
            </w:r>
            <w:r>
              <w:rPr>
                <w:rFonts w:ascii="仿宋" w:hAnsi="仿宋" w:eastAsia="仿宋" w:cs="仿宋"/>
                <w:spacing w:val="6"/>
                <w:sz w:val="23"/>
                <w:szCs w:val="23"/>
              </w:rPr>
              <w:t>新产业用地</w:t>
            </w:r>
          </w:p>
        </w:tc>
        <w:tc>
          <w:tcPr>
            <w:tcW w:w="1755" w:type="dxa"/>
            <w:tcBorders>
              <w:tl2br w:val="nil"/>
              <w:tr2bl w:val="nil"/>
            </w:tcBorders>
            <w:noWrap w:val="0"/>
            <w:vAlign w:val="top"/>
          </w:tcPr>
          <w:p w14:paraId="7419335D">
            <w:pPr>
              <w:keepNext w:val="0"/>
              <w:keepLines w:val="0"/>
              <w:pageBreakBefore w:val="0"/>
              <w:widowControl w:val="0"/>
              <w:wordWrap/>
              <w:overflowPunct/>
              <w:bidi w:val="0"/>
              <w:spacing w:before="116" w:line="203" w:lineRule="auto"/>
              <w:ind w:left="106"/>
              <w:rPr>
                <w:rFonts w:ascii="Arial" w:hAnsi="Arial" w:eastAsia="Arial" w:cs="Arial"/>
                <w:sz w:val="23"/>
                <w:szCs w:val="23"/>
              </w:rPr>
            </w:pPr>
            <w:r>
              <w:rPr>
                <w:rFonts w:ascii="Arial" w:hAnsi="Arial" w:eastAsia="Arial" w:cs="Arial"/>
                <w:spacing w:val="6"/>
                <w:sz w:val="23"/>
                <w:szCs w:val="23"/>
              </w:rPr>
              <w:t>4</w:t>
            </w:r>
            <w:r>
              <w:rPr>
                <w:rFonts w:ascii="Arial" w:hAnsi="Arial" w:eastAsia="Arial" w:cs="Arial"/>
                <w:spacing w:val="4"/>
                <w:sz w:val="23"/>
                <w:szCs w:val="23"/>
              </w:rPr>
              <w:t>40.34</w:t>
            </w:r>
          </w:p>
        </w:tc>
        <w:tc>
          <w:tcPr>
            <w:tcW w:w="1839" w:type="dxa"/>
            <w:tcBorders>
              <w:tl2br w:val="nil"/>
              <w:tr2bl w:val="nil"/>
            </w:tcBorders>
            <w:noWrap w:val="0"/>
            <w:vAlign w:val="top"/>
          </w:tcPr>
          <w:p w14:paraId="07904FCD">
            <w:pPr>
              <w:keepNext w:val="0"/>
              <w:keepLines w:val="0"/>
              <w:pageBreakBefore w:val="0"/>
              <w:widowControl w:val="0"/>
              <w:wordWrap/>
              <w:overflowPunct/>
              <w:bidi w:val="0"/>
              <w:spacing w:before="116" w:line="203" w:lineRule="auto"/>
              <w:ind w:left="112"/>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3"/>
                <w:sz w:val="23"/>
                <w:szCs w:val="23"/>
              </w:rPr>
              <w:t>9.80</w:t>
            </w:r>
          </w:p>
        </w:tc>
      </w:tr>
      <w:tr w14:paraId="5740B0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noWrap w:val="0"/>
            <w:vAlign w:val="top"/>
          </w:tcPr>
          <w:p w14:paraId="3E4F3954">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continue"/>
            <w:tcBorders>
              <w:tl2br w:val="nil"/>
              <w:tr2bl w:val="nil"/>
            </w:tcBorders>
            <w:noWrap w:val="0"/>
            <w:textDirection w:val="tbRlV"/>
            <w:vAlign w:val="top"/>
          </w:tcPr>
          <w:p w14:paraId="189CC3BA">
            <w:pPr>
              <w:keepNext w:val="0"/>
              <w:keepLines w:val="0"/>
              <w:pageBreakBefore w:val="0"/>
              <w:widowControl w:val="0"/>
              <w:wordWrap/>
              <w:overflowPunct/>
              <w:bidi w:val="0"/>
              <w:rPr>
                <w:rFonts w:ascii="Arial"/>
                <w:sz w:val="21"/>
              </w:rPr>
            </w:pPr>
          </w:p>
        </w:tc>
        <w:tc>
          <w:tcPr>
            <w:tcW w:w="843" w:type="dxa"/>
            <w:tcBorders>
              <w:tl2br w:val="nil"/>
              <w:tr2bl w:val="nil"/>
            </w:tcBorders>
            <w:noWrap w:val="0"/>
            <w:vAlign w:val="top"/>
          </w:tcPr>
          <w:p w14:paraId="7BDE2933">
            <w:pPr>
              <w:keepNext w:val="0"/>
              <w:keepLines w:val="0"/>
              <w:pageBreakBefore w:val="0"/>
              <w:widowControl w:val="0"/>
              <w:wordWrap/>
              <w:overflowPunct/>
              <w:bidi w:val="0"/>
              <w:spacing w:before="111" w:line="202" w:lineRule="auto"/>
              <w:ind w:left="114"/>
              <w:rPr>
                <w:rFonts w:ascii="Arial" w:hAnsi="Arial" w:eastAsia="Arial" w:cs="Arial"/>
                <w:sz w:val="25"/>
                <w:szCs w:val="25"/>
              </w:rPr>
            </w:pPr>
            <w:r>
              <w:rPr>
                <w:rFonts w:ascii="Arial" w:hAnsi="Arial" w:eastAsia="Arial" w:cs="Arial"/>
                <w:spacing w:val="-3"/>
                <w:sz w:val="25"/>
                <w:szCs w:val="25"/>
              </w:rPr>
              <w:t>M</w:t>
            </w:r>
            <w:r>
              <w:rPr>
                <w:rFonts w:ascii="Arial" w:hAnsi="Arial" w:eastAsia="Arial" w:cs="Arial"/>
                <w:spacing w:val="-4"/>
                <w:sz w:val="25"/>
                <w:szCs w:val="25"/>
              </w:rPr>
              <w:t>2</w:t>
            </w:r>
          </w:p>
        </w:tc>
        <w:tc>
          <w:tcPr>
            <w:tcW w:w="3505" w:type="dxa"/>
            <w:tcBorders>
              <w:tl2br w:val="nil"/>
              <w:tr2bl w:val="nil"/>
            </w:tcBorders>
            <w:noWrap w:val="0"/>
            <w:vAlign w:val="top"/>
          </w:tcPr>
          <w:p w14:paraId="18443B40">
            <w:pPr>
              <w:keepNext w:val="0"/>
              <w:keepLines w:val="0"/>
              <w:pageBreakBefore w:val="0"/>
              <w:widowControl w:val="0"/>
              <w:wordWrap/>
              <w:overflowPunct/>
              <w:bidi w:val="0"/>
              <w:spacing w:before="84" w:line="227" w:lineRule="auto"/>
              <w:ind w:left="119"/>
              <w:rPr>
                <w:rFonts w:ascii="仿宋" w:hAnsi="仿宋" w:eastAsia="仿宋" w:cs="仿宋"/>
                <w:sz w:val="23"/>
                <w:szCs w:val="23"/>
              </w:rPr>
            </w:pPr>
            <w:r>
              <w:rPr>
                <w:rFonts w:ascii="仿宋" w:hAnsi="仿宋" w:eastAsia="仿宋" w:cs="仿宋"/>
                <w:spacing w:val="7"/>
                <w:sz w:val="23"/>
                <w:szCs w:val="23"/>
              </w:rPr>
              <w:t>二</w:t>
            </w:r>
            <w:r>
              <w:rPr>
                <w:rFonts w:ascii="仿宋" w:hAnsi="仿宋" w:eastAsia="仿宋" w:cs="仿宋"/>
                <w:spacing w:val="6"/>
                <w:sz w:val="23"/>
                <w:szCs w:val="23"/>
              </w:rPr>
              <w:t>类工业用地</w:t>
            </w:r>
          </w:p>
        </w:tc>
        <w:tc>
          <w:tcPr>
            <w:tcW w:w="1755" w:type="dxa"/>
            <w:tcBorders>
              <w:tl2br w:val="nil"/>
              <w:tr2bl w:val="nil"/>
            </w:tcBorders>
            <w:noWrap w:val="0"/>
            <w:vAlign w:val="top"/>
          </w:tcPr>
          <w:p w14:paraId="75A26565">
            <w:pPr>
              <w:keepNext w:val="0"/>
              <w:keepLines w:val="0"/>
              <w:pageBreakBefore w:val="0"/>
              <w:widowControl w:val="0"/>
              <w:wordWrap/>
              <w:overflowPunct/>
              <w:bidi w:val="0"/>
              <w:spacing w:before="115" w:line="203" w:lineRule="auto"/>
              <w:ind w:left="112"/>
              <w:rPr>
                <w:rFonts w:ascii="Arial" w:hAnsi="Arial" w:eastAsia="Arial" w:cs="Arial"/>
                <w:sz w:val="23"/>
                <w:szCs w:val="23"/>
              </w:rPr>
            </w:pPr>
            <w:r>
              <w:rPr>
                <w:rFonts w:ascii="Arial" w:hAnsi="Arial" w:eastAsia="Arial" w:cs="Arial"/>
                <w:spacing w:val="4"/>
                <w:sz w:val="23"/>
                <w:szCs w:val="23"/>
              </w:rPr>
              <w:t>6</w:t>
            </w:r>
            <w:r>
              <w:rPr>
                <w:rFonts w:ascii="Arial" w:hAnsi="Arial" w:eastAsia="Arial" w:cs="Arial"/>
                <w:spacing w:val="3"/>
                <w:sz w:val="23"/>
                <w:szCs w:val="23"/>
              </w:rPr>
              <w:t>7.58</w:t>
            </w:r>
          </w:p>
        </w:tc>
        <w:tc>
          <w:tcPr>
            <w:tcW w:w="1839" w:type="dxa"/>
            <w:tcBorders>
              <w:tl2br w:val="nil"/>
              <w:tr2bl w:val="nil"/>
            </w:tcBorders>
            <w:noWrap w:val="0"/>
            <w:vAlign w:val="top"/>
          </w:tcPr>
          <w:p w14:paraId="7E5EB65D">
            <w:pPr>
              <w:keepNext w:val="0"/>
              <w:keepLines w:val="0"/>
              <w:pageBreakBefore w:val="0"/>
              <w:widowControl w:val="0"/>
              <w:wordWrap/>
              <w:overflowPunct/>
              <w:bidi w:val="0"/>
              <w:spacing w:before="115" w:line="205" w:lineRule="auto"/>
              <w:ind w:left="108"/>
              <w:rPr>
                <w:rFonts w:ascii="Arial" w:hAnsi="Arial" w:eastAsia="Arial" w:cs="Arial"/>
                <w:sz w:val="23"/>
                <w:szCs w:val="23"/>
              </w:rPr>
            </w:pPr>
            <w:r>
              <w:rPr>
                <w:rFonts w:ascii="Arial" w:hAnsi="Arial" w:eastAsia="Arial" w:cs="Arial"/>
                <w:spacing w:val="6"/>
                <w:sz w:val="23"/>
                <w:szCs w:val="23"/>
              </w:rPr>
              <w:t>4</w:t>
            </w:r>
            <w:r>
              <w:rPr>
                <w:rFonts w:ascii="Arial" w:hAnsi="Arial" w:eastAsia="Arial" w:cs="Arial"/>
                <w:spacing w:val="4"/>
                <w:sz w:val="23"/>
                <w:szCs w:val="23"/>
              </w:rPr>
              <w:t>.57</w:t>
            </w:r>
          </w:p>
        </w:tc>
      </w:tr>
      <w:tr w14:paraId="49E2A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878" w:type="dxa"/>
            <w:tcBorders>
              <w:tl2br w:val="nil"/>
              <w:tr2bl w:val="nil"/>
            </w:tcBorders>
            <w:noWrap w:val="0"/>
            <w:vAlign w:val="top"/>
          </w:tcPr>
          <w:p w14:paraId="16A29422">
            <w:pPr>
              <w:keepNext w:val="0"/>
              <w:keepLines w:val="0"/>
              <w:pageBreakBefore w:val="0"/>
              <w:widowControl w:val="0"/>
              <w:kinsoku w:val="0"/>
              <w:wordWrap/>
              <w:overflowPunct/>
              <w:topLinePunct w:val="0"/>
              <w:autoSpaceDE w:val="0"/>
              <w:autoSpaceDN w:val="0"/>
              <w:bidi w:val="0"/>
              <w:adjustRightInd w:val="0"/>
              <w:snapToGrid w:val="0"/>
              <w:spacing w:before="116" w:line="203" w:lineRule="auto"/>
              <w:ind w:left="0"/>
              <w:jc w:val="center"/>
              <w:textAlignment w:val="baseline"/>
              <w:rPr>
                <w:rFonts w:ascii="Arial" w:hAnsi="Arial" w:eastAsia="Arial" w:cs="Arial"/>
                <w:sz w:val="23"/>
                <w:szCs w:val="23"/>
              </w:rPr>
            </w:pPr>
            <w:r>
              <w:rPr>
                <w:rFonts w:ascii="Arial" w:hAnsi="Arial" w:eastAsia="Arial" w:cs="Arial"/>
                <w:sz w:val="23"/>
                <w:szCs w:val="23"/>
              </w:rPr>
              <w:t>6</w:t>
            </w:r>
          </w:p>
        </w:tc>
        <w:tc>
          <w:tcPr>
            <w:tcW w:w="1314" w:type="dxa"/>
            <w:gridSpan w:val="2"/>
            <w:tcBorders>
              <w:tl2br w:val="nil"/>
              <w:tr2bl w:val="nil"/>
            </w:tcBorders>
            <w:noWrap w:val="0"/>
            <w:vAlign w:val="top"/>
          </w:tcPr>
          <w:p w14:paraId="3D5C7DC2">
            <w:pPr>
              <w:keepNext w:val="0"/>
              <w:keepLines w:val="0"/>
              <w:pageBreakBefore w:val="0"/>
              <w:widowControl w:val="0"/>
              <w:wordWrap/>
              <w:overflowPunct/>
              <w:bidi w:val="0"/>
              <w:spacing w:before="116" w:line="203" w:lineRule="auto"/>
              <w:ind w:left="96"/>
              <w:rPr>
                <w:rFonts w:ascii="Arial" w:hAnsi="Arial" w:eastAsia="Arial" w:cs="Arial"/>
                <w:sz w:val="23"/>
                <w:szCs w:val="23"/>
              </w:rPr>
            </w:pPr>
            <w:r>
              <w:rPr>
                <w:rFonts w:ascii="Arial" w:hAnsi="Arial" w:eastAsia="Arial" w:cs="Arial"/>
                <w:spacing w:val="6"/>
                <w:sz w:val="23"/>
                <w:szCs w:val="23"/>
              </w:rPr>
              <w:t>W</w:t>
            </w:r>
          </w:p>
        </w:tc>
        <w:tc>
          <w:tcPr>
            <w:tcW w:w="3505" w:type="dxa"/>
            <w:tcBorders>
              <w:tl2br w:val="nil"/>
              <w:tr2bl w:val="nil"/>
            </w:tcBorders>
            <w:noWrap w:val="0"/>
            <w:vAlign w:val="top"/>
          </w:tcPr>
          <w:p w14:paraId="4CE9A7EB">
            <w:pPr>
              <w:keepNext w:val="0"/>
              <w:keepLines w:val="0"/>
              <w:pageBreakBefore w:val="0"/>
              <w:widowControl w:val="0"/>
              <w:wordWrap/>
              <w:overflowPunct/>
              <w:bidi w:val="0"/>
              <w:spacing w:before="85" w:line="224" w:lineRule="auto"/>
              <w:ind w:left="114"/>
              <w:rPr>
                <w:rFonts w:ascii="仿宋" w:hAnsi="仿宋" w:eastAsia="仿宋" w:cs="仿宋"/>
                <w:sz w:val="23"/>
                <w:szCs w:val="23"/>
              </w:rPr>
            </w:pPr>
            <w:r>
              <w:rPr>
                <w:rFonts w:ascii="仿宋" w:hAnsi="仿宋" w:eastAsia="仿宋" w:cs="仿宋"/>
                <w:spacing w:val="8"/>
                <w:sz w:val="23"/>
                <w:szCs w:val="23"/>
              </w:rPr>
              <w:t>物</w:t>
            </w:r>
            <w:r>
              <w:rPr>
                <w:rFonts w:ascii="仿宋" w:hAnsi="仿宋" w:eastAsia="仿宋" w:cs="仿宋"/>
                <w:spacing w:val="7"/>
                <w:sz w:val="23"/>
                <w:szCs w:val="23"/>
              </w:rPr>
              <w:t>流仓储用地</w:t>
            </w:r>
          </w:p>
        </w:tc>
        <w:tc>
          <w:tcPr>
            <w:tcW w:w="1755" w:type="dxa"/>
            <w:tcBorders>
              <w:tl2br w:val="nil"/>
              <w:tr2bl w:val="nil"/>
            </w:tcBorders>
            <w:noWrap w:val="0"/>
            <w:vAlign w:val="top"/>
          </w:tcPr>
          <w:p w14:paraId="48633494">
            <w:pPr>
              <w:keepNext w:val="0"/>
              <w:keepLines w:val="0"/>
              <w:pageBreakBefore w:val="0"/>
              <w:widowControl w:val="0"/>
              <w:wordWrap/>
              <w:overflowPunct/>
              <w:bidi w:val="0"/>
              <w:spacing w:before="116" w:line="203" w:lineRule="auto"/>
              <w:ind w:left="113"/>
              <w:rPr>
                <w:rFonts w:ascii="Arial" w:hAnsi="Arial" w:eastAsia="Arial" w:cs="Arial"/>
                <w:sz w:val="23"/>
                <w:szCs w:val="23"/>
              </w:rPr>
            </w:pPr>
            <w:r>
              <w:rPr>
                <w:rFonts w:ascii="Arial" w:hAnsi="Arial" w:eastAsia="Arial" w:cs="Arial"/>
                <w:spacing w:val="4"/>
                <w:sz w:val="23"/>
                <w:szCs w:val="23"/>
              </w:rPr>
              <w:t>9</w:t>
            </w:r>
            <w:r>
              <w:rPr>
                <w:rFonts w:ascii="Arial" w:hAnsi="Arial" w:eastAsia="Arial" w:cs="Arial"/>
                <w:spacing w:val="3"/>
                <w:sz w:val="23"/>
                <w:szCs w:val="23"/>
              </w:rPr>
              <w:t>0.8</w:t>
            </w:r>
          </w:p>
        </w:tc>
        <w:tc>
          <w:tcPr>
            <w:tcW w:w="1839" w:type="dxa"/>
            <w:tcBorders>
              <w:tl2br w:val="nil"/>
              <w:tr2bl w:val="nil"/>
            </w:tcBorders>
            <w:noWrap w:val="0"/>
            <w:vAlign w:val="top"/>
          </w:tcPr>
          <w:p w14:paraId="70F04CB4">
            <w:pPr>
              <w:keepNext w:val="0"/>
              <w:keepLines w:val="0"/>
              <w:pageBreakBefore w:val="0"/>
              <w:widowControl w:val="0"/>
              <w:wordWrap/>
              <w:overflowPunct/>
              <w:bidi w:val="0"/>
              <w:spacing w:before="116" w:line="203" w:lineRule="auto"/>
              <w:ind w:left="114"/>
              <w:rPr>
                <w:rFonts w:ascii="Arial" w:hAnsi="Arial" w:eastAsia="Arial" w:cs="Arial"/>
                <w:sz w:val="23"/>
                <w:szCs w:val="23"/>
              </w:rPr>
            </w:pPr>
            <w:r>
              <w:rPr>
                <w:rFonts w:ascii="Arial" w:hAnsi="Arial" w:eastAsia="Arial" w:cs="Arial"/>
                <w:spacing w:val="-12"/>
                <w:sz w:val="23"/>
                <w:szCs w:val="23"/>
              </w:rPr>
              <w:t>6</w:t>
            </w:r>
            <w:r>
              <w:rPr>
                <w:rFonts w:ascii="Arial" w:hAnsi="Arial" w:eastAsia="Arial" w:cs="Arial"/>
                <w:spacing w:val="-10"/>
                <w:sz w:val="23"/>
                <w:szCs w:val="23"/>
              </w:rPr>
              <w:t>.15</w:t>
            </w:r>
          </w:p>
        </w:tc>
      </w:tr>
      <w:tr w14:paraId="403183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878" w:type="dxa"/>
            <w:tcBorders>
              <w:tl2br w:val="nil"/>
              <w:tr2bl w:val="nil"/>
            </w:tcBorders>
            <w:noWrap w:val="0"/>
            <w:vAlign w:val="top"/>
          </w:tcPr>
          <w:p w14:paraId="13468239">
            <w:pPr>
              <w:keepNext w:val="0"/>
              <w:keepLines w:val="0"/>
              <w:pageBreakBefore w:val="0"/>
              <w:widowControl w:val="0"/>
              <w:kinsoku w:val="0"/>
              <w:wordWrap/>
              <w:overflowPunct/>
              <w:topLinePunct w:val="0"/>
              <w:autoSpaceDE w:val="0"/>
              <w:autoSpaceDN w:val="0"/>
              <w:bidi w:val="0"/>
              <w:adjustRightInd w:val="0"/>
              <w:snapToGrid w:val="0"/>
              <w:spacing w:before="113" w:line="201" w:lineRule="auto"/>
              <w:ind w:left="0"/>
              <w:jc w:val="center"/>
              <w:textAlignment w:val="baseline"/>
              <w:rPr>
                <w:rFonts w:ascii="Arial" w:hAnsi="Arial" w:eastAsia="Arial" w:cs="Arial"/>
                <w:sz w:val="23"/>
                <w:szCs w:val="23"/>
              </w:rPr>
            </w:pPr>
            <w:r>
              <w:rPr>
                <w:rFonts w:ascii="Arial" w:hAnsi="Arial" w:eastAsia="Arial" w:cs="Arial"/>
                <w:sz w:val="23"/>
                <w:szCs w:val="23"/>
              </w:rPr>
              <w:t>7</w:t>
            </w:r>
          </w:p>
        </w:tc>
        <w:tc>
          <w:tcPr>
            <w:tcW w:w="1314" w:type="dxa"/>
            <w:gridSpan w:val="2"/>
            <w:tcBorders>
              <w:tl2br w:val="nil"/>
              <w:tr2bl w:val="nil"/>
            </w:tcBorders>
            <w:noWrap w:val="0"/>
            <w:vAlign w:val="top"/>
          </w:tcPr>
          <w:p w14:paraId="40D0F739">
            <w:pPr>
              <w:keepNext w:val="0"/>
              <w:keepLines w:val="0"/>
              <w:pageBreakBefore w:val="0"/>
              <w:widowControl w:val="0"/>
              <w:wordWrap/>
              <w:overflowPunct/>
              <w:bidi w:val="0"/>
              <w:spacing w:before="108" w:line="205" w:lineRule="auto"/>
              <w:ind w:left="104"/>
              <w:rPr>
                <w:rFonts w:ascii="Arial" w:hAnsi="Arial" w:eastAsia="Arial" w:cs="Arial"/>
                <w:sz w:val="23"/>
                <w:szCs w:val="23"/>
              </w:rPr>
            </w:pPr>
            <w:r>
              <w:rPr>
                <w:rFonts w:ascii="Arial" w:hAnsi="Arial" w:eastAsia="Arial" w:cs="Arial"/>
                <w:sz w:val="23"/>
                <w:szCs w:val="23"/>
              </w:rPr>
              <w:t>S</w:t>
            </w:r>
          </w:p>
        </w:tc>
        <w:tc>
          <w:tcPr>
            <w:tcW w:w="3505" w:type="dxa"/>
            <w:tcBorders>
              <w:tl2br w:val="nil"/>
              <w:tr2bl w:val="nil"/>
            </w:tcBorders>
            <w:noWrap w:val="0"/>
            <w:vAlign w:val="top"/>
          </w:tcPr>
          <w:p w14:paraId="3D0B3324">
            <w:pPr>
              <w:keepNext w:val="0"/>
              <w:keepLines w:val="0"/>
              <w:pageBreakBefore w:val="0"/>
              <w:widowControl w:val="0"/>
              <w:wordWrap/>
              <w:overflowPunct/>
              <w:bidi w:val="0"/>
              <w:spacing w:before="80" w:line="227" w:lineRule="auto"/>
              <w:ind w:left="115"/>
              <w:rPr>
                <w:rFonts w:ascii="仿宋" w:hAnsi="仿宋" w:eastAsia="仿宋" w:cs="仿宋"/>
                <w:sz w:val="23"/>
                <w:szCs w:val="23"/>
              </w:rPr>
            </w:pPr>
            <w:r>
              <w:rPr>
                <w:rFonts w:ascii="仿宋" w:hAnsi="仿宋" w:eastAsia="仿宋" w:cs="仿宋"/>
                <w:spacing w:val="7"/>
                <w:sz w:val="23"/>
                <w:szCs w:val="23"/>
              </w:rPr>
              <w:t>交通设施用地</w:t>
            </w:r>
          </w:p>
        </w:tc>
        <w:tc>
          <w:tcPr>
            <w:tcW w:w="1755" w:type="dxa"/>
            <w:tcBorders>
              <w:tl2br w:val="nil"/>
              <w:tr2bl w:val="nil"/>
            </w:tcBorders>
            <w:noWrap w:val="0"/>
            <w:vAlign w:val="top"/>
          </w:tcPr>
          <w:p w14:paraId="0C2A4B5F">
            <w:pPr>
              <w:keepNext w:val="0"/>
              <w:keepLines w:val="0"/>
              <w:pageBreakBefore w:val="0"/>
              <w:widowControl w:val="0"/>
              <w:wordWrap/>
              <w:overflowPunct/>
              <w:bidi w:val="0"/>
              <w:spacing w:before="111" w:line="203" w:lineRule="auto"/>
              <w:ind w:left="113"/>
              <w:rPr>
                <w:rFonts w:ascii="Arial" w:hAnsi="Arial" w:eastAsia="Arial" w:cs="Arial"/>
                <w:sz w:val="23"/>
                <w:szCs w:val="23"/>
              </w:rPr>
            </w:pPr>
            <w:r>
              <w:rPr>
                <w:rFonts w:ascii="Arial" w:hAnsi="Arial" w:eastAsia="Arial" w:cs="Arial"/>
                <w:spacing w:val="4"/>
                <w:sz w:val="23"/>
                <w:szCs w:val="23"/>
              </w:rPr>
              <w:t>3</w:t>
            </w:r>
            <w:r>
              <w:rPr>
                <w:rFonts w:ascii="Arial" w:hAnsi="Arial" w:eastAsia="Arial" w:cs="Arial"/>
                <w:spacing w:val="3"/>
                <w:sz w:val="23"/>
                <w:szCs w:val="23"/>
              </w:rPr>
              <w:t>08.89</w:t>
            </w:r>
          </w:p>
        </w:tc>
        <w:tc>
          <w:tcPr>
            <w:tcW w:w="1839" w:type="dxa"/>
            <w:tcBorders>
              <w:tl2br w:val="nil"/>
              <w:tr2bl w:val="nil"/>
            </w:tcBorders>
            <w:noWrap w:val="0"/>
            <w:vAlign w:val="top"/>
          </w:tcPr>
          <w:p w14:paraId="75B1D798">
            <w:pPr>
              <w:keepNext w:val="0"/>
              <w:keepLines w:val="0"/>
              <w:pageBreakBefore w:val="0"/>
              <w:widowControl w:val="0"/>
              <w:wordWrap/>
              <w:overflowPunct/>
              <w:bidi w:val="0"/>
              <w:spacing w:before="111" w:line="203" w:lineRule="auto"/>
              <w:ind w:left="112"/>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3"/>
                <w:sz w:val="23"/>
                <w:szCs w:val="23"/>
              </w:rPr>
              <w:t>0.91</w:t>
            </w:r>
          </w:p>
        </w:tc>
      </w:tr>
      <w:tr w14:paraId="4D0800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878" w:type="dxa"/>
            <w:tcBorders>
              <w:tl2br w:val="nil"/>
              <w:tr2bl w:val="nil"/>
            </w:tcBorders>
            <w:noWrap w:val="0"/>
            <w:vAlign w:val="top"/>
          </w:tcPr>
          <w:p w14:paraId="726A3F53">
            <w:pPr>
              <w:keepNext w:val="0"/>
              <w:keepLines w:val="0"/>
              <w:pageBreakBefore w:val="0"/>
              <w:widowControl w:val="0"/>
              <w:kinsoku w:val="0"/>
              <w:wordWrap/>
              <w:overflowPunct/>
              <w:topLinePunct w:val="0"/>
              <w:autoSpaceDE w:val="0"/>
              <w:autoSpaceDN w:val="0"/>
              <w:bidi w:val="0"/>
              <w:adjustRightInd w:val="0"/>
              <w:snapToGrid w:val="0"/>
              <w:spacing w:before="113" w:line="203" w:lineRule="auto"/>
              <w:ind w:left="0"/>
              <w:jc w:val="center"/>
              <w:textAlignment w:val="baseline"/>
              <w:rPr>
                <w:rFonts w:ascii="Arial" w:hAnsi="Arial" w:eastAsia="Arial" w:cs="Arial"/>
                <w:sz w:val="23"/>
                <w:szCs w:val="23"/>
              </w:rPr>
            </w:pPr>
            <w:r>
              <w:rPr>
                <w:rFonts w:ascii="Arial" w:hAnsi="Arial" w:eastAsia="Arial" w:cs="Arial"/>
                <w:sz w:val="23"/>
                <w:szCs w:val="23"/>
              </w:rPr>
              <w:t>8</w:t>
            </w:r>
          </w:p>
        </w:tc>
        <w:tc>
          <w:tcPr>
            <w:tcW w:w="1314" w:type="dxa"/>
            <w:gridSpan w:val="2"/>
            <w:tcBorders>
              <w:tl2br w:val="nil"/>
              <w:tr2bl w:val="nil"/>
            </w:tcBorders>
            <w:noWrap w:val="0"/>
            <w:vAlign w:val="top"/>
          </w:tcPr>
          <w:p w14:paraId="3474BF0A">
            <w:pPr>
              <w:keepNext w:val="0"/>
              <w:keepLines w:val="0"/>
              <w:pageBreakBefore w:val="0"/>
              <w:widowControl w:val="0"/>
              <w:wordWrap/>
              <w:overflowPunct/>
              <w:bidi w:val="0"/>
              <w:spacing w:before="114" w:line="202" w:lineRule="auto"/>
              <w:ind w:left="112"/>
              <w:rPr>
                <w:rFonts w:ascii="Arial" w:hAnsi="Arial" w:eastAsia="Arial" w:cs="Arial"/>
                <w:sz w:val="23"/>
                <w:szCs w:val="23"/>
              </w:rPr>
            </w:pPr>
            <w:r>
              <w:rPr>
                <w:rFonts w:ascii="Arial" w:hAnsi="Arial" w:eastAsia="Arial" w:cs="Arial"/>
                <w:sz w:val="23"/>
                <w:szCs w:val="23"/>
              </w:rPr>
              <w:t>U</w:t>
            </w:r>
          </w:p>
        </w:tc>
        <w:tc>
          <w:tcPr>
            <w:tcW w:w="3505" w:type="dxa"/>
            <w:tcBorders>
              <w:tl2br w:val="nil"/>
              <w:tr2bl w:val="nil"/>
            </w:tcBorders>
            <w:noWrap w:val="0"/>
            <w:vAlign w:val="top"/>
          </w:tcPr>
          <w:p w14:paraId="5F58591F">
            <w:pPr>
              <w:keepNext w:val="0"/>
              <w:keepLines w:val="0"/>
              <w:pageBreakBefore w:val="0"/>
              <w:widowControl w:val="0"/>
              <w:wordWrap/>
              <w:overflowPunct/>
              <w:bidi w:val="0"/>
              <w:spacing w:before="82" w:line="227" w:lineRule="auto"/>
              <w:ind w:left="105"/>
              <w:rPr>
                <w:rFonts w:ascii="仿宋" w:hAnsi="仿宋" w:eastAsia="仿宋" w:cs="仿宋"/>
                <w:sz w:val="23"/>
                <w:szCs w:val="23"/>
              </w:rPr>
            </w:pPr>
            <w:r>
              <w:rPr>
                <w:rFonts w:ascii="仿宋" w:hAnsi="仿宋" w:eastAsia="仿宋" w:cs="仿宋"/>
                <w:spacing w:val="11"/>
                <w:sz w:val="23"/>
                <w:szCs w:val="23"/>
              </w:rPr>
              <w:t>公</w:t>
            </w:r>
            <w:r>
              <w:rPr>
                <w:rFonts w:ascii="仿宋" w:hAnsi="仿宋" w:eastAsia="仿宋" w:cs="仿宋"/>
                <w:spacing w:val="8"/>
                <w:sz w:val="23"/>
                <w:szCs w:val="23"/>
              </w:rPr>
              <w:t>用设施用地</w:t>
            </w:r>
          </w:p>
        </w:tc>
        <w:tc>
          <w:tcPr>
            <w:tcW w:w="1755" w:type="dxa"/>
            <w:tcBorders>
              <w:tl2br w:val="nil"/>
              <w:tr2bl w:val="nil"/>
            </w:tcBorders>
            <w:noWrap w:val="0"/>
            <w:vAlign w:val="top"/>
          </w:tcPr>
          <w:p w14:paraId="20C0B867">
            <w:pPr>
              <w:keepNext w:val="0"/>
              <w:keepLines w:val="0"/>
              <w:pageBreakBefore w:val="0"/>
              <w:widowControl w:val="0"/>
              <w:wordWrap/>
              <w:overflowPunct/>
              <w:bidi w:val="0"/>
              <w:spacing w:before="113" w:line="203" w:lineRule="auto"/>
              <w:ind w:left="129"/>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6.74</w:t>
            </w:r>
          </w:p>
        </w:tc>
        <w:tc>
          <w:tcPr>
            <w:tcW w:w="1839" w:type="dxa"/>
            <w:tcBorders>
              <w:tl2br w:val="nil"/>
              <w:tr2bl w:val="nil"/>
            </w:tcBorders>
            <w:noWrap w:val="0"/>
            <w:vAlign w:val="top"/>
          </w:tcPr>
          <w:p w14:paraId="18265BFB">
            <w:pPr>
              <w:keepNext w:val="0"/>
              <w:keepLines w:val="0"/>
              <w:pageBreakBefore w:val="0"/>
              <w:widowControl w:val="0"/>
              <w:wordWrap/>
              <w:overflowPunct/>
              <w:bidi w:val="0"/>
              <w:spacing w:before="113" w:line="203" w:lineRule="auto"/>
              <w:ind w:left="131"/>
              <w:rPr>
                <w:rFonts w:ascii="Arial" w:hAnsi="Arial" w:eastAsia="Arial" w:cs="Arial"/>
                <w:sz w:val="23"/>
                <w:szCs w:val="23"/>
              </w:rPr>
            </w:pPr>
            <w:r>
              <w:rPr>
                <w:rFonts w:ascii="Arial" w:hAnsi="Arial" w:eastAsia="Arial" w:cs="Arial"/>
                <w:spacing w:val="-17"/>
                <w:sz w:val="23"/>
                <w:szCs w:val="23"/>
              </w:rPr>
              <w:t>1</w:t>
            </w:r>
            <w:r>
              <w:rPr>
                <w:rFonts w:ascii="Arial" w:hAnsi="Arial" w:eastAsia="Arial" w:cs="Arial"/>
                <w:spacing w:val="-13"/>
                <w:sz w:val="23"/>
                <w:szCs w:val="23"/>
              </w:rPr>
              <w:t>.13</w:t>
            </w:r>
          </w:p>
        </w:tc>
      </w:tr>
      <w:tr w14:paraId="40EA45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878" w:type="dxa"/>
            <w:tcBorders>
              <w:tl2br w:val="nil"/>
              <w:tr2bl w:val="nil"/>
            </w:tcBorders>
            <w:noWrap w:val="0"/>
            <w:vAlign w:val="top"/>
          </w:tcPr>
          <w:p w14:paraId="4BA72979">
            <w:pPr>
              <w:keepNext w:val="0"/>
              <w:keepLines w:val="0"/>
              <w:pageBreakBefore w:val="0"/>
              <w:widowControl w:val="0"/>
              <w:kinsoku w:val="0"/>
              <w:wordWrap/>
              <w:overflowPunct/>
              <w:topLinePunct w:val="0"/>
              <w:autoSpaceDE w:val="0"/>
              <w:autoSpaceDN w:val="0"/>
              <w:bidi w:val="0"/>
              <w:adjustRightInd w:val="0"/>
              <w:snapToGrid w:val="0"/>
              <w:spacing w:before="114" w:line="203" w:lineRule="auto"/>
              <w:ind w:left="0"/>
              <w:jc w:val="center"/>
              <w:textAlignment w:val="baseline"/>
              <w:rPr>
                <w:rFonts w:ascii="Arial" w:hAnsi="Arial" w:eastAsia="Arial" w:cs="Arial"/>
                <w:sz w:val="23"/>
                <w:szCs w:val="23"/>
              </w:rPr>
            </w:pPr>
            <w:r>
              <w:rPr>
                <w:rFonts w:ascii="Arial" w:hAnsi="Arial" w:eastAsia="Arial" w:cs="Arial"/>
                <w:sz w:val="23"/>
                <w:szCs w:val="23"/>
              </w:rPr>
              <w:t>9</w:t>
            </w:r>
          </w:p>
        </w:tc>
        <w:tc>
          <w:tcPr>
            <w:tcW w:w="1314" w:type="dxa"/>
            <w:gridSpan w:val="2"/>
            <w:tcBorders>
              <w:tl2br w:val="nil"/>
              <w:tr2bl w:val="nil"/>
            </w:tcBorders>
            <w:noWrap w:val="0"/>
            <w:vAlign w:val="top"/>
          </w:tcPr>
          <w:p w14:paraId="3CC9A113">
            <w:pPr>
              <w:keepNext w:val="0"/>
              <w:keepLines w:val="0"/>
              <w:pageBreakBefore w:val="0"/>
              <w:widowControl w:val="0"/>
              <w:wordWrap/>
              <w:overflowPunct/>
              <w:bidi w:val="0"/>
              <w:spacing w:before="111" w:line="205" w:lineRule="auto"/>
              <w:ind w:left="106"/>
              <w:rPr>
                <w:rFonts w:ascii="Arial" w:hAnsi="Arial" w:eastAsia="Arial" w:cs="Arial"/>
                <w:sz w:val="23"/>
                <w:szCs w:val="23"/>
              </w:rPr>
            </w:pPr>
            <w:r>
              <w:rPr>
                <w:rFonts w:ascii="Arial" w:hAnsi="Arial" w:eastAsia="Arial" w:cs="Arial"/>
                <w:sz w:val="23"/>
                <w:szCs w:val="23"/>
              </w:rPr>
              <w:t>G</w:t>
            </w:r>
          </w:p>
        </w:tc>
        <w:tc>
          <w:tcPr>
            <w:tcW w:w="3505" w:type="dxa"/>
            <w:tcBorders>
              <w:tl2br w:val="nil"/>
              <w:tr2bl w:val="nil"/>
            </w:tcBorders>
            <w:noWrap w:val="0"/>
            <w:vAlign w:val="top"/>
          </w:tcPr>
          <w:p w14:paraId="4A373EF4">
            <w:pPr>
              <w:keepNext w:val="0"/>
              <w:keepLines w:val="0"/>
              <w:pageBreakBefore w:val="0"/>
              <w:widowControl w:val="0"/>
              <w:wordWrap/>
              <w:overflowPunct/>
              <w:bidi w:val="0"/>
              <w:spacing w:before="83" w:line="226" w:lineRule="auto"/>
              <w:ind w:left="117"/>
              <w:rPr>
                <w:rFonts w:ascii="仿宋" w:hAnsi="仿宋" w:eastAsia="仿宋" w:cs="仿宋"/>
                <w:sz w:val="23"/>
                <w:szCs w:val="23"/>
              </w:rPr>
            </w:pPr>
            <w:r>
              <w:rPr>
                <w:rFonts w:ascii="仿宋" w:hAnsi="仿宋" w:eastAsia="仿宋" w:cs="仿宋"/>
                <w:spacing w:val="8"/>
                <w:sz w:val="23"/>
                <w:szCs w:val="23"/>
              </w:rPr>
              <w:t>绿</w:t>
            </w:r>
            <w:r>
              <w:rPr>
                <w:rFonts w:ascii="仿宋" w:hAnsi="仿宋" w:eastAsia="仿宋" w:cs="仿宋"/>
                <w:spacing w:val="7"/>
                <w:sz w:val="23"/>
                <w:szCs w:val="23"/>
              </w:rPr>
              <w:t>地与广场用地</w:t>
            </w:r>
          </w:p>
        </w:tc>
        <w:tc>
          <w:tcPr>
            <w:tcW w:w="1755" w:type="dxa"/>
            <w:tcBorders>
              <w:tl2br w:val="nil"/>
              <w:tr2bl w:val="nil"/>
            </w:tcBorders>
            <w:noWrap w:val="0"/>
            <w:vAlign w:val="top"/>
          </w:tcPr>
          <w:p w14:paraId="550C9646">
            <w:pPr>
              <w:keepNext w:val="0"/>
              <w:keepLines w:val="0"/>
              <w:pageBreakBefore w:val="0"/>
              <w:widowControl w:val="0"/>
              <w:wordWrap/>
              <w:overflowPunct/>
              <w:bidi w:val="0"/>
              <w:spacing w:before="114" w:line="203" w:lineRule="auto"/>
              <w:ind w:left="129"/>
              <w:rPr>
                <w:rFonts w:ascii="Arial" w:hAnsi="Arial" w:eastAsia="Arial" w:cs="Arial"/>
                <w:sz w:val="23"/>
                <w:szCs w:val="23"/>
              </w:rPr>
            </w:pPr>
            <w:r>
              <w:rPr>
                <w:rFonts w:ascii="Arial" w:hAnsi="Arial" w:eastAsia="Arial" w:cs="Arial"/>
                <w:spacing w:val="1"/>
                <w:sz w:val="23"/>
                <w:szCs w:val="23"/>
              </w:rPr>
              <w:t>186</w:t>
            </w:r>
            <w:r>
              <w:rPr>
                <w:rFonts w:ascii="Arial" w:hAnsi="Arial" w:eastAsia="Arial" w:cs="Arial"/>
                <w:sz w:val="23"/>
                <w:szCs w:val="23"/>
              </w:rPr>
              <w:t>.44</w:t>
            </w:r>
          </w:p>
        </w:tc>
        <w:tc>
          <w:tcPr>
            <w:tcW w:w="1839" w:type="dxa"/>
            <w:tcBorders>
              <w:tl2br w:val="nil"/>
              <w:tr2bl w:val="nil"/>
            </w:tcBorders>
            <w:noWrap w:val="0"/>
            <w:vAlign w:val="top"/>
          </w:tcPr>
          <w:p w14:paraId="4723B95B">
            <w:pPr>
              <w:keepNext w:val="0"/>
              <w:keepLines w:val="0"/>
              <w:pageBreakBefore w:val="0"/>
              <w:widowControl w:val="0"/>
              <w:wordWrap/>
              <w:overflowPunct/>
              <w:bidi w:val="0"/>
              <w:spacing w:before="113" w:line="206" w:lineRule="auto"/>
              <w:ind w:left="131"/>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2.62</w:t>
            </w:r>
          </w:p>
        </w:tc>
      </w:tr>
      <w:tr w14:paraId="106EEF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tcBorders>
              <w:tl2br w:val="nil"/>
              <w:tr2bl w:val="nil"/>
            </w:tcBorders>
            <w:noWrap w:val="0"/>
            <w:vAlign w:val="top"/>
          </w:tcPr>
          <w:p w14:paraId="6ECDF6DA">
            <w:pPr>
              <w:keepNext w:val="0"/>
              <w:keepLines w:val="0"/>
              <w:pageBreakBefore w:val="0"/>
              <w:widowControl w:val="0"/>
              <w:kinsoku w:val="0"/>
              <w:wordWrap/>
              <w:overflowPunct/>
              <w:topLinePunct w:val="0"/>
              <w:autoSpaceDE w:val="0"/>
              <w:autoSpaceDN w:val="0"/>
              <w:bidi w:val="0"/>
              <w:adjustRightInd w:val="0"/>
              <w:snapToGrid w:val="0"/>
              <w:spacing w:before="113" w:line="203" w:lineRule="auto"/>
              <w:ind w:left="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4819" w:type="dxa"/>
            <w:gridSpan w:val="3"/>
            <w:tcBorders>
              <w:tl2br w:val="nil"/>
              <w:tr2bl w:val="nil"/>
            </w:tcBorders>
            <w:noWrap w:val="0"/>
            <w:vAlign w:val="top"/>
          </w:tcPr>
          <w:p w14:paraId="73F02D8B">
            <w:pPr>
              <w:keepNext w:val="0"/>
              <w:keepLines w:val="0"/>
              <w:pageBreakBefore w:val="0"/>
              <w:widowControl w:val="0"/>
              <w:wordWrap/>
              <w:overflowPunct/>
              <w:bidi w:val="0"/>
              <w:spacing w:before="83" w:line="225" w:lineRule="auto"/>
              <w:ind w:left="112"/>
              <w:rPr>
                <w:rFonts w:ascii="仿宋" w:hAnsi="仿宋" w:eastAsia="仿宋" w:cs="仿宋"/>
                <w:sz w:val="23"/>
                <w:szCs w:val="23"/>
              </w:rPr>
            </w:pPr>
            <w:r>
              <w:rPr>
                <w:rFonts w:ascii="Arial" w:hAnsi="Arial" w:eastAsia="Arial" w:cs="Arial"/>
                <w:sz w:val="23"/>
                <w:szCs w:val="23"/>
              </w:rPr>
              <w:t>H</w:t>
            </w:r>
            <w:r>
              <w:rPr>
                <w:rFonts w:ascii="Arial" w:hAnsi="Arial" w:eastAsia="Arial" w:cs="Arial"/>
                <w:spacing w:val="7"/>
                <w:sz w:val="23"/>
                <w:szCs w:val="23"/>
              </w:rPr>
              <w:t>1</w:t>
            </w:r>
            <w:r>
              <w:rPr>
                <w:rFonts w:ascii="Arial" w:hAnsi="Arial" w:eastAsia="Arial" w:cs="Arial"/>
                <w:spacing w:val="5"/>
                <w:sz w:val="23"/>
                <w:szCs w:val="23"/>
              </w:rPr>
              <w:t>1</w:t>
            </w:r>
            <w:r>
              <w:rPr>
                <w:rFonts w:ascii="仿宋" w:hAnsi="仿宋" w:eastAsia="仿宋" w:cs="仿宋"/>
                <w:spacing w:val="5"/>
                <w:sz w:val="23"/>
                <w:szCs w:val="23"/>
              </w:rPr>
              <w:t>城市建设用地</w:t>
            </w:r>
          </w:p>
        </w:tc>
        <w:tc>
          <w:tcPr>
            <w:tcW w:w="1755" w:type="dxa"/>
            <w:tcBorders>
              <w:tl2br w:val="nil"/>
              <w:tr2bl w:val="nil"/>
            </w:tcBorders>
            <w:noWrap w:val="0"/>
            <w:vAlign w:val="top"/>
          </w:tcPr>
          <w:p w14:paraId="58F905A9">
            <w:pPr>
              <w:keepNext w:val="0"/>
              <w:keepLines w:val="0"/>
              <w:pageBreakBefore w:val="0"/>
              <w:widowControl w:val="0"/>
              <w:wordWrap/>
              <w:overflowPunct/>
              <w:bidi w:val="0"/>
              <w:spacing w:before="113" w:line="206" w:lineRule="auto"/>
              <w:ind w:left="129"/>
              <w:rPr>
                <w:rFonts w:ascii="Arial" w:hAnsi="Arial" w:eastAsia="Arial" w:cs="Arial"/>
                <w:sz w:val="23"/>
                <w:szCs w:val="23"/>
              </w:rPr>
            </w:pPr>
            <w:r>
              <w:rPr>
                <w:rFonts w:ascii="Arial" w:hAnsi="Arial" w:eastAsia="Arial" w:cs="Arial"/>
                <w:spacing w:val="2"/>
                <w:sz w:val="23"/>
                <w:szCs w:val="23"/>
              </w:rPr>
              <w:t>14</w:t>
            </w:r>
            <w:r>
              <w:rPr>
                <w:rFonts w:hint="eastAsia" w:ascii="Arial" w:hAnsi="Arial" w:eastAsia="宋体" w:cs="Arial"/>
                <w:spacing w:val="2"/>
                <w:sz w:val="23"/>
                <w:szCs w:val="23"/>
                <w:lang w:val="en-US" w:eastAsia="zh-CN"/>
              </w:rPr>
              <w:t>77</w:t>
            </w:r>
            <w:r>
              <w:rPr>
                <w:rFonts w:ascii="Arial" w:hAnsi="Arial" w:eastAsia="Arial" w:cs="Arial"/>
                <w:spacing w:val="1"/>
                <w:sz w:val="23"/>
                <w:szCs w:val="23"/>
              </w:rPr>
              <w:t>.45</w:t>
            </w:r>
          </w:p>
        </w:tc>
        <w:tc>
          <w:tcPr>
            <w:tcW w:w="1839" w:type="dxa"/>
            <w:tcBorders>
              <w:tl2br w:val="nil"/>
              <w:tr2bl w:val="nil"/>
            </w:tcBorders>
            <w:noWrap w:val="0"/>
            <w:vAlign w:val="top"/>
          </w:tcPr>
          <w:p w14:paraId="35531A9F">
            <w:pPr>
              <w:keepNext w:val="0"/>
              <w:keepLines w:val="0"/>
              <w:pageBreakBefore w:val="0"/>
              <w:widowControl w:val="0"/>
              <w:wordWrap/>
              <w:overflowPunct/>
              <w:bidi w:val="0"/>
              <w:spacing w:before="113" w:line="203" w:lineRule="auto"/>
              <w:ind w:left="131"/>
              <w:rPr>
                <w:rFonts w:ascii="Arial" w:hAnsi="Arial" w:eastAsia="Arial" w:cs="Arial"/>
                <w:sz w:val="23"/>
                <w:szCs w:val="23"/>
              </w:rPr>
            </w:pPr>
            <w:r>
              <w:rPr>
                <w:rFonts w:ascii="Arial" w:hAnsi="Arial" w:eastAsia="Arial" w:cs="Arial"/>
                <w:spacing w:val="1"/>
                <w:sz w:val="23"/>
                <w:szCs w:val="23"/>
              </w:rPr>
              <w:t>100.00</w:t>
            </w:r>
          </w:p>
        </w:tc>
      </w:tr>
      <w:tr w14:paraId="3AA0C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restart"/>
            <w:tcBorders>
              <w:tl2br w:val="nil"/>
              <w:tr2bl w:val="nil"/>
            </w:tcBorders>
            <w:noWrap w:val="0"/>
            <w:vAlign w:val="top"/>
          </w:tcPr>
          <w:p w14:paraId="23F3AD43">
            <w:pPr>
              <w:keepNext w:val="0"/>
              <w:keepLines w:val="0"/>
              <w:pageBreakBefore w:val="0"/>
              <w:widowControl w:val="0"/>
              <w:kinsoku w:val="0"/>
              <w:wordWrap/>
              <w:overflowPunct/>
              <w:topLinePunct w:val="0"/>
              <w:autoSpaceDE w:val="0"/>
              <w:autoSpaceDN w:val="0"/>
              <w:bidi w:val="0"/>
              <w:adjustRightInd w:val="0"/>
              <w:snapToGrid w:val="0"/>
              <w:spacing w:line="477" w:lineRule="auto"/>
              <w:ind w:left="0"/>
              <w:jc w:val="center"/>
              <w:textAlignment w:val="baseline"/>
              <w:rPr>
                <w:rFonts w:ascii="Arial"/>
                <w:sz w:val="21"/>
              </w:rPr>
            </w:pPr>
          </w:p>
          <w:p w14:paraId="3D14CB80">
            <w:pPr>
              <w:keepNext w:val="0"/>
              <w:keepLines w:val="0"/>
              <w:pageBreakBefore w:val="0"/>
              <w:widowControl w:val="0"/>
              <w:kinsoku w:val="0"/>
              <w:wordWrap/>
              <w:overflowPunct/>
              <w:topLinePunct w:val="0"/>
              <w:autoSpaceDE w:val="0"/>
              <w:autoSpaceDN w:val="0"/>
              <w:bidi w:val="0"/>
              <w:adjustRightInd w:val="0"/>
              <w:snapToGrid w:val="0"/>
              <w:spacing w:before="66" w:line="203" w:lineRule="auto"/>
              <w:ind w:left="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1314" w:type="dxa"/>
            <w:gridSpan w:val="2"/>
            <w:tcBorders>
              <w:tl2br w:val="nil"/>
              <w:tr2bl w:val="nil"/>
            </w:tcBorders>
            <w:noWrap w:val="0"/>
            <w:vAlign w:val="top"/>
          </w:tcPr>
          <w:p w14:paraId="10ADA2A6">
            <w:pPr>
              <w:keepNext w:val="0"/>
              <w:keepLines w:val="0"/>
              <w:pageBreakBefore w:val="0"/>
              <w:widowControl w:val="0"/>
              <w:wordWrap/>
              <w:overflowPunct/>
              <w:bidi w:val="0"/>
              <w:spacing w:before="114" w:line="203" w:lineRule="auto"/>
              <w:ind w:left="112"/>
              <w:rPr>
                <w:rFonts w:ascii="Arial" w:hAnsi="Arial" w:eastAsia="Arial" w:cs="Arial"/>
                <w:sz w:val="23"/>
                <w:szCs w:val="23"/>
              </w:rPr>
            </w:pPr>
            <w:r>
              <w:rPr>
                <w:rFonts w:ascii="Arial" w:hAnsi="Arial" w:eastAsia="Arial" w:cs="Arial"/>
                <w:sz w:val="23"/>
                <w:szCs w:val="23"/>
              </w:rPr>
              <w:t>H</w:t>
            </w:r>
          </w:p>
        </w:tc>
        <w:tc>
          <w:tcPr>
            <w:tcW w:w="3505" w:type="dxa"/>
            <w:tcBorders>
              <w:tl2br w:val="nil"/>
              <w:tr2bl w:val="nil"/>
            </w:tcBorders>
            <w:noWrap w:val="0"/>
            <w:vAlign w:val="top"/>
          </w:tcPr>
          <w:p w14:paraId="63C4F347">
            <w:pPr>
              <w:keepNext w:val="0"/>
              <w:keepLines w:val="0"/>
              <w:pageBreakBefore w:val="0"/>
              <w:widowControl w:val="0"/>
              <w:wordWrap/>
              <w:overflowPunct/>
              <w:bidi w:val="0"/>
              <w:spacing w:before="84" w:line="227" w:lineRule="auto"/>
              <w:ind w:left="104"/>
              <w:rPr>
                <w:rFonts w:ascii="仿宋" w:hAnsi="仿宋" w:eastAsia="仿宋" w:cs="仿宋"/>
                <w:sz w:val="23"/>
                <w:szCs w:val="23"/>
              </w:rPr>
            </w:pPr>
            <w:r>
              <w:rPr>
                <w:rFonts w:ascii="仿宋" w:hAnsi="仿宋" w:eastAsia="仿宋" w:cs="仿宋"/>
                <w:spacing w:val="8"/>
                <w:sz w:val="23"/>
                <w:szCs w:val="23"/>
              </w:rPr>
              <w:t>建设用地</w:t>
            </w:r>
          </w:p>
        </w:tc>
        <w:tc>
          <w:tcPr>
            <w:tcW w:w="1755" w:type="dxa"/>
            <w:tcBorders>
              <w:tl2br w:val="nil"/>
              <w:tr2bl w:val="nil"/>
            </w:tcBorders>
            <w:noWrap w:val="0"/>
            <w:vAlign w:val="top"/>
          </w:tcPr>
          <w:p w14:paraId="607970CE">
            <w:pPr>
              <w:keepNext w:val="0"/>
              <w:keepLines w:val="0"/>
              <w:pageBreakBefore w:val="0"/>
              <w:widowControl w:val="0"/>
              <w:wordWrap/>
              <w:overflowPunct/>
              <w:bidi w:val="0"/>
              <w:spacing w:before="114" w:line="203" w:lineRule="auto"/>
              <w:ind w:left="113"/>
              <w:rPr>
                <w:rFonts w:ascii="Arial" w:hAnsi="Arial" w:eastAsia="Arial" w:cs="Arial"/>
                <w:sz w:val="23"/>
                <w:szCs w:val="23"/>
              </w:rPr>
            </w:pPr>
            <w:r>
              <w:rPr>
                <w:rFonts w:ascii="Arial" w:hAnsi="Arial" w:eastAsia="Arial" w:cs="Arial"/>
                <w:spacing w:val="3"/>
                <w:sz w:val="23"/>
                <w:szCs w:val="23"/>
              </w:rPr>
              <w:t>58.56</w:t>
            </w:r>
          </w:p>
        </w:tc>
        <w:tc>
          <w:tcPr>
            <w:tcW w:w="1839" w:type="dxa"/>
            <w:tcBorders>
              <w:tl2br w:val="nil"/>
              <w:tr2bl w:val="nil"/>
            </w:tcBorders>
            <w:noWrap w:val="0"/>
            <w:vAlign w:val="top"/>
          </w:tcPr>
          <w:p w14:paraId="45A8F28A">
            <w:pPr>
              <w:keepNext w:val="0"/>
              <w:keepLines w:val="0"/>
              <w:pageBreakBefore w:val="0"/>
              <w:widowControl w:val="0"/>
              <w:wordWrap/>
              <w:overflowPunct/>
              <w:bidi w:val="0"/>
              <w:rPr>
                <w:rFonts w:ascii="Arial"/>
                <w:sz w:val="21"/>
              </w:rPr>
            </w:pPr>
          </w:p>
        </w:tc>
      </w:tr>
      <w:tr w14:paraId="05C30B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noWrap w:val="0"/>
            <w:vAlign w:val="top"/>
          </w:tcPr>
          <w:p w14:paraId="56556E63">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restart"/>
            <w:tcBorders>
              <w:tl2br w:val="nil"/>
              <w:tr2bl w:val="nil"/>
            </w:tcBorders>
            <w:noWrap w:val="0"/>
            <w:textDirection w:val="tbRlV"/>
            <w:vAlign w:val="top"/>
          </w:tcPr>
          <w:p w14:paraId="383A3211">
            <w:pPr>
              <w:keepNext w:val="0"/>
              <w:keepLines w:val="0"/>
              <w:pageBreakBefore w:val="0"/>
              <w:widowControl w:val="0"/>
              <w:wordWrap/>
              <w:overflowPunct/>
              <w:bidi w:val="0"/>
              <w:spacing w:before="122" w:line="214" w:lineRule="auto"/>
              <w:ind w:left="143"/>
              <w:rPr>
                <w:rFonts w:ascii="仿宋" w:hAnsi="仿宋" w:eastAsia="仿宋" w:cs="仿宋"/>
                <w:sz w:val="23"/>
                <w:szCs w:val="23"/>
              </w:rPr>
            </w:pPr>
            <w:r>
              <w:rPr>
                <w:rFonts w:ascii="仿宋" w:hAnsi="仿宋" w:eastAsia="仿宋" w:cs="仿宋"/>
                <w:spacing w:val="-9"/>
                <w:sz w:val="23"/>
                <w:szCs w:val="23"/>
              </w:rPr>
              <w:t>其</w:t>
            </w:r>
            <w:r>
              <w:rPr>
                <w:rFonts w:ascii="仿宋" w:hAnsi="仿宋" w:eastAsia="仿宋" w:cs="仿宋"/>
                <w:spacing w:val="-8"/>
                <w:sz w:val="23"/>
                <w:szCs w:val="23"/>
              </w:rPr>
              <w:t>中</w:t>
            </w:r>
          </w:p>
        </w:tc>
        <w:tc>
          <w:tcPr>
            <w:tcW w:w="843" w:type="dxa"/>
            <w:tcBorders>
              <w:tl2br w:val="nil"/>
              <w:tr2bl w:val="nil"/>
            </w:tcBorders>
            <w:noWrap w:val="0"/>
            <w:vAlign w:val="top"/>
          </w:tcPr>
          <w:p w14:paraId="44E2ED29">
            <w:pPr>
              <w:keepNext w:val="0"/>
              <w:keepLines w:val="0"/>
              <w:pageBreakBefore w:val="0"/>
              <w:widowControl w:val="0"/>
              <w:wordWrap/>
              <w:overflowPunct/>
              <w:bidi w:val="0"/>
              <w:spacing w:before="115" w:line="203" w:lineRule="auto"/>
              <w:ind w:left="114"/>
              <w:rPr>
                <w:rFonts w:ascii="Arial" w:hAnsi="Arial" w:eastAsia="Arial" w:cs="Arial"/>
                <w:sz w:val="23"/>
                <w:szCs w:val="23"/>
              </w:rPr>
            </w:pPr>
            <w:r>
              <w:rPr>
                <w:rFonts w:ascii="Arial" w:hAnsi="Arial" w:eastAsia="Arial" w:cs="Arial"/>
                <w:spacing w:val="-3"/>
                <w:sz w:val="23"/>
                <w:szCs w:val="23"/>
              </w:rPr>
              <w:t>H</w:t>
            </w:r>
            <w:r>
              <w:rPr>
                <w:rFonts w:ascii="Arial" w:hAnsi="Arial" w:eastAsia="Arial" w:cs="Arial"/>
                <w:spacing w:val="-4"/>
                <w:sz w:val="23"/>
                <w:szCs w:val="23"/>
              </w:rPr>
              <w:t>1</w:t>
            </w:r>
          </w:p>
        </w:tc>
        <w:tc>
          <w:tcPr>
            <w:tcW w:w="3505" w:type="dxa"/>
            <w:tcBorders>
              <w:tl2br w:val="nil"/>
              <w:tr2bl w:val="nil"/>
            </w:tcBorders>
            <w:noWrap w:val="0"/>
            <w:vAlign w:val="top"/>
          </w:tcPr>
          <w:p w14:paraId="78C5C454">
            <w:pPr>
              <w:keepNext w:val="0"/>
              <w:keepLines w:val="0"/>
              <w:pageBreakBefore w:val="0"/>
              <w:widowControl w:val="0"/>
              <w:wordWrap/>
              <w:overflowPunct/>
              <w:bidi w:val="0"/>
              <w:spacing w:before="86" w:line="224" w:lineRule="auto"/>
              <w:ind w:left="106"/>
              <w:rPr>
                <w:rFonts w:ascii="仿宋" w:hAnsi="仿宋" w:eastAsia="仿宋" w:cs="仿宋"/>
                <w:sz w:val="23"/>
                <w:szCs w:val="23"/>
              </w:rPr>
            </w:pPr>
            <w:r>
              <w:rPr>
                <w:rFonts w:ascii="仿宋" w:hAnsi="仿宋" w:eastAsia="仿宋" w:cs="仿宋"/>
                <w:spacing w:val="10"/>
                <w:sz w:val="23"/>
                <w:szCs w:val="23"/>
              </w:rPr>
              <w:t>村</w:t>
            </w:r>
            <w:r>
              <w:rPr>
                <w:rFonts w:ascii="仿宋" w:hAnsi="仿宋" w:eastAsia="仿宋" w:cs="仿宋"/>
                <w:spacing w:val="8"/>
                <w:sz w:val="23"/>
                <w:szCs w:val="23"/>
              </w:rPr>
              <w:t>庄建设用地</w:t>
            </w:r>
          </w:p>
        </w:tc>
        <w:tc>
          <w:tcPr>
            <w:tcW w:w="1755" w:type="dxa"/>
            <w:tcBorders>
              <w:tl2br w:val="nil"/>
              <w:tr2bl w:val="nil"/>
            </w:tcBorders>
            <w:noWrap w:val="0"/>
            <w:vAlign w:val="top"/>
          </w:tcPr>
          <w:p w14:paraId="4D3CB076">
            <w:pPr>
              <w:keepNext w:val="0"/>
              <w:keepLines w:val="0"/>
              <w:pageBreakBefore w:val="0"/>
              <w:widowControl w:val="0"/>
              <w:wordWrap/>
              <w:overflowPunct/>
              <w:bidi w:val="0"/>
              <w:spacing w:before="115" w:line="203" w:lineRule="auto"/>
              <w:ind w:left="129"/>
              <w:rPr>
                <w:rFonts w:ascii="Arial" w:hAnsi="Arial" w:eastAsia="Arial" w:cs="Arial"/>
                <w:sz w:val="23"/>
                <w:szCs w:val="23"/>
              </w:rPr>
            </w:pPr>
            <w:r>
              <w:rPr>
                <w:rFonts w:ascii="Arial" w:hAnsi="Arial" w:eastAsia="Arial" w:cs="Arial"/>
                <w:spacing w:val="-15"/>
                <w:sz w:val="23"/>
                <w:szCs w:val="23"/>
              </w:rPr>
              <w:t>1</w:t>
            </w:r>
            <w:r>
              <w:rPr>
                <w:rFonts w:ascii="Arial" w:hAnsi="Arial" w:eastAsia="Arial" w:cs="Arial"/>
                <w:spacing w:val="-10"/>
                <w:sz w:val="23"/>
                <w:szCs w:val="23"/>
              </w:rPr>
              <w:t>7.16</w:t>
            </w:r>
          </w:p>
        </w:tc>
        <w:tc>
          <w:tcPr>
            <w:tcW w:w="1839" w:type="dxa"/>
            <w:tcBorders>
              <w:tl2br w:val="nil"/>
              <w:tr2bl w:val="nil"/>
            </w:tcBorders>
            <w:noWrap w:val="0"/>
            <w:vAlign w:val="top"/>
          </w:tcPr>
          <w:p w14:paraId="2C19676D">
            <w:pPr>
              <w:keepNext w:val="0"/>
              <w:keepLines w:val="0"/>
              <w:pageBreakBefore w:val="0"/>
              <w:widowControl w:val="0"/>
              <w:wordWrap/>
              <w:overflowPunct/>
              <w:bidi w:val="0"/>
              <w:rPr>
                <w:rFonts w:ascii="Arial"/>
                <w:sz w:val="21"/>
              </w:rPr>
            </w:pPr>
          </w:p>
        </w:tc>
      </w:tr>
      <w:tr w14:paraId="38FDBD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noWrap w:val="0"/>
            <w:vAlign w:val="top"/>
          </w:tcPr>
          <w:p w14:paraId="5CE31BDB">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continue"/>
            <w:tcBorders>
              <w:tl2br w:val="nil"/>
              <w:tr2bl w:val="nil"/>
            </w:tcBorders>
            <w:noWrap w:val="0"/>
            <w:textDirection w:val="tbRlV"/>
            <w:vAlign w:val="top"/>
          </w:tcPr>
          <w:p w14:paraId="04F5E51D">
            <w:pPr>
              <w:keepNext w:val="0"/>
              <w:keepLines w:val="0"/>
              <w:pageBreakBefore w:val="0"/>
              <w:widowControl w:val="0"/>
              <w:wordWrap/>
              <w:overflowPunct/>
              <w:bidi w:val="0"/>
              <w:rPr>
                <w:rFonts w:ascii="Arial"/>
                <w:sz w:val="21"/>
              </w:rPr>
            </w:pPr>
          </w:p>
        </w:tc>
        <w:tc>
          <w:tcPr>
            <w:tcW w:w="843" w:type="dxa"/>
            <w:tcBorders>
              <w:tl2br w:val="nil"/>
              <w:tr2bl w:val="nil"/>
            </w:tcBorders>
            <w:noWrap w:val="0"/>
            <w:vAlign w:val="top"/>
          </w:tcPr>
          <w:p w14:paraId="30BB95F7">
            <w:pPr>
              <w:keepNext w:val="0"/>
              <w:keepLines w:val="0"/>
              <w:pageBreakBefore w:val="0"/>
              <w:widowControl w:val="0"/>
              <w:wordWrap/>
              <w:overflowPunct/>
              <w:bidi w:val="0"/>
              <w:spacing w:before="110" w:line="202" w:lineRule="auto"/>
              <w:ind w:left="116"/>
              <w:rPr>
                <w:rFonts w:ascii="Arial" w:hAnsi="Arial" w:eastAsia="Arial" w:cs="Arial"/>
                <w:sz w:val="25"/>
                <w:szCs w:val="25"/>
              </w:rPr>
            </w:pPr>
            <w:r>
              <w:rPr>
                <w:rFonts w:ascii="Arial" w:hAnsi="Arial" w:eastAsia="Arial" w:cs="Arial"/>
                <w:spacing w:val="-4"/>
                <w:sz w:val="25"/>
                <w:szCs w:val="25"/>
              </w:rPr>
              <w:t>H</w:t>
            </w:r>
            <w:r>
              <w:rPr>
                <w:rFonts w:ascii="Arial" w:hAnsi="Arial" w:eastAsia="Arial" w:cs="Arial"/>
                <w:spacing w:val="-6"/>
                <w:sz w:val="25"/>
                <w:szCs w:val="25"/>
              </w:rPr>
              <w:t>2</w:t>
            </w:r>
          </w:p>
        </w:tc>
        <w:tc>
          <w:tcPr>
            <w:tcW w:w="3505" w:type="dxa"/>
            <w:tcBorders>
              <w:tl2br w:val="nil"/>
              <w:tr2bl w:val="nil"/>
            </w:tcBorders>
            <w:noWrap w:val="0"/>
            <w:vAlign w:val="top"/>
          </w:tcPr>
          <w:p w14:paraId="59C925CC">
            <w:pPr>
              <w:keepNext w:val="0"/>
              <w:keepLines w:val="0"/>
              <w:pageBreakBefore w:val="0"/>
              <w:widowControl w:val="0"/>
              <w:wordWrap/>
              <w:overflowPunct/>
              <w:bidi w:val="0"/>
              <w:spacing w:before="86" w:line="227" w:lineRule="auto"/>
              <w:ind w:left="139"/>
              <w:rPr>
                <w:rFonts w:ascii="仿宋" w:hAnsi="仿宋" w:eastAsia="仿宋" w:cs="仿宋"/>
                <w:sz w:val="23"/>
                <w:szCs w:val="23"/>
              </w:rPr>
            </w:pPr>
            <w:r>
              <w:rPr>
                <w:rFonts w:ascii="仿宋" w:hAnsi="仿宋" w:eastAsia="仿宋" w:cs="仿宋"/>
                <w:spacing w:val="8"/>
                <w:sz w:val="23"/>
                <w:szCs w:val="23"/>
              </w:rPr>
              <w:t>区</w:t>
            </w:r>
            <w:r>
              <w:rPr>
                <w:rFonts w:ascii="仿宋" w:hAnsi="仿宋" w:eastAsia="仿宋" w:cs="仿宋"/>
                <w:spacing w:val="5"/>
                <w:sz w:val="23"/>
                <w:szCs w:val="23"/>
              </w:rPr>
              <w:t>域</w:t>
            </w:r>
            <w:r>
              <w:rPr>
                <w:rFonts w:ascii="仿宋" w:hAnsi="仿宋" w:eastAsia="仿宋" w:cs="仿宋"/>
                <w:spacing w:val="4"/>
                <w:sz w:val="23"/>
                <w:szCs w:val="23"/>
              </w:rPr>
              <w:t>交通设施用地</w:t>
            </w:r>
          </w:p>
        </w:tc>
        <w:tc>
          <w:tcPr>
            <w:tcW w:w="1755" w:type="dxa"/>
            <w:tcBorders>
              <w:tl2br w:val="nil"/>
              <w:tr2bl w:val="nil"/>
            </w:tcBorders>
            <w:noWrap w:val="0"/>
            <w:vAlign w:val="top"/>
          </w:tcPr>
          <w:p w14:paraId="01ACB3D5">
            <w:pPr>
              <w:keepNext w:val="0"/>
              <w:keepLines w:val="0"/>
              <w:pageBreakBefore w:val="0"/>
              <w:widowControl w:val="0"/>
              <w:wordWrap/>
              <w:overflowPunct/>
              <w:bidi w:val="0"/>
              <w:spacing w:before="116" w:line="203" w:lineRule="auto"/>
              <w:ind w:left="106"/>
              <w:rPr>
                <w:rFonts w:ascii="Arial" w:hAnsi="Arial" w:eastAsia="Arial" w:cs="Arial"/>
                <w:sz w:val="23"/>
                <w:szCs w:val="23"/>
              </w:rPr>
            </w:pPr>
            <w:r>
              <w:rPr>
                <w:rFonts w:ascii="Arial" w:hAnsi="Arial" w:eastAsia="Arial" w:cs="Arial"/>
                <w:spacing w:val="4"/>
                <w:sz w:val="23"/>
                <w:szCs w:val="23"/>
              </w:rPr>
              <w:t>41.4</w:t>
            </w:r>
          </w:p>
        </w:tc>
        <w:tc>
          <w:tcPr>
            <w:tcW w:w="1839" w:type="dxa"/>
            <w:tcBorders>
              <w:tl2br w:val="nil"/>
              <w:tr2bl w:val="nil"/>
            </w:tcBorders>
            <w:noWrap w:val="0"/>
            <w:vAlign w:val="top"/>
          </w:tcPr>
          <w:p w14:paraId="2E4CBC06">
            <w:pPr>
              <w:keepNext w:val="0"/>
              <w:keepLines w:val="0"/>
              <w:pageBreakBefore w:val="0"/>
              <w:widowControl w:val="0"/>
              <w:wordWrap/>
              <w:overflowPunct/>
              <w:bidi w:val="0"/>
              <w:rPr>
                <w:rFonts w:ascii="Arial"/>
                <w:sz w:val="21"/>
              </w:rPr>
            </w:pPr>
          </w:p>
        </w:tc>
      </w:tr>
      <w:tr w14:paraId="1A984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restart"/>
            <w:tcBorders>
              <w:tl2br w:val="nil"/>
              <w:tr2bl w:val="nil"/>
            </w:tcBorders>
            <w:noWrap w:val="0"/>
            <w:vAlign w:val="top"/>
          </w:tcPr>
          <w:p w14:paraId="186CCFC7">
            <w:pPr>
              <w:keepNext w:val="0"/>
              <w:keepLines w:val="0"/>
              <w:pageBreakBefore w:val="0"/>
              <w:widowControl w:val="0"/>
              <w:kinsoku w:val="0"/>
              <w:wordWrap/>
              <w:overflowPunct/>
              <w:topLinePunct w:val="0"/>
              <w:autoSpaceDE w:val="0"/>
              <w:autoSpaceDN w:val="0"/>
              <w:bidi w:val="0"/>
              <w:adjustRightInd w:val="0"/>
              <w:snapToGrid w:val="0"/>
              <w:spacing w:line="478" w:lineRule="auto"/>
              <w:ind w:left="0"/>
              <w:jc w:val="center"/>
              <w:textAlignment w:val="baseline"/>
              <w:rPr>
                <w:rFonts w:ascii="Arial"/>
                <w:sz w:val="21"/>
              </w:rPr>
            </w:pPr>
          </w:p>
          <w:p w14:paraId="1410C63E">
            <w:pPr>
              <w:keepNext w:val="0"/>
              <w:keepLines w:val="0"/>
              <w:pageBreakBefore w:val="0"/>
              <w:widowControl w:val="0"/>
              <w:kinsoku w:val="0"/>
              <w:wordWrap/>
              <w:overflowPunct/>
              <w:topLinePunct w:val="0"/>
              <w:autoSpaceDE w:val="0"/>
              <w:autoSpaceDN w:val="0"/>
              <w:bidi w:val="0"/>
              <w:adjustRightInd w:val="0"/>
              <w:snapToGrid w:val="0"/>
              <w:spacing w:before="66" w:line="203" w:lineRule="auto"/>
              <w:ind w:left="0"/>
              <w:jc w:val="center"/>
              <w:textAlignment w:val="baseline"/>
              <w:rPr>
                <w:rFonts w:ascii="Arial" w:hAnsi="Arial" w:eastAsia="Arial" w:cs="Arial"/>
                <w:sz w:val="23"/>
                <w:szCs w:val="23"/>
              </w:rPr>
            </w:pPr>
            <w:r>
              <w:rPr>
                <w:rFonts w:ascii="Arial" w:hAnsi="Arial" w:eastAsia="Arial" w:cs="Arial"/>
                <w:spacing w:val="-11"/>
                <w:sz w:val="23"/>
                <w:szCs w:val="23"/>
              </w:rPr>
              <w:t>1</w:t>
            </w:r>
            <w:r>
              <w:rPr>
                <w:rFonts w:ascii="Arial" w:hAnsi="Arial" w:eastAsia="Arial" w:cs="Arial"/>
                <w:spacing w:val="-36"/>
                <w:sz w:val="23"/>
                <w:szCs w:val="23"/>
              </w:rPr>
              <w:t xml:space="preserve"> </w:t>
            </w:r>
            <w:r>
              <w:rPr>
                <w:rFonts w:ascii="Arial" w:hAnsi="Arial" w:eastAsia="Arial" w:cs="Arial"/>
                <w:spacing w:val="-11"/>
                <w:sz w:val="23"/>
                <w:szCs w:val="23"/>
              </w:rPr>
              <w:t>1</w:t>
            </w:r>
          </w:p>
        </w:tc>
        <w:tc>
          <w:tcPr>
            <w:tcW w:w="1314" w:type="dxa"/>
            <w:gridSpan w:val="2"/>
            <w:tcBorders>
              <w:tl2br w:val="nil"/>
              <w:tr2bl w:val="nil"/>
            </w:tcBorders>
            <w:noWrap w:val="0"/>
            <w:vAlign w:val="top"/>
          </w:tcPr>
          <w:p w14:paraId="0B6CBC30">
            <w:pPr>
              <w:keepNext w:val="0"/>
              <w:keepLines w:val="0"/>
              <w:pageBreakBefore w:val="0"/>
              <w:widowControl w:val="0"/>
              <w:wordWrap/>
              <w:overflowPunct/>
              <w:bidi w:val="0"/>
              <w:spacing w:before="115" w:line="203" w:lineRule="auto"/>
              <w:ind w:left="112"/>
              <w:rPr>
                <w:rFonts w:ascii="Arial" w:hAnsi="Arial" w:eastAsia="Arial" w:cs="Arial"/>
                <w:sz w:val="23"/>
                <w:szCs w:val="23"/>
              </w:rPr>
            </w:pPr>
            <w:r>
              <w:rPr>
                <w:rFonts w:ascii="Arial" w:hAnsi="Arial" w:eastAsia="Arial" w:cs="Arial"/>
                <w:sz w:val="23"/>
                <w:szCs w:val="23"/>
              </w:rPr>
              <w:t>E</w:t>
            </w:r>
          </w:p>
        </w:tc>
        <w:tc>
          <w:tcPr>
            <w:tcW w:w="3505" w:type="dxa"/>
            <w:tcBorders>
              <w:tl2br w:val="nil"/>
              <w:tr2bl w:val="nil"/>
            </w:tcBorders>
            <w:noWrap w:val="0"/>
            <w:vAlign w:val="top"/>
          </w:tcPr>
          <w:p w14:paraId="24F0F443">
            <w:pPr>
              <w:keepNext w:val="0"/>
              <w:keepLines w:val="0"/>
              <w:pageBreakBefore w:val="0"/>
              <w:widowControl w:val="0"/>
              <w:wordWrap/>
              <w:overflowPunct/>
              <w:bidi w:val="0"/>
              <w:spacing w:before="85" w:line="225" w:lineRule="auto"/>
              <w:ind w:left="119"/>
              <w:rPr>
                <w:rFonts w:ascii="仿宋" w:hAnsi="仿宋" w:eastAsia="仿宋" w:cs="仿宋"/>
                <w:sz w:val="23"/>
                <w:szCs w:val="23"/>
              </w:rPr>
            </w:pPr>
            <w:r>
              <w:rPr>
                <w:rFonts w:ascii="仿宋" w:hAnsi="仿宋" w:eastAsia="仿宋" w:cs="仿宋"/>
                <w:spacing w:val="7"/>
                <w:sz w:val="23"/>
                <w:szCs w:val="23"/>
              </w:rPr>
              <w:t>非</w:t>
            </w:r>
            <w:r>
              <w:rPr>
                <w:rFonts w:ascii="仿宋" w:hAnsi="仿宋" w:eastAsia="仿宋" w:cs="仿宋"/>
                <w:spacing w:val="5"/>
                <w:sz w:val="23"/>
                <w:szCs w:val="23"/>
              </w:rPr>
              <w:t>建设用地</w:t>
            </w:r>
          </w:p>
        </w:tc>
        <w:tc>
          <w:tcPr>
            <w:tcW w:w="1755" w:type="dxa"/>
            <w:tcBorders>
              <w:tl2br w:val="nil"/>
              <w:tr2bl w:val="nil"/>
            </w:tcBorders>
            <w:noWrap w:val="0"/>
            <w:vAlign w:val="top"/>
          </w:tcPr>
          <w:p w14:paraId="110F11AC">
            <w:pPr>
              <w:keepNext w:val="0"/>
              <w:keepLines w:val="0"/>
              <w:pageBreakBefore w:val="0"/>
              <w:widowControl w:val="0"/>
              <w:wordWrap/>
              <w:overflowPunct/>
              <w:bidi w:val="0"/>
              <w:spacing w:before="115" w:line="203" w:lineRule="auto"/>
              <w:ind w:left="110"/>
              <w:rPr>
                <w:rFonts w:ascii="Arial" w:hAnsi="Arial" w:eastAsia="Arial" w:cs="Arial"/>
                <w:sz w:val="23"/>
                <w:szCs w:val="23"/>
              </w:rPr>
            </w:pPr>
            <w:r>
              <w:rPr>
                <w:rFonts w:ascii="Arial" w:hAnsi="Arial" w:eastAsia="Arial" w:cs="Arial"/>
                <w:spacing w:val="4"/>
                <w:sz w:val="23"/>
                <w:szCs w:val="23"/>
              </w:rPr>
              <w:t>298.9</w:t>
            </w:r>
            <w:r>
              <w:rPr>
                <w:rFonts w:ascii="Arial" w:hAnsi="Arial" w:eastAsia="Arial" w:cs="Arial"/>
                <w:spacing w:val="2"/>
                <w:sz w:val="23"/>
                <w:szCs w:val="23"/>
              </w:rPr>
              <w:t>5</w:t>
            </w:r>
          </w:p>
        </w:tc>
        <w:tc>
          <w:tcPr>
            <w:tcW w:w="1839" w:type="dxa"/>
            <w:tcBorders>
              <w:tl2br w:val="nil"/>
              <w:tr2bl w:val="nil"/>
            </w:tcBorders>
            <w:noWrap w:val="0"/>
            <w:vAlign w:val="top"/>
          </w:tcPr>
          <w:p w14:paraId="7B5279ED">
            <w:pPr>
              <w:keepNext w:val="0"/>
              <w:keepLines w:val="0"/>
              <w:pageBreakBefore w:val="0"/>
              <w:widowControl w:val="0"/>
              <w:wordWrap/>
              <w:overflowPunct/>
              <w:bidi w:val="0"/>
              <w:rPr>
                <w:rFonts w:ascii="Arial"/>
                <w:sz w:val="21"/>
              </w:rPr>
            </w:pPr>
          </w:p>
        </w:tc>
      </w:tr>
      <w:tr w14:paraId="271BFE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noWrap w:val="0"/>
            <w:vAlign w:val="top"/>
          </w:tcPr>
          <w:p w14:paraId="730E6614">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restart"/>
            <w:tcBorders>
              <w:tl2br w:val="nil"/>
              <w:tr2bl w:val="nil"/>
            </w:tcBorders>
            <w:noWrap w:val="0"/>
            <w:textDirection w:val="tbRlV"/>
            <w:vAlign w:val="top"/>
          </w:tcPr>
          <w:p w14:paraId="61E86D76">
            <w:pPr>
              <w:keepNext w:val="0"/>
              <w:keepLines w:val="0"/>
              <w:pageBreakBefore w:val="0"/>
              <w:widowControl w:val="0"/>
              <w:wordWrap/>
              <w:overflowPunct/>
              <w:bidi w:val="0"/>
              <w:spacing w:before="122" w:line="214" w:lineRule="auto"/>
              <w:ind w:left="143"/>
              <w:rPr>
                <w:rFonts w:ascii="仿宋" w:hAnsi="仿宋" w:eastAsia="仿宋" w:cs="仿宋"/>
                <w:sz w:val="23"/>
                <w:szCs w:val="23"/>
              </w:rPr>
            </w:pPr>
            <w:r>
              <w:rPr>
                <w:rFonts w:ascii="仿宋" w:hAnsi="仿宋" w:eastAsia="仿宋" w:cs="仿宋"/>
                <w:spacing w:val="-9"/>
                <w:sz w:val="23"/>
                <w:szCs w:val="23"/>
              </w:rPr>
              <w:t>其</w:t>
            </w:r>
            <w:r>
              <w:rPr>
                <w:rFonts w:ascii="仿宋" w:hAnsi="仿宋" w:eastAsia="仿宋" w:cs="仿宋"/>
                <w:spacing w:val="-8"/>
                <w:sz w:val="23"/>
                <w:szCs w:val="23"/>
              </w:rPr>
              <w:t>中</w:t>
            </w:r>
          </w:p>
        </w:tc>
        <w:tc>
          <w:tcPr>
            <w:tcW w:w="843" w:type="dxa"/>
            <w:tcBorders>
              <w:tl2br w:val="nil"/>
              <w:tr2bl w:val="nil"/>
            </w:tcBorders>
            <w:noWrap w:val="0"/>
            <w:vAlign w:val="top"/>
          </w:tcPr>
          <w:p w14:paraId="372DC29B">
            <w:pPr>
              <w:keepNext w:val="0"/>
              <w:keepLines w:val="0"/>
              <w:pageBreakBefore w:val="0"/>
              <w:widowControl w:val="0"/>
              <w:wordWrap/>
              <w:overflowPunct/>
              <w:bidi w:val="0"/>
              <w:spacing w:before="109" w:line="202" w:lineRule="auto"/>
              <w:ind w:left="116"/>
              <w:rPr>
                <w:rFonts w:ascii="Arial" w:hAnsi="Arial" w:eastAsia="Arial" w:cs="Arial"/>
                <w:sz w:val="25"/>
                <w:szCs w:val="25"/>
              </w:rPr>
            </w:pPr>
            <w:r>
              <w:rPr>
                <w:rFonts w:ascii="Arial" w:hAnsi="Arial" w:eastAsia="Arial" w:cs="Arial"/>
                <w:spacing w:val="-4"/>
                <w:sz w:val="25"/>
                <w:szCs w:val="25"/>
              </w:rPr>
              <w:t>E</w:t>
            </w:r>
            <w:r>
              <w:rPr>
                <w:rFonts w:ascii="Arial" w:hAnsi="Arial" w:eastAsia="Arial" w:cs="Arial"/>
                <w:spacing w:val="-6"/>
                <w:sz w:val="25"/>
                <w:szCs w:val="25"/>
              </w:rPr>
              <w:t>1</w:t>
            </w:r>
          </w:p>
        </w:tc>
        <w:tc>
          <w:tcPr>
            <w:tcW w:w="3505" w:type="dxa"/>
            <w:tcBorders>
              <w:tl2br w:val="nil"/>
              <w:tr2bl w:val="nil"/>
            </w:tcBorders>
            <w:noWrap w:val="0"/>
            <w:vAlign w:val="top"/>
          </w:tcPr>
          <w:p w14:paraId="166CF953">
            <w:pPr>
              <w:keepNext w:val="0"/>
              <w:keepLines w:val="0"/>
              <w:pageBreakBefore w:val="0"/>
              <w:widowControl w:val="0"/>
              <w:wordWrap/>
              <w:overflowPunct/>
              <w:bidi w:val="0"/>
              <w:spacing w:before="86" w:line="226" w:lineRule="auto"/>
              <w:ind w:left="105"/>
              <w:rPr>
                <w:rFonts w:ascii="仿宋" w:hAnsi="仿宋" w:eastAsia="仿宋" w:cs="仿宋"/>
                <w:sz w:val="23"/>
                <w:szCs w:val="23"/>
              </w:rPr>
            </w:pPr>
            <w:r>
              <w:rPr>
                <w:rFonts w:ascii="仿宋" w:hAnsi="仿宋" w:eastAsia="仿宋" w:cs="仿宋"/>
                <w:spacing w:val="6"/>
                <w:sz w:val="23"/>
                <w:szCs w:val="23"/>
              </w:rPr>
              <w:t>水</w:t>
            </w:r>
            <w:r>
              <w:rPr>
                <w:rFonts w:ascii="仿宋" w:hAnsi="仿宋" w:eastAsia="仿宋" w:cs="仿宋"/>
                <w:spacing w:val="5"/>
                <w:sz w:val="23"/>
                <w:szCs w:val="23"/>
              </w:rPr>
              <w:t>域</w:t>
            </w:r>
          </w:p>
        </w:tc>
        <w:tc>
          <w:tcPr>
            <w:tcW w:w="1755" w:type="dxa"/>
            <w:tcBorders>
              <w:tl2br w:val="nil"/>
              <w:tr2bl w:val="nil"/>
            </w:tcBorders>
            <w:noWrap w:val="0"/>
            <w:vAlign w:val="top"/>
          </w:tcPr>
          <w:p w14:paraId="7057669D">
            <w:pPr>
              <w:keepNext w:val="0"/>
              <w:keepLines w:val="0"/>
              <w:pageBreakBefore w:val="0"/>
              <w:widowControl w:val="0"/>
              <w:wordWrap/>
              <w:overflowPunct/>
              <w:bidi w:val="0"/>
              <w:spacing w:before="116" w:line="203" w:lineRule="auto"/>
              <w:ind w:left="129"/>
              <w:rPr>
                <w:rFonts w:ascii="Arial" w:hAnsi="Arial" w:eastAsia="Arial" w:cs="Arial"/>
                <w:sz w:val="23"/>
                <w:szCs w:val="23"/>
              </w:rPr>
            </w:pPr>
            <w:r>
              <w:rPr>
                <w:rFonts w:hint="eastAsia" w:ascii="Arial" w:hAnsi="Arial" w:eastAsia="宋体" w:cs="Arial"/>
                <w:spacing w:val="-11"/>
                <w:sz w:val="23"/>
                <w:szCs w:val="23"/>
                <w:lang w:val="en-US" w:eastAsia="zh-CN"/>
              </w:rPr>
              <w:t>11</w:t>
            </w:r>
            <w:r>
              <w:rPr>
                <w:rFonts w:ascii="Arial" w:hAnsi="Arial" w:eastAsia="Arial" w:cs="Arial"/>
                <w:spacing w:val="-11"/>
                <w:sz w:val="23"/>
                <w:szCs w:val="23"/>
              </w:rPr>
              <w:t>.15</w:t>
            </w:r>
          </w:p>
        </w:tc>
        <w:tc>
          <w:tcPr>
            <w:tcW w:w="1839" w:type="dxa"/>
            <w:tcBorders>
              <w:tl2br w:val="nil"/>
              <w:tr2bl w:val="nil"/>
            </w:tcBorders>
            <w:noWrap w:val="0"/>
            <w:vAlign w:val="top"/>
          </w:tcPr>
          <w:p w14:paraId="78BE822F">
            <w:pPr>
              <w:keepNext w:val="0"/>
              <w:keepLines w:val="0"/>
              <w:pageBreakBefore w:val="0"/>
              <w:widowControl w:val="0"/>
              <w:wordWrap/>
              <w:overflowPunct/>
              <w:bidi w:val="0"/>
              <w:rPr>
                <w:rFonts w:ascii="Arial"/>
                <w:sz w:val="21"/>
              </w:rPr>
            </w:pPr>
          </w:p>
        </w:tc>
      </w:tr>
      <w:tr w14:paraId="2E24D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78" w:type="dxa"/>
            <w:vMerge w:val="continue"/>
            <w:tcBorders>
              <w:tl2br w:val="nil"/>
              <w:tr2bl w:val="nil"/>
            </w:tcBorders>
            <w:noWrap w:val="0"/>
            <w:vAlign w:val="top"/>
          </w:tcPr>
          <w:p w14:paraId="0B52166F">
            <w:pPr>
              <w:keepNext w:val="0"/>
              <w:keepLines w:val="0"/>
              <w:pageBreakBefore w:val="0"/>
              <w:widowControl w:val="0"/>
              <w:kinsoku w:val="0"/>
              <w:wordWrap/>
              <w:overflowPunct/>
              <w:topLinePunct w:val="0"/>
              <w:autoSpaceDE w:val="0"/>
              <w:autoSpaceDN w:val="0"/>
              <w:bidi w:val="0"/>
              <w:adjustRightInd w:val="0"/>
              <w:snapToGrid w:val="0"/>
              <w:ind w:left="0"/>
              <w:jc w:val="center"/>
              <w:textAlignment w:val="baseline"/>
              <w:rPr>
                <w:rFonts w:ascii="Arial"/>
                <w:sz w:val="21"/>
              </w:rPr>
            </w:pPr>
          </w:p>
        </w:tc>
        <w:tc>
          <w:tcPr>
            <w:tcW w:w="471" w:type="dxa"/>
            <w:vMerge w:val="continue"/>
            <w:tcBorders>
              <w:tl2br w:val="nil"/>
              <w:tr2bl w:val="nil"/>
            </w:tcBorders>
            <w:noWrap w:val="0"/>
            <w:textDirection w:val="tbRlV"/>
            <w:vAlign w:val="top"/>
          </w:tcPr>
          <w:p w14:paraId="6DA576BE">
            <w:pPr>
              <w:keepNext w:val="0"/>
              <w:keepLines w:val="0"/>
              <w:pageBreakBefore w:val="0"/>
              <w:widowControl w:val="0"/>
              <w:wordWrap/>
              <w:overflowPunct/>
              <w:bidi w:val="0"/>
              <w:rPr>
                <w:rFonts w:ascii="Arial"/>
                <w:sz w:val="21"/>
              </w:rPr>
            </w:pPr>
          </w:p>
        </w:tc>
        <w:tc>
          <w:tcPr>
            <w:tcW w:w="843" w:type="dxa"/>
            <w:tcBorders>
              <w:tl2br w:val="nil"/>
              <w:tr2bl w:val="nil"/>
            </w:tcBorders>
            <w:noWrap w:val="0"/>
            <w:vAlign w:val="top"/>
          </w:tcPr>
          <w:p w14:paraId="6032E82B">
            <w:pPr>
              <w:keepNext w:val="0"/>
              <w:keepLines w:val="0"/>
              <w:pageBreakBefore w:val="0"/>
              <w:widowControl w:val="0"/>
              <w:wordWrap/>
              <w:overflowPunct/>
              <w:bidi w:val="0"/>
              <w:spacing w:before="110" w:line="202" w:lineRule="auto"/>
              <w:ind w:left="116"/>
              <w:rPr>
                <w:rFonts w:ascii="Arial" w:hAnsi="Arial" w:eastAsia="Arial" w:cs="Arial"/>
                <w:sz w:val="25"/>
                <w:szCs w:val="25"/>
              </w:rPr>
            </w:pPr>
            <w:r>
              <w:rPr>
                <w:rFonts w:ascii="Arial" w:hAnsi="Arial" w:eastAsia="Arial" w:cs="Arial"/>
                <w:spacing w:val="-4"/>
                <w:sz w:val="25"/>
                <w:szCs w:val="25"/>
              </w:rPr>
              <w:t>E</w:t>
            </w:r>
            <w:r>
              <w:rPr>
                <w:rFonts w:ascii="Arial" w:hAnsi="Arial" w:eastAsia="Arial" w:cs="Arial"/>
                <w:spacing w:val="-6"/>
                <w:sz w:val="25"/>
                <w:szCs w:val="25"/>
              </w:rPr>
              <w:t>2</w:t>
            </w:r>
          </w:p>
        </w:tc>
        <w:tc>
          <w:tcPr>
            <w:tcW w:w="3505" w:type="dxa"/>
            <w:tcBorders>
              <w:tl2br w:val="nil"/>
              <w:tr2bl w:val="nil"/>
            </w:tcBorders>
            <w:noWrap w:val="0"/>
            <w:vAlign w:val="top"/>
          </w:tcPr>
          <w:p w14:paraId="3A06C13C">
            <w:pPr>
              <w:keepNext w:val="0"/>
              <w:keepLines w:val="0"/>
              <w:pageBreakBefore w:val="0"/>
              <w:widowControl w:val="0"/>
              <w:wordWrap/>
              <w:overflowPunct/>
              <w:bidi w:val="0"/>
              <w:spacing w:before="84" w:line="225" w:lineRule="auto"/>
              <w:ind w:left="108"/>
              <w:rPr>
                <w:rFonts w:ascii="仿宋" w:hAnsi="仿宋" w:eastAsia="仿宋" w:cs="仿宋"/>
                <w:sz w:val="23"/>
                <w:szCs w:val="23"/>
              </w:rPr>
            </w:pPr>
            <w:r>
              <w:rPr>
                <w:rFonts w:ascii="仿宋" w:hAnsi="仿宋" w:eastAsia="仿宋" w:cs="仿宋"/>
                <w:spacing w:val="7"/>
                <w:sz w:val="23"/>
                <w:szCs w:val="23"/>
              </w:rPr>
              <w:t>农林用地</w:t>
            </w:r>
          </w:p>
        </w:tc>
        <w:tc>
          <w:tcPr>
            <w:tcW w:w="1755" w:type="dxa"/>
            <w:tcBorders>
              <w:tl2br w:val="nil"/>
              <w:tr2bl w:val="nil"/>
            </w:tcBorders>
            <w:noWrap w:val="0"/>
            <w:vAlign w:val="top"/>
          </w:tcPr>
          <w:p w14:paraId="0723CEAB">
            <w:pPr>
              <w:keepNext w:val="0"/>
              <w:keepLines w:val="0"/>
              <w:pageBreakBefore w:val="0"/>
              <w:widowControl w:val="0"/>
              <w:wordWrap/>
              <w:overflowPunct/>
              <w:bidi w:val="0"/>
              <w:spacing w:before="114" w:line="203" w:lineRule="auto"/>
              <w:ind w:left="110"/>
              <w:rPr>
                <w:rFonts w:ascii="Arial" w:hAnsi="Arial" w:eastAsia="Arial" w:cs="Arial"/>
                <w:sz w:val="23"/>
                <w:szCs w:val="23"/>
              </w:rPr>
            </w:pPr>
            <w:r>
              <w:rPr>
                <w:rFonts w:ascii="Arial" w:hAnsi="Arial" w:eastAsia="Arial" w:cs="Arial"/>
                <w:spacing w:val="7"/>
                <w:sz w:val="23"/>
                <w:szCs w:val="23"/>
              </w:rPr>
              <w:t>2</w:t>
            </w:r>
            <w:r>
              <w:rPr>
                <w:rFonts w:ascii="Arial" w:hAnsi="Arial" w:eastAsia="Arial" w:cs="Arial"/>
                <w:spacing w:val="4"/>
                <w:sz w:val="23"/>
                <w:szCs w:val="23"/>
              </w:rPr>
              <w:t>87.8</w:t>
            </w:r>
          </w:p>
        </w:tc>
        <w:tc>
          <w:tcPr>
            <w:tcW w:w="1839" w:type="dxa"/>
            <w:tcBorders>
              <w:tl2br w:val="nil"/>
              <w:tr2bl w:val="nil"/>
            </w:tcBorders>
            <w:noWrap w:val="0"/>
            <w:vAlign w:val="top"/>
          </w:tcPr>
          <w:p w14:paraId="4505A502">
            <w:pPr>
              <w:keepNext w:val="0"/>
              <w:keepLines w:val="0"/>
              <w:pageBreakBefore w:val="0"/>
              <w:widowControl w:val="0"/>
              <w:wordWrap/>
              <w:overflowPunct/>
              <w:bidi w:val="0"/>
              <w:rPr>
                <w:rFonts w:ascii="Arial"/>
                <w:sz w:val="21"/>
              </w:rPr>
            </w:pPr>
          </w:p>
        </w:tc>
      </w:tr>
      <w:tr w14:paraId="0D2C5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878" w:type="dxa"/>
            <w:tcBorders>
              <w:tl2br w:val="nil"/>
              <w:tr2bl w:val="nil"/>
            </w:tcBorders>
            <w:noWrap w:val="0"/>
            <w:vAlign w:val="top"/>
          </w:tcPr>
          <w:p w14:paraId="6ED60F8C">
            <w:pPr>
              <w:keepNext w:val="0"/>
              <w:keepLines w:val="0"/>
              <w:pageBreakBefore w:val="0"/>
              <w:widowControl w:val="0"/>
              <w:kinsoku w:val="0"/>
              <w:wordWrap/>
              <w:overflowPunct/>
              <w:topLinePunct w:val="0"/>
              <w:autoSpaceDE w:val="0"/>
              <w:autoSpaceDN w:val="0"/>
              <w:bidi w:val="0"/>
              <w:adjustRightInd w:val="0"/>
              <w:snapToGrid w:val="0"/>
              <w:spacing w:before="116" w:line="203" w:lineRule="auto"/>
              <w:ind w:left="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2</w:t>
            </w:r>
          </w:p>
        </w:tc>
        <w:tc>
          <w:tcPr>
            <w:tcW w:w="4819" w:type="dxa"/>
            <w:gridSpan w:val="3"/>
            <w:tcBorders>
              <w:tl2br w:val="nil"/>
              <w:tr2bl w:val="nil"/>
            </w:tcBorders>
            <w:noWrap w:val="0"/>
            <w:vAlign w:val="top"/>
          </w:tcPr>
          <w:p w14:paraId="446ECCBA">
            <w:pPr>
              <w:keepNext w:val="0"/>
              <w:keepLines w:val="0"/>
              <w:pageBreakBefore w:val="0"/>
              <w:widowControl w:val="0"/>
              <w:wordWrap/>
              <w:overflowPunct/>
              <w:bidi w:val="0"/>
              <w:spacing w:before="85" w:line="225" w:lineRule="auto"/>
              <w:ind w:left="106"/>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1755" w:type="dxa"/>
            <w:tcBorders>
              <w:tl2br w:val="nil"/>
              <w:tr2bl w:val="nil"/>
            </w:tcBorders>
            <w:noWrap w:val="0"/>
            <w:vAlign w:val="top"/>
          </w:tcPr>
          <w:p w14:paraId="45B4DA37">
            <w:pPr>
              <w:keepNext w:val="0"/>
              <w:keepLines w:val="0"/>
              <w:pageBreakBefore w:val="0"/>
              <w:widowControl w:val="0"/>
              <w:wordWrap/>
              <w:overflowPunct/>
              <w:bidi w:val="0"/>
              <w:spacing w:before="115" w:line="203" w:lineRule="auto"/>
              <w:ind w:left="129"/>
              <w:rPr>
                <w:rFonts w:ascii="Arial" w:hAnsi="Arial" w:eastAsia="Arial" w:cs="Arial"/>
                <w:sz w:val="23"/>
                <w:szCs w:val="23"/>
              </w:rPr>
            </w:pPr>
            <w:r>
              <w:rPr>
                <w:rFonts w:ascii="Arial" w:hAnsi="Arial" w:eastAsia="Arial" w:cs="Arial"/>
                <w:spacing w:val="2"/>
                <w:sz w:val="23"/>
                <w:szCs w:val="23"/>
              </w:rPr>
              <w:t>183</w:t>
            </w:r>
            <w:r>
              <w:rPr>
                <w:rFonts w:ascii="Arial" w:hAnsi="Arial" w:eastAsia="Arial" w:cs="Arial"/>
                <w:spacing w:val="1"/>
                <w:sz w:val="23"/>
                <w:szCs w:val="23"/>
              </w:rPr>
              <w:t>4.96</w:t>
            </w:r>
          </w:p>
        </w:tc>
        <w:tc>
          <w:tcPr>
            <w:tcW w:w="1839" w:type="dxa"/>
            <w:tcBorders>
              <w:tl2br w:val="nil"/>
              <w:tr2bl w:val="nil"/>
            </w:tcBorders>
            <w:noWrap w:val="0"/>
            <w:vAlign w:val="top"/>
          </w:tcPr>
          <w:p w14:paraId="24FB4F25">
            <w:pPr>
              <w:keepNext w:val="0"/>
              <w:keepLines w:val="0"/>
              <w:pageBreakBefore w:val="0"/>
              <w:widowControl w:val="0"/>
              <w:wordWrap/>
              <w:overflowPunct/>
              <w:bidi w:val="0"/>
              <w:rPr>
                <w:rFonts w:ascii="Arial"/>
                <w:sz w:val="21"/>
              </w:rPr>
            </w:pPr>
          </w:p>
        </w:tc>
      </w:tr>
    </w:tbl>
    <w:p w14:paraId="2CBCD79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kern w:val="2"/>
          <w:sz w:val="28"/>
          <w:szCs w:val="28"/>
          <w:lang w:val="en-US" w:eastAsia="zh-CN" w:bidi="ar-SA"/>
        </w:rPr>
      </w:pPr>
      <w:r>
        <w:rPr>
          <w:rFonts w:hint="default" w:ascii="楷体_GB2312" w:hAnsi="楷体_GB2312" w:eastAsia="楷体_GB2312" w:cs="楷体_GB2312"/>
          <w:b/>
          <w:bCs/>
          <w:spacing w:val="0"/>
          <w:kern w:val="2"/>
          <w:sz w:val="28"/>
          <w:szCs w:val="28"/>
          <w:lang w:val="en-US" w:eastAsia="zh-CN" w:bidi="ar-SA"/>
        </w:rPr>
        <w:t>6.4.3空间管制</w:t>
      </w:r>
    </w:p>
    <w:p w14:paraId="7BFCA14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b/>
          <w:bCs/>
          <w:spacing w:val="0"/>
          <w:kern w:val="2"/>
          <w:sz w:val="28"/>
          <w:szCs w:val="28"/>
          <w:lang w:val="en-US" w:eastAsia="zh-CN" w:bidi="ar-SA"/>
        </w:rPr>
      </w:pPr>
      <w:r>
        <w:rPr>
          <w:rFonts w:hint="eastAsia" w:ascii="仿宋_GB2312" w:hAnsi="仿宋_GB2312" w:eastAsia="仿宋_GB2312" w:cs="仿宋_GB2312"/>
          <w:b w:val="0"/>
          <w:bCs w:val="0"/>
          <w:spacing w:val="0"/>
          <w:kern w:val="2"/>
          <w:sz w:val="28"/>
          <w:szCs w:val="28"/>
          <w:lang w:val="en-US" w:eastAsia="zh-CN" w:bidi="ar-SA"/>
        </w:rPr>
        <w:t>6.4.3.1</w:t>
      </w:r>
      <w:r>
        <w:rPr>
          <w:rFonts w:hint="eastAsia" w:ascii="仿宋_GB2312" w:hAnsi="仿宋_GB2312" w:eastAsia="仿宋_GB2312" w:cs="仿宋_GB2312"/>
          <w:b/>
          <w:bCs/>
          <w:spacing w:val="0"/>
          <w:sz w:val="28"/>
          <w:szCs w:val="28"/>
          <w:lang w:val="en-US" w:eastAsia="zh-CN"/>
        </w:rPr>
        <w:t>管制分区</w:t>
      </w:r>
    </w:p>
    <w:p w14:paraId="2F7A53B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进一步合理、集约利用土地，控制泉港高新区空间范围，防止无序建设和蔓延，对规划区空间的开发、建设进行强制性的管制，设置四类建设的空间区域，分别为禁建区、限建区、适建区、已建区。不同政策分区实施不同的管制政策，实施不同的控制和引导要求。</w:t>
      </w:r>
    </w:p>
    <w:p w14:paraId="1393897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（1）已建区</w:t>
      </w:r>
    </w:p>
    <w:p w14:paraId="366C79D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已建区主要包括规划区内的建成区和现状村庄。</w:t>
      </w:r>
    </w:p>
    <w:p w14:paraId="23F511B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建成区范围内用地的建设应纳入城市总体规划，对于符合总规的用地可在现状基础上继续完善，改善设施条件，加强环境整治；对于不符合总规的用地应在一定时期内调整用地属性或组织进行搬迁。</w:t>
      </w:r>
    </w:p>
    <w:p w14:paraId="57D2F0D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（2）禁建区</w:t>
      </w:r>
    </w:p>
    <w:p w14:paraId="6FE065A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禁建区主要包括生态红线、基本农田保护区、重点保护文物、区域性交通廊道(铁路和高速公路)、区域公共设施、河道、排水渠等用地。</w:t>
      </w:r>
    </w:p>
    <w:p w14:paraId="31BDEF1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禁建区内土地的主导用途为生态环境保护空间，严格禁止与主导功能不相符的各项建设；对现状村庄进行边界控制，有序安排搬迁，并进行生态修复；对已建工业用地实施逐步搬迁并进行生态修复。</w:t>
      </w:r>
    </w:p>
    <w:p w14:paraId="6576260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（3）限建区</w:t>
      </w:r>
    </w:p>
    <w:p w14:paraId="1DC632E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限建区主要包括规划区内的城市公园以及林地。</w:t>
      </w:r>
    </w:p>
    <w:p w14:paraId="75AD8E86">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限建区内禁止城、镇、村建设，确有必要时，必须控制项目的性质、规模和开发强度，严格管理程序，经审查和论证后进行。</w:t>
      </w:r>
    </w:p>
    <w:p w14:paraId="430D61B0">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（4）适建区</w:t>
      </w:r>
    </w:p>
    <w:p w14:paraId="6CA82D34">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适建区是指禁建区、限建区以外的</w:t>
      </w:r>
      <w:r>
        <w:rPr>
          <w:rFonts w:hint="default" w:ascii="仿宋_GB2312" w:hAnsi="仿宋_GB2312" w:eastAsia="仿宋_GB2312" w:cs="仿宋_GB2312"/>
          <w:spacing w:val="0"/>
          <w:sz w:val="28"/>
          <w:szCs w:val="28"/>
          <w:lang w:val="en-US" w:eastAsia="zh-CN"/>
        </w:rPr>
        <w:t>未建设地区，一般不需或只需稍加改造即可作为城镇建设用地。</w:t>
      </w:r>
    </w:p>
    <w:p w14:paraId="2CAAA68A">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2" w:firstLineChars="200"/>
        <w:jc w:val="both"/>
        <w:textAlignment w:val="auto"/>
        <w:rPr>
          <w:rFonts w:hint="default" w:ascii="仿宋_GB2312" w:hAnsi="仿宋_GB2312" w:eastAsia="仿宋_GB2312" w:cs="仿宋_GB2312"/>
          <w:b/>
          <w:bCs/>
          <w:spacing w:val="0"/>
          <w:kern w:val="2"/>
          <w:sz w:val="28"/>
          <w:szCs w:val="28"/>
          <w:lang w:val="en-US" w:eastAsia="zh-CN" w:bidi="ar-SA"/>
        </w:rPr>
      </w:pPr>
      <w:r>
        <w:rPr>
          <w:rFonts w:hint="default" w:ascii="仿宋_GB2312" w:hAnsi="仿宋_GB2312" w:eastAsia="仿宋_GB2312" w:cs="仿宋_GB2312"/>
          <w:b/>
          <w:bCs/>
          <w:spacing w:val="0"/>
          <w:kern w:val="2"/>
          <w:sz w:val="28"/>
          <w:szCs w:val="28"/>
          <w:lang w:val="en-US" w:eastAsia="zh-CN" w:bidi="ar-SA"/>
        </w:rPr>
        <w:t>6.4.3.2四线控制</w:t>
      </w:r>
    </w:p>
    <w:p w14:paraId="6508396A">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（1）蓝线</w:t>
      </w:r>
    </w:p>
    <w:p w14:paraId="66D510B2">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范围：本规划区内主要指规划范围内的河流、水库控制范围。</w:t>
      </w:r>
    </w:p>
    <w:p w14:paraId="203F04D6">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措施：在蓝线内禁止进行违反蓝线保护和控制要求的建设活动；禁止擅自填埋、占用城镇蓝线内水域；影响水系安全的爆破、采石、取土；禁止擅自建设各类排污设施；禁止其它对水系保护构成破坏的活动。</w:t>
      </w:r>
    </w:p>
    <w:p w14:paraId="0C4956E4">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（2）绿线</w:t>
      </w:r>
    </w:p>
    <w:p w14:paraId="11AEBD87">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范围：本次规划所涉及的绿线是公共绿地、防护绿地。</w:t>
      </w:r>
    </w:p>
    <w:p w14:paraId="250CD177">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措施：</w:t>
      </w:r>
    </w:p>
    <w:p w14:paraId="0A7F03A6">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绿线内的用地，不得改作他用，不得违反法律法规、强制性标准以</w:t>
      </w:r>
    </w:p>
    <w:p w14:paraId="6DDD9789">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及批准的规划进行开发建设。</w:t>
      </w:r>
    </w:p>
    <w:p w14:paraId="652464D8">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有关部门不得违反规定，批准在绿线范围内进行建设。</w:t>
      </w:r>
    </w:p>
    <w:p w14:paraId="2AAC8588">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因建设或者其他特殊情况，需要临时占用绿线内用地的，必须依法办理相关审批手续。</w:t>
      </w:r>
    </w:p>
    <w:p w14:paraId="05E4ED5A">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在绿线范围内，不符合规划要求的建筑物、构筑物及其他设施应当限期迁出。</w:t>
      </w:r>
    </w:p>
    <w:p w14:paraId="5209C68D">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任何单位和个人不得在城市绿地范围内进行拦河截溪、取土采石、设置垃圾堆场、排放污水以及其他对生态环境构成破坏的活动。</w:t>
      </w:r>
    </w:p>
    <w:p w14:paraId="78833081">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近期不进行绿化建设的规划绿地范围内的建设活动，应当进行生态环</w:t>
      </w:r>
      <w:r>
        <w:rPr>
          <w:rFonts w:hint="default" w:ascii="仿宋_GB2312" w:hAnsi="仿宋_GB2312" w:eastAsia="仿宋_GB2312" w:cs="仿宋_GB2312"/>
          <w:spacing w:val="6"/>
          <w:sz w:val="28"/>
          <w:szCs w:val="28"/>
          <w:lang w:val="en-US" w:eastAsia="zh-CN"/>
        </w:rPr>
        <w:t>境影响分析，并按照《中华人民共和国城乡规划法》的规定，予以严格控制。</w:t>
      </w:r>
    </w:p>
    <w:p w14:paraId="09DA0317">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在绿线内进行各项建设，应当符合经批准的城市规划。</w:t>
      </w:r>
    </w:p>
    <w:p w14:paraId="621A6862">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（3）道路红线</w:t>
      </w:r>
    </w:p>
    <w:p w14:paraId="2192B10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范围：本规划的道路红线指城市快速路、主干路、次干路、支路的道路红线，红线规划管制范围以道路交通系统为基础进行红线划定。</w:t>
      </w:r>
    </w:p>
    <w:p w14:paraId="633C6A4D">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措施：</w:t>
      </w:r>
    </w:p>
    <w:p w14:paraId="1770AA2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任何单位和个人不得占用道路红线进行建设，道路红线内各种标志、广告牌等经规划行政主管部门审查批准后方可设置。</w:t>
      </w:r>
    </w:p>
    <w:p w14:paraId="7953758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道路红线内现有的建/构筑物及其设施应逐步迁出，尚未迁出的房屋不得出售或改、扩建，临时建/构筑物应在期满后给予拆除，暂时未兴建的道路，按照《中华人民共和国城乡规划法》严格管制。</w:t>
      </w:r>
    </w:p>
    <w:p w14:paraId="1A8D806D">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为了增强规划的弹性和现实可操作性，将支路定为弹性道路，可根据项目实际需要调整相应路网。</w:t>
      </w:r>
    </w:p>
    <w:p w14:paraId="2A6F268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（4）基础设施黄线</w:t>
      </w:r>
    </w:p>
    <w:p w14:paraId="0EA175A4">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范围：本规划内主要包括污水处理厂、消防站、变电站及垃圾转运站等设施。</w:t>
      </w:r>
    </w:p>
    <w:p w14:paraId="64BE71F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措施:</w:t>
      </w:r>
    </w:p>
    <w:p w14:paraId="0009D802">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黄线一经批准，不得擅自调整。</w:t>
      </w:r>
    </w:p>
    <w:p w14:paraId="64E90749">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在黄线内进行建设活动，应当贯彻安全、高效、经济的方针，处理好近远景关系，根据城市发展的实际需要，分期有序实施。</w:t>
      </w:r>
    </w:p>
    <w:p w14:paraId="7975D169">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因建设或其他特殊情况需要临时占用黄线内土地的，应当依法办理相关审批手续。</w:t>
      </w:r>
    </w:p>
    <w:p w14:paraId="6AFFDF0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在黄线范围内禁止进行下列活动：违反城市规划要求，进行建筑物、构筑物及其他设施的建设；违反国家有关技术标准和规范进行建设；未经批准，改装、迁移或拆毁原有城市基础设施；其他损坏城市基础设施或影响城市基础设施安全和正常运转的行为。</w:t>
      </w:r>
    </w:p>
    <w:p w14:paraId="38BF530E">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5"/>
          <w:sz w:val="28"/>
          <w:szCs w:val="28"/>
        </w:rPr>
        <w:drawing>
          <wp:inline distT="0" distB="0" distL="114300" distR="114300">
            <wp:extent cx="111125" cy="197485"/>
            <wp:effectExtent l="0" t="0" r="762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在黄线内进行建设，应当符合经批准的城市规划。</w:t>
      </w:r>
    </w:p>
    <w:p w14:paraId="73595DA2">
      <w:pPr>
        <w:pStyle w:val="2"/>
        <w:keepNext w:val="0"/>
        <w:keepLines w:val="0"/>
        <w:pageBreakBefore w:val="0"/>
        <w:widowControl w:val="0"/>
        <w:wordWrap/>
        <w:overflowPunct/>
        <w:bidi w:val="0"/>
        <w:rPr>
          <w:rFonts w:hint="default" w:ascii="Arial" w:hAnsi="Arial" w:eastAsia="宋体" w:cs="Arial"/>
          <w:spacing w:val="5"/>
          <w:sz w:val="28"/>
          <w:szCs w:val="28"/>
          <w:lang w:val="en-US" w:eastAsia="zh-CN"/>
        </w:rPr>
      </w:pPr>
    </w:p>
    <w:p w14:paraId="5ED2390C">
      <w:pPr>
        <w:pStyle w:val="2"/>
        <w:keepNext w:val="0"/>
        <w:keepLines w:val="0"/>
        <w:pageBreakBefore w:val="0"/>
        <w:widowControl w:val="0"/>
        <w:wordWrap/>
        <w:overflowPunct/>
        <w:bidi w:val="0"/>
        <w:rPr>
          <w:rFonts w:hint="default" w:ascii="Arial" w:hAnsi="Arial" w:eastAsia="宋体" w:cs="Arial"/>
          <w:spacing w:val="5"/>
          <w:sz w:val="28"/>
          <w:szCs w:val="28"/>
          <w:lang w:val="en-US" w:eastAsia="zh-CN"/>
        </w:rPr>
      </w:pPr>
    </w:p>
    <w:p w14:paraId="54BCB72A">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0BF19A2B">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4BD93947">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70866D1C">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50898246">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46615450">
      <w:pPr>
        <w:keepNext w:val="0"/>
        <w:keepLines w:val="0"/>
        <w:pageBreakBefore w:val="0"/>
        <w:widowControl w:val="0"/>
        <w:wordWrap/>
        <w:overflowPunct/>
        <w:bidi w:val="0"/>
        <w:spacing w:before="113" w:line="222" w:lineRule="auto"/>
        <w:jc w:val="center"/>
        <w:outlineLvl w:val="0"/>
        <w:rPr>
          <w:rFonts w:ascii="仿宋" w:hAnsi="仿宋" w:eastAsia="仿宋" w:cs="仿宋"/>
          <w:sz w:val="35"/>
          <w:szCs w:val="35"/>
        </w:rPr>
      </w:pPr>
      <w:r>
        <w:rPr>
          <w:rFonts w:ascii="仿宋" w:hAnsi="仿宋" w:eastAsia="仿宋" w:cs="仿宋"/>
          <w:spacing w:val="3"/>
          <w:sz w:val="35"/>
          <w:szCs w:val="35"/>
        </w:rPr>
        <w:t>第三部分</w:t>
      </w:r>
    </w:p>
    <w:p w14:paraId="6344AA5C">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r>
        <w:rPr>
          <w:rFonts w:ascii="仿宋" w:hAnsi="仿宋" w:eastAsia="仿宋" w:cs="仿宋"/>
          <w:spacing w:val="5"/>
          <w:sz w:val="43"/>
          <w:szCs w:val="43"/>
        </w:rPr>
        <w:t>重大专项统筹</w:t>
      </w:r>
    </w:p>
    <w:p w14:paraId="493AF60B">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4EAB170E">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73179F76">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22B23E45">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36A401A">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6FC823F2">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5CA4ABF0">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426845C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702D0D8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4BCCFA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7F81827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36"/>
          <w:szCs w:val="36"/>
          <w:lang w:val="en-US" w:eastAsia="zh-CN"/>
        </w:rPr>
      </w:pPr>
      <w:r>
        <w:rPr>
          <w:rFonts w:hint="eastAsia" w:ascii="方正小标宋_GBK" w:hAnsi="方正小标宋_GBK" w:eastAsia="方正小标宋_GBK" w:cs="方正小标宋_GBK"/>
          <w:b/>
          <w:bCs/>
          <w:snapToGrid w:val="0"/>
          <w:color w:val="000000"/>
          <w:spacing w:val="10"/>
          <w:kern w:val="0"/>
          <w:sz w:val="36"/>
          <w:szCs w:val="36"/>
          <w:lang w:val="en-US" w:eastAsia="zh-CN"/>
        </w:rPr>
        <w:t>7</w:t>
      </w:r>
      <w:r>
        <w:rPr>
          <w:rFonts w:hint="eastAsia" w:ascii="方正小标宋_GBK" w:hAnsi="方正小标宋_GBK" w:eastAsia="方正小标宋_GBK" w:cs="方正小标宋_GBK"/>
          <w:spacing w:val="0"/>
          <w:sz w:val="36"/>
          <w:szCs w:val="36"/>
          <w:lang w:val="en-US" w:eastAsia="zh-CN"/>
        </w:rPr>
        <w:t>产业发展</w:t>
      </w:r>
    </w:p>
    <w:p w14:paraId="5CD5AE4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77ABFA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7.1产业规划原则</w:t>
      </w:r>
    </w:p>
    <w:p w14:paraId="1F5D233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楷体_GB2312" w:hAnsi="楷体_GB2312" w:eastAsia="楷体_GB2312" w:cs="楷体_GB2312"/>
          <w:spacing w:val="0"/>
          <w:sz w:val="28"/>
          <w:szCs w:val="28"/>
          <w:lang w:val="en-US" w:eastAsia="zh-CN"/>
        </w:rPr>
      </w:pPr>
      <w:r>
        <w:rPr>
          <w:rFonts w:hint="eastAsia" w:ascii="楷体_GB2312" w:hAnsi="楷体_GB2312" w:eastAsia="楷体_GB2312" w:cs="楷体_GB2312"/>
          <w:spacing w:val="0"/>
          <w:sz w:val="28"/>
          <w:szCs w:val="28"/>
          <w:lang w:val="en-US" w:eastAsia="zh-CN"/>
        </w:rPr>
        <w:t>(1)量质并举、转调发展</w:t>
      </w:r>
    </w:p>
    <w:p w14:paraId="1165A48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以打造大石化下游新材料特色产业为主导，引导产业发展从要素驱动向创新驱动转变，机会发展向精准招商转变，中低端制造为主向高端制造为主转变。加快构建创新型产业集群，实现规模与效益双向提升。</w:t>
      </w:r>
    </w:p>
    <w:p w14:paraId="3BECBEE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spacing w:val="0"/>
          <w:sz w:val="28"/>
          <w:szCs w:val="28"/>
          <w:lang w:val="en-US" w:eastAsia="zh-CN"/>
        </w:rPr>
        <w:t>(2)创新驱动、协同发展</w:t>
      </w:r>
    </w:p>
    <w:p w14:paraId="5E51CDA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完善双创服务，坚持开放创新和合作协同发展，加强与福厦泉经济圈的产业协同创新，着力引进和柔性利用高端创新创业资源。提升人才、金融创新发展服务能力，加速实现工业园区向科技园区的转型。</w:t>
      </w:r>
    </w:p>
    <w:p w14:paraId="3E50BAE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spacing w:val="0"/>
          <w:sz w:val="28"/>
          <w:szCs w:val="28"/>
          <w:lang w:val="en-US" w:eastAsia="zh-CN"/>
        </w:rPr>
        <w:t>(3)机制改革、开放发展</w:t>
      </w:r>
    </w:p>
    <w:p w14:paraId="041C879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探索适应创新经济发展的企业服务、空间拓展、社会治理等方面的新手段、新机制，破解制约创新驱动发展的体制性障碍和政策性问题，加快政府职能转变和服务创新。</w:t>
      </w:r>
    </w:p>
    <w:p w14:paraId="4719002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spacing w:val="0"/>
          <w:sz w:val="28"/>
          <w:szCs w:val="28"/>
          <w:lang w:val="en-US" w:eastAsia="zh-CN"/>
        </w:rPr>
        <w:t>(4)民生为本、共享发展</w:t>
      </w:r>
    </w:p>
    <w:p w14:paraId="51FD5E7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把增进泉港人民福祉、促进人的全面发展作为建设与发展泉港高新区的出发点和落脚点，全面推进基本公共服务均等化，保障社会公平正义，不断提高群众幸福感和满意度，充分调动人民群众的积极性、主动性和创造性。</w:t>
      </w:r>
    </w:p>
    <w:p w14:paraId="3FFE778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首先，从产业筛选来看，立足资源基础和产业优势，以高端产业发展为核心特色，紧抓中国制造升级和产业加速跨界融合机遇，推动石化下游深加工产业与城市融合，大力发展汽车和轨道交通、新能源、大健康和节能环保等产业所需要的新材料产业；第二，产业能促进泉港产业调整与升级，打造泉港重要经济增长极，促进可持续增长；第三，侧重发展资源消耗低、经济效益好的产业，做到“有所为有所不为”。</w:t>
      </w:r>
    </w:p>
    <w:p w14:paraId="36A9B30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884EF2D">
      <w:pPr>
        <w:keepNext w:val="0"/>
        <w:keepLines w:val="0"/>
        <w:pageBreakBefore w:val="0"/>
        <w:widowControl w:val="0"/>
        <w:wordWrap/>
        <w:overflowPunct/>
        <w:bidi w:val="0"/>
        <w:spacing w:line="4872" w:lineRule="exact"/>
        <w:ind w:firstLine="1860"/>
        <w:textAlignment w:val="center"/>
      </w:pPr>
      <w:r>
        <w:drawing>
          <wp:inline distT="0" distB="0" distL="114300" distR="114300">
            <wp:extent cx="3398520" cy="3093720"/>
            <wp:effectExtent l="0" t="0" r="1905" b="0"/>
            <wp:docPr id="33" name="图片 2"/>
            <wp:cNvGraphicFramePr/>
            <a:graphic xmlns:a="http://schemas.openxmlformats.org/drawingml/2006/main">
              <a:graphicData uri="http://schemas.openxmlformats.org/drawingml/2006/picture">
                <pic:pic xmlns:pic="http://schemas.openxmlformats.org/drawingml/2006/picture">
                  <pic:nvPicPr>
                    <pic:cNvPr id="33" name="图片 2"/>
                    <pic:cNvPicPr/>
                  </pic:nvPicPr>
                  <pic:blipFill>
                    <a:blip r:embed="rId21"/>
                    <a:stretch>
                      <a:fillRect/>
                    </a:stretch>
                  </pic:blipFill>
                  <pic:spPr>
                    <a:xfrm>
                      <a:off x="0" y="0"/>
                      <a:ext cx="3398520" cy="3093720"/>
                    </a:xfrm>
                    <a:prstGeom prst="rect">
                      <a:avLst/>
                    </a:prstGeom>
                    <a:noFill/>
                    <a:ln>
                      <a:noFill/>
                    </a:ln>
                  </pic:spPr>
                </pic:pic>
              </a:graphicData>
            </a:graphic>
          </wp:inline>
        </w:drawing>
      </w:r>
    </w:p>
    <w:p w14:paraId="0AEF93C5">
      <w:pPr>
        <w:keepNext w:val="0"/>
        <w:keepLines w:val="0"/>
        <w:pageBreakBefore w:val="0"/>
        <w:widowControl w:val="0"/>
        <w:wordWrap/>
        <w:overflowPunct/>
        <w:bidi w:val="0"/>
        <w:spacing w:before="299" w:line="227" w:lineRule="auto"/>
        <w:ind w:left="3697"/>
        <w:rPr>
          <w:rFonts w:ascii="黑体" w:hAnsi="黑体" w:eastAsia="黑体" w:cs="黑体"/>
          <w:sz w:val="23"/>
          <w:szCs w:val="23"/>
        </w:rPr>
      </w:pPr>
      <w:r>
        <w:rPr>
          <w:rFonts w:ascii="黑体" w:hAnsi="黑体" w:eastAsia="黑体" w:cs="黑体"/>
          <w:spacing w:val="-2"/>
          <w:sz w:val="23"/>
          <w:szCs w:val="23"/>
        </w:rPr>
        <w:t>图</w:t>
      </w:r>
      <w:r>
        <w:rPr>
          <w:rFonts w:ascii="Arial" w:hAnsi="Arial" w:eastAsia="Arial" w:cs="Arial"/>
          <w:b/>
          <w:bCs/>
          <w:spacing w:val="-2"/>
          <w:sz w:val="23"/>
          <w:szCs w:val="23"/>
        </w:rPr>
        <w:t>8-1</w:t>
      </w:r>
      <w:r>
        <w:rPr>
          <w:rFonts w:ascii="黑体" w:hAnsi="黑体" w:eastAsia="黑体" w:cs="黑体"/>
          <w:spacing w:val="-2"/>
          <w:sz w:val="23"/>
          <w:szCs w:val="23"/>
        </w:rPr>
        <w:t>产业选</w:t>
      </w:r>
      <w:r>
        <w:rPr>
          <w:rFonts w:ascii="黑体" w:hAnsi="黑体" w:eastAsia="黑体" w:cs="黑体"/>
          <w:spacing w:val="-1"/>
          <w:sz w:val="23"/>
          <w:szCs w:val="23"/>
        </w:rPr>
        <w:t>择</w:t>
      </w:r>
    </w:p>
    <w:p w14:paraId="3616FB7D">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7.2战略定位</w:t>
      </w:r>
    </w:p>
    <w:p w14:paraId="22637F7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7.2.1维度一——发达国家经验</w:t>
      </w:r>
    </w:p>
    <w:p w14:paraId="79BFAE6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发达国家经济发展的经验来看，发达国家在人均GDP&gt;1000美元时，服务业迅速发展，占GDP比重将迅速加大，产业结构将进行较快的调整。另一方面，发达国家已形成了新的经济增长方式：通过技术创新，提升经济实力和国际竞争力。</w:t>
      </w:r>
    </w:p>
    <w:p w14:paraId="66A38C13">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7.2.1.1产业结构调整</w:t>
      </w:r>
    </w:p>
    <w:p w14:paraId="65480BBE">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十三五”规划提出“拓展产业发展空间”，明确指出“支持节能环保、生物技术、信息技术、智能制造、高端装备、新能源等新兴产业发展，支持传统产业优化升级。坚持需求引领、供给创新，提高供给质量和效率，激活和释放有效需求，形成消费与投资良性互动、需求升级与供给升级协调共进的高效循环，增强发展新动能的要求；在服务业方面，提出到2020年“主要经济指标平衡协调，发展空间格局得到优化，投资效率和企业效率明显上升，工业化和信息化融合发展水平进一步提高，产业迈向中高端水平，先进制造业加快发展，新产业新业态不断成长，服务业比重进一步上升，消费对经济增长贡献明显加大”，并明确“开展加快发展现代服务业行动，放宽市场准入，促进服务业优质高效发展。推动生产性服务业向专业化和价值链高端延伸、生活性服务业向精细和高品质转变，推动制造业由生产型向生产服务型转变。”</w:t>
      </w:r>
    </w:p>
    <w:p w14:paraId="4278416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7.2.1.2科技创新</w:t>
      </w:r>
    </w:p>
    <w:p w14:paraId="5427AB9B">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十三五”规划提出“实施创新驱动发展战略”，并明确“把发展基点放在创新上，以科技创新为核心，以人才发展为支撑，推动科技创新与大众创业、万众创新有机结合，塑造更多依靠创新驱动、更多发挥先发优势的引领型发展。”</w:t>
      </w:r>
    </w:p>
    <w:p w14:paraId="6EA4BCDE">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7.2.2维度二——产业发展的角度</w:t>
      </w:r>
    </w:p>
    <w:p w14:paraId="5568A3F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第二产业发展角度来看：迫切需要高新技术产业带动其产业升级、迫切需要生产性服务业的有力支撑——主要体现在科学研发以及金融服务等产业领域；需要高新技术和产品来改造传统产业，提升传统工业的产业结构，主要表现在新材料、新能源等产业领域。</w:t>
      </w:r>
    </w:p>
    <w:p w14:paraId="2F90DE2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从国际产业发展的角度来看，高新技术产业和现代服务业是未来我国承接国际转移的主要领域——主要体现在电子信息制造、新材料和新能源、以及大数据与服务外包、科学研发等领域。</w:t>
      </w:r>
    </w:p>
    <w:p w14:paraId="72AF357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7.3新材料产业规划</w:t>
      </w:r>
    </w:p>
    <w:p w14:paraId="308D1F9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7.3.1化工新材料</w:t>
      </w:r>
    </w:p>
    <w:p w14:paraId="4E52999C">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7.3.1.1现有产业基础</w:t>
      </w:r>
    </w:p>
    <w:p w14:paraId="37B6CA0A">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化工业是泉州市的新兴产业，也是重点扶持的产业之一。随着福建联合石化一体化项目全面投产、石狮佳龙一期60万吨/年PTA项目建成投产、晋江百宏聚纤科技实业有限公司和锦福化纤聚合有限公司大型聚酯化纤项目投产及扩建，泉港石化工业区、泉惠石化工业区一批石化重点项目陆续投建投产，泉州市石化产业获得持续快速发展。目前已形成或正在逐步延伸形成炼化一体化装置→烯烃、芳烃、碳四等有机化工原料→聚酯产业链；乙烯装置→混合碳四抽提→丁二烯、异丁烯→合成橡胶产业链；烯烃、芳烃→聚酰胺、聚碳酸酯、PBT、PTT→工程塑料等合成树脂产业链；乙烯、丙烯、碳四→有机化工原料及其他合成树脂产业链，产业地位不断提升。</w:t>
      </w:r>
    </w:p>
    <w:p w14:paraId="7794E189">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7.3.1.2市场条件</w:t>
      </w:r>
    </w:p>
    <w:p w14:paraId="6EA57055">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泉州地区是我国东南沿海纺织鞋服、塑料橡胶制品等产业的成品或半成品的主要产地，对石化产业中下游产品的市场需求量巨大，与市场配套发展的空间较大。</w:t>
      </w:r>
    </w:p>
    <w:p w14:paraId="32DAE7B8">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地区的大型企业通过发展炼化一体化和多元化原料加工，为本地提供各类有机化工产品、副产资源、合成材料。发展化工新材料是国家战略导向，我国将其列为重点发展的战略性新兴产业之一，而且化工新材料是新一代信息技术、高端装备(包括航空航天装备、海洋工程和高技术船舶、轨道交通等)、生物、新能源汽车、新能源、节能环保等战略性新兴产业发展的基础甚是关键，其保障能力是中国制造2025目标实现的重要基础。</w:t>
      </w:r>
    </w:p>
    <w:p w14:paraId="2C8C2A52">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因此，从泉港高新区发展的角度来看，重点打造致力于发展高性能树脂下游、特种橡胶和弹性体下游、功能性膜材料、高性能纤维及复合材料、增材制造材料、石墨烯材料等新材料产业项目，为周边其他产业提供材料。</w:t>
      </w:r>
    </w:p>
    <w:p w14:paraId="7842DC1D">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7.3.1.3重点推荐项目</w:t>
      </w:r>
    </w:p>
    <w:p w14:paraId="5ED77E86">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133" name="图片 4"/>
            <wp:cNvGraphicFramePr/>
            <a:graphic xmlns:a="http://schemas.openxmlformats.org/drawingml/2006/main">
              <a:graphicData uri="http://schemas.openxmlformats.org/drawingml/2006/picture">
                <pic:pic xmlns:pic="http://schemas.openxmlformats.org/drawingml/2006/picture">
                  <pic:nvPicPr>
                    <pic:cNvPr id="133" name="图片 4"/>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功能膜材料及组件</w:t>
      </w:r>
    </w:p>
    <w:p w14:paraId="58BBA66F">
      <w:pPr>
        <w:pStyle w:val="2"/>
        <w:keepNext w:val="0"/>
        <w:keepLines w:val="0"/>
        <w:pageBreakBefore w:val="0"/>
        <w:widowControl w:val="0"/>
        <w:kinsoku/>
        <w:wordWrap/>
        <w:overflowPunct/>
        <w:topLinePunct/>
        <w:autoSpaceDE/>
        <w:autoSpaceDN/>
        <w:bidi w:val="0"/>
        <w:adjustRightInd/>
        <w:snapToGrid/>
        <w:spacing w:before="0" w:beforeAutospacing="0" w:line="52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功能膜材料及组件(海水淡化预处理膜、海水淡化反渗透膜、纳米隔热膜、高通量抗污染纳滤膜、薄膜型太阳能电池用柔性聚合物膜、智能温控膜、偏光片及膜材、离子交换膜、聚芳酯PAR薄膜、高导热石墨膜、EVOH阻隔膜、电渗析膜、微棱镜膜、气体分离膜和渗透汽化膜等)，应用于水处理、薄膜太阳能电池、锂离子电池、建筑、平板显示、医药、汽车、印刷包装等领域。</w:t>
      </w:r>
    </w:p>
    <w:p w14:paraId="300A3036">
      <w:pPr>
        <w:keepNext w:val="0"/>
        <w:keepLines w:val="0"/>
        <w:pageBreakBefore w:val="0"/>
        <w:widowControl w:val="0"/>
        <w:wordWrap/>
        <w:overflowPunct/>
        <w:bidi w:val="0"/>
        <w:spacing w:line="4387" w:lineRule="exact"/>
        <w:ind w:firstLine="2225"/>
        <w:textAlignment w:val="center"/>
      </w:pPr>
      <w:r>
        <w:drawing>
          <wp:inline distT="0" distB="0" distL="114300" distR="114300">
            <wp:extent cx="2924175" cy="2785745"/>
            <wp:effectExtent l="0" t="0" r="1270" b="10160"/>
            <wp:docPr id="34" name="图片 3"/>
            <wp:cNvGraphicFramePr/>
            <a:graphic xmlns:a="http://schemas.openxmlformats.org/drawingml/2006/main">
              <a:graphicData uri="http://schemas.openxmlformats.org/drawingml/2006/picture">
                <pic:pic xmlns:pic="http://schemas.openxmlformats.org/drawingml/2006/picture">
                  <pic:nvPicPr>
                    <pic:cNvPr id="34" name="图片 3"/>
                    <pic:cNvPicPr/>
                  </pic:nvPicPr>
                  <pic:blipFill>
                    <a:blip r:embed="rId22"/>
                    <a:stretch>
                      <a:fillRect/>
                    </a:stretch>
                  </pic:blipFill>
                  <pic:spPr>
                    <a:xfrm>
                      <a:off x="0" y="0"/>
                      <a:ext cx="2924175" cy="2785745"/>
                    </a:xfrm>
                    <a:prstGeom prst="rect">
                      <a:avLst/>
                    </a:prstGeom>
                    <a:noFill/>
                    <a:ln>
                      <a:noFill/>
                    </a:ln>
                  </pic:spPr>
                </pic:pic>
              </a:graphicData>
            </a:graphic>
          </wp:inline>
        </w:drawing>
      </w:r>
    </w:p>
    <w:p w14:paraId="786F07CE">
      <w:pPr>
        <w:keepNext w:val="0"/>
        <w:keepLines w:val="0"/>
        <w:pageBreakBefore w:val="0"/>
        <w:widowControl w:val="0"/>
        <w:wordWrap/>
        <w:overflowPunct/>
        <w:bidi w:val="0"/>
        <w:spacing w:before="300" w:line="224" w:lineRule="auto"/>
        <w:ind w:left="1417"/>
        <w:rPr>
          <w:rFonts w:ascii="黑体" w:hAnsi="黑体" w:eastAsia="黑体" w:cs="黑体"/>
          <w:sz w:val="23"/>
          <w:szCs w:val="23"/>
        </w:rPr>
      </w:pPr>
      <w:r>
        <w:rPr>
          <w:rFonts w:ascii="黑体" w:hAnsi="黑体" w:eastAsia="黑体" w:cs="黑体"/>
          <w:spacing w:val="12"/>
          <w:sz w:val="23"/>
          <w:szCs w:val="23"/>
        </w:rPr>
        <w:t>图</w:t>
      </w:r>
      <w:r>
        <w:rPr>
          <w:rFonts w:ascii="Arial" w:hAnsi="Arial" w:eastAsia="Arial" w:cs="Arial"/>
          <w:b/>
          <w:bCs/>
          <w:spacing w:val="6"/>
          <w:sz w:val="23"/>
          <w:szCs w:val="23"/>
        </w:rPr>
        <w:t>8-2</w:t>
      </w:r>
      <w:r>
        <w:rPr>
          <w:rFonts w:ascii="黑体" w:hAnsi="黑体" w:eastAsia="黑体" w:cs="黑体"/>
          <w:spacing w:val="6"/>
          <w:sz w:val="23"/>
          <w:szCs w:val="23"/>
        </w:rPr>
        <w:t>化工新材料产业发展重点项目</w:t>
      </w:r>
      <w:r>
        <w:rPr>
          <w:rFonts w:ascii="Arial" w:hAnsi="Arial" w:eastAsia="Arial" w:cs="Arial"/>
          <w:b/>
          <w:bCs/>
          <w:spacing w:val="6"/>
          <w:sz w:val="23"/>
          <w:szCs w:val="23"/>
        </w:rPr>
        <w:t>——</w:t>
      </w:r>
      <w:r>
        <w:rPr>
          <w:rFonts w:ascii="黑体" w:hAnsi="黑体" w:eastAsia="黑体" w:cs="黑体"/>
          <w:spacing w:val="6"/>
          <w:sz w:val="23"/>
          <w:szCs w:val="23"/>
        </w:rPr>
        <w:t>功能膜材料及组件</w:t>
      </w:r>
    </w:p>
    <w:p w14:paraId="2668EFC7">
      <w:pPr>
        <w:pStyle w:val="2"/>
        <w:keepNext w:val="0"/>
        <w:keepLines w:val="0"/>
        <w:pageBreakBefore w:val="0"/>
        <w:widowControl w:val="0"/>
        <w:kinsoku/>
        <w:wordWrap/>
        <w:overflowPunct/>
        <w:topLinePunct/>
        <w:autoSpaceDE/>
        <w:autoSpaceDN/>
        <w:bidi w:val="0"/>
        <w:adjustRightInd/>
        <w:snapToGrid/>
        <w:spacing w:before="157" w:beforeLines="50" w:beforeAutospacing="0" w:line="480" w:lineRule="exact"/>
        <w:ind w:left="0" w:leftChars="0" w:firstLine="840" w:firstLineChars="3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35" name="图片 4"/>
            <wp:cNvGraphicFramePr/>
            <a:graphic xmlns:a="http://schemas.openxmlformats.org/drawingml/2006/main">
              <a:graphicData uri="http://schemas.openxmlformats.org/drawingml/2006/picture">
                <pic:pic xmlns:pic="http://schemas.openxmlformats.org/drawingml/2006/picture">
                  <pic:nvPicPr>
                    <pic:cNvPr id="35" name="图片 4"/>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高性能纤维及制品</w:t>
      </w:r>
    </w:p>
    <w:p w14:paraId="2E3A336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目前泉州地区化纤产业已有一定基础，特别是鲤城区化纤产业较为发</w:t>
      </w:r>
    </w:p>
    <w:p w14:paraId="075E205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达。从纺织行业发展来看，人们对功能性、差别化纺织品的需求也在不断增强。近年来，超高分子量聚乙烯、聚苯硫醚、芳纶1313等一批高新技术纤维材料产业化取得突破，新一代直纺涤纶超细长丝及高效新型卷饶头技术、蛋白纤维等一系列功能化、差别化纤维生产技术实现产业化，也为纺织面料及服装、家纺产品提供了优质的纤维原料。</w:t>
      </w:r>
    </w:p>
    <w:p w14:paraId="60AE066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因此从新材料深加工角度来看，可适度布局高性能化纤的延伸加工和混纺，主要还是体现差别化和高附加值产品，注重与下游企业的协同。在产业用纺织品领域重点发展复合过滤材料，新型篷盖、高铁、汽车、风电叶片、航空等纺织材料和高端医用纺织品的发展。</w:t>
      </w:r>
    </w:p>
    <w:p w14:paraId="19171BC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性能纤维及制品(超高分子量聚乙烯超高强、高模、细旦纤维及复合材料、碳纤维复合材料、芳纶复合材料、聚酰亚胺纤维复合材料、聚苯硫醚纤维复合材料、聚对苯撑苯并双噁唑(PBO)纤维复合材料、陶瓷纤维复合材料、玄武岩纤维复合材料、聚对苯二甲酸-1,3-丙二醇酯(PTT)纤维、聚对苯二甲酸乙二醇酯(PET)纤维、聚对苯二甲酸丁二醇酯(PBT)纤维等。</w:t>
      </w:r>
    </w:p>
    <w:p w14:paraId="7E74BB4F">
      <w:pPr>
        <w:pStyle w:val="2"/>
        <w:keepNext w:val="0"/>
        <w:keepLines w:val="0"/>
        <w:pageBreakBefore w:val="0"/>
        <w:widowControl w:val="0"/>
        <w:kinsoku/>
        <w:wordWrap/>
        <w:overflowPunct/>
        <w:topLinePunct/>
        <w:autoSpaceDE/>
        <w:autoSpaceDN/>
        <w:bidi w:val="0"/>
        <w:adjustRightInd/>
        <w:snapToGrid/>
        <w:spacing w:before="0" w:beforeAutospacing="0" w:after="157" w:afterLines="50" w:line="480" w:lineRule="exact"/>
        <w:ind w:left="0" w:leftChars="0" w:firstLine="560" w:firstLineChars="200"/>
        <w:jc w:val="both"/>
        <w:textAlignment w:val="auto"/>
        <w:rPr>
          <w:rFonts w:ascii="Arial"/>
          <w:sz w:val="21"/>
        </w:rPr>
      </w:pPr>
      <w:r>
        <w:rPr>
          <w:rFonts w:hint="default" w:ascii="仿宋_GB2312" w:hAnsi="仿宋_GB2312" w:eastAsia="仿宋_GB2312" w:cs="仿宋_GB2312"/>
          <w:spacing w:val="0"/>
          <w:sz w:val="28"/>
          <w:szCs w:val="28"/>
          <w:lang w:val="en-US" w:eastAsia="zh-CN"/>
        </w:rPr>
        <w:t>其中碳纤维复合材料可用于体育休闲领域、消费电子领域和新兴领域等；间位芳纶复合材料可用于过滤材料和防护材料；对位芳纶可用于军工防弹、光缆、绳缆、体育用品、汽车等领域；超高分子量聚乙烯纤维可用于军用防弹(防弹服和移动装甲)、家用纺织品、绳网等；聚苯硫醚纤维主要用于环保滤料行业；玄武岩纤维主要用于复合筋和纤维布等。高性能纤维还可利用PET再生纤维发展纺织加工产业。</w:t>
      </w:r>
    </w:p>
    <w:p w14:paraId="249246BA">
      <w:pPr>
        <w:keepNext w:val="0"/>
        <w:keepLines w:val="0"/>
        <w:pageBreakBefore w:val="0"/>
        <w:widowControl w:val="0"/>
        <w:wordWrap/>
        <w:overflowPunct/>
        <w:bidi w:val="0"/>
        <w:spacing w:line="3886" w:lineRule="exact"/>
        <w:ind w:firstLine="2554"/>
        <w:textAlignment w:val="center"/>
      </w:pPr>
      <w:r>
        <w:drawing>
          <wp:inline distT="0" distB="0" distL="114300" distR="114300">
            <wp:extent cx="2870835" cy="2466975"/>
            <wp:effectExtent l="0" t="0" r="635" b="5080"/>
            <wp:docPr id="36" name="图片 5"/>
            <wp:cNvGraphicFramePr/>
            <a:graphic xmlns:a="http://schemas.openxmlformats.org/drawingml/2006/main">
              <a:graphicData uri="http://schemas.openxmlformats.org/drawingml/2006/picture">
                <pic:pic xmlns:pic="http://schemas.openxmlformats.org/drawingml/2006/picture">
                  <pic:nvPicPr>
                    <pic:cNvPr id="36" name="图片 5"/>
                    <pic:cNvPicPr/>
                  </pic:nvPicPr>
                  <pic:blipFill>
                    <a:blip r:embed="rId23"/>
                    <a:stretch>
                      <a:fillRect/>
                    </a:stretch>
                  </pic:blipFill>
                  <pic:spPr>
                    <a:xfrm>
                      <a:off x="0" y="0"/>
                      <a:ext cx="2870835" cy="2466975"/>
                    </a:xfrm>
                    <a:prstGeom prst="rect">
                      <a:avLst/>
                    </a:prstGeom>
                    <a:noFill/>
                    <a:ln>
                      <a:noFill/>
                    </a:ln>
                  </pic:spPr>
                </pic:pic>
              </a:graphicData>
            </a:graphic>
          </wp:inline>
        </w:drawing>
      </w:r>
    </w:p>
    <w:p w14:paraId="0B904F22">
      <w:pPr>
        <w:keepNext w:val="0"/>
        <w:keepLines w:val="0"/>
        <w:pageBreakBefore w:val="0"/>
        <w:widowControl w:val="0"/>
        <w:wordWrap/>
        <w:overflowPunct/>
        <w:bidi w:val="0"/>
        <w:spacing w:before="314" w:line="225" w:lineRule="auto"/>
        <w:ind w:left="1417"/>
        <w:rPr>
          <w:rFonts w:ascii="黑体" w:hAnsi="黑体" w:eastAsia="黑体" w:cs="黑体"/>
          <w:spacing w:val="6"/>
          <w:sz w:val="23"/>
          <w:szCs w:val="23"/>
        </w:rPr>
      </w:pPr>
      <w:r>
        <w:rPr>
          <w:rFonts w:ascii="黑体" w:hAnsi="黑体" w:eastAsia="黑体" w:cs="黑体"/>
          <w:spacing w:val="12"/>
          <w:sz w:val="23"/>
          <w:szCs w:val="23"/>
        </w:rPr>
        <w:t>图</w:t>
      </w:r>
      <w:r>
        <w:rPr>
          <w:rFonts w:ascii="Arial" w:hAnsi="Arial" w:eastAsia="Arial" w:cs="Arial"/>
          <w:b/>
          <w:bCs/>
          <w:spacing w:val="6"/>
          <w:sz w:val="23"/>
          <w:szCs w:val="23"/>
        </w:rPr>
        <w:t>8-3</w:t>
      </w:r>
      <w:r>
        <w:rPr>
          <w:rFonts w:ascii="黑体" w:hAnsi="黑体" w:eastAsia="黑体" w:cs="黑体"/>
          <w:spacing w:val="6"/>
          <w:sz w:val="23"/>
          <w:szCs w:val="23"/>
        </w:rPr>
        <w:t>化工新材料产业发展重点项目</w:t>
      </w:r>
      <w:r>
        <w:rPr>
          <w:rFonts w:ascii="Arial" w:hAnsi="Arial" w:eastAsia="Arial" w:cs="Arial"/>
          <w:b/>
          <w:bCs/>
          <w:spacing w:val="6"/>
          <w:sz w:val="23"/>
          <w:szCs w:val="23"/>
        </w:rPr>
        <w:t>——</w:t>
      </w:r>
      <w:r>
        <w:rPr>
          <w:rFonts w:ascii="黑体" w:hAnsi="黑体" w:eastAsia="黑体" w:cs="黑体"/>
          <w:spacing w:val="6"/>
          <w:sz w:val="23"/>
          <w:szCs w:val="23"/>
        </w:rPr>
        <w:t>高性能纤维及制品</w:t>
      </w:r>
    </w:p>
    <w:p w14:paraId="6D6F408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37" name="图片 6"/>
            <wp:cNvGraphicFramePr/>
            <a:graphic xmlns:a="http://schemas.openxmlformats.org/drawingml/2006/main">
              <a:graphicData uri="http://schemas.openxmlformats.org/drawingml/2006/picture">
                <pic:pic xmlns:pic="http://schemas.openxmlformats.org/drawingml/2006/picture">
                  <pic:nvPicPr>
                    <pic:cNvPr id="37" name="图片 6"/>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增材制造材料</w:t>
      </w:r>
    </w:p>
    <w:p w14:paraId="0EDBA48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增材制造材料主要指3D打印材料和4D打印材料，重点发展有机聚合物基体材料(聚乳酸PLA、ABS塑料、尼龙PA、聚酯PET、聚苯乙烯HIPS等)、</w:t>
      </w:r>
      <w:r>
        <w:rPr>
          <w:rFonts w:hint="default" w:ascii="仿宋_GB2312" w:hAnsi="仿宋_GB2312" w:eastAsia="仿宋_GB2312" w:cs="仿宋_GB2312"/>
          <w:spacing w:val="-6"/>
          <w:sz w:val="28"/>
          <w:szCs w:val="28"/>
          <w:lang w:val="en-US" w:eastAsia="zh-CN"/>
        </w:rPr>
        <w:t>新塑料粉末、陶瓷树脂、3D打印石墨烯材料、形状记忆聚合物(SMP)纤维材料。</w:t>
      </w:r>
    </w:p>
    <w:p w14:paraId="2763660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增材制造材料主要面向鞋类、工业设计、建筑、工程和施工(AEC)、汽车，航空航天、牙科和医疗产业、教育等领域。</w:t>
      </w:r>
    </w:p>
    <w:p w14:paraId="674110C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38" name="图片 7"/>
            <wp:cNvGraphicFramePr/>
            <a:graphic xmlns:a="http://schemas.openxmlformats.org/drawingml/2006/main">
              <a:graphicData uri="http://schemas.openxmlformats.org/drawingml/2006/picture">
                <pic:pic xmlns:pic="http://schemas.openxmlformats.org/drawingml/2006/picture">
                  <pic:nvPicPr>
                    <pic:cNvPr id="38" name="图片 7"/>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塑料合金、制品和复合材料</w:t>
      </w:r>
    </w:p>
    <w:p w14:paraId="634D8B3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塑料合金泛指以聚合物共混物为基本成分组成的塑料，主要包括PP、PE、PA、PET、PS、ABS、PBT、PPS、PC等塑料合金，例如ABS/PVC、PA6/PO、PA6/PBT、PC/ABS、PC/PBT、PC/PET、PC/PE、PC/PTFE、POM/TPU、POM/PTFE，PPO/TPU、PPO/PS、PPO/PBT、PBT/PET、PSF/PBT、PPS/PTFE等，PVC型材、异型材、管材、板材、片材、电缆料等项目塑料制品，塑木复合材料等。</w:t>
      </w:r>
    </w:p>
    <w:p w14:paraId="7930DB7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塑料合金、制品和复合材料主要面向汽车、电子、精密仪器、办公设备、包装材料以及建筑材料等领域。</w:t>
      </w:r>
    </w:p>
    <w:p w14:paraId="136FA975">
      <w:pPr>
        <w:keepNext w:val="0"/>
        <w:keepLines w:val="0"/>
        <w:pageBreakBefore w:val="0"/>
        <w:widowControl w:val="0"/>
        <w:wordWrap/>
        <w:overflowPunct/>
        <w:bidi w:val="0"/>
        <w:spacing w:before="1" w:line="4555" w:lineRule="exact"/>
        <w:jc w:val="center"/>
        <w:textAlignment w:val="center"/>
      </w:pPr>
      <w:r>
        <w:drawing>
          <wp:inline distT="0" distB="0" distL="114300" distR="114300">
            <wp:extent cx="3413125" cy="2892425"/>
            <wp:effectExtent l="0" t="0" r="8890" b="635"/>
            <wp:docPr id="39" name="图片 8"/>
            <wp:cNvGraphicFramePr/>
            <a:graphic xmlns:a="http://schemas.openxmlformats.org/drawingml/2006/main">
              <a:graphicData uri="http://schemas.openxmlformats.org/drawingml/2006/picture">
                <pic:pic xmlns:pic="http://schemas.openxmlformats.org/drawingml/2006/picture">
                  <pic:nvPicPr>
                    <pic:cNvPr id="39" name="图片 8"/>
                    <pic:cNvPicPr/>
                  </pic:nvPicPr>
                  <pic:blipFill>
                    <a:blip r:embed="rId24"/>
                    <a:stretch>
                      <a:fillRect/>
                    </a:stretch>
                  </pic:blipFill>
                  <pic:spPr>
                    <a:xfrm>
                      <a:off x="0" y="0"/>
                      <a:ext cx="3413125" cy="2892425"/>
                    </a:xfrm>
                    <a:prstGeom prst="rect">
                      <a:avLst/>
                    </a:prstGeom>
                    <a:noFill/>
                    <a:ln>
                      <a:noFill/>
                    </a:ln>
                  </pic:spPr>
                </pic:pic>
              </a:graphicData>
            </a:graphic>
          </wp:inline>
        </w:drawing>
      </w:r>
    </w:p>
    <w:p w14:paraId="05555432">
      <w:pPr>
        <w:keepNext w:val="0"/>
        <w:keepLines w:val="0"/>
        <w:pageBreakBefore w:val="0"/>
        <w:widowControl w:val="0"/>
        <w:wordWrap/>
        <w:overflowPunct/>
        <w:bidi w:val="0"/>
        <w:spacing w:before="305" w:line="225" w:lineRule="auto"/>
        <w:jc w:val="center"/>
        <w:rPr>
          <w:rFonts w:hint="default" w:ascii="仿宋_GB2312" w:hAnsi="仿宋_GB2312" w:eastAsia="仿宋_GB2312" w:cs="仿宋_GB2312"/>
          <w:spacing w:val="0"/>
          <w:sz w:val="28"/>
          <w:szCs w:val="28"/>
          <w:lang w:val="en-US" w:eastAsia="zh-CN"/>
        </w:rPr>
      </w:pPr>
      <w:r>
        <w:rPr>
          <w:rFonts w:ascii="黑体" w:hAnsi="黑体" w:eastAsia="黑体" w:cs="黑体"/>
          <w:spacing w:val="12"/>
          <w:sz w:val="23"/>
          <w:szCs w:val="23"/>
        </w:rPr>
        <w:t>图</w:t>
      </w:r>
      <w:r>
        <w:rPr>
          <w:rFonts w:ascii="Arial" w:hAnsi="Arial" w:eastAsia="Arial" w:cs="Arial"/>
          <w:b/>
          <w:bCs/>
          <w:spacing w:val="12"/>
          <w:sz w:val="23"/>
          <w:szCs w:val="23"/>
        </w:rPr>
        <w:t>8-</w:t>
      </w:r>
      <w:r>
        <w:rPr>
          <w:rFonts w:ascii="Arial" w:hAnsi="Arial" w:eastAsia="Arial" w:cs="Arial"/>
          <w:b/>
          <w:bCs/>
          <w:spacing w:val="7"/>
          <w:sz w:val="23"/>
          <w:szCs w:val="23"/>
        </w:rPr>
        <w:t>4</w:t>
      </w:r>
      <w:r>
        <w:rPr>
          <w:rFonts w:ascii="黑体" w:hAnsi="黑体" w:eastAsia="黑体" w:cs="黑体"/>
          <w:spacing w:val="6"/>
          <w:sz w:val="23"/>
          <w:szCs w:val="23"/>
        </w:rPr>
        <w:t>化工新材料产业发展重点项目</w:t>
      </w:r>
      <w:r>
        <w:rPr>
          <w:rFonts w:ascii="Arial" w:hAnsi="Arial" w:eastAsia="Arial" w:cs="Arial"/>
          <w:b/>
          <w:bCs/>
          <w:spacing w:val="6"/>
          <w:sz w:val="23"/>
          <w:szCs w:val="23"/>
        </w:rPr>
        <w:t>——</w:t>
      </w:r>
      <w:r>
        <w:rPr>
          <w:rFonts w:ascii="黑体" w:hAnsi="黑体" w:eastAsia="黑体" w:cs="黑体"/>
          <w:spacing w:val="6"/>
          <w:sz w:val="23"/>
          <w:szCs w:val="23"/>
        </w:rPr>
        <w:t>塑料合金、制品和复合材料</w:t>
      </w:r>
    </w:p>
    <w:p w14:paraId="41BD70DE">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40" name="图片 7"/>
            <wp:cNvGraphicFramePr/>
            <a:graphic xmlns:a="http://schemas.openxmlformats.org/drawingml/2006/main">
              <a:graphicData uri="http://schemas.openxmlformats.org/drawingml/2006/picture">
                <pic:pic xmlns:pic="http://schemas.openxmlformats.org/drawingml/2006/picture">
                  <pic:nvPicPr>
                    <pic:cNvPr id="40" name="图片 7"/>
                    <pic:cNvPicPr/>
                  </pic:nvPicPr>
                  <pic:blipFill>
                    <a:blip r:embed="rId20"/>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石墨烯材料</w:t>
      </w:r>
    </w:p>
    <w:p w14:paraId="1F69B6DE">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墨烯产业以培育为主，石墨烯材料侧重发展石墨烯制备、石墨烯复合材料、石墨烯储能材料、石墨烯电子信息应用、石墨烯节能环保应用及配套产业等工程技术。重点项目主要包括：石墨烯制备、石墨烯包覆正极材料、石墨烯超级电容器等。其他如超级石墨烯玻璃在电致变色窗、智能汽车(变色窗、防霜雾镜)、玻璃暖气片、触摸屏、智能投影墙、光学传感器的应用、石墨烯海水淡化技术、大面积石墨烯钙钛矿太阳能电池、石墨烯可穿戴器件、石墨烯压力传感器、柔性石墨烯微波通信器件、石墨烯涂料等。</w:t>
      </w:r>
    </w:p>
    <w:p w14:paraId="0BD8CCAD">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近中期：重点加快石墨烯规模化、高性能化的控制，对传统涂料、复合纤维、纺织面料、建筑材料、润滑剂、电磁屏蔽材料、电线电缆等进行改性，提升材料性能、拓展应用功能</w:t>
      </w:r>
    </w:p>
    <w:p w14:paraId="07EC074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远期发展石墨烯材料在电子信息领域等行业的应用。与光电信息产业和新材料产业结合，研发石墨烯新型显示器件，推进高电导率大面积触控屏、大尺寸移动智能终端用导电隔膜、大健康和可穿戴电子设备领域应用的石墨烯传感器、用于物流、移动通信、支付和RFID电子标签领域的石墨烯射频产品等。开发石墨烯在超电、锂电等能源方面的应用和产业化。</w:t>
      </w:r>
    </w:p>
    <w:p w14:paraId="2BA8D8BD">
      <w:pPr>
        <w:pStyle w:val="2"/>
        <w:keepNext w:val="0"/>
        <w:keepLines w:val="0"/>
        <w:pageBreakBefore w:val="0"/>
        <w:widowControl w:val="0"/>
        <w:kinsoku/>
        <w:wordWrap/>
        <w:overflowPunct/>
        <w:topLinePunct/>
        <w:autoSpaceDE/>
        <w:autoSpaceDN/>
        <w:bidi w:val="0"/>
        <w:adjustRightInd/>
        <w:snapToGrid/>
        <w:spacing w:before="0" w:beforeAutospacing="0" w:after="313" w:afterLines="10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石墨烯材料为周边平板显示、半导体集成电路、分立器件、光电照明、新能源等产业，周边东南汽车、戴克轻型客车、厦门金龙汽车等配套。</w:t>
      </w:r>
    </w:p>
    <w:p w14:paraId="0A58DA3E">
      <w:pPr>
        <w:keepNext w:val="0"/>
        <w:keepLines w:val="0"/>
        <w:pageBreakBefore w:val="0"/>
        <w:widowControl w:val="0"/>
        <w:wordWrap/>
        <w:overflowPunct/>
        <w:bidi w:val="0"/>
        <w:spacing w:line="4404" w:lineRule="exact"/>
        <w:jc w:val="center"/>
        <w:textAlignment w:val="center"/>
      </w:pPr>
      <w:r>
        <w:drawing>
          <wp:inline distT="0" distB="0" distL="114300" distR="114300">
            <wp:extent cx="3540125" cy="2796540"/>
            <wp:effectExtent l="0" t="0" r="635" b="10160"/>
            <wp:docPr id="41" name="图片 9"/>
            <wp:cNvGraphicFramePr/>
            <a:graphic xmlns:a="http://schemas.openxmlformats.org/drawingml/2006/main">
              <a:graphicData uri="http://schemas.openxmlformats.org/drawingml/2006/picture">
                <pic:pic xmlns:pic="http://schemas.openxmlformats.org/drawingml/2006/picture">
                  <pic:nvPicPr>
                    <pic:cNvPr id="41" name="图片 9"/>
                    <pic:cNvPicPr/>
                  </pic:nvPicPr>
                  <pic:blipFill>
                    <a:blip r:embed="rId25"/>
                    <a:stretch>
                      <a:fillRect/>
                    </a:stretch>
                  </pic:blipFill>
                  <pic:spPr>
                    <a:xfrm>
                      <a:off x="0" y="0"/>
                      <a:ext cx="3540125" cy="2796540"/>
                    </a:xfrm>
                    <a:prstGeom prst="rect">
                      <a:avLst/>
                    </a:prstGeom>
                    <a:noFill/>
                    <a:ln>
                      <a:noFill/>
                    </a:ln>
                  </pic:spPr>
                </pic:pic>
              </a:graphicData>
            </a:graphic>
          </wp:inline>
        </w:drawing>
      </w:r>
    </w:p>
    <w:p w14:paraId="14AE31F1">
      <w:pPr>
        <w:keepNext w:val="0"/>
        <w:keepLines w:val="0"/>
        <w:pageBreakBefore w:val="0"/>
        <w:widowControl w:val="0"/>
        <w:kinsoku/>
        <w:wordWrap/>
        <w:overflowPunct/>
        <w:topLinePunct w:val="0"/>
        <w:autoSpaceDE/>
        <w:autoSpaceDN/>
        <w:bidi w:val="0"/>
        <w:adjustRightInd/>
        <w:snapToGrid/>
        <w:spacing w:before="157" w:beforeLines="50" w:after="313" w:afterLines="100" w:line="226" w:lineRule="auto"/>
        <w:jc w:val="center"/>
        <w:textAlignment w:val="auto"/>
        <w:rPr>
          <w:rFonts w:ascii="黑体" w:hAnsi="黑体" w:eastAsia="黑体" w:cs="黑体"/>
          <w:sz w:val="23"/>
          <w:szCs w:val="23"/>
        </w:rPr>
      </w:pPr>
      <w:r>
        <w:rPr>
          <w:rFonts w:ascii="黑体" w:hAnsi="黑体" w:eastAsia="黑体" w:cs="黑体"/>
          <w:spacing w:val="10"/>
          <w:sz w:val="23"/>
          <w:szCs w:val="23"/>
        </w:rPr>
        <w:t>图</w:t>
      </w:r>
      <w:r>
        <w:rPr>
          <w:rFonts w:ascii="Arial" w:hAnsi="Arial" w:eastAsia="Arial" w:cs="Arial"/>
          <w:b/>
          <w:bCs/>
          <w:spacing w:val="10"/>
          <w:sz w:val="23"/>
          <w:szCs w:val="23"/>
        </w:rPr>
        <w:t>8</w:t>
      </w:r>
      <w:r>
        <w:rPr>
          <w:rFonts w:ascii="Arial" w:hAnsi="Arial" w:eastAsia="Arial" w:cs="Arial"/>
          <w:b/>
          <w:bCs/>
          <w:spacing w:val="9"/>
          <w:sz w:val="23"/>
          <w:szCs w:val="23"/>
        </w:rPr>
        <w:t>-</w:t>
      </w:r>
      <w:r>
        <w:rPr>
          <w:rFonts w:ascii="Arial" w:hAnsi="Arial" w:eastAsia="Arial" w:cs="Arial"/>
          <w:b/>
          <w:bCs/>
          <w:spacing w:val="5"/>
          <w:sz w:val="23"/>
          <w:szCs w:val="23"/>
        </w:rPr>
        <w:t>5</w:t>
      </w:r>
      <w:r>
        <w:rPr>
          <w:rFonts w:ascii="黑体" w:hAnsi="黑体" w:eastAsia="黑体" w:cs="黑体"/>
          <w:spacing w:val="5"/>
          <w:sz w:val="23"/>
          <w:szCs w:val="23"/>
        </w:rPr>
        <w:t>化工新材料产业发展重点项目</w:t>
      </w:r>
      <w:r>
        <w:rPr>
          <w:rFonts w:ascii="Arial" w:hAnsi="Arial" w:eastAsia="Arial" w:cs="Arial"/>
          <w:b/>
          <w:bCs/>
          <w:spacing w:val="5"/>
          <w:sz w:val="23"/>
          <w:szCs w:val="23"/>
        </w:rPr>
        <w:t>——</w:t>
      </w:r>
      <w:r>
        <w:rPr>
          <w:rFonts w:ascii="黑体" w:hAnsi="黑体" w:eastAsia="黑体" w:cs="黑体"/>
          <w:spacing w:val="5"/>
          <w:sz w:val="23"/>
          <w:szCs w:val="23"/>
        </w:rPr>
        <w:t>石墨烯材料</w:t>
      </w:r>
    </w:p>
    <w:p w14:paraId="0F501927">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7.3.1.4新材料产业发展目标</w:t>
      </w:r>
    </w:p>
    <w:p w14:paraId="411644AA">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到2025年，构建化工新材料深加工产业链，积极培育产学研一体化发展环境；</w:t>
      </w:r>
    </w:p>
    <w:p w14:paraId="1FF08DA1">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2030年，在化工新材料领域突出泉港高新区深加工产业特色，贡献年产值达到128亿元，实现年利税额15亿元左右，基本形成功能性膜材料及组件、高性能纤维及制品、增材制造材料、塑料合金和复合材料、石墨烯等产业集群框架；</w:t>
      </w:r>
    </w:p>
    <w:p w14:paraId="283450C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left"/>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到2035年，新材料领域，泉港高新区成为国内领军高新区之一，打造</w:t>
      </w:r>
      <w:r>
        <w:rPr>
          <w:rFonts w:hint="eastAsia" w:ascii="仿宋_GB2312" w:hAnsi="仿宋_GB2312" w:eastAsia="仿宋_GB2312" w:cs="仿宋_GB2312"/>
          <w:spacing w:val="0"/>
          <w:sz w:val="28"/>
          <w:szCs w:val="28"/>
          <w:lang w:val="en-US" w:eastAsia="zh-CN"/>
        </w:rPr>
        <w:t>、</w:t>
      </w:r>
      <w:r>
        <w:rPr>
          <w:rFonts w:hint="default" w:ascii="仿宋_GB2312" w:hAnsi="仿宋_GB2312" w:eastAsia="仿宋_GB2312" w:cs="仿宋_GB2312"/>
          <w:spacing w:val="0"/>
          <w:sz w:val="28"/>
          <w:szCs w:val="28"/>
          <w:lang w:val="en-US" w:eastAsia="zh-CN"/>
        </w:rPr>
        <w:t>引入3个以上国际先进、国内一流的新材料企业，形成5个以上具有国内影响力的新材料产业项目。</w:t>
      </w:r>
    </w:p>
    <w:p w14:paraId="2A297505">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7.3.2新能源材料</w:t>
      </w:r>
    </w:p>
    <w:p w14:paraId="07A95153">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7.3.2.1现有产业基础</w:t>
      </w:r>
    </w:p>
    <w:p w14:paraId="3881CEB4">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自十二五中期将新能源汽车产业定位为新的增长点。经过数年的发展，福建省已经具备了一定的产业基础。目前，福建省共有新能源汽车整车生产企业7家，专用车生产企业1家，新能源汽车产能15万辆，基本涵盖了所有类别的新能源汽车产品。</w:t>
      </w:r>
    </w:p>
    <w:p w14:paraId="412D7E6F">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7.3.2.2市场条件</w:t>
      </w:r>
    </w:p>
    <w:p w14:paraId="02DDFD62">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内宁德时代新能源经过多年发展，目前产能16GWh，动力电池能量密度、稳定性、可靠性等方面拥有全球领先优势。漳州猛狮新能源科技已形成1GWh产能。漳州雷天温斯顿、福清冠城瑞闽、南平巨电等锂电池生产企业已形成产能或正在建设。福建省正打造福莆宁、厦漳泉、闽西北三大新能源汽车整车基地和宁德、漳州两个动力电池基地及电机、电控等产业龙头企业。</w:t>
      </w:r>
    </w:p>
    <w:p w14:paraId="1ED2003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7.3.2.3重点推荐项目</w:t>
      </w:r>
    </w:p>
    <w:p w14:paraId="27182A1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地区大力发展新能源汽车产业将带来更多的电池材料的需求，泉港高新区发展新能源产业可着力从新能源电池材料着眼。从锂离子电池材料下游产业的发展来看，正极材料、负极材料、电解液材料、隔膜材料和包装材料等关键材料亟需提升、改进和革新，构成的新电池体系也面临着安全性、稳定性、长循环寿命、高适应性等挑战，正值材料更新换代期。正极材料从磷酸铁锂向三元材料方向发展，特别是高镍三元材料方向发展，趋向高容量、高电压和长寿命等；负极材料从石墨材料向硅基负极材料方向发展，趋向高容量、长寿命；电解液则向先进添加剂、先进锂盐方向发展，趋向高容量、长寿命；隔膜材料逐渐由干法隔膜过渡到湿法+陶瓷涂层隔膜，趋向高安全和薄型化。考虑到周边新能源电池材料和电池企业的发展现状，建议泉港高新区新能源产业重点发展新一代锂离子电池材料，一方面可实现弯道超车，在新能源新型材料领域发力，另一方面，从产业发展来看，最终实现高电压、高容量的新体系需要新一代材料来完成，因此，泉港高新区新能源产业开发的重点项目包括富锂锰基固溶体、镍锰5V尖晶石等正极材料，硅碳负极材料，聚酰亚胺、聚异丁烯、涂覆或掺杂型等新一代锂电池隔膜，锂离子电池包装用铝塑复合膜等。</w:t>
      </w:r>
    </w:p>
    <w:p w14:paraId="1C640CB4">
      <w:pPr>
        <w:pStyle w:val="2"/>
        <w:keepNext w:val="0"/>
        <w:keepLines w:val="0"/>
        <w:pageBreakBefore w:val="0"/>
        <w:widowControl w:val="0"/>
        <w:kinsoku/>
        <w:wordWrap/>
        <w:overflowPunct/>
        <w:topLinePunct/>
        <w:autoSpaceDE/>
        <w:autoSpaceDN/>
        <w:bidi w:val="0"/>
        <w:adjustRightInd/>
        <w:snapToGrid/>
        <w:spacing w:before="0" w:beforeAutospacing="0" w:after="313" w:afterLines="10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另一方面，燃料电池作为下一代清洁能源，在新能源汽车领域具有得天独厚的优势。因此，燃料电池相关配套材料及组件的需求将随着燃料电池的快速发展而迅速增长。燃料电池所需要的关键材料主要包括质子交换膜、双极板、气体扩散层、储氢材料、催化剂等，推荐泉港高新区将燃料电池材料及组件作为新能源产业发展的方向，充分享受产业迅猛发展带来的红利。重点推荐项目包括质子交换膜、双极板、气体扩散层、储氢材料、催化剂等材料外，还包括膜电极组装、检测和电堆复合等项目。</w:t>
      </w:r>
    </w:p>
    <w:p w14:paraId="0C09ABA3">
      <w:pPr>
        <w:keepNext w:val="0"/>
        <w:keepLines w:val="0"/>
        <w:pageBreakBefore w:val="0"/>
        <w:widowControl w:val="0"/>
        <w:wordWrap/>
        <w:overflowPunct/>
        <w:bidi w:val="0"/>
        <w:spacing w:before="187" w:line="4671" w:lineRule="exact"/>
        <w:jc w:val="center"/>
        <w:textAlignment w:val="center"/>
      </w:pPr>
      <w:r>
        <w:drawing>
          <wp:inline distT="0" distB="0" distL="114300" distR="114300">
            <wp:extent cx="5146040" cy="2965450"/>
            <wp:effectExtent l="0" t="0" r="3175" b="0"/>
            <wp:docPr id="43" name="图片 10"/>
            <wp:cNvGraphicFramePr/>
            <a:graphic xmlns:a="http://schemas.openxmlformats.org/drawingml/2006/main">
              <a:graphicData uri="http://schemas.openxmlformats.org/drawingml/2006/picture">
                <pic:pic xmlns:pic="http://schemas.openxmlformats.org/drawingml/2006/picture">
                  <pic:nvPicPr>
                    <pic:cNvPr id="43" name="图片 10"/>
                    <pic:cNvPicPr/>
                  </pic:nvPicPr>
                  <pic:blipFill>
                    <a:blip r:embed="rId26"/>
                    <a:stretch>
                      <a:fillRect/>
                    </a:stretch>
                  </pic:blipFill>
                  <pic:spPr>
                    <a:xfrm>
                      <a:off x="0" y="0"/>
                      <a:ext cx="5146040" cy="2965450"/>
                    </a:xfrm>
                    <a:prstGeom prst="rect">
                      <a:avLst/>
                    </a:prstGeom>
                    <a:noFill/>
                    <a:ln>
                      <a:noFill/>
                    </a:ln>
                  </pic:spPr>
                </pic:pic>
              </a:graphicData>
            </a:graphic>
          </wp:inline>
        </w:drawing>
      </w:r>
    </w:p>
    <w:p w14:paraId="7BEE28DB">
      <w:pPr>
        <w:keepNext w:val="0"/>
        <w:keepLines w:val="0"/>
        <w:pageBreakBefore w:val="0"/>
        <w:widowControl w:val="0"/>
        <w:wordWrap/>
        <w:overflowPunct/>
        <w:bidi w:val="0"/>
        <w:spacing w:line="357" w:lineRule="auto"/>
        <w:rPr>
          <w:rFonts w:ascii="Arial"/>
          <w:sz w:val="21"/>
        </w:rPr>
      </w:pPr>
    </w:p>
    <w:p w14:paraId="5214E2A9">
      <w:pPr>
        <w:keepNext w:val="0"/>
        <w:keepLines w:val="0"/>
        <w:pageBreakBefore w:val="0"/>
        <w:widowControl w:val="0"/>
        <w:wordWrap/>
        <w:overflowPunct/>
        <w:bidi w:val="0"/>
        <w:spacing w:line="1272" w:lineRule="exact"/>
        <w:jc w:val="center"/>
        <w:textAlignment w:val="center"/>
      </w:pPr>
      <w:r>
        <w:drawing>
          <wp:inline distT="0" distB="0" distL="114300" distR="114300">
            <wp:extent cx="4189095" cy="807720"/>
            <wp:effectExtent l="0" t="0" r="10160" b="1905"/>
            <wp:docPr id="42" name="图片 11"/>
            <wp:cNvGraphicFramePr/>
            <a:graphic xmlns:a="http://schemas.openxmlformats.org/drawingml/2006/main">
              <a:graphicData uri="http://schemas.openxmlformats.org/drawingml/2006/picture">
                <pic:pic xmlns:pic="http://schemas.openxmlformats.org/drawingml/2006/picture">
                  <pic:nvPicPr>
                    <pic:cNvPr id="42" name="图片 11"/>
                    <pic:cNvPicPr/>
                  </pic:nvPicPr>
                  <pic:blipFill>
                    <a:blip r:embed="rId27"/>
                    <a:stretch>
                      <a:fillRect/>
                    </a:stretch>
                  </pic:blipFill>
                  <pic:spPr>
                    <a:xfrm>
                      <a:off x="0" y="0"/>
                      <a:ext cx="4189095" cy="807720"/>
                    </a:xfrm>
                    <a:prstGeom prst="rect">
                      <a:avLst/>
                    </a:prstGeom>
                    <a:noFill/>
                    <a:ln>
                      <a:noFill/>
                    </a:ln>
                  </pic:spPr>
                </pic:pic>
              </a:graphicData>
            </a:graphic>
          </wp:inline>
        </w:drawing>
      </w:r>
    </w:p>
    <w:p w14:paraId="0E44F9F8">
      <w:pPr>
        <w:pStyle w:val="2"/>
        <w:keepNext w:val="0"/>
        <w:keepLines w:val="0"/>
        <w:pageBreakBefore w:val="0"/>
        <w:widowControl w:val="0"/>
        <w:kinsoku/>
        <w:wordWrap/>
        <w:overflowPunct/>
        <w:topLinePunct/>
        <w:autoSpaceDE/>
        <w:autoSpaceDN/>
        <w:bidi w:val="0"/>
        <w:adjustRightInd/>
        <w:snapToGrid/>
        <w:spacing w:before="157" w:beforeLines="50" w:beforeAutospacing="0" w:after="313" w:afterLines="100" w:line="460" w:lineRule="exact"/>
        <w:ind w:left="0" w:leftChars="0" w:firstLine="0" w:firstLineChars="0"/>
        <w:jc w:val="center"/>
        <w:textAlignment w:val="auto"/>
        <w:rPr>
          <w:rFonts w:ascii="黑体" w:hAnsi="黑体" w:eastAsia="黑体" w:cs="黑体"/>
          <w:spacing w:val="3"/>
          <w:sz w:val="23"/>
          <w:szCs w:val="23"/>
        </w:rPr>
      </w:pPr>
      <w:r>
        <w:rPr>
          <w:rFonts w:ascii="黑体" w:hAnsi="黑体" w:eastAsia="黑体" w:cs="黑体"/>
          <w:spacing w:val="4"/>
          <w:sz w:val="23"/>
          <w:szCs w:val="23"/>
        </w:rPr>
        <w:t>图</w:t>
      </w:r>
      <w:r>
        <w:rPr>
          <w:rFonts w:ascii="Arial" w:hAnsi="Arial" w:eastAsia="Arial" w:cs="Arial"/>
          <w:b/>
          <w:bCs/>
          <w:spacing w:val="4"/>
          <w:sz w:val="23"/>
          <w:szCs w:val="23"/>
        </w:rPr>
        <w:t>8-6</w:t>
      </w:r>
      <w:r>
        <w:rPr>
          <w:rFonts w:ascii="黑体" w:hAnsi="黑体" w:eastAsia="黑体" w:cs="黑体"/>
          <w:spacing w:val="4"/>
          <w:sz w:val="23"/>
          <w:szCs w:val="23"/>
        </w:rPr>
        <w:t>新能源材料产业发展重点项</w:t>
      </w:r>
      <w:r>
        <w:rPr>
          <w:rFonts w:ascii="黑体" w:hAnsi="黑体" w:eastAsia="黑体" w:cs="黑体"/>
          <w:spacing w:val="3"/>
          <w:sz w:val="23"/>
          <w:szCs w:val="23"/>
        </w:rPr>
        <w:t>目</w:t>
      </w:r>
    </w:p>
    <w:p w14:paraId="15D984E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7.3.2.4新能源材料产业发展目标</w:t>
      </w:r>
    </w:p>
    <w:p w14:paraId="682359F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到2025年，构建新能源材料产业集群，侧重发展新一代锂离子电池材料项目，积极打造燃料电池产业基础，培育产学研一体化发展环境；</w:t>
      </w:r>
    </w:p>
    <w:p w14:paraId="0A4EAB1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到2030年，与福建周边如宁德地区新能源产业差异化发展，体现产业特色，为周边地区新能源电池行业提供新能源材料支撑，贡献年产值达到60亿元，实现年利税额8亿元左右，基本形成新能源材料产业集群框架；</w:t>
      </w:r>
    </w:p>
    <w:p w14:paraId="60DC992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到2035年，在新能源领域，引入国内一流的新材料企业，形成2个以上具有国内影响力的新材料产业项目。</w:t>
      </w:r>
    </w:p>
    <w:p w14:paraId="52CC545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7.3.3大健康新材料</w:t>
      </w:r>
    </w:p>
    <w:p w14:paraId="7F19FB9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7.3.3.1现有产业基础</w:t>
      </w:r>
    </w:p>
    <w:p w14:paraId="2354A22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健康产业是根据时代发展、社会需求与疾病谱的改变，提出的一种全局性理念，是围绕满足各类健康(精神、心理、生理、社会、环境、道德)需求的产业的总称，大健康是围绕人的衣食住行、生老病死，对生命实施全程、全面、全要素的呵护。</w:t>
      </w:r>
    </w:p>
    <w:p w14:paraId="46194F0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百岁寿星40人左右，80岁以上老人超过8000人，人均寿命达77.76岁。泉港是中国老年学学会认定的长寿之乡。目前泉港高新区内现有一家基于互联网+医疗的医疗仪器企业。福建省中医药大学等医科院校和研究机构有意在高新区建立研究院。</w:t>
      </w:r>
    </w:p>
    <w:p w14:paraId="1EE7736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7.3.3.2市场条件</w:t>
      </w:r>
    </w:p>
    <w:p w14:paraId="61A253FD">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医疗保健的支出占比随着人口年龄的增加不断上升，65岁以上人口的医疗保健支出占比超过11.1%。未来10年，随着65岁以上人口占比不断提升，医疗保健的整体支出将进一步上升。</w:t>
      </w:r>
    </w:p>
    <w:p w14:paraId="440F832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福建省大健康产业以医药产业和健康养老产业为主，健康管理服务产业占比相对较小。</w:t>
      </w:r>
    </w:p>
    <w:p w14:paraId="788D9B4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未来，健康管理服务业和医用材料将成为国内大健康产业最主要的增量市场。相对而言，目前市场正处于培育阶段。</w:t>
      </w:r>
    </w:p>
    <w:p w14:paraId="61E29D5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7.3.3.3重点推荐项目</w:t>
      </w:r>
    </w:p>
    <w:p w14:paraId="533E071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大健康材料产业通过推进医疗大健康领域的先进材料作为具体实施的抓手，发展血液透析膜、医用包装膜、高端药用敷料、血袋和导管用安全塑料、人工器官及植入体材料及制品项目等。另一方面，以提高居民健康生活水平为出发点，突出“医+养+健+智”，构建涵盖以“医”为支撑的医药医疗产业、以“养”为支撑的保健养生产业、以“健”为支撑的运动康体产业、以“智”为支撑的健康信息服务平台等产业体系，特别突出“治未病”，防重于治，做好保健工作，让大健康产业“进社会”“进社区”“进家庭”，充分利用数据信息平台，实现大健康的产业化、社区化和智能化。</w:t>
      </w:r>
    </w:p>
    <w:p w14:paraId="3DBDDF4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操作层面看，血液透析膜、医用包装膜、高端药用敷料、血袋和导管用安全塑料、人工器官及植入体材料及制品项目主要依托新材料项目来实施；大健康医疗产业体系则首先引入福建省中医药大学等医科院校和研究机构在泉港高新区建立大健康研究院，借助这些医疗院所在大健康领域的先进经验和研发实力，协同实现中医诊断量化、数字化、智能化和大健康产业人才的培养，并以此为依托推动大健康管理研究和咨询服务，实现大健康产业的孵化，将成果应用推广、转化。通过5-8年的发展，泉港高新区将形成较为成熟的大健康产业园，实现从产学研用一体的大健康全产业链体系。</w:t>
      </w:r>
    </w:p>
    <w:p w14:paraId="06A2EF08">
      <w:pPr>
        <w:keepNext w:val="0"/>
        <w:keepLines w:val="0"/>
        <w:pageBreakBefore w:val="0"/>
        <w:widowControl w:val="0"/>
        <w:wordWrap/>
        <w:overflowPunct/>
        <w:bidi w:val="0"/>
        <w:spacing w:line="1843" w:lineRule="exact"/>
        <w:jc w:val="center"/>
        <w:textAlignment w:val="center"/>
        <w:rPr>
          <w:rFonts w:ascii="Arial"/>
          <w:sz w:val="21"/>
        </w:rPr>
      </w:pPr>
      <w:r>
        <w:drawing>
          <wp:inline distT="0" distB="0" distL="114300" distR="114300">
            <wp:extent cx="3359785" cy="1170305"/>
            <wp:effectExtent l="0" t="0" r="8255" b="6350"/>
            <wp:docPr id="44" name="图片 12"/>
            <wp:cNvGraphicFramePr/>
            <a:graphic xmlns:a="http://schemas.openxmlformats.org/drawingml/2006/main">
              <a:graphicData uri="http://schemas.openxmlformats.org/drawingml/2006/picture">
                <pic:pic xmlns:pic="http://schemas.openxmlformats.org/drawingml/2006/picture">
                  <pic:nvPicPr>
                    <pic:cNvPr id="44" name="图片 12"/>
                    <pic:cNvPicPr/>
                  </pic:nvPicPr>
                  <pic:blipFill>
                    <a:blip r:embed="rId28"/>
                    <a:stretch>
                      <a:fillRect/>
                    </a:stretch>
                  </pic:blipFill>
                  <pic:spPr>
                    <a:xfrm>
                      <a:off x="0" y="0"/>
                      <a:ext cx="3359785" cy="1170305"/>
                    </a:xfrm>
                    <a:prstGeom prst="rect">
                      <a:avLst/>
                    </a:prstGeom>
                    <a:noFill/>
                    <a:ln>
                      <a:noFill/>
                    </a:ln>
                  </pic:spPr>
                </pic:pic>
              </a:graphicData>
            </a:graphic>
          </wp:inline>
        </w:drawing>
      </w:r>
    </w:p>
    <w:p w14:paraId="5E031354">
      <w:pPr>
        <w:keepNext w:val="0"/>
        <w:keepLines w:val="0"/>
        <w:pageBreakBefore w:val="0"/>
        <w:widowControl w:val="0"/>
        <w:kinsoku/>
        <w:wordWrap/>
        <w:overflowPunct/>
        <w:topLinePunct w:val="0"/>
        <w:autoSpaceDE/>
        <w:autoSpaceDN/>
        <w:bidi w:val="0"/>
        <w:adjustRightInd/>
        <w:snapToGrid/>
        <w:spacing w:before="100" w:after="157" w:afterLines="50" w:line="226" w:lineRule="auto"/>
        <w:jc w:val="center"/>
        <w:textAlignment w:val="auto"/>
        <w:rPr>
          <w:rFonts w:ascii="黑体" w:hAnsi="黑体" w:eastAsia="黑体" w:cs="黑体"/>
          <w:sz w:val="23"/>
          <w:szCs w:val="23"/>
        </w:rPr>
      </w:pPr>
      <w:r>
        <w:rPr>
          <w:rFonts w:ascii="黑体" w:hAnsi="黑体" w:eastAsia="黑体" w:cs="黑体"/>
          <w:spacing w:val="4"/>
          <w:sz w:val="23"/>
          <w:szCs w:val="23"/>
        </w:rPr>
        <w:t>图</w:t>
      </w:r>
      <w:r>
        <w:rPr>
          <w:rFonts w:ascii="Arial" w:hAnsi="Arial" w:eastAsia="Arial" w:cs="Arial"/>
          <w:b/>
          <w:bCs/>
          <w:spacing w:val="2"/>
          <w:sz w:val="23"/>
          <w:szCs w:val="23"/>
        </w:rPr>
        <w:t>8-7</w:t>
      </w:r>
      <w:r>
        <w:rPr>
          <w:rFonts w:ascii="黑体" w:hAnsi="黑体" w:eastAsia="黑体" w:cs="黑体"/>
          <w:spacing w:val="2"/>
          <w:sz w:val="23"/>
          <w:szCs w:val="23"/>
        </w:rPr>
        <w:t>大健康材料产业项目</w:t>
      </w:r>
    </w:p>
    <w:p w14:paraId="0A37C68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7.3.3.4大健康材料产业发展目标</w:t>
      </w:r>
    </w:p>
    <w:p w14:paraId="4D2939AD">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到2025年，为泉港高新区大健康材料产业奠定基础；</w:t>
      </w:r>
    </w:p>
    <w:p w14:paraId="47F1493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到2030年，依托园区学校企业合作，建立大健康产业研究院，推动大健康产业上下游建设；</w:t>
      </w:r>
    </w:p>
    <w:p w14:paraId="5B8E3A0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到2035年，在大健康材料和研究领域，泉港高新区成为大健康材料产业细分内先行者、创新者和主导者。</w:t>
      </w:r>
    </w:p>
    <w:p w14:paraId="718454F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7.3.4节能环保新材料产业</w:t>
      </w:r>
    </w:p>
    <w:p w14:paraId="21151ED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7.3.4.1现有产业基础和市场条件</w:t>
      </w:r>
    </w:p>
    <w:p w14:paraId="4F29D45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泉港高新区内现有再生PET纤维及下游纺织、轮胎回收等节能环保企业，已具备一定的产业发展基础。“十三五”期间，国内节能环保产业将保持年均15</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20%的增速，成为国民经济的重要组成部分。</w:t>
      </w:r>
    </w:p>
    <w:p w14:paraId="74A2E22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7.3.4.2重点推荐项目</w:t>
      </w:r>
    </w:p>
    <w:p w14:paraId="08F4B0A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泉港高新区节能环保产业聚焦重点分述如下：</w:t>
      </w:r>
    </w:p>
    <w:p w14:paraId="4677C19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资源循环利用产业。在泉港高新区推进资源、工业副产品等大宗固体废物的综合利用，在大宗工业用品资源化利用上重点布局。可依托高新区内现有再生PET纤维纺织企业重点大力发展资源再生利用项目，生产节能环保、轻质安全的材料产品，对废旧塑料的回收及再利用系统进行优化。</w:t>
      </w:r>
    </w:p>
    <w:p w14:paraId="024E0DCD">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环保产业。重点推进环保产业配套材料。如PPS纤维用作布袋除尘、反渗透膜材料及产业化用作水处理等。提供鼓励企业利用互联网搭建节能环保产品、技术、服务等市场信息交流平台，定期地发布节能环保产业发展的重大信息，展示最新的产品、技术、服务，建立节能环保产业的电子商务平台，扩大节能环保产业的影响范围，促进节能环保产业由单一的设备服务向一条龙服务转化。</w:t>
      </w:r>
    </w:p>
    <w:p w14:paraId="668FC26F">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7.3.4.3节能环保新材料产业发展目标</w:t>
      </w:r>
    </w:p>
    <w:p w14:paraId="4F31708E">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到2025年，以泉港高新区内节能改造、资源综合利用等项目发展为契机，引入节能环保新材料产业项目，构建节能环保产业基础；</w:t>
      </w:r>
    </w:p>
    <w:p w14:paraId="667D589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36" w:firstLineChars="200"/>
        <w:jc w:val="both"/>
        <w:textAlignment w:val="auto"/>
        <w:rPr>
          <w:rFonts w:hint="default" w:ascii="仿宋_GB2312" w:hAnsi="仿宋_GB2312" w:eastAsia="仿宋_GB2312" w:cs="仿宋_GB2312"/>
          <w:spacing w:val="-6"/>
          <w:sz w:val="28"/>
          <w:szCs w:val="28"/>
          <w:lang w:val="en-US" w:eastAsia="zh-CN"/>
        </w:rPr>
      </w:pPr>
      <w:r>
        <w:rPr>
          <w:rFonts w:hint="default" w:ascii="仿宋_GB2312" w:hAnsi="仿宋_GB2312" w:eastAsia="仿宋_GB2312" w:cs="仿宋_GB2312"/>
          <w:spacing w:val="-6"/>
          <w:sz w:val="28"/>
          <w:szCs w:val="28"/>
          <w:lang w:val="en-US" w:eastAsia="zh-CN"/>
        </w:rPr>
        <w:t>到2030年，节能环保新材料产业成为高新区新材料产业的重要构成产业；</w:t>
      </w:r>
    </w:p>
    <w:p w14:paraId="68B46E93">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到2035年，节能环保新材料产业集群年产值达到15亿元，年利税额达到2亿元，形成1家以上东南地区节能环保领军企业。</w:t>
      </w:r>
    </w:p>
    <w:p w14:paraId="2CFAAC73">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7.4支撑平台规划</w:t>
      </w:r>
    </w:p>
    <w:p w14:paraId="3371340C">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主要发挥四个功能：一为集聚和整合创新要素功能，通过优化创新创业环境，吸引和承接省内外乃至国内外的人才、技术、资本和项目；二是科技研发和成果转化功能，通过建设重点实验室、技术中心、工程中心、测试中心、产权交易中心、</w:t>
      </w:r>
      <w:r>
        <w:rPr>
          <w:rFonts w:hint="eastAsia" w:ascii="仿宋_GB2312" w:hAnsi="仿宋_GB2312" w:eastAsia="仿宋_GB2312" w:cs="仿宋_GB2312"/>
          <w:spacing w:val="0"/>
          <w:sz w:val="28"/>
          <w:szCs w:val="28"/>
          <w:lang w:eastAsia="zh-CN"/>
        </w:rPr>
        <w:t>技术转移中心</w:t>
      </w:r>
      <w:r>
        <w:rPr>
          <w:rFonts w:hint="eastAsia" w:ascii="仿宋_GB2312" w:hAnsi="仿宋_GB2312" w:eastAsia="仿宋_GB2312" w:cs="仿宋_GB2312"/>
          <w:spacing w:val="0"/>
          <w:sz w:val="28"/>
          <w:szCs w:val="28"/>
        </w:rPr>
        <w:t>等，促进科技研发与转化、技术转移和扩散；三是科技企业孵化功能，通过孵化器孵化一批高成长</w:t>
      </w:r>
      <w:r>
        <w:rPr>
          <w:rFonts w:hint="eastAsia" w:ascii="仿宋_GB2312" w:hAnsi="仿宋_GB2312" w:eastAsia="仿宋_GB2312" w:cs="仿宋_GB2312"/>
          <w:spacing w:val="0"/>
          <w:sz w:val="28"/>
          <w:szCs w:val="28"/>
          <w:lang w:eastAsia="zh-CN"/>
        </w:rPr>
        <w:t>型</w:t>
      </w:r>
      <w:r>
        <w:rPr>
          <w:rFonts w:hint="eastAsia" w:ascii="仿宋_GB2312" w:hAnsi="仿宋_GB2312" w:eastAsia="仿宋_GB2312" w:cs="仿宋_GB2312"/>
          <w:spacing w:val="0"/>
          <w:sz w:val="28"/>
          <w:szCs w:val="28"/>
        </w:rPr>
        <w:t>企业和项目，促进科技企业集群发展；四是现代信息化服务功能，通过互联网数据中心，为科研单位、科技企业、服务机构等各类用户提供高速接入、服务器托管及租赁等基础性服务，以及电子政务、电子商务、电子社区等完备的服务。</w:t>
      </w:r>
    </w:p>
    <w:p w14:paraId="0FCEB25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7.4.1科技成果孵化平台(产学研一体化平台)</w:t>
      </w:r>
    </w:p>
    <w:p w14:paraId="468ED5B3">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转变企业单个创新、科技与产业独立创新的传统模式，着眼于产业面临的共性问题，通过加强企业、科研院所、中介机构等的互补合作，构建产学研用跨领域多主体的协同创新体系。</w:t>
      </w:r>
    </w:p>
    <w:p w14:paraId="62869FAB">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目前高新区内已引进福建师范大学泉港石化研究院、福州大学石油化工学院等高校和研究机构，国家质检总局阀门质量监督检验中心、国家质检总局石油化工产品质量检验中心、湄洲湾(泉港)石化物流基地(一基地五中心)。目前福建师范大学泉港石化研究院已建成福建省合成树脂功能化技术重大研发平台，形成5个技术创新实验室，5个分析测试实验室，3条中试生产线，2个石化行业安全生产教育培训基地和1个成果展示中心。福州大学和中科院还将在福州大学泉港校区创办“绿色石油化工科学与技术福建省实验室”，通过组织申报技术创新和产学研资金项目，鼓励和支持承接国外、国家、地方和配套企业的研究项目，构建产学研结合的技术创新体系，加快研发创新服务平台建设。</w:t>
      </w:r>
    </w:p>
    <w:p w14:paraId="4DE66478">
      <w:pPr>
        <w:keepNext w:val="0"/>
        <w:keepLines w:val="0"/>
        <w:pageBreakBefore w:val="0"/>
        <w:widowControl w:val="0"/>
        <w:kinsoku/>
        <w:wordWrap/>
        <w:overflowPunct/>
        <w:topLinePunct/>
        <w:autoSpaceDE/>
        <w:autoSpaceDN/>
        <w:bidi w:val="0"/>
        <w:adjustRightInd/>
        <w:snapToGrid/>
        <w:spacing w:line="460" w:lineRule="exact"/>
        <w:ind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泉州市政府牵头，以福州大学、中化泉州石化有限公司为依托，成立”中国福建化学工程科学与技术实验室”，采取“政地校企”创新性建设方式，围绕先进催化、合成材料、精细化学品、环保与安全等领域开展重大前沿基础研究和关键技术攻关。瞄准福建省和泉州市当前和未来发展的战略需求，以基础研究、应用基础研究、技术创新为路线，形成以技术创新与孵化转化的技术研发基地、人才汇集与培养的创新基地和产业培育与示范的高新产业基地，引领和支撑化学化工产业高质量发展。总部设在泉港高新区石化科教园区(福建大学泉港校区)，建设“催化科学与技术”“专用化学品”和“合成材料”三个创新中心。泉港高新区内组建产业集聚发展产学研联盟。建立联盟成员资源共享机制，促进成员单位科研仪器、设备等科技资源的共享，为产业技术创新提供技术服务支撑。组织成员单位之间开展互访参观交流活动，促进成员之间建立供需对接、利益协调的渠道；组织成员单位参加国内、国际行业会议，与</w:t>
      </w:r>
      <w:r>
        <w:rPr>
          <w:rFonts w:hint="eastAsia" w:ascii="仿宋_GB2312" w:hAnsi="仿宋_GB2312" w:eastAsia="仿宋_GB2312" w:cs="仿宋_GB2312"/>
          <w:spacing w:val="0"/>
          <w:sz w:val="28"/>
          <w:szCs w:val="28"/>
          <w:lang w:eastAsia="zh-CN"/>
        </w:rPr>
        <w:t>其他地区</w:t>
      </w:r>
      <w:r>
        <w:rPr>
          <w:rFonts w:hint="eastAsia" w:ascii="仿宋_GB2312" w:hAnsi="仿宋_GB2312" w:eastAsia="仿宋_GB2312" w:cs="仿宋_GB2312"/>
          <w:spacing w:val="0"/>
          <w:sz w:val="28"/>
          <w:szCs w:val="28"/>
        </w:rPr>
        <w:t>的市场主体开展交流、协作、对接，促进企业之间及高新区内企业与区域外的企业优势互补，促进产学研结合技术创新，提高创新效率及成果转化率。</w:t>
      </w:r>
    </w:p>
    <w:p w14:paraId="661772F2">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孵化基地建设，目标是为国内外科研院所、高校、企业等技术成果产业化提供产业化示范基地，从而为园区企业发展提供更好的技术支持。</w:t>
      </w:r>
    </w:p>
    <w:p w14:paraId="42F19EA1">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泉港高新区的科技成果孵化平台主要包含公共技术平台、创新孵化体系建设、公共服务平台三部分内容。</w:t>
      </w:r>
    </w:p>
    <w:p w14:paraId="5B00C60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7.4.1.1公共技术平台</w:t>
      </w:r>
    </w:p>
    <w:p w14:paraId="6E468B2F">
      <w:pPr>
        <w:keepNext w:val="0"/>
        <w:keepLines w:val="0"/>
        <w:pageBreakBefore w:val="0"/>
        <w:widowControl w:val="0"/>
        <w:kinsoku/>
        <w:wordWrap/>
        <w:overflowPunct/>
        <w:autoSpaceDE/>
        <w:autoSpaceDN/>
        <w:bidi w:val="0"/>
        <w:adjustRightInd/>
        <w:snapToGrid/>
        <w:spacing w:line="460" w:lineRule="exact"/>
        <w:ind w:left="560"/>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(1)检验检测评估平台</w:t>
      </w:r>
    </w:p>
    <w:p w14:paraId="3FC22551">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围绕园区现有和规划产业领域建设材料检验、产品检验、装备检测公</w:t>
      </w:r>
    </w:p>
    <w:p w14:paraId="533C4FF8">
      <w:pPr>
        <w:keepNext w:val="0"/>
        <w:keepLines w:val="0"/>
        <w:pageBreakBefore w:val="0"/>
        <w:widowControl w:val="0"/>
        <w:kinsoku/>
        <w:wordWrap/>
        <w:overflowPunct/>
        <w:topLinePunct/>
        <w:autoSpaceDE/>
        <w:autoSpaceDN/>
        <w:bidi w:val="0"/>
        <w:adjustRightInd/>
        <w:snapToGrid/>
        <w:spacing w:line="460" w:lineRule="exact"/>
        <w:ind w:right="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共服务平台，包括化工新材料、新能源材料、节能环保新材料、大健康材料等。发展面向设计开发、生产制造、售后服务全过程的分析、测试、检验、计量等业务。引入市场化第三方检测服务机构进入园区，支持第三方</w:t>
      </w:r>
      <w:r>
        <w:rPr>
          <w:rFonts w:hint="eastAsia" w:ascii="仿宋_GB2312" w:hAnsi="仿宋_GB2312" w:eastAsia="仿宋_GB2312" w:cs="仿宋_GB2312"/>
          <w:spacing w:val="0"/>
          <w:kern w:val="2"/>
          <w:sz w:val="28"/>
          <w:szCs w:val="28"/>
          <w:lang w:val="en-US" w:eastAsia="zh-CN" w:bidi="ar-SA"/>
        </w:rPr>
        <w:t>检验检测</w:t>
      </w:r>
      <w:r>
        <w:rPr>
          <w:rFonts w:hint="default" w:ascii="仿宋_GB2312" w:hAnsi="仿宋_GB2312" w:eastAsia="仿宋_GB2312" w:cs="仿宋_GB2312"/>
          <w:spacing w:val="0"/>
          <w:kern w:val="2"/>
          <w:sz w:val="28"/>
          <w:szCs w:val="28"/>
          <w:lang w:val="en-US" w:eastAsia="zh-CN" w:bidi="ar-SA"/>
        </w:rPr>
        <w:t>服务机构开展质量和安全检验、检测、检疫、计量、环评、认证等技术服务。</w:t>
      </w:r>
    </w:p>
    <w:p w14:paraId="07C6C527">
      <w:pPr>
        <w:keepNext w:val="0"/>
        <w:keepLines w:val="0"/>
        <w:pageBreakBefore w:val="0"/>
        <w:widowControl w:val="0"/>
        <w:wordWrap/>
        <w:overflowPunct/>
        <w:bidi w:val="0"/>
        <w:spacing w:line="460" w:lineRule="exact"/>
        <w:ind w:left="560"/>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(2)创新交流平台</w:t>
      </w:r>
    </w:p>
    <w:p w14:paraId="14CC8212">
      <w:pPr>
        <w:keepNext w:val="0"/>
        <w:keepLines w:val="0"/>
        <w:pageBreakBefore w:val="0"/>
        <w:widowControl w:val="0"/>
        <w:kinsoku w:val="0"/>
        <w:wordWrap/>
        <w:overflowPunct/>
        <w:topLinePunct w:val="0"/>
        <w:autoSpaceDE w:val="0"/>
        <w:autoSpaceDN w:val="0"/>
        <w:bidi w:val="0"/>
        <w:adjustRightInd w:val="0"/>
        <w:snapToGrid w:val="0"/>
        <w:spacing w:line="460" w:lineRule="exact"/>
        <w:ind w:left="0" w:firstLine="560" w:firstLineChars="200"/>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规划建设信息服务中心、专家会客中心、学术交流中心、工业能耗测试控制中心、档案管理中心等服务平台，促进信息交流和共享。</w:t>
      </w:r>
    </w:p>
    <w:p w14:paraId="173DFEB4">
      <w:pPr>
        <w:keepNext w:val="0"/>
        <w:keepLines w:val="0"/>
        <w:pageBreakBefore w:val="0"/>
        <w:widowControl w:val="0"/>
        <w:kinsoku/>
        <w:wordWrap/>
        <w:overflowPunct/>
        <w:topLinePunct/>
        <w:autoSpaceDE/>
        <w:autoSpaceDN/>
        <w:bidi w:val="0"/>
        <w:adjustRightInd/>
        <w:snapToGrid/>
        <w:spacing w:line="460" w:lineRule="exact"/>
        <w:ind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鼓励和支持有条件的企业建设国家技术创新中心、国家重点实验室等科技创新平台。支持园区企业与高校、科研院所联合设立新型研发机构、技术转移机构或中试熟化基地等，共同开展研究开发、成果应用与推广、标准研究与制定等。</w:t>
      </w:r>
    </w:p>
    <w:p w14:paraId="6C0A7271">
      <w:pPr>
        <w:keepNext w:val="0"/>
        <w:keepLines w:val="0"/>
        <w:pageBreakBefore w:val="0"/>
        <w:widowControl w:val="0"/>
        <w:wordWrap/>
        <w:overflowPunct/>
        <w:bidi w:val="0"/>
        <w:spacing w:line="460" w:lineRule="exact"/>
        <w:ind w:left="560"/>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(3)科技文献平台</w:t>
      </w:r>
    </w:p>
    <w:p w14:paraId="33DECA73">
      <w:pPr>
        <w:keepNext w:val="0"/>
        <w:keepLines w:val="0"/>
        <w:pageBreakBefore w:val="0"/>
        <w:widowControl w:val="0"/>
        <w:wordWrap/>
        <w:overflowPunct/>
        <w:bidi w:val="0"/>
        <w:spacing w:line="460" w:lineRule="exact"/>
        <w:ind w:left="11" w:firstLine="565"/>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科技文献资料是科技创新的基础和保障，建设园区数字化图书馆，扩充科技文献资源的种类与服务范围，努力使园区文献资源基本覆盖园区企业类型，建立科技综合情报咨询与信息分析支持系统，让园区内的企业低费用或免费</w:t>
      </w:r>
      <w:r>
        <w:rPr>
          <w:rFonts w:hint="eastAsia" w:ascii="仿宋_GB2312" w:hAnsi="仿宋_GB2312" w:eastAsia="仿宋_GB2312" w:cs="仿宋_GB2312"/>
          <w:spacing w:val="0"/>
          <w:kern w:val="2"/>
          <w:sz w:val="28"/>
          <w:szCs w:val="28"/>
          <w:lang w:val="en-US" w:eastAsia="zh-CN" w:bidi="ar-SA"/>
        </w:rPr>
        <w:t>地</w:t>
      </w:r>
      <w:r>
        <w:rPr>
          <w:rFonts w:hint="default" w:ascii="仿宋_GB2312" w:hAnsi="仿宋_GB2312" w:eastAsia="仿宋_GB2312" w:cs="仿宋_GB2312"/>
          <w:spacing w:val="0"/>
          <w:kern w:val="2"/>
          <w:sz w:val="28"/>
          <w:szCs w:val="28"/>
          <w:lang w:val="en-US" w:eastAsia="zh-CN" w:bidi="ar-SA"/>
        </w:rPr>
        <w:t>共享各类科技文献信息。另外园区组建一支高水平的专家队伍或专业咨询机构将科技情报文献资料针对园区企业进行有针对性的二次加工，结合产业发展方向，为企业量身定制研发各类文献、专利、标准等数据。</w:t>
      </w:r>
    </w:p>
    <w:p w14:paraId="74F04645">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8"/>
          <w:szCs w:val="28"/>
        </w:rPr>
      </w:pPr>
      <w:r>
        <w:rPr>
          <w:rFonts w:hint="eastAsia" w:ascii="仿宋_GB2312" w:hAnsi="仿宋_GB2312" w:eastAsia="仿宋_GB2312" w:cs="仿宋_GB2312"/>
          <w:b/>
          <w:bCs/>
          <w:spacing w:val="0"/>
          <w:sz w:val="29"/>
          <w:szCs w:val="29"/>
        </w:rPr>
        <w:t>7.4.1.2</w:t>
      </w:r>
      <w:r>
        <w:rPr>
          <w:rFonts w:hint="eastAsia" w:ascii="仿宋_GB2312" w:hAnsi="仿宋_GB2312" w:eastAsia="仿宋_GB2312" w:cs="仿宋_GB2312"/>
          <w:b/>
          <w:bCs/>
          <w:spacing w:val="0"/>
          <w:sz w:val="28"/>
          <w:szCs w:val="28"/>
        </w:rPr>
        <w:t>创新孵化体系建设</w:t>
      </w:r>
    </w:p>
    <w:p w14:paraId="1161810D">
      <w:pPr>
        <w:keepNext w:val="0"/>
        <w:keepLines w:val="0"/>
        <w:pageBreakBefore w:val="0"/>
        <w:widowControl w:val="0"/>
        <w:wordWrap/>
        <w:overflowPunct/>
        <w:bidi w:val="0"/>
        <w:spacing w:line="460" w:lineRule="exact"/>
        <w:ind w:left="12" w:firstLine="556"/>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科技企业孵化器是一种新型的社会经济组织，它向入驻科技企业提供孵化场地、办公等方面的共享设施，提供相关的管理咨询和培训以及政府政策、资本、法律和市场开发等多方面的支持，降低在孵企业的创业风险和创业成本，从而提高在孵企业的成活率和成功率。</w:t>
      </w:r>
    </w:p>
    <w:p w14:paraId="753BB217">
      <w:pPr>
        <w:keepNext w:val="0"/>
        <w:keepLines w:val="0"/>
        <w:pageBreakBefore w:val="0"/>
        <w:widowControl w:val="0"/>
        <w:wordWrap/>
        <w:overflowPunct/>
        <w:bidi w:val="0"/>
        <w:spacing w:line="460" w:lineRule="exact"/>
        <w:ind w:left="4" w:firstLine="592"/>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园区规划建设孵化基地，构建科技企业孵化器体系，进一步完善企业创业服务环境为中小科技企业提供包括政策、管理、金融、人力资源、开办场地以及专业化支撑等在内的综合性企业孵化服务，提高孵化能力。</w:t>
      </w:r>
    </w:p>
    <w:p w14:paraId="738D69EA">
      <w:pPr>
        <w:keepNext w:val="0"/>
        <w:keepLines w:val="0"/>
        <w:pageBreakBefore w:val="0"/>
        <w:widowControl w:val="0"/>
        <w:wordWrap/>
        <w:overflowPunct/>
        <w:bidi w:val="0"/>
        <w:spacing w:line="460" w:lineRule="exact"/>
        <w:ind w:left="560"/>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(1)专业孵化器</w:t>
      </w:r>
    </w:p>
    <w:p w14:paraId="02DC4F15">
      <w:pPr>
        <w:keepNext w:val="0"/>
        <w:keepLines w:val="0"/>
        <w:pageBreakBefore w:val="0"/>
        <w:widowControl w:val="0"/>
        <w:wordWrap/>
        <w:overflowPunct/>
        <w:bidi w:val="0"/>
        <w:spacing w:line="460" w:lineRule="exact"/>
        <w:ind w:left="9" w:firstLine="585"/>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围绕园区规划的主要产业领域，建设多个专业孵化器。吸收相关科研机构进入园区，为其提供相应便利。</w:t>
      </w:r>
    </w:p>
    <w:p w14:paraId="69813759">
      <w:pPr>
        <w:keepNext w:val="0"/>
        <w:keepLines w:val="0"/>
        <w:pageBreakBefore w:val="0"/>
        <w:widowControl w:val="0"/>
        <w:wordWrap/>
        <w:overflowPunct/>
        <w:bidi w:val="0"/>
        <w:spacing w:line="460" w:lineRule="exact"/>
        <w:ind w:left="9" w:firstLine="559"/>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建设产品技术创新研发基地、产品工程转化技术中心和规模化产业基地。为科研成果转化提供中试、产业化、工程化提供全方位服务和场所。</w:t>
      </w:r>
    </w:p>
    <w:p w14:paraId="1F35401D">
      <w:pPr>
        <w:keepNext w:val="0"/>
        <w:keepLines w:val="0"/>
        <w:pageBreakBefore w:val="0"/>
        <w:widowControl w:val="0"/>
        <w:wordWrap/>
        <w:overflowPunct/>
        <w:bidi w:val="0"/>
        <w:spacing w:line="460" w:lineRule="exact"/>
        <w:ind w:left="560"/>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(2)技术交流平台</w:t>
      </w:r>
    </w:p>
    <w:p w14:paraId="1802A082">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通过与国内多家科研院所和重点高等院校开展深层次的技术合作，充分发挥科研院所、重点高等院校的科技创新优势、研究成果和人才集聚优势，强化与下游目标客户的产品研发互动，促进科技机构创新成果在园区产业化，加强科技机构与园区企业间的合作，在园区培育出一批优秀的创新型高新技术企业。</w:t>
      </w:r>
    </w:p>
    <w:p w14:paraId="26B57675">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(3)研发中心</w:t>
      </w:r>
    </w:p>
    <w:p w14:paraId="675C9F42">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培育园区科技创新企业，吸引国内外研发机构，争取在园区创设四到六个国家级或省级工程(技术)研究中心、重点(工程)实验室、企业技术中心等。提升园区档次，为园区持续健康发展提供技术支撑。</w:t>
      </w:r>
    </w:p>
    <w:p w14:paraId="40383585">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9"/>
          <w:szCs w:val="29"/>
        </w:rPr>
      </w:pPr>
      <w:r>
        <w:rPr>
          <w:rFonts w:hint="eastAsia" w:ascii="仿宋_GB2312" w:hAnsi="仿宋_GB2312" w:eastAsia="仿宋_GB2312" w:cs="仿宋_GB2312"/>
          <w:b/>
          <w:bCs/>
          <w:spacing w:val="0"/>
          <w:sz w:val="29"/>
          <w:szCs w:val="29"/>
        </w:rPr>
        <w:t>7.4.1.3公共服务平台</w:t>
      </w:r>
    </w:p>
    <w:p w14:paraId="2C2E9FFA">
      <w:pPr>
        <w:keepNext w:val="0"/>
        <w:keepLines w:val="0"/>
        <w:pageBreakBefore w:val="0"/>
        <w:widowControl w:val="0"/>
        <w:wordWrap/>
        <w:overflowPunct/>
        <w:bidi w:val="0"/>
        <w:spacing w:line="460" w:lineRule="exact"/>
        <w:ind w:left="56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(1)技术成果转移服务平台</w:t>
      </w:r>
    </w:p>
    <w:p w14:paraId="6330BD08">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通过政策引导和资金支持，推广应用先进有效的技术成果，完善成果推广体系建设。提供专业化成果转化与推广服务，开展企业技术需求与成果对接服务。开展技术转移活动实地调研，建设技术成果库、专家库、企业库、技术需求库、投资需求库等提供专业技术信息推送，技术项目对接，技术需求难题解决等服务。面向科研院所提供科技成果转化服务，推进企业与科研院所</w:t>
      </w:r>
      <w:r>
        <w:rPr>
          <w:rFonts w:hint="eastAsia" w:ascii="仿宋_GB2312" w:hAnsi="仿宋_GB2312" w:eastAsia="仿宋_GB2312" w:cs="仿宋_GB2312"/>
          <w:spacing w:val="0"/>
          <w:kern w:val="2"/>
          <w:sz w:val="28"/>
          <w:szCs w:val="28"/>
          <w:lang w:val="en-US" w:eastAsia="zh-CN" w:bidi="ar-SA"/>
        </w:rPr>
        <w:t>开</w:t>
      </w:r>
      <w:r>
        <w:rPr>
          <w:rFonts w:hint="default" w:ascii="仿宋_GB2312" w:hAnsi="仿宋_GB2312" w:eastAsia="仿宋_GB2312" w:cs="仿宋_GB2312"/>
          <w:spacing w:val="0"/>
          <w:kern w:val="2"/>
          <w:sz w:val="28"/>
          <w:szCs w:val="28"/>
          <w:lang w:val="en-US" w:eastAsia="zh-CN" w:bidi="ar-SA"/>
        </w:rPr>
        <w:t>展技术联合攻关。发展与成果转化相关的网上交易，建立一批园区技术交易服务机构。加快建立适应科技事业发展及高新技术产业化的创业投融资体制，发展各类科技创业投资机构，营造有利于风险投资健康发展的政策环境。</w:t>
      </w:r>
    </w:p>
    <w:p w14:paraId="68421000">
      <w:pPr>
        <w:keepNext w:val="0"/>
        <w:keepLines w:val="0"/>
        <w:pageBreakBefore w:val="0"/>
        <w:widowControl w:val="0"/>
        <w:wordWrap/>
        <w:overflowPunct/>
        <w:bidi w:val="0"/>
        <w:spacing w:line="460" w:lineRule="exact"/>
        <w:ind w:left="56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(2)园区技术产权交易中心</w:t>
      </w:r>
    </w:p>
    <w:p w14:paraId="3336D065">
      <w:pPr>
        <w:keepNext w:val="0"/>
        <w:keepLines w:val="0"/>
        <w:pageBreakBefore w:val="0"/>
        <w:widowControl w:val="0"/>
        <w:tabs>
          <w:tab w:val="left" w:pos="6892"/>
        </w:tabs>
        <w:kinsoku w:val="0"/>
        <w:wordWrap/>
        <w:overflowPunct/>
        <w:topLinePunct w:val="0"/>
        <w:autoSpaceDE w:val="0"/>
        <w:autoSpaceDN w:val="0"/>
        <w:bidi w:val="0"/>
        <w:adjustRightInd w:val="0"/>
        <w:snapToGrid w:val="0"/>
        <w:spacing w:line="460" w:lineRule="exact"/>
        <w:ind w:firstLine="560" w:firstLineChars="200"/>
        <w:jc w:val="both"/>
        <w:textAlignment w:val="baseline"/>
        <w:rPr>
          <w:rFonts w:hint="eastAsia"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要创新科技成果的交易模式和运作机制，完善认证、评估，公证、会计等中介服务体系，推动专利技术成果的社会化和市场化交易，使之逐步成为面向园区辖区及周边地区、乃至更大区域的技术交易平台。还要加强技术产权交易中心与国家专利服务等方面的对接，推动与上海、深圳两大证券交易所的合作，支持高新技术企业和科技型中小企业开展质押、风投、上市等多种融资活动，更好地为企业融资服务。</w:t>
      </w:r>
    </w:p>
    <w:p w14:paraId="3C8641CD">
      <w:pPr>
        <w:keepNext w:val="0"/>
        <w:keepLines w:val="0"/>
        <w:pageBreakBefore w:val="0"/>
        <w:widowControl w:val="0"/>
        <w:wordWrap/>
        <w:overflowPunct/>
        <w:bidi w:val="0"/>
        <w:spacing w:line="460" w:lineRule="exact"/>
        <w:ind w:left="560"/>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(3)科技创新投融资中介服务体系</w:t>
      </w:r>
    </w:p>
    <w:p w14:paraId="4C1D487F">
      <w:pPr>
        <w:keepNext w:val="0"/>
        <w:keepLines w:val="0"/>
        <w:pageBreakBefore w:val="0"/>
        <w:widowControl w:val="0"/>
        <w:kinsoku/>
        <w:wordWrap/>
        <w:overflowPunct/>
        <w:topLinePunct/>
        <w:autoSpaceDE/>
        <w:autoSpaceDN/>
        <w:bidi w:val="0"/>
        <w:adjustRightInd/>
        <w:snapToGrid/>
        <w:spacing w:line="460" w:lineRule="exact"/>
        <w:ind w:right="2"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结合融资平台的建设，联合一批有实力的投资公司、会计、审计及法律事务所等其他中介机构，建立科技中介服务战略同盟，发挥各自优势，提高科技中介的调控能力和管理水平。园区内企业发行股票和上市，可以迅速为企业融资，同时也能降低企业本身的风险，且资本将在社会监督下使用，是一种非常可取的良性融资渠道。但是目前国内对企业发行股票和债券都有着非常严格的要求，园区应建立相应的服务体系，为企业提供企业上市的法律咨询和辅导服务工作，且为企业和证监会起到一个沟通的桥梁作用。</w:t>
      </w:r>
    </w:p>
    <w:p w14:paraId="65434C2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478" w:firstLineChars="17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7.4.2培训教育基地</w:t>
      </w:r>
    </w:p>
    <w:p w14:paraId="0B361F3C">
      <w:pPr>
        <w:keepNext w:val="0"/>
        <w:keepLines w:val="0"/>
        <w:pageBreakBefore w:val="0"/>
        <w:widowControl w:val="0"/>
        <w:kinsoku/>
        <w:wordWrap/>
        <w:overflowPunct/>
        <w:topLinePunct/>
        <w:autoSpaceDE/>
        <w:autoSpaceDN/>
        <w:bidi w:val="0"/>
        <w:adjustRightInd/>
        <w:snapToGrid/>
        <w:spacing w:line="460" w:lineRule="exact"/>
        <w:ind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通过建立“政府引导、政策支撑、市场驱动、企业主体”的可持续发展市场化运营机制，整合和调动高新区各方培训资源参与人才培养服务，建立公共服务平台；依托高新区内高校、职业学校和研究院所建立培训教育基地，基地主要培训技术型人才和技能型人才，培训内容包括园区和周边企业管理人员业务培训、企业职工各项技能培训。同时，培训教育基地为高校、职业学校和研究院所的学生提供在高新区内企业实习机会。推动高校区、学校和研究院的深度对接，实现共建互赢。让高新区、校园及科研机构之间发挥更大的协同效应；通过开放一些功能中心(如技术平台、孵化中心等)，促进学生、学者和业界人才之间的沟通和交流，</w:t>
      </w:r>
      <w:r>
        <w:rPr>
          <w:rFonts w:hint="eastAsia" w:ascii="仿宋_GB2312" w:hAnsi="仿宋_GB2312" w:eastAsia="仿宋_GB2312" w:cs="仿宋_GB2312"/>
          <w:spacing w:val="0"/>
          <w:kern w:val="2"/>
          <w:sz w:val="28"/>
          <w:szCs w:val="28"/>
          <w:lang w:val="en-US" w:eastAsia="zh-CN" w:bidi="ar-SA"/>
        </w:rPr>
        <w:t>创造</w:t>
      </w:r>
      <w:r>
        <w:rPr>
          <w:rFonts w:hint="default" w:ascii="仿宋_GB2312" w:hAnsi="仿宋_GB2312" w:eastAsia="仿宋_GB2312" w:cs="仿宋_GB2312"/>
          <w:spacing w:val="0"/>
          <w:kern w:val="2"/>
          <w:sz w:val="28"/>
          <w:szCs w:val="28"/>
          <w:lang w:val="en-US" w:eastAsia="zh-CN" w:bidi="ar-SA"/>
        </w:rPr>
        <w:t>充满活力、彰显创意的环境。</w:t>
      </w:r>
    </w:p>
    <w:p w14:paraId="2D6F851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478" w:firstLineChars="17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7.4.3物联网和云服务数据信息平台</w:t>
      </w:r>
    </w:p>
    <w:p w14:paraId="0412AF25">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通过应用云计算、物联网等新技术，建立一个面向高新区、集建设与运营、管理和服务、信息化和数字化三位一体的智慧云服务公共服务平台，帮助高新区规范信息化建设和管理，为高新区入驻企业营造一个便捷、质优、价廉的信息化应用环境，从而有效降低企业运营成本，提高高新区企业创新能力、管理水平和竞争力，带动高新区内企业的信息化应用水平整体提升，促进产业集群信息化发展，打造一条高新区智慧化产业价值链。</w:t>
      </w:r>
    </w:p>
    <w:p w14:paraId="4C25931C">
      <w:pPr>
        <w:keepNext w:val="0"/>
        <w:keepLines w:val="0"/>
        <w:pageBreakBefore w:val="0"/>
        <w:widowControl w:val="0"/>
        <w:numPr>
          <w:ilvl w:val="0"/>
          <w:numId w:val="0"/>
        </w:numPr>
        <w:kinsoku/>
        <w:wordWrap/>
        <w:overflowPunct/>
        <w:topLinePunct/>
        <w:autoSpaceDE/>
        <w:autoSpaceDN/>
        <w:bidi w:val="0"/>
        <w:adjustRightInd/>
        <w:snapToGrid/>
        <w:spacing w:line="460" w:lineRule="exact"/>
        <w:ind w:right="0" w:rightChars="0" w:firstLine="560" w:firstLineChars="200"/>
        <w:jc w:val="both"/>
        <w:textAlignment w:val="baseline"/>
        <w:rPr>
          <w:rFonts w:hint="eastAsia"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w:t>
      </w:r>
      <w:r>
        <w:rPr>
          <w:rFonts w:hint="eastAsia" w:ascii="仿宋_GB2312" w:hAnsi="仿宋_GB2312" w:eastAsia="仿宋_GB2312" w:cs="仿宋_GB2312"/>
          <w:spacing w:val="0"/>
          <w:kern w:val="2"/>
          <w:sz w:val="28"/>
          <w:szCs w:val="28"/>
          <w:lang w:val="en-US" w:eastAsia="zh-CN" w:bidi="ar-SA"/>
        </w:rPr>
        <w:t>1</w:t>
      </w:r>
      <w:r>
        <w:rPr>
          <w:rFonts w:hint="default" w:ascii="仿宋_GB2312" w:hAnsi="仿宋_GB2312" w:eastAsia="仿宋_GB2312" w:cs="仿宋_GB2312"/>
          <w:spacing w:val="0"/>
          <w:kern w:val="2"/>
          <w:sz w:val="28"/>
          <w:szCs w:val="28"/>
          <w:lang w:val="en-US" w:eastAsia="zh-CN" w:bidi="ar-SA"/>
        </w:rPr>
        <w:t>)</w:t>
      </w:r>
      <w:r>
        <w:rPr>
          <w:rFonts w:hint="eastAsia" w:ascii="仿宋_GB2312" w:hAnsi="仿宋_GB2312" w:eastAsia="仿宋_GB2312" w:cs="仿宋_GB2312"/>
          <w:spacing w:val="0"/>
          <w:kern w:val="2"/>
          <w:sz w:val="28"/>
          <w:szCs w:val="28"/>
          <w:lang w:val="en-US" w:eastAsia="zh-CN" w:bidi="ar-SA"/>
        </w:rPr>
        <w:t>建设面向高新区管理单位、建设单位、运营单位及入驻企业的云数据中心(IaaS)，为园区用户提供共享应用服务，实现硬件资源集中管理，资源按需分配。主要包括网络、服务器、配套的系统软件、存储系统、数据库和机房等。</w:t>
      </w:r>
    </w:p>
    <w:p w14:paraId="428E12B7">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(2)应用运行支撑环境以服务的形式通过网络交付给SaaS应用，通过PaaS服务建立快速搭建部署应用运行环境及动态调整应用运行时环境资源的应用支撑环境。建设内容面向SOA，包括资源管理及统一访问层(含云存储、组件库、Web服务、数据库、NoSQL库、其他系统资源)、业务引擎层(含工作流引擎、业务引擎、展现引擎、数据服务引擎、报表引擎、表单引擎)、组件层(含基础服务组件、通用业务组件、通用界面组件)以及与之配套的相关项目实施指南及最佳实践、开发标准及规范、开发工具及示例和组件管理及监控工具。</w:t>
      </w:r>
    </w:p>
    <w:p w14:paraId="3B270A76">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(3)通过SaaS服务模式为园区及时入驻企业提供应用软件服务，包括一个综合门户，三类应用：园区企业服务、园区运营管理和园区智能感知。</w:t>
      </w:r>
    </w:p>
    <w:p w14:paraId="3946581F">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综合管理门户为园区管理建设单位、企业用户、社会公众提供一个统一的信息入口，增强客户和园区管理者之间的互动关系，提高客户满意度，提升产业园区品牌价值。</w:t>
      </w:r>
    </w:p>
    <w:p w14:paraId="00C27D1C">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园区企业服务以云计算服务模式，为园区企业提供按需使用的低成本信息化应用环境。包括用于企业内部经营管理的ERP软件、协同办公软件租用服务；为园区企业提供的电子物流、电子交易。从而有效降低企业运营成本，提高工作效率，促进公共技术和知识的沟通，提高园区企业创新能力、管理水平和竞争力。</w:t>
      </w:r>
    </w:p>
    <w:p w14:paraId="58655505">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园区运营管理是面向园区建设和管理单位，为园区管理单位、建设单位、运营单位提供全面的信息化服务,从园区创建初期的土地规划、项目建设、招商与租赁、到后期的综合物业管理、电子政务、内部办公、园区经营分析与决策支持。</w:t>
      </w:r>
    </w:p>
    <w:p w14:paraId="6DD81624">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default" w:ascii="仿宋_GB2312" w:hAnsi="仿宋_GB2312" w:eastAsia="仿宋_GB2312" w:cs="仿宋_GB2312"/>
          <w:spacing w:val="0"/>
          <w:kern w:val="2"/>
          <w:sz w:val="28"/>
          <w:szCs w:val="28"/>
          <w:lang w:val="en-US" w:eastAsia="zh-CN" w:bidi="ar-SA"/>
        </w:rPr>
      </w:pPr>
      <w:r>
        <w:rPr>
          <w:rFonts w:hint="default" w:ascii="仿宋_GB2312" w:hAnsi="仿宋_GB2312" w:eastAsia="仿宋_GB2312" w:cs="仿宋_GB2312"/>
          <w:spacing w:val="0"/>
          <w:kern w:val="2"/>
          <w:sz w:val="28"/>
          <w:szCs w:val="28"/>
          <w:lang w:val="en-US" w:eastAsia="zh-CN" w:bidi="ar-SA"/>
        </w:rPr>
        <w:t>园区智能感知是面向园区管理和运维单位，采用先进的物联网技术，感知园区内更加真实、详细、实时的信息，洞悉园区事务的变化，为精细化管理、科学化管理提供了基础条件：通过对楼宇办公环境、园区能源、安防等信息自动采集和控制措施，来达到节能、环保、舒适、安全的目的。</w:t>
      </w:r>
    </w:p>
    <w:p w14:paraId="07E6CBA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478" w:firstLineChars="17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7.4.4金融服务平台</w:t>
      </w:r>
    </w:p>
    <w:p w14:paraId="6A776458">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党的十九大报告再次强调了要“深化金融体制改革，增强金融服务实体经济能力”，就是要有效发挥媒介资源配置能力，为实体经济提供更好的金融服务，降低流通成本，提高金融中介效率和分配效率，实现金融与实体经济共生共荣的关系。我国目前金融业发展较快，融资渠道不断拓宽，除了传统的政府资金、银行贷款、发行债券等，还有众多基金、租赁、风险投资、PPP等。企业融资的选择余地越来越大。</w:t>
      </w:r>
    </w:p>
    <w:p w14:paraId="366159FA">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随着园区的不断发展，入园企业在新建和改造项目中，往往需要到处找资金，但在融资方面，面对庞大而复杂的金融市场，往往无从下手，或处于信息不通，限制了融资渠道的拓展，阻塞了资金来源。因此，本次规划借助于日益发展的互联网和日益成熟的金融市场，规划建设金融服务平台，更好地为园区企业服务。</w:t>
      </w:r>
    </w:p>
    <w:p w14:paraId="02C78A9B">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泉港高新区金融服务平台规划包括成立以园区技术风险投资公司、中小企业信用担保公司、信托投资公司为基础，建立灵活多样的、多方位的金融服务平台。吸引各种金融机构进入园区，作为银行、保险、担保公司等金融机构开发知识产权质押、担保等业务的窗口平台，开展科技企业版</w:t>
      </w:r>
      <w:r>
        <w:rPr>
          <w:rFonts w:hint="eastAsia" w:ascii="仿宋_GB2312" w:hAnsi="仿宋_GB2312" w:eastAsia="仿宋_GB2312" w:cs="仿宋_GB2312"/>
          <w:spacing w:val="6"/>
          <w:sz w:val="28"/>
          <w:szCs w:val="28"/>
        </w:rPr>
        <w:t>权资产评估、信用评级、贷前审批、信用贷款、贷后监管、融资推荐等服务。</w:t>
      </w:r>
    </w:p>
    <w:p w14:paraId="28092BF2">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平台建设内容主要包括融资平台、融资租赁平台、金融信息服务平台、股权交易平台和信用服务平台等。</w:t>
      </w:r>
    </w:p>
    <w:p w14:paraId="04327866">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8"/>
          <w:szCs w:val="28"/>
        </w:rPr>
      </w:pPr>
      <w:r>
        <w:rPr>
          <w:rFonts w:hint="eastAsia" w:ascii="仿宋_GB2312" w:hAnsi="仿宋_GB2312" w:eastAsia="仿宋_GB2312" w:cs="仿宋_GB2312"/>
          <w:b/>
          <w:bCs/>
          <w:spacing w:val="0"/>
          <w:sz w:val="29"/>
          <w:szCs w:val="29"/>
        </w:rPr>
        <w:t>7.4.4.1</w:t>
      </w:r>
      <w:r>
        <w:rPr>
          <w:rFonts w:hint="eastAsia" w:ascii="仿宋_GB2312" w:hAnsi="仿宋_GB2312" w:eastAsia="仿宋_GB2312" w:cs="仿宋_GB2312"/>
          <w:b/>
          <w:bCs/>
          <w:spacing w:val="0"/>
          <w:sz w:val="28"/>
          <w:szCs w:val="28"/>
        </w:rPr>
        <w:t>融资平台</w:t>
      </w:r>
    </w:p>
    <w:p w14:paraId="32ECCD79">
      <w:pPr>
        <w:keepNext w:val="0"/>
        <w:keepLines w:val="0"/>
        <w:pageBreakBefore w:val="0"/>
        <w:widowControl w:val="0"/>
        <w:kinsoku/>
        <w:wordWrap/>
        <w:overflowPunct/>
        <w:topLinePunct/>
        <w:autoSpaceDE/>
        <w:autoSpaceDN/>
        <w:bidi w:val="0"/>
        <w:adjustRightInd/>
        <w:snapToGrid/>
        <w:spacing w:line="460" w:lineRule="exact"/>
        <w:ind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积极吸引和引导各类银行、投资公司、基金公司、保险公司、信托公司、证券公司等金融机构进入园区设立分支机构或办事处，园区配套建立银企联合联动机制，架起企业与金融机构间的桥梁，搭建融资平台，拉近企业与金融机构间的距离，为金融机构选择投资方向和企业寻找资金支持提供便利。园区可以与政府合作，提供一部分政府资金，对入园企业实行一定的财政资金支持，国内一些园区在财政支持方面收到很好效果，财政资金分为两部分，一部分是无偿的，一部分是有偿的，但无论有偿或无偿，均具有使用条件，园区可以根据自身发展需要，制定相应政策。</w:t>
      </w:r>
    </w:p>
    <w:p w14:paraId="4C1FD657">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9"/>
          <w:szCs w:val="29"/>
        </w:rPr>
      </w:pPr>
      <w:r>
        <w:rPr>
          <w:rFonts w:hint="eastAsia" w:ascii="仿宋_GB2312" w:hAnsi="仿宋_GB2312" w:eastAsia="仿宋_GB2312" w:cs="仿宋_GB2312"/>
          <w:b/>
          <w:bCs/>
          <w:spacing w:val="0"/>
          <w:sz w:val="29"/>
          <w:szCs w:val="29"/>
        </w:rPr>
        <w:t>7.4.4.2融资租赁平台</w:t>
      </w:r>
    </w:p>
    <w:p w14:paraId="120C9A0F">
      <w:pPr>
        <w:keepNext w:val="0"/>
        <w:keepLines w:val="0"/>
        <w:pageBreakBefore w:val="0"/>
        <w:widowControl w:val="0"/>
        <w:kinsoku/>
        <w:wordWrap/>
        <w:overflowPunct/>
        <w:topLinePunct/>
        <w:autoSpaceDE/>
        <w:autoSpaceDN/>
        <w:bidi w:val="0"/>
        <w:adjustRightInd/>
        <w:snapToGrid/>
        <w:spacing w:line="460" w:lineRule="exact"/>
        <w:ind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积极鼓励设立融资租赁公司，引导和支持企业利用融资租赁的方式，进行设备更新和技术改造。引导融资租赁服务企业加强与商业银行、保险、信托等金融机构的合作，充分利用各方面的资金，多渠道拓展融资空间。</w:t>
      </w:r>
    </w:p>
    <w:p w14:paraId="6614A1C7">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9"/>
          <w:szCs w:val="29"/>
        </w:rPr>
      </w:pPr>
      <w:r>
        <w:rPr>
          <w:rFonts w:hint="eastAsia" w:ascii="仿宋_GB2312" w:hAnsi="仿宋_GB2312" w:eastAsia="仿宋_GB2312" w:cs="仿宋_GB2312"/>
          <w:b/>
          <w:bCs/>
          <w:spacing w:val="0"/>
          <w:sz w:val="29"/>
          <w:szCs w:val="29"/>
        </w:rPr>
        <w:t>7.4.4.3金融信息服务平台</w:t>
      </w:r>
    </w:p>
    <w:p w14:paraId="37EB9B4E">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建立综合金融信息服务平台，面向园区企业，促进金融、创投和社会资本与企业有效对接，形成多元化的投融资体系。通过企业数据库的建设，集成全园区各类资源，有效采集和发布满足金融、创投机构等需求的项目和企业信息，为企业搭建高效融资通道。开展需求分析与评价、商业策划与包装、项目宣传与推介等增值服务，为金融机构提供资金需求信息和评价服务。积极延伸各项对接服务，搭建信息桥梁，开展交易服务。</w:t>
      </w:r>
    </w:p>
    <w:p w14:paraId="4027A3F2">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9"/>
          <w:szCs w:val="29"/>
        </w:rPr>
      </w:pPr>
      <w:r>
        <w:rPr>
          <w:rFonts w:hint="eastAsia" w:ascii="仿宋_GB2312" w:hAnsi="仿宋_GB2312" w:eastAsia="仿宋_GB2312" w:cs="仿宋_GB2312"/>
          <w:b/>
          <w:bCs/>
          <w:spacing w:val="0"/>
          <w:sz w:val="29"/>
          <w:szCs w:val="29"/>
        </w:rPr>
        <w:t>7.4.4.4股权交易平台</w:t>
      </w:r>
    </w:p>
    <w:p w14:paraId="5CBE40A8">
      <w:pPr>
        <w:keepNext w:val="0"/>
        <w:keepLines w:val="0"/>
        <w:pageBreakBefore w:val="0"/>
        <w:widowControl w:val="0"/>
        <w:kinsoku/>
        <w:wordWrap/>
        <w:overflowPunct/>
        <w:topLinePunct/>
        <w:autoSpaceDE/>
        <w:autoSpaceDN/>
        <w:bidi w:val="0"/>
        <w:adjustRightInd/>
        <w:snapToGrid/>
        <w:spacing w:line="460" w:lineRule="exact"/>
        <w:ind w:left="0" w:right="0"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建立非上市企业股权交易信息公示平台，促进非上市企业股权场下交易。设立股权交易中心，提供股份交易、登记结算、市场拓展、代理买卖等多种金融服务业务，为一、二级市场投资者提供多样化的金融产品和综合服务。鼓励企业进入代办股份转让系统试点交易，改善中小企业的直接融资环境。完善区域产权交易市场功能，研究制定园区股权交易托管的操作指南和运行规则，动员各方面力量积极参与，着重为改善企业的公司治理结构、培育优质上市资源提供服务。</w:t>
      </w:r>
    </w:p>
    <w:p w14:paraId="123E6302">
      <w:pPr>
        <w:keepNext w:val="0"/>
        <w:keepLines w:val="0"/>
        <w:pageBreakBefore w:val="0"/>
        <w:widowControl w:val="0"/>
        <w:wordWrap/>
        <w:overflowPunct/>
        <w:bidi w:val="0"/>
        <w:spacing w:line="460" w:lineRule="exact"/>
        <w:ind w:left="580"/>
        <w:textAlignment w:val="baseline"/>
        <w:outlineLvl w:val="3"/>
        <w:rPr>
          <w:rFonts w:hint="eastAsia" w:ascii="仿宋_GB2312" w:hAnsi="仿宋_GB2312" w:eastAsia="仿宋_GB2312" w:cs="仿宋_GB2312"/>
          <w:b/>
          <w:bCs/>
          <w:spacing w:val="0"/>
          <w:sz w:val="29"/>
          <w:szCs w:val="29"/>
        </w:rPr>
      </w:pPr>
      <w:r>
        <w:rPr>
          <w:rFonts w:hint="eastAsia" w:ascii="仿宋_GB2312" w:hAnsi="仿宋_GB2312" w:eastAsia="仿宋_GB2312" w:cs="仿宋_GB2312"/>
          <w:b/>
          <w:bCs/>
          <w:spacing w:val="0"/>
          <w:sz w:val="29"/>
          <w:szCs w:val="29"/>
        </w:rPr>
        <w:t>7.4.4.5信用服务平台</w:t>
      </w:r>
    </w:p>
    <w:p w14:paraId="64E5EA85">
      <w:pPr>
        <w:keepNext w:val="0"/>
        <w:keepLines w:val="0"/>
        <w:pageBreakBefore w:val="0"/>
        <w:widowControl w:val="0"/>
        <w:kinsoku w:val="0"/>
        <w:wordWrap/>
        <w:overflowPunct/>
        <w:topLinePunct w:val="0"/>
        <w:autoSpaceDE w:val="0"/>
        <w:autoSpaceDN w:val="0"/>
        <w:bidi w:val="0"/>
        <w:adjustRightInd w:val="0"/>
        <w:snapToGrid w:val="0"/>
        <w:spacing w:line="460" w:lineRule="exact"/>
        <w:ind w:left="0" w:firstLine="560" w:firstLineChars="200"/>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(1)健全社会信用体系</w:t>
      </w:r>
    </w:p>
    <w:p w14:paraId="0E20A6F6">
      <w:pPr>
        <w:keepNext w:val="0"/>
        <w:keepLines w:val="0"/>
        <w:pageBreakBefore w:val="0"/>
        <w:widowControl w:val="0"/>
        <w:kinsoku/>
        <w:wordWrap/>
        <w:overflowPunct/>
        <w:topLinePunct/>
        <w:autoSpaceDE/>
        <w:autoSpaceDN/>
        <w:bidi w:val="0"/>
        <w:adjustRightInd/>
        <w:snapToGrid/>
        <w:spacing w:line="460" w:lineRule="exact"/>
        <w:ind w:firstLine="560" w:firstLineChars="200"/>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加大信用资源整合力度，加快建立和完善企业、个人征信系统，扩大企业和个人信用信息入库面，逐步完善企业和个人信用评价制度。遵循国际通行的基本金融监管规则，逐步对金融机构实行强制信息披露制度，提高金融机构和企业信用信息披露的公信力。</w:t>
      </w:r>
    </w:p>
    <w:p w14:paraId="1FA392F2">
      <w:pPr>
        <w:keepNext w:val="0"/>
        <w:keepLines w:val="0"/>
        <w:pageBreakBefore w:val="0"/>
        <w:widowControl w:val="0"/>
        <w:wordWrap/>
        <w:overflowPunct/>
        <w:bidi w:val="0"/>
        <w:spacing w:line="460" w:lineRule="exact"/>
        <w:ind w:left="560"/>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(2)信用信息化系统</w:t>
      </w:r>
    </w:p>
    <w:p w14:paraId="1A8BD442">
      <w:pPr>
        <w:keepNext w:val="0"/>
        <w:keepLines w:val="0"/>
        <w:pageBreakBefore w:val="0"/>
        <w:widowControl w:val="0"/>
        <w:wordWrap/>
        <w:overflowPunct/>
        <w:bidi w:val="0"/>
        <w:spacing w:line="460" w:lineRule="exact"/>
        <w:ind w:left="2" w:firstLine="583"/>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完善园区征信信息系统，稳步推进企业联合征信数据平台、个人联合征信数据平台、区域数据交换平台等三大信用信息化项目建设，完善信用信息征集、评价、披露、惩戒和服务五大系统。</w:t>
      </w:r>
    </w:p>
    <w:p w14:paraId="5F7AE071">
      <w:pPr>
        <w:keepNext w:val="0"/>
        <w:keepLines w:val="0"/>
        <w:pageBreakBefore w:val="0"/>
        <w:widowControl w:val="0"/>
        <w:wordWrap/>
        <w:overflowPunct/>
        <w:bidi w:val="0"/>
        <w:spacing w:line="460" w:lineRule="exact"/>
        <w:ind w:left="560"/>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(3)担保机构服务</w:t>
      </w:r>
    </w:p>
    <w:p w14:paraId="09C006D9">
      <w:pPr>
        <w:keepNext w:val="0"/>
        <w:keepLines w:val="0"/>
        <w:pageBreakBefore w:val="0"/>
        <w:widowControl w:val="0"/>
        <w:wordWrap/>
        <w:overflowPunct/>
        <w:bidi w:val="0"/>
        <w:spacing w:line="460" w:lineRule="exact"/>
        <w:ind w:left="33" w:firstLine="553"/>
        <w:jc w:val="both"/>
        <w:textAlignment w:val="baseline"/>
        <w:rPr>
          <w:rFonts w:hint="eastAsia" w:ascii="仿宋_GB2312" w:hAnsi="仿宋_GB2312" w:eastAsia="仿宋_GB2312" w:cs="仿宋_GB2312"/>
          <w:spacing w:val="0"/>
          <w:sz w:val="28"/>
          <w:szCs w:val="28"/>
        </w:rPr>
      </w:pPr>
      <w:r>
        <w:rPr>
          <w:rFonts w:hint="eastAsia" w:ascii="仿宋_GB2312" w:hAnsi="仿宋_GB2312" w:eastAsia="仿宋_GB2312" w:cs="仿宋_GB2312"/>
          <w:spacing w:val="0"/>
          <w:sz w:val="28"/>
          <w:szCs w:val="28"/>
        </w:rPr>
        <w:t>为重点</w:t>
      </w:r>
      <w:r>
        <w:rPr>
          <w:rFonts w:hint="eastAsia" w:ascii="仿宋_GB2312" w:hAnsi="仿宋_GB2312" w:eastAsia="仿宋_GB2312" w:cs="仿宋_GB2312"/>
          <w:spacing w:val="0"/>
          <w:sz w:val="28"/>
          <w:szCs w:val="28"/>
          <w:lang w:eastAsia="zh-CN"/>
        </w:rPr>
        <w:t>企业制定个性化</w:t>
      </w:r>
      <w:r>
        <w:rPr>
          <w:rFonts w:hint="eastAsia" w:ascii="仿宋_GB2312" w:hAnsi="仿宋_GB2312" w:eastAsia="仿宋_GB2312" w:cs="仿宋_GB2312"/>
          <w:spacing w:val="0"/>
          <w:sz w:val="28"/>
          <w:szCs w:val="28"/>
        </w:rPr>
        <w:t>承保方案，提高信用保险覆盖率。定期举行重点企业与金融机构对接会，搭建企业与保险机构对接平台、畅通企业与保险机构对接渠道。</w:t>
      </w:r>
    </w:p>
    <w:p w14:paraId="4DCC135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240D65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11540B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9FF188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F3FF6C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30A4C5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22A8D9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D61DE0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4CF348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4EC5C2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66CBB80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center"/>
        <w:textAlignment w:val="auto"/>
        <w:rPr>
          <w:rFonts w:hint="eastAsia" w:ascii="方正小标宋_GBK" w:hAnsi="方正小标宋_GBK" w:eastAsia="方正小标宋_GBK" w:cs="方正小标宋_GBK"/>
          <w:spacing w:val="0"/>
          <w:sz w:val="36"/>
          <w:szCs w:val="36"/>
          <w:lang w:val="en-US" w:eastAsia="zh-CN"/>
        </w:rPr>
      </w:pPr>
      <w:r>
        <w:rPr>
          <w:rFonts w:hint="eastAsia" w:ascii="方正小标宋_GBK" w:hAnsi="方正小标宋_GBK" w:eastAsia="方正小标宋_GBK" w:cs="方正小标宋_GBK"/>
          <w:spacing w:val="0"/>
          <w:sz w:val="36"/>
          <w:szCs w:val="36"/>
          <w:lang w:val="en-US" w:eastAsia="zh-CN"/>
        </w:rPr>
        <w:t>8综合交通</w:t>
      </w:r>
    </w:p>
    <w:p w14:paraId="27C72CF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ED3C49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8.1对外交通规划</w:t>
      </w:r>
    </w:p>
    <w:p w14:paraId="418F3AA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高速公路：沈海高速公路从规划区用地西部穿行而过，并在驿坂设有落地互通口；规划中的沈海高速公路复线自规划区中部穿过，与现有沈海高速公路间规划有连接线。</w:t>
      </w:r>
    </w:p>
    <w:p w14:paraId="0C3B6C0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漳泉肖铁路：经过规划区东部，对高新园区的陆路运输有重大作用。</w:t>
      </w:r>
    </w:p>
    <w:p w14:paraId="3CF62C3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福厦高铁客运专线：福厦高铁客运专线平行于沈海高速公路复线，自规划区中部穿过。</w:t>
      </w:r>
    </w:p>
    <w:p w14:paraId="02AFD2C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国道G324：国道G324从规划区西部穿行而过，与规划区主干道驿峰路平交。</w:t>
      </w:r>
    </w:p>
    <w:p w14:paraId="7E4C5DE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国道G324复线(联十一线)：规划国道G324复线从规划区西边界而过，作为复线缓解国道324线的交通压力。</w:t>
      </w:r>
    </w:p>
    <w:p w14:paraId="6C2C28A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420" w:firstLineChars="200"/>
        <w:jc w:val="both"/>
        <w:textAlignment w:val="auto"/>
        <w:rPr>
          <w:rFonts w:hint="default" w:ascii="仿宋_GB2312" w:hAnsi="仿宋_GB2312" w:eastAsia="仿宋_GB2312" w:cs="仿宋_GB2312"/>
          <w:spacing w:val="0"/>
          <w:sz w:val="28"/>
          <w:szCs w:val="28"/>
          <w:lang w:val="en-US" w:eastAsia="zh-CN"/>
        </w:rPr>
      </w:pPr>
      <w:r>
        <w:drawing>
          <wp:anchor distT="0" distB="0" distL="114300" distR="114300" simplePos="0" relativeHeight="251661312" behindDoc="1" locked="0" layoutInCell="1" allowOverlap="1">
            <wp:simplePos x="0" y="0"/>
            <wp:positionH relativeFrom="column">
              <wp:posOffset>309245</wp:posOffset>
            </wp:positionH>
            <wp:positionV relativeFrom="paragraph">
              <wp:posOffset>227965</wp:posOffset>
            </wp:positionV>
            <wp:extent cx="5177155" cy="4029075"/>
            <wp:effectExtent l="0" t="0" r="4445" b="8255"/>
            <wp:wrapTight wrapText="bothSides">
              <wp:wrapPolygon>
                <wp:start x="0" y="0"/>
                <wp:lineTo x="0" y="21355"/>
                <wp:lineTo x="21393" y="21355"/>
                <wp:lineTo x="21393" y="0"/>
                <wp:lineTo x="0" y="0"/>
              </wp:wrapPolygon>
            </wp:wrapTight>
            <wp:docPr id="45" name="图片 13"/>
            <wp:cNvGraphicFramePr/>
            <a:graphic xmlns:a="http://schemas.openxmlformats.org/drawingml/2006/main">
              <a:graphicData uri="http://schemas.openxmlformats.org/drawingml/2006/picture">
                <pic:pic xmlns:pic="http://schemas.openxmlformats.org/drawingml/2006/picture">
                  <pic:nvPicPr>
                    <pic:cNvPr id="45" name="图片 13"/>
                    <pic:cNvPicPr/>
                  </pic:nvPicPr>
                  <pic:blipFill>
                    <a:blip r:embed="rId29"/>
                    <a:stretch>
                      <a:fillRect/>
                    </a:stretch>
                  </pic:blipFill>
                  <pic:spPr>
                    <a:xfrm>
                      <a:off x="0" y="0"/>
                      <a:ext cx="5177155" cy="4029075"/>
                    </a:xfrm>
                    <a:prstGeom prst="rect">
                      <a:avLst/>
                    </a:prstGeom>
                    <a:noFill/>
                    <a:ln>
                      <a:noFill/>
                    </a:ln>
                  </pic:spPr>
                </pic:pic>
              </a:graphicData>
            </a:graphic>
          </wp:anchor>
        </w:drawing>
      </w:r>
    </w:p>
    <w:p w14:paraId="3B08340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EDCE0D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B26B3C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E36590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2EE013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420" w:firstLineChars="200"/>
        <w:jc w:val="both"/>
        <w:textAlignment w:val="auto"/>
      </w:pPr>
    </w:p>
    <w:p w14:paraId="28A74FA6">
      <w:pPr>
        <w:pStyle w:val="2"/>
        <w:keepNext w:val="0"/>
        <w:keepLines w:val="0"/>
        <w:pageBreakBefore w:val="0"/>
        <w:widowControl w:val="0"/>
        <w:kinsoku/>
        <w:wordWrap/>
        <w:overflowPunct/>
        <w:topLinePunct/>
        <w:autoSpaceDE/>
        <w:autoSpaceDN/>
        <w:bidi w:val="0"/>
        <w:adjustRightInd/>
        <w:snapToGrid/>
        <w:spacing w:before="0" w:beforeAutospacing="0" w:line="450" w:lineRule="exact"/>
        <w:jc w:val="both"/>
        <w:textAlignment w:val="auto"/>
      </w:pPr>
    </w:p>
    <w:p w14:paraId="338F98B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420" w:firstLineChars="200"/>
        <w:jc w:val="both"/>
        <w:textAlignment w:val="auto"/>
      </w:pPr>
    </w:p>
    <w:p w14:paraId="44871A47">
      <w:pPr>
        <w:pStyle w:val="2"/>
        <w:keepNext w:val="0"/>
        <w:keepLines w:val="0"/>
        <w:pageBreakBefore w:val="0"/>
        <w:widowControl w:val="0"/>
        <w:kinsoku/>
        <w:wordWrap/>
        <w:overflowPunct/>
        <w:topLinePunct/>
        <w:autoSpaceDE/>
        <w:autoSpaceDN/>
        <w:bidi w:val="0"/>
        <w:adjustRightInd/>
        <w:snapToGrid/>
        <w:spacing w:before="0" w:beforeAutospacing="0" w:line="450" w:lineRule="exact"/>
        <w:jc w:val="both"/>
        <w:textAlignment w:val="auto"/>
      </w:pPr>
    </w:p>
    <w:p w14:paraId="0D73D30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420" w:firstLineChars="200"/>
        <w:jc w:val="both"/>
        <w:textAlignment w:val="auto"/>
      </w:pPr>
    </w:p>
    <w:p w14:paraId="0790376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54EBF2D">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42BFCD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9F06CD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F2B263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C993F6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p>
    <w:p w14:paraId="3726595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p>
    <w:p w14:paraId="0B8654F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8.2道路系统规划</w:t>
      </w:r>
    </w:p>
    <w:p w14:paraId="605DEBA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8.2.1道路网布局</w:t>
      </w:r>
    </w:p>
    <w:p w14:paraId="69BA1CC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规划区道路系统以第二疏港大道和驿峰路为导向，构成“四纵、三横”的方格网干道系统。</w:t>
      </w:r>
    </w:p>
    <w:p w14:paraId="2499D0C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“四纵”：即尖峰路、光洋南路、顶普路、驿峰中路。</w:t>
      </w:r>
    </w:p>
    <w:p w14:paraId="080599C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“三横”：即前烧路、驿峰路、第二疏港大道。</w:t>
      </w:r>
    </w:p>
    <w:p w14:paraId="721F5EC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8.2.2道路的衔接</w:t>
      </w:r>
    </w:p>
    <w:p w14:paraId="484ECD6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驿峰路连接324国道、联十一线，形成一条与第二疏港大道相平行的主要大通道，红线宽度50米。通过324国道可达沈海高速公路驿坂出入口。</w:t>
      </w:r>
    </w:p>
    <w:p w14:paraId="7E43418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此外，第二疏港大道规划道路红线宽度50米，将成为高新区与泉港主城区及外部路网连接的另一条道路大动脉。通过第二疏港大道可达沈海高速公路驿坂出入口。</w:t>
      </w:r>
    </w:p>
    <w:p w14:paraId="56141A4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8.2.3道路等级划分</w:t>
      </w:r>
    </w:p>
    <w:p w14:paraId="37B4175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道路等级分为主干道、次干道、支路三个等级。</w:t>
      </w:r>
    </w:p>
    <w:p w14:paraId="74359D4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主干路红线宽度为50米，设计行车速度为60公里/小时；次干路红线宽度为24米—40米，设计行车速度为50公里/小时；支路红线宽度为12米—16米，设计行车速度为40公里/小时。</w:t>
      </w:r>
    </w:p>
    <w:p w14:paraId="72DF775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8.2.4公共交通规划</w:t>
      </w:r>
    </w:p>
    <w:p w14:paraId="0124966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规划区公交网络采用标准公交车型，以快速和大容量为特色，承担中远距离的客运联系，与周边城镇公交一体化运营。按照服务半径，在规划区内设置3处公交首末站，分别位于规划区用地西部、中部、东部。</w:t>
      </w:r>
    </w:p>
    <w:p w14:paraId="43E4F62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8.2.5静态交通规划</w:t>
      </w:r>
    </w:p>
    <w:p w14:paraId="2E76C3B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停车系统分为公共停车场和配套停车场，根据《城市停车规划规范》，城市公共停车场规划用地总规模按规划城市人口核算，人均城市公共停车场占地规模宜控制在每人0.5平方米</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1.0平方米；配套停车场由各公共建筑和工业企业单位根据需求预测自行进行配套建设。</w:t>
      </w:r>
    </w:p>
    <w:p w14:paraId="75760FF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8E489E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80A9DA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27E1D7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9公共服务设施</w:t>
      </w:r>
    </w:p>
    <w:p w14:paraId="44C3CEB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p>
    <w:p w14:paraId="0F24737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9.1规划目标</w:t>
      </w:r>
    </w:p>
    <w:p w14:paraId="09F9217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采取集中与分散相结合的方式，到规划期末，基本构筑起覆盖全区、方便居民就近使用的基础性公共服务设施网络。</w:t>
      </w:r>
    </w:p>
    <w:p w14:paraId="04B7C2E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9.2公共服务设施布局</w:t>
      </w:r>
    </w:p>
    <w:p w14:paraId="6C27D3E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9.2.1行政办公用地</w:t>
      </w:r>
    </w:p>
    <w:p w14:paraId="6E509D9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依托现有普安管委会设置高新园区管委会和相关的行政办公设施。社区服务中心主要布置在生活组团的居住社区内部，为周边居民提供服务。</w:t>
      </w:r>
    </w:p>
    <w:p w14:paraId="38A7336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9.2.2商业服务业设施用地</w:t>
      </w:r>
    </w:p>
    <w:p w14:paraId="2F3E431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规划于科技创新平台区和生活服务区内，综合设置商业用地，包括商业零售、金融办公、文化娱乐等功能的混合。</w:t>
      </w:r>
    </w:p>
    <w:p w14:paraId="0122037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规划区的商业金融中心布置于科技创新平台区内，建设集商业、办公、旅店、展览、餐饮、会议、文娱等功能于一体的多功能、高效率的商业综合体。</w:t>
      </w:r>
    </w:p>
    <w:p w14:paraId="3E388BD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在生活服务区内，规划以商业服务业设施用地，主要包括商业用地、公共设施营业网点用地以及娱乐康体用地等。满足社区居民的需要。</w:t>
      </w:r>
    </w:p>
    <w:p w14:paraId="28C40AC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9.2.3教育与科研用地</w:t>
      </w:r>
    </w:p>
    <w:p w14:paraId="1BF0CC2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规划教育科研设施用地包括中小学用地、高等院校用地、研发用地等。</w:t>
      </w:r>
    </w:p>
    <w:p w14:paraId="12B8463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规划中小学：现有中小学包括邱后小学、路口小学、普安小学、三朱小学、三朱中学、博文中学等，在保留现有基础上规划新增1座小学、1座高中，结合居住用地布置。</w:t>
      </w:r>
    </w:p>
    <w:p w14:paraId="06533A9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高等院校用地、研发用地：结合现状布置于规划区北部，并为未来高等院校、科研院所的引入预留空间。</w:t>
      </w:r>
    </w:p>
    <w:p w14:paraId="7D52B33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spacing w:val="0"/>
          <w:sz w:val="28"/>
          <w:szCs w:val="28"/>
          <w:lang w:val="en-US" w:eastAsia="zh-CN"/>
        </w:rPr>
        <w:t>9.2.4医疗卫生用地</w:t>
      </w:r>
    </w:p>
    <w:p w14:paraId="3D8E9C9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保留现有的仁爱医院，同时在规划区北部设置1所综合医院。</w:t>
      </w:r>
    </w:p>
    <w:p w14:paraId="32DEE0D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spacing w:val="0"/>
          <w:sz w:val="28"/>
          <w:szCs w:val="28"/>
          <w:lang w:val="en-US" w:eastAsia="zh-CN"/>
        </w:rPr>
        <w:t>9.2.5社会福利用地</w:t>
      </w:r>
    </w:p>
    <w:p w14:paraId="4D02BC9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规划于仁爱医院东侧设置1所敬老院。</w:t>
      </w:r>
    </w:p>
    <w:p w14:paraId="070F2AB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5254E30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r>
        <w:rPr>
          <w:rFonts w:hint="default" w:ascii="方正小标宋_GBK" w:hAnsi="方正小标宋_GBK" w:eastAsia="方正小标宋_GBK" w:cs="方正小标宋_GBK"/>
          <w:spacing w:val="0"/>
          <w:sz w:val="36"/>
          <w:szCs w:val="36"/>
          <w:lang w:val="en-US" w:eastAsia="zh-CN"/>
        </w:rPr>
        <w:t>10市政工程设施规划</w:t>
      </w:r>
    </w:p>
    <w:p w14:paraId="211BA83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FE7A4F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10.1供水工程规划</w:t>
      </w:r>
    </w:p>
    <w:p w14:paraId="527FD31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10.1.1供水现状</w:t>
      </w:r>
    </w:p>
    <w:p w14:paraId="15083F5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10.1.1.1水源现状</w:t>
      </w:r>
    </w:p>
    <w:p w14:paraId="75F2BD3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的水库主要集中在西部山区。中型水库有三个：泗洲、菱溪、陈田(目前菱溪和陈田2座水库产权划归惠安县管理)。小(一)型水库有四座：山外、石门坑、红星、双溪(其中双溪水正在建设，建成后将作为泉港区的备用水源)。小(二)型水库有九座。目前只有菱溪水库和泗洲水库作为城市供水水源使用，其他水库用于灌溉或发电，不作为城市供水水源。</w:t>
      </w:r>
    </w:p>
    <w:p w14:paraId="7095D7D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由于本地水资源短缺，泉港区城市用水主要来自59.486公里长的湄洲湾南岸引水工程，该工程近期引水量3.0立方米/秒，远期6.0立方米/秒，合51.84万立方米/日。引水工程从晋江金鸡闸引水，经过金鸡北干渠输水至洛阳江，通过黄塘溪庄兜取水泵站提升后，至泉港区南埔镇枫林坑，并在枫林坑设终端调节池一座。一期工程(3.0立方米/秒)已经建成，目前主要为福炼一体化、氯碱厂、南埔火电厂等企业及湄丰水厂供水。</w:t>
      </w:r>
    </w:p>
    <w:p w14:paraId="0E1EEBB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泗洲水库至枫林坑的引水工程是泉港北区的一个辅助原水水源，最大供水能力为5万立方米/日。这两个水源至全部建成时，能供原水56.84万立方米/日，是泉港区的主要水源。</w:t>
      </w:r>
    </w:p>
    <w:p w14:paraId="58ED4BA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10.1.1.2水厂现状</w:t>
      </w:r>
    </w:p>
    <w:p w14:paraId="7447AD2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现有两座城市水厂，湄丰水厂(第一水厂)位于泉港北部，凤阳水厂(第二水厂)位于泉港南部。湄丰水厂位于南埔镇枫林坑，水源为泗洲水库和湄南供水工程，目前供水规模5万立方米/日，主要负责泉港区北部片区供水，厂区预留用地可扩建到10万立方米/日。凤阳水厂位于前黄镇凤阳村后厝，2016年投产，水源为泗洲水库和湄南供水工程，设计供水总规模为15万立方米/日，一期工程建设规模为5万立方米/日，主要负责泉港区南部片区供水。</w:t>
      </w:r>
    </w:p>
    <w:p w14:paraId="3689E1C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另外，南山水厂(为石化园区配套水厂)位于泉港区北部，设计规模为25万吨/天，一期工程建设规模为2.5万立方米/日，2017年竣工，二期(2.5万立方米/日)扩建项目已完成设计，正在招标阶段，三期由5万立方米/日扩建到10万立方米/日正在筹建中。</w:t>
      </w:r>
    </w:p>
    <w:p w14:paraId="22EBB3D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10.1.2规划原则</w:t>
      </w:r>
    </w:p>
    <w:p w14:paraId="108AE6F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(1)充分利用现有输配水设施，改造与新建并举，规模适度超前，统筹规划、分期实施，避免重复建设；</w:t>
      </w:r>
    </w:p>
    <w:p w14:paraId="6E28E1C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(2)主要供水管网形成环状，以提高供水安全性。给水管网按最高日最高时用水量计算管径，并按消防用水量及消防水压、事故用水量及设计水压两种工况进行核算；</w:t>
      </w:r>
    </w:p>
    <w:p w14:paraId="276F4BD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(3)区内消防采用低压消防系统，消防用水管道与生活用水管网合并；</w:t>
      </w:r>
    </w:p>
    <w:p w14:paraId="53A90C4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(4)给水管道沿道路敷设，尽量布置于道路东侧或南侧的人行道或绿化带下,当路幅宽度大于40米时，道路两侧宜布置给水管道。</w:t>
      </w:r>
    </w:p>
    <w:p w14:paraId="26AB174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10.1.3用水量预测</w:t>
      </w:r>
    </w:p>
    <w:p w14:paraId="2FCEE1C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规划用水量预测采用分类加和法，即生活用水按照综合用水定额预测，其他用水按照用地指标预测。</w:t>
      </w:r>
    </w:p>
    <w:p w14:paraId="2032FA2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(1)生活用水量预测</w:t>
      </w:r>
    </w:p>
    <w:p w14:paraId="5B0725C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综合生活用水定额应根据当地国民经济和社会发展、水资源充沛程度、用水习惯，在现有用水定额基础上，结合城市总体规划和给水专业规划，本着节约用水的原则，综合分析确定。根据园区所处的区域及城市的规模，参照《室外给水设计规范》(GB50013-2018)表4.0.3-4中规定的综合生活用水定额进行选用，其综合生活用水指标采用250升/人·日。</w:t>
      </w:r>
    </w:p>
    <w:p w14:paraId="0E1BA35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(2)工业用水</w:t>
      </w:r>
    </w:p>
    <w:p w14:paraId="120A09E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工业用水量采用单位面积用水量法进行预测，根据工业用地类型及组成的不同采用不同的用水量指标。规划区用地主要为二类工业用地，根据区域的实际情况并参考有关的调查统计数据，确定工业用地单位面积用水量指标采用70立方米/公顷·日。</w:t>
      </w:r>
    </w:p>
    <w:p w14:paraId="16F01AE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(3)仓储用水</w:t>
      </w:r>
    </w:p>
    <w:p w14:paraId="261FE10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仓储用水量采用单位面积用水量法进行预测，用水量指标参考有关的调查统计数据采用30立方米/公顷·日。</w:t>
      </w:r>
    </w:p>
    <w:p w14:paraId="6184233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(4)浇洒道路与绿化用水</w:t>
      </w:r>
    </w:p>
    <w:p w14:paraId="65C86F3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浇洒道路和绿地用水量应根据路面、绿化、气候和土壤等条件确定。根据《室外给水设计规范》(GB50013-2018)第4.0.6条的有关规定，浇洒道路用水按20立方米/公顷·日计算，浇洒绿地用水按10立方米/公顷·日计算。</w:t>
      </w:r>
    </w:p>
    <w:p w14:paraId="6473DD2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(5)未预见水量</w:t>
      </w:r>
    </w:p>
    <w:p w14:paraId="470B0CB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未预见用水量应根据水量预测时难以预见因素的程度确定。根据《室外给水设计规范》(GB50013-2018)第4.0.8条的有关规定，未预见用水量可按上述(1)</w:t>
      </w:r>
      <w:r>
        <w:rPr>
          <w:rFonts w:hint="default" w:ascii="Times New Roman" w:hAnsi="Times New Roman" w:eastAsia="仿宋_GB2312" w:cs="Times New Roman"/>
          <w:spacing w:val="0"/>
          <w:sz w:val="28"/>
          <w:szCs w:val="28"/>
          <w:lang w:val="en-US" w:eastAsia="zh-CN"/>
        </w:rPr>
        <w:t>~</w:t>
      </w:r>
      <w:r>
        <w:rPr>
          <w:rFonts w:hint="eastAsia" w:ascii="仿宋_GB2312" w:hAnsi="仿宋_GB2312" w:eastAsia="仿宋_GB2312" w:cs="仿宋_GB2312"/>
          <w:spacing w:val="0"/>
          <w:sz w:val="28"/>
          <w:szCs w:val="28"/>
          <w:lang w:val="en-US" w:eastAsia="zh-CN"/>
        </w:rPr>
        <w:t>(5)项水量之和的8%</w:t>
      </w:r>
      <w:r>
        <w:rPr>
          <w:rFonts w:hint="default" w:ascii="Times New Roman" w:hAnsi="Times New Roman" w:eastAsia="仿宋_GB2312" w:cs="Times New Roman"/>
          <w:spacing w:val="0"/>
          <w:sz w:val="28"/>
          <w:szCs w:val="28"/>
          <w:lang w:val="en-US" w:eastAsia="zh-CN"/>
        </w:rPr>
        <w:t>~</w:t>
      </w:r>
      <w:r>
        <w:rPr>
          <w:rFonts w:hint="eastAsia" w:ascii="仿宋_GB2312" w:hAnsi="仿宋_GB2312" w:eastAsia="仿宋_GB2312" w:cs="仿宋_GB2312"/>
          <w:spacing w:val="0"/>
          <w:sz w:val="28"/>
          <w:szCs w:val="28"/>
          <w:lang w:val="en-US" w:eastAsia="zh-CN"/>
        </w:rPr>
        <w:t>12%计算，本规划取10%。</w:t>
      </w:r>
    </w:p>
    <w:p w14:paraId="6538266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各项用水量预测详见下表：</w:t>
      </w:r>
    </w:p>
    <w:p w14:paraId="38E43E5D">
      <w:pPr>
        <w:keepNext w:val="0"/>
        <w:keepLines w:val="0"/>
        <w:pageBreakBefore w:val="0"/>
        <w:widowControl w:val="0"/>
        <w:wordWrap/>
        <w:overflowPunct/>
        <w:bidi w:val="0"/>
        <w:spacing w:before="75" w:line="334" w:lineRule="exact"/>
        <w:ind w:left="2506"/>
      </w:pPr>
      <w:r>
        <w:rPr>
          <w:rFonts w:ascii="黑体" w:hAnsi="黑体" w:eastAsia="黑体" w:cs="黑体"/>
          <w:spacing w:val="4"/>
          <w:position w:val="2"/>
          <w:sz w:val="23"/>
          <w:szCs w:val="23"/>
        </w:rPr>
        <w:t>表</w:t>
      </w:r>
      <w:r>
        <w:rPr>
          <w:rFonts w:ascii="Arial" w:hAnsi="Arial" w:eastAsia="Arial" w:cs="Arial"/>
          <w:b/>
          <w:bCs/>
          <w:spacing w:val="4"/>
          <w:position w:val="2"/>
          <w:sz w:val="23"/>
          <w:szCs w:val="23"/>
        </w:rPr>
        <w:t>11-1</w:t>
      </w:r>
      <w:r>
        <w:rPr>
          <w:rFonts w:ascii="黑体" w:hAnsi="黑体" w:eastAsia="黑体" w:cs="黑体"/>
          <w:spacing w:val="4"/>
          <w:position w:val="2"/>
          <w:sz w:val="23"/>
          <w:szCs w:val="23"/>
        </w:rPr>
        <w:t>用水量预测表(万立方米</w:t>
      </w:r>
      <w:r>
        <w:rPr>
          <w:rFonts w:ascii="Arial" w:hAnsi="Arial" w:eastAsia="Arial" w:cs="Arial"/>
          <w:b/>
          <w:bCs/>
          <w:spacing w:val="4"/>
          <w:position w:val="2"/>
          <w:sz w:val="23"/>
          <w:szCs w:val="23"/>
        </w:rPr>
        <w:t>/</w:t>
      </w:r>
      <w:r>
        <w:rPr>
          <w:rFonts w:ascii="黑体" w:hAnsi="黑体" w:eastAsia="黑体" w:cs="黑体"/>
          <w:spacing w:val="3"/>
          <w:position w:val="2"/>
          <w:sz w:val="23"/>
          <w:szCs w:val="23"/>
        </w:rPr>
        <w:t>日</w:t>
      </w:r>
      <w:r>
        <w:rPr>
          <w:rFonts w:ascii="黑体" w:hAnsi="黑体" w:eastAsia="黑体" w:cs="黑体"/>
          <w:position w:val="2"/>
          <w:sz w:val="23"/>
          <w:szCs w:val="23"/>
        </w:rPr>
        <w:t>)</w:t>
      </w:r>
    </w:p>
    <w:tbl>
      <w:tblPr>
        <w:tblStyle w:val="9"/>
        <w:tblW w:w="834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65"/>
        <w:gridCol w:w="3139"/>
        <w:gridCol w:w="2619"/>
        <w:gridCol w:w="1620"/>
      </w:tblGrid>
      <w:tr w14:paraId="62C1F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965" w:type="dxa"/>
            <w:tcBorders>
              <w:tl2br w:val="nil"/>
              <w:tr2bl w:val="nil"/>
            </w:tcBorders>
            <w:noWrap w:val="0"/>
            <w:vAlign w:val="top"/>
          </w:tcPr>
          <w:p w14:paraId="257664A3">
            <w:pPr>
              <w:keepNext w:val="0"/>
              <w:keepLines w:val="0"/>
              <w:pageBreakBefore w:val="0"/>
              <w:widowControl w:val="0"/>
              <w:wordWrap/>
              <w:overflowPunct/>
              <w:bidi w:val="0"/>
              <w:spacing w:before="81" w:line="225" w:lineRule="auto"/>
              <w:ind w:left="247"/>
              <w:rPr>
                <w:rFonts w:ascii="仿宋" w:hAnsi="仿宋" w:eastAsia="仿宋" w:cs="仿宋"/>
                <w:sz w:val="23"/>
                <w:szCs w:val="23"/>
              </w:rPr>
            </w:pPr>
            <w:r>
              <w:rPr>
                <w:rFonts w:ascii="仿宋" w:hAnsi="仿宋" w:eastAsia="仿宋" w:cs="仿宋"/>
                <w:spacing w:val="6"/>
                <w:sz w:val="23"/>
                <w:szCs w:val="23"/>
              </w:rPr>
              <w:t>序号</w:t>
            </w:r>
          </w:p>
        </w:tc>
        <w:tc>
          <w:tcPr>
            <w:tcW w:w="3139" w:type="dxa"/>
            <w:tcBorders>
              <w:tl2br w:val="nil"/>
              <w:tr2bl w:val="nil"/>
            </w:tcBorders>
            <w:noWrap w:val="0"/>
            <w:vAlign w:val="top"/>
          </w:tcPr>
          <w:p w14:paraId="10F25D55">
            <w:pPr>
              <w:keepNext w:val="0"/>
              <w:keepLines w:val="0"/>
              <w:pageBreakBefore w:val="0"/>
              <w:widowControl w:val="0"/>
              <w:wordWrap/>
              <w:overflowPunct/>
              <w:bidi w:val="0"/>
              <w:spacing w:before="81" w:line="227" w:lineRule="auto"/>
              <w:ind w:left="1095"/>
              <w:rPr>
                <w:rFonts w:ascii="仿宋" w:hAnsi="仿宋" w:eastAsia="仿宋" w:cs="仿宋"/>
                <w:sz w:val="23"/>
                <w:szCs w:val="23"/>
              </w:rPr>
            </w:pPr>
            <w:r>
              <w:rPr>
                <w:rFonts w:ascii="仿宋" w:hAnsi="仿宋" w:eastAsia="仿宋" w:cs="仿宋"/>
                <w:spacing w:val="9"/>
                <w:sz w:val="23"/>
                <w:szCs w:val="23"/>
              </w:rPr>
              <w:t>用</w:t>
            </w:r>
            <w:r>
              <w:rPr>
                <w:rFonts w:ascii="仿宋" w:hAnsi="仿宋" w:eastAsia="仿宋" w:cs="仿宋"/>
                <w:spacing w:val="8"/>
                <w:sz w:val="23"/>
                <w:szCs w:val="23"/>
              </w:rPr>
              <w:t>地分类</w:t>
            </w:r>
          </w:p>
        </w:tc>
        <w:tc>
          <w:tcPr>
            <w:tcW w:w="2619" w:type="dxa"/>
            <w:tcBorders>
              <w:tl2br w:val="nil"/>
              <w:tr2bl w:val="nil"/>
            </w:tcBorders>
            <w:noWrap w:val="0"/>
            <w:vAlign w:val="top"/>
          </w:tcPr>
          <w:p w14:paraId="671E9454">
            <w:pPr>
              <w:keepNext w:val="0"/>
              <w:keepLines w:val="0"/>
              <w:pageBreakBefore w:val="0"/>
              <w:widowControl w:val="0"/>
              <w:wordWrap/>
              <w:overflowPunct/>
              <w:bidi w:val="0"/>
              <w:spacing w:before="81" w:line="225" w:lineRule="auto"/>
              <w:ind w:left="911"/>
              <w:rPr>
                <w:rFonts w:ascii="仿宋" w:hAnsi="仿宋" w:eastAsia="仿宋" w:cs="仿宋"/>
                <w:sz w:val="23"/>
                <w:szCs w:val="23"/>
              </w:rPr>
            </w:pPr>
            <w:r>
              <w:rPr>
                <w:rFonts w:ascii="仿宋" w:hAnsi="仿宋" w:eastAsia="仿宋" w:cs="仿宋"/>
                <w:spacing w:val="4"/>
                <w:sz w:val="23"/>
                <w:szCs w:val="23"/>
              </w:rPr>
              <w:t>指</w:t>
            </w:r>
            <w:r>
              <w:rPr>
                <w:rFonts w:ascii="仿宋" w:hAnsi="仿宋" w:eastAsia="仿宋" w:cs="仿宋"/>
                <w:spacing w:val="3"/>
                <w:sz w:val="23"/>
                <w:szCs w:val="23"/>
              </w:rPr>
              <w:t>标</w:t>
            </w:r>
          </w:p>
        </w:tc>
        <w:tc>
          <w:tcPr>
            <w:tcW w:w="1620" w:type="dxa"/>
            <w:tcBorders>
              <w:tl2br w:val="nil"/>
              <w:tr2bl w:val="nil"/>
            </w:tcBorders>
            <w:noWrap w:val="0"/>
            <w:vAlign w:val="top"/>
          </w:tcPr>
          <w:p w14:paraId="23CF5C88">
            <w:pPr>
              <w:keepNext w:val="0"/>
              <w:keepLines w:val="0"/>
              <w:pageBreakBefore w:val="0"/>
              <w:widowControl w:val="0"/>
              <w:wordWrap/>
              <w:overflowPunct/>
              <w:bidi w:val="0"/>
              <w:spacing w:before="81" w:line="226" w:lineRule="auto"/>
              <w:ind w:left="508"/>
              <w:rPr>
                <w:rFonts w:ascii="仿宋" w:hAnsi="仿宋" w:eastAsia="仿宋" w:cs="仿宋"/>
                <w:sz w:val="23"/>
                <w:szCs w:val="23"/>
              </w:rPr>
            </w:pPr>
            <w:r>
              <w:rPr>
                <w:rFonts w:ascii="仿宋" w:hAnsi="仿宋" w:eastAsia="仿宋" w:cs="仿宋"/>
                <w:spacing w:val="9"/>
                <w:sz w:val="23"/>
                <w:szCs w:val="23"/>
              </w:rPr>
              <w:t>用</w:t>
            </w:r>
            <w:r>
              <w:rPr>
                <w:rFonts w:ascii="仿宋" w:hAnsi="仿宋" w:eastAsia="仿宋" w:cs="仿宋"/>
                <w:spacing w:val="7"/>
                <w:sz w:val="23"/>
                <w:szCs w:val="23"/>
              </w:rPr>
              <w:t>水量</w:t>
            </w:r>
          </w:p>
        </w:tc>
      </w:tr>
      <w:tr w14:paraId="2E6136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65" w:type="dxa"/>
            <w:tcBorders>
              <w:tl2br w:val="nil"/>
              <w:tr2bl w:val="nil"/>
            </w:tcBorders>
            <w:noWrap w:val="0"/>
            <w:vAlign w:val="top"/>
          </w:tcPr>
          <w:p w14:paraId="2BC804C0">
            <w:pPr>
              <w:keepNext w:val="0"/>
              <w:keepLines w:val="0"/>
              <w:pageBreakBefore w:val="0"/>
              <w:widowControl w:val="0"/>
              <w:wordWrap/>
              <w:overflowPunct/>
              <w:bidi w:val="0"/>
              <w:spacing w:before="107" w:line="203" w:lineRule="auto"/>
              <w:ind w:left="440"/>
              <w:rPr>
                <w:rFonts w:ascii="Arial" w:hAnsi="Arial" w:eastAsia="Arial" w:cs="Arial"/>
                <w:sz w:val="23"/>
                <w:szCs w:val="23"/>
              </w:rPr>
            </w:pPr>
            <w:r>
              <w:rPr>
                <w:rFonts w:ascii="Arial" w:hAnsi="Arial" w:eastAsia="Arial" w:cs="Arial"/>
                <w:sz w:val="23"/>
                <w:szCs w:val="23"/>
              </w:rPr>
              <w:t>1</w:t>
            </w:r>
          </w:p>
        </w:tc>
        <w:tc>
          <w:tcPr>
            <w:tcW w:w="3139" w:type="dxa"/>
            <w:tcBorders>
              <w:tl2br w:val="nil"/>
              <w:tr2bl w:val="nil"/>
            </w:tcBorders>
            <w:noWrap w:val="0"/>
            <w:vAlign w:val="top"/>
          </w:tcPr>
          <w:p w14:paraId="19DE223C">
            <w:pPr>
              <w:keepNext w:val="0"/>
              <w:keepLines w:val="0"/>
              <w:pageBreakBefore w:val="0"/>
              <w:widowControl w:val="0"/>
              <w:wordWrap/>
              <w:overflowPunct/>
              <w:bidi w:val="0"/>
              <w:spacing w:before="76" w:line="226" w:lineRule="auto"/>
              <w:ind w:left="122"/>
              <w:rPr>
                <w:rFonts w:ascii="仿宋" w:hAnsi="仿宋" w:eastAsia="仿宋" w:cs="仿宋"/>
                <w:sz w:val="23"/>
                <w:szCs w:val="23"/>
              </w:rPr>
            </w:pPr>
            <w:r>
              <w:rPr>
                <w:rFonts w:ascii="仿宋" w:hAnsi="仿宋" w:eastAsia="仿宋" w:cs="仿宋"/>
                <w:spacing w:val="10"/>
                <w:sz w:val="23"/>
                <w:szCs w:val="23"/>
              </w:rPr>
              <w:t>综</w:t>
            </w:r>
            <w:r>
              <w:rPr>
                <w:rFonts w:ascii="仿宋" w:hAnsi="仿宋" w:eastAsia="仿宋" w:cs="仿宋"/>
                <w:spacing w:val="6"/>
                <w:sz w:val="23"/>
                <w:szCs w:val="23"/>
              </w:rPr>
              <w:t>合生活用水</w:t>
            </w:r>
          </w:p>
        </w:tc>
        <w:tc>
          <w:tcPr>
            <w:tcW w:w="2619" w:type="dxa"/>
            <w:tcBorders>
              <w:tl2br w:val="nil"/>
              <w:tr2bl w:val="nil"/>
            </w:tcBorders>
            <w:noWrap w:val="0"/>
            <w:vAlign w:val="top"/>
          </w:tcPr>
          <w:p w14:paraId="4C724FBC">
            <w:pPr>
              <w:keepNext w:val="0"/>
              <w:keepLines w:val="0"/>
              <w:pageBreakBefore w:val="0"/>
              <w:widowControl w:val="0"/>
              <w:wordWrap/>
              <w:overflowPunct/>
              <w:bidi w:val="0"/>
              <w:spacing w:before="40" w:line="319" w:lineRule="exact"/>
              <w:ind w:left="486"/>
              <w:rPr>
                <w:rFonts w:ascii="仿宋" w:hAnsi="仿宋" w:eastAsia="仿宋" w:cs="仿宋"/>
                <w:sz w:val="23"/>
                <w:szCs w:val="23"/>
              </w:rPr>
            </w:pPr>
            <w:r>
              <w:rPr>
                <w:rFonts w:ascii="Arial" w:hAnsi="Arial" w:eastAsia="Arial" w:cs="Arial"/>
                <w:spacing w:val="6"/>
                <w:position w:val="1"/>
                <w:sz w:val="23"/>
                <w:szCs w:val="23"/>
              </w:rPr>
              <w:t>250</w:t>
            </w:r>
            <w:r>
              <w:rPr>
                <w:rFonts w:ascii="仿宋" w:hAnsi="仿宋" w:eastAsia="仿宋" w:cs="仿宋"/>
                <w:spacing w:val="6"/>
                <w:position w:val="1"/>
                <w:sz w:val="23"/>
                <w:szCs w:val="23"/>
              </w:rPr>
              <w:t>升</w:t>
            </w:r>
            <w:r>
              <w:rPr>
                <w:rFonts w:ascii="Arial" w:hAnsi="Arial" w:eastAsia="Arial" w:cs="Arial"/>
                <w:spacing w:val="6"/>
                <w:position w:val="1"/>
                <w:sz w:val="23"/>
                <w:szCs w:val="23"/>
              </w:rPr>
              <w:t>/</w:t>
            </w:r>
            <w:r>
              <w:rPr>
                <w:rFonts w:ascii="仿宋" w:hAnsi="仿宋" w:eastAsia="仿宋" w:cs="仿宋"/>
                <w:spacing w:val="6"/>
                <w:position w:val="1"/>
                <w:sz w:val="23"/>
                <w:szCs w:val="23"/>
              </w:rPr>
              <w:t>人</w:t>
            </w:r>
            <w:r>
              <w:rPr>
                <w:rFonts w:ascii="Times New Roman" w:hAnsi="Times New Roman" w:eastAsia="Times New Roman" w:cs="Times New Roman"/>
                <w:spacing w:val="6"/>
                <w:position w:val="1"/>
                <w:sz w:val="19"/>
                <w:szCs w:val="19"/>
              </w:rPr>
              <w:t>.</w:t>
            </w:r>
            <w:r>
              <w:rPr>
                <w:rFonts w:ascii="仿宋" w:hAnsi="仿宋" w:eastAsia="仿宋" w:cs="仿宋"/>
                <w:spacing w:val="4"/>
                <w:position w:val="1"/>
                <w:sz w:val="23"/>
                <w:szCs w:val="23"/>
              </w:rPr>
              <w:t>日</w:t>
            </w:r>
          </w:p>
        </w:tc>
        <w:tc>
          <w:tcPr>
            <w:tcW w:w="1620" w:type="dxa"/>
            <w:tcBorders>
              <w:tl2br w:val="nil"/>
              <w:tr2bl w:val="nil"/>
            </w:tcBorders>
            <w:noWrap w:val="0"/>
            <w:vAlign w:val="top"/>
          </w:tcPr>
          <w:p w14:paraId="48F64AB5">
            <w:pPr>
              <w:keepNext w:val="0"/>
              <w:keepLines w:val="0"/>
              <w:pageBreakBefore w:val="0"/>
              <w:widowControl w:val="0"/>
              <w:wordWrap/>
              <w:overflowPunct/>
              <w:bidi w:val="0"/>
              <w:spacing w:before="106" w:line="206" w:lineRule="auto"/>
              <w:ind w:left="654"/>
              <w:rPr>
                <w:rFonts w:ascii="Arial" w:hAnsi="Arial" w:eastAsia="Arial" w:cs="Arial"/>
                <w:sz w:val="23"/>
                <w:szCs w:val="23"/>
              </w:rPr>
            </w:pPr>
            <w:r>
              <w:rPr>
                <w:rFonts w:ascii="Arial" w:hAnsi="Arial" w:eastAsia="Arial" w:cs="Arial"/>
                <w:spacing w:val="-2"/>
                <w:sz w:val="23"/>
                <w:szCs w:val="23"/>
              </w:rPr>
              <w:t>1.2</w:t>
            </w:r>
            <w:r>
              <w:rPr>
                <w:rFonts w:ascii="Arial" w:hAnsi="Arial" w:eastAsia="Arial" w:cs="Arial"/>
                <w:spacing w:val="-1"/>
                <w:sz w:val="23"/>
                <w:szCs w:val="23"/>
              </w:rPr>
              <w:t>0</w:t>
            </w:r>
          </w:p>
        </w:tc>
      </w:tr>
      <w:tr w14:paraId="747809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65" w:type="dxa"/>
            <w:tcBorders>
              <w:tl2br w:val="nil"/>
              <w:tr2bl w:val="nil"/>
            </w:tcBorders>
            <w:noWrap w:val="0"/>
            <w:vAlign w:val="top"/>
          </w:tcPr>
          <w:p w14:paraId="5ECDF245">
            <w:pPr>
              <w:keepNext w:val="0"/>
              <w:keepLines w:val="0"/>
              <w:pageBreakBefore w:val="0"/>
              <w:widowControl w:val="0"/>
              <w:wordWrap/>
              <w:overflowPunct/>
              <w:bidi w:val="0"/>
              <w:spacing w:before="108" w:line="203" w:lineRule="auto"/>
              <w:ind w:left="421"/>
              <w:rPr>
                <w:rFonts w:ascii="Arial" w:hAnsi="Arial" w:eastAsia="Arial" w:cs="Arial"/>
                <w:sz w:val="23"/>
                <w:szCs w:val="23"/>
              </w:rPr>
            </w:pPr>
            <w:r>
              <w:rPr>
                <w:rFonts w:ascii="Arial" w:hAnsi="Arial" w:eastAsia="Arial" w:cs="Arial"/>
                <w:sz w:val="23"/>
                <w:szCs w:val="23"/>
              </w:rPr>
              <w:t>2</w:t>
            </w:r>
          </w:p>
        </w:tc>
        <w:tc>
          <w:tcPr>
            <w:tcW w:w="3139" w:type="dxa"/>
            <w:tcBorders>
              <w:tl2br w:val="nil"/>
              <w:tr2bl w:val="nil"/>
            </w:tcBorders>
            <w:noWrap w:val="0"/>
            <w:vAlign w:val="top"/>
          </w:tcPr>
          <w:p w14:paraId="1AABB6C1">
            <w:pPr>
              <w:keepNext w:val="0"/>
              <w:keepLines w:val="0"/>
              <w:pageBreakBefore w:val="0"/>
              <w:widowControl w:val="0"/>
              <w:wordWrap/>
              <w:overflowPunct/>
              <w:bidi w:val="0"/>
              <w:spacing w:before="77" w:line="227" w:lineRule="auto"/>
              <w:ind w:left="117"/>
              <w:rPr>
                <w:rFonts w:ascii="仿宋" w:hAnsi="仿宋" w:eastAsia="仿宋" w:cs="仿宋"/>
                <w:sz w:val="23"/>
                <w:szCs w:val="23"/>
              </w:rPr>
            </w:pPr>
            <w:r>
              <w:rPr>
                <w:rFonts w:ascii="仿宋" w:hAnsi="仿宋" w:eastAsia="仿宋" w:cs="仿宋"/>
                <w:spacing w:val="6"/>
                <w:sz w:val="23"/>
                <w:szCs w:val="23"/>
              </w:rPr>
              <w:t>工业用地</w:t>
            </w:r>
          </w:p>
        </w:tc>
        <w:tc>
          <w:tcPr>
            <w:tcW w:w="2619" w:type="dxa"/>
            <w:tcBorders>
              <w:tl2br w:val="nil"/>
              <w:tr2bl w:val="nil"/>
            </w:tcBorders>
            <w:noWrap w:val="0"/>
            <w:vAlign w:val="top"/>
          </w:tcPr>
          <w:p w14:paraId="75ED408E">
            <w:pPr>
              <w:keepNext w:val="0"/>
              <w:keepLines w:val="0"/>
              <w:pageBreakBefore w:val="0"/>
              <w:widowControl w:val="0"/>
              <w:wordWrap/>
              <w:overflowPunct/>
              <w:bidi w:val="0"/>
              <w:spacing w:before="39" w:line="319" w:lineRule="exact"/>
              <w:ind w:left="196"/>
              <w:rPr>
                <w:rFonts w:ascii="仿宋" w:hAnsi="仿宋" w:eastAsia="仿宋" w:cs="仿宋"/>
                <w:sz w:val="23"/>
                <w:szCs w:val="23"/>
              </w:rPr>
            </w:pPr>
            <w:r>
              <w:rPr>
                <w:rFonts w:ascii="Arial" w:hAnsi="Arial" w:eastAsia="Arial" w:cs="Arial"/>
                <w:spacing w:val="12"/>
                <w:position w:val="1"/>
                <w:sz w:val="23"/>
                <w:szCs w:val="23"/>
              </w:rPr>
              <w:t>5</w:t>
            </w:r>
            <w:r>
              <w:rPr>
                <w:rFonts w:ascii="Arial" w:hAnsi="Arial" w:eastAsia="Arial" w:cs="Arial"/>
                <w:spacing w:val="6"/>
                <w:position w:val="1"/>
                <w:sz w:val="23"/>
                <w:szCs w:val="23"/>
              </w:rPr>
              <w:t>0</w:t>
            </w:r>
            <w:r>
              <w:rPr>
                <w:rFonts w:ascii="仿宋" w:hAnsi="仿宋" w:eastAsia="仿宋" w:cs="仿宋"/>
                <w:spacing w:val="6"/>
                <w:position w:val="1"/>
                <w:sz w:val="23"/>
                <w:szCs w:val="23"/>
              </w:rPr>
              <w:t>立方米</w:t>
            </w:r>
            <w:r>
              <w:rPr>
                <w:rFonts w:ascii="Arial" w:hAnsi="Arial" w:eastAsia="Arial" w:cs="Arial"/>
                <w:spacing w:val="6"/>
                <w:position w:val="1"/>
                <w:sz w:val="23"/>
                <w:szCs w:val="23"/>
              </w:rPr>
              <w:t>/</w:t>
            </w:r>
            <w:r>
              <w:rPr>
                <w:rFonts w:ascii="仿宋" w:hAnsi="仿宋" w:eastAsia="仿宋" w:cs="仿宋"/>
                <w:spacing w:val="6"/>
                <w:position w:val="1"/>
                <w:sz w:val="23"/>
                <w:szCs w:val="23"/>
              </w:rPr>
              <w:t>公顷</w:t>
            </w:r>
            <w:r>
              <w:rPr>
                <w:rFonts w:ascii="Times New Roman" w:hAnsi="Times New Roman" w:eastAsia="Times New Roman" w:cs="Times New Roman"/>
                <w:spacing w:val="6"/>
                <w:position w:val="1"/>
                <w:sz w:val="19"/>
                <w:szCs w:val="19"/>
              </w:rPr>
              <w:t>.</w:t>
            </w:r>
            <w:r>
              <w:rPr>
                <w:rFonts w:ascii="仿宋" w:hAnsi="仿宋" w:eastAsia="仿宋" w:cs="仿宋"/>
                <w:spacing w:val="6"/>
                <w:position w:val="1"/>
                <w:sz w:val="23"/>
                <w:szCs w:val="23"/>
              </w:rPr>
              <w:t>日</w:t>
            </w:r>
          </w:p>
        </w:tc>
        <w:tc>
          <w:tcPr>
            <w:tcW w:w="1620" w:type="dxa"/>
            <w:tcBorders>
              <w:tl2br w:val="nil"/>
              <w:tr2bl w:val="nil"/>
            </w:tcBorders>
            <w:noWrap w:val="0"/>
            <w:vAlign w:val="top"/>
          </w:tcPr>
          <w:p w14:paraId="1C22C42D">
            <w:pPr>
              <w:keepNext w:val="0"/>
              <w:keepLines w:val="0"/>
              <w:pageBreakBefore w:val="0"/>
              <w:widowControl w:val="0"/>
              <w:wordWrap/>
              <w:overflowPunct/>
              <w:bidi w:val="0"/>
              <w:spacing w:before="107" w:line="206" w:lineRule="auto"/>
              <w:ind w:left="635"/>
              <w:rPr>
                <w:rFonts w:ascii="Arial" w:hAnsi="Arial" w:eastAsia="Arial" w:cs="Arial"/>
                <w:sz w:val="23"/>
                <w:szCs w:val="23"/>
              </w:rPr>
            </w:pPr>
            <w:r>
              <w:rPr>
                <w:rFonts w:ascii="Arial" w:hAnsi="Arial" w:eastAsia="Arial" w:cs="Arial"/>
                <w:spacing w:val="3"/>
                <w:sz w:val="23"/>
                <w:szCs w:val="23"/>
              </w:rPr>
              <w:t>2.70</w:t>
            </w:r>
          </w:p>
        </w:tc>
      </w:tr>
      <w:tr w14:paraId="615F1E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965" w:type="dxa"/>
            <w:tcBorders>
              <w:tl2br w:val="nil"/>
              <w:tr2bl w:val="nil"/>
            </w:tcBorders>
            <w:noWrap w:val="0"/>
            <w:vAlign w:val="top"/>
          </w:tcPr>
          <w:p w14:paraId="0E9AAD1B">
            <w:pPr>
              <w:keepNext w:val="0"/>
              <w:keepLines w:val="0"/>
              <w:pageBreakBefore w:val="0"/>
              <w:widowControl w:val="0"/>
              <w:wordWrap/>
              <w:overflowPunct/>
              <w:bidi w:val="0"/>
              <w:spacing w:before="107" w:line="203" w:lineRule="auto"/>
              <w:ind w:left="424"/>
              <w:rPr>
                <w:rFonts w:ascii="Arial" w:hAnsi="Arial" w:eastAsia="Arial" w:cs="Arial"/>
                <w:sz w:val="23"/>
                <w:szCs w:val="23"/>
              </w:rPr>
            </w:pPr>
            <w:r>
              <w:rPr>
                <w:rFonts w:ascii="Arial" w:hAnsi="Arial" w:eastAsia="Arial" w:cs="Arial"/>
                <w:sz w:val="23"/>
                <w:szCs w:val="23"/>
              </w:rPr>
              <w:t>3</w:t>
            </w:r>
          </w:p>
        </w:tc>
        <w:tc>
          <w:tcPr>
            <w:tcW w:w="3139" w:type="dxa"/>
            <w:tcBorders>
              <w:tl2br w:val="nil"/>
              <w:tr2bl w:val="nil"/>
            </w:tcBorders>
            <w:noWrap w:val="0"/>
            <w:vAlign w:val="top"/>
          </w:tcPr>
          <w:p w14:paraId="1DE9B77A">
            <w:pPr>
              <w:keepNext w:val="0"/>
              <w:keepLines w:val="0"/>
              <w:pageBreakBefore w:val="0"/>
              <w:widowControl w:val="0"/>
              <w:wordWrap/>
              <w:overflowPunct/>
              <w:bidi w:val="0"/>
              <w:spacing w:before="76" w:line="224" w:lineRule="auto"/>
              <w:ind w:left="119"/>
              <w:rPr>
                <w:rFonts w:ascii="仿宋" w:hAnsi="仿宋" w:eastAsia="仿宋" w:cs="仿宋"/>
                <w:sz w:val="23"/>
                <w:szCs w:val="23"/>
              </w:rPr>
            </w:pPr>
            <w:r>
              <w:rPr>
                <w:rFonts w:ascii="仿宋" w:hAnsi="仿宋" w:eastAsia="仿宋" w:cs="仿宋"/>
                <w:spacing w:val="8"/>
                <w:sz w:val="23"/>
                <w:szCs w:val="23"/>
              </w:rPr>
              <w:t>物</w:t>
            </w:r>
            <w:r>
              <w:rPr>
                <w:rFonts w:ascii="仿宋" w:hAnsi="仿宋" w:eastAsia="仿宋" w:cs="仿宋"/>
                <w:spacing w:val="7"/>
                <w:sz w:val="23"/>
                <w:szCs w:val="23"/>
              </w:rPr>
              <w:t>流仓储用地</w:t>
            </w:r>
          </w:p>
        </w:tc>
        <w:tc>
          <w:tcPr>
            <w:tcW w:w="2619" w:type="dxa"/>
            <w:tcBorders>
              <w:tl2br w:val="nil"/>
              <w:tr2bl w:val="nil"/>
            </w:tcBorders>
            <w:noWrap w:val="0"/>
            <w:vAlign w:val="top"/>
          </w:tcPr>
          <w:p w14:paraId="2A9735CC">
            <w:pPr>
              <w:keepNext w:val="0"/>
              <w:keepLines w:val="0"/>
              <w:pageBreakBefore w:val="0"/>
              <w:widowControl w:val="0"/>
              <w:wordWrap/>
              <w:overflowPunct/>
              <w:bidi w:val="0"/>
              <w:spacing w:before="41" w:line="319" w:lineRule="exact"/>
              <w:ind w:left="196"/>
              <w:rPr>
                <w:rFonts w:ascii="仿宋" w:hAnsi="仿宋" w:eastAsia="仿宋" w:cs="仿宋"/>
                <w:sz w:val="23"/>
                <w:szCs w:val="23"/>
              </w:rPr>
            </w:pPr>
            <w:r>
              <w:rPr>
                <w:rFonts w:ascii="Arial" w:hAnsi="Arial" w:eastAsia="Arial" w:cs="Arial"/>
                <w:spacing w:val="12"/>
                <w:position w:val="1"/>
                <w:sz w:val="23"/>
                <w:szCs w:val="23"/>
              </w:rPr>
              <w:t>3</w:t>
            </w:r>
            <w:r>
              <w:rPr>
                <w:rFonts w:ascii="Arial" w:hAnsi="Arial" w:eastAsia="Arial" w:cs="Arial"/>
                <w:spacing w:val="6"/>
                <w:position w:val="1"/>
                <w:sz w:val="23"/>
                <w:szCs w:val="23"/>
              </w:rPr>
              <w:t>0</w:t>
            </w:r>
            <w:r>
              <w:rPr>
                <w:rFonts w:ascii="仿宋" w:hAnsi="仿宋" w:eastAsia="仿宋" w:cs="仿宋"/>
                <w:spacing w:val="6"/>
                <w:position w:val="1"/>
                <w:sz w:val="23"/>
                <w:szCs w:val="23"/>
              </w:rPr>
              <w:t>立方米</w:t>
            </w:r>
            <w:r>
              <w:rPr>
                <w:rFonts w:ascii="Arial" w:hAnsi="Arial" w:eastAsia="Arial" w:cs="Arial"/>
                <w:spacing w:val="6"/>
                <w:position w:val="1"/>
                <w:sz w:val="23"/>
                <w:szCs w:val="23"/>
              </w:rPr>
              <w:t>/</w:t>
            </w:r>
            <w:r>
              <w:rPr>
                <w:rFonts w:ascii="仿宋" w:hAnsi="仿宋" w:eastAsia="仿宋" w:cs="仿宋"/>
                <w:spacing w:val="6"/>
                <w:position w:val="1"/>
                <w:sz w:val="23"/>
                <w:szCs w:val="23"/>
              </w:rPr>
              <w:t>公顷</w:t>
            </w:r>
            <w:r>
              <w:rPr>
                <w:rFonts w:ascii="Times New Roman" w:hAnsi="Times New Roman" w:eastAsia="Times New Roman" w:cs="Times New Roman"/>
                <w:spacing w:val="6"/>
                <w:position w:val="1"/>
                <w:sz w:val="19"/>
                <w:szCs w:val="19"/>
              </w:rPr>
              <w:t>.</w:t>
            </w:r>
            <w:r>
              <w:rPr>
                <w:rFonts w:ascii="仿宋" w:hAnsi="仿宋" w:eastAsia="仿宋" w:cs="仿宋"/>
                <w:spacing w:val="6"/>
                <w:position w:val="1"/>
                <w:sz w:val="23"/>
                <w:szCs w:val="23"/>
              </w:rPr>
              <w:t>日</w:t>
            </w:r>
          </w:p>
        </w:tc>
        <w:tc>
          <w:tcPr>
            <w:tcW w:w="1620" w:type="dxa"/>
            <w:tcBorders>
              <w:tl2br w:val="nil"/>
              <w:tr2bl w:val="nil"/>
            </w:tcBorders>
            <w:noWrap w:val="0"/>
            <w:vAlign w:val="top"/>
          </w:tcPr>
          <w:p w14:paraId="7B0D69DE">
            <w:pPr>
              <w:keepNext w:val="0"/>
              <w:keepLines w:val="0"/>
              <w:pageBreakBefore w:val="0"/>
              <w:widowControl w:val="0"/>
              <w:wordWrap/>
              <w:overflowPunct/>
              <w:bidi w:val="0"/>
              <w:spacing w:before="107" w:line="203" w:lineRule="auto"/>
              <w:ind w:left="638"/>
              <w:rPr>
                <w:rFonts w:ascii="Arial" w:hAnsi="Arial" w:eastAsia="Arial" w:cs="Arial"/>
                <w:sz w:val="23"/>
                <w:szCs w:val="23"/>
              </w:rPr>
            </w:pPr>
            <w:r>
              <w:rPr>
                <w:rFonts w:ascii="Arial" w:hAnsi="Arial" w:eastAsia="Arial" w:cs="Arial"/>
                <w:spacing w:val="3"/>
                <w:sz w:val="23"/>
                <w:szCs w:val="23"/>
              </w:rPr>
              <w:t>0</w:t>
            </w:r>
            <w:r>
              <w:rPr>
                <w:rFonts w:ascii="Arial" w:hAnsi="Arial" w:eastAsia="Arial" w:cs="Arial"/>
                <w:spacing w:val="2"/>
                <w:sz w:val="23"/>
                <w:szCs w:val="23"/>
              </w:rPr>
              <w:t>.26</w:t>
            </w:r>
          </w:p>
        </w:tc>
      </w:tr>
      <w:tr w14:paraId="7B8F50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65" w:type="dxa"/>
            <w:tcBorders>
              <w:tl2br w:val="nil"/>
              <w:tr2bl w:val="nil"/>
            </w:tcBorders>
            <w:noWrap w:val="0"/>
            <w:vAlign w:val="top"/>
          </w:tcPr>
          <w:p w14:paraId="4E2B9549">
            <w:pPr>
              <w:keepNext w:val="0"/>
              <w:keepLines w:val="0"/>
              <w:pageBreakBefore w:val="0"/>
              <w:widowControl w:val="0"/>
              <w:wordWrap/>
              <w:overflowPunct/>
              <w:bidi w:val="0"/>
              <w:spacing w:before="109" w:line="203" w:lineRule="auto"/>
              <w:ind w:left="417"/>
              <w:rPr>
                <w:rFonts w:ascii="Arial" w:hAnsi="Arial" w:eastAsia="Arial" w:cs="Arial"/>
                <w:sz w:val="23"/>
                <w:szCs w:val="23"/>
              </w:rPr>
            </w:pPr>
            <w:r>
              <w:rPr>
                <w:rFonts w:ascii="Arial" w:hAnsi="Arial" w:eastAsia="Arial" w:cs="Arial"/>
                <w:spacing w:val="2"/>
                <w:sz w:val="23"/>
                <w:szCs w:val="23"/>
              </w:rPr>
              <w:t>4</w:t>
            </w:r>
          </w:p>
        </w:tc>
        <w:tc>
          <w:tcPr>
            <w:tcW w:w="3139" w:type="dxa"/>
            <w:tcBorders>
              <w:tl2br w:val="nil"/>
              <w:tr2bl w:val="nil"/>
            </w:tcBorders>
            <w:noWrap w:val="0"/>
            <w:vAlign w:val="top"/>
          </w:tcPr>
          <w:p w14:paraId="2B476436">
            <w:pPr>
              <w:keepNext w:val="0"/>
              <w:keepLines w:val="0"/>
              <w:pageBreakBefore w:val="0"/>
              <w:widowControl w:val="0"/>
              <w:wordWrap/>
              <w:overflowPunct/>
              <w:bidi w:val="0"/>
              <w:spacing w:before="79" w:line="227" w:lineRule="auto"/>
              <w:ind w:left="120"/>
              <w:rPr>
                <w:rFonts w:ascii="仿宋" w:hAnsi="仿宋" w:eastAsia="仿宋" w:cs="仿宋"/>
                <w:sz w:val="23"/>
                <w:szCs w:val="23"/>
              </w:rPr>
            </w:pPr>
            <w:r>
              <w:rPr>
                <w:rFonts w:ascii="仿宋" w:hAnsi="仿宋" w:eastAsia="仿宋" w:cs="仿宋"/>
                <w:spacing w:val="7"/>
                <w:sz w:val="23"/>
                <w:szCs w:val="23"/>
              </w:rPr>
              <w:t>交通设施用地</w:t>
            </w:r>
          </w:p>
        </w:tc>
        <w:tc>
          <w:tcPr>
            <w:tcW w:w="2619" w:type="dxa"/>
            <w:tcBorders>
              <w:tl2br w:val="nil"/>
              <w:tr2bl w:val="nil"/>
            </w:tcBorders>
            <w:noWrap w:val="0"/>
            <w:vAlign w:val="top"/>
          </w:tcPr>
          <w:p w14:paraId="08374DF0">
            <w:pPr>
              <w:keepNext w:val="0"/>
              <w:keepLines w:val="0"/>
              <w:pageBreakBefore w:val="0"/>
              <w:widowControl w:val="0"/>
              <w:wordWrap/>
              <w:overflowPunct/>
              <w:bidi w:val="0"/>
              <w:spacing w:before="43" w:line="319" w:lineRule="exact"/>
              <w:ind w:left="196"/>
              <w:rPr>
                <w:rFonts w:ascii="仿宋" w:hAnsi="仿宋" w:eastAsia="仿宋" w:cs="仿宋"/>
                <w:sz w:val="23"/>
                <w:szCs w:val="23"/>
              </w:rPr>
            </w:pPr>
            <w:r>
              <w:rPr>
                <w:rFonts w:ascii="Arial" w:hAnsi="Arial" w:eastAsia="Arial" w:cs="Arial"/>
                <w:spacing w:val="12"/>
                <w:position w:val="1"/>
                <w:sz w:val="23"/>
                <w:szCs w:val="23"/>
              </w:rPr>
              <w:t>3</w:t>
            </w:r>
            <w:r>
              <w:rPr>
                <w:rFonts w:ascii="Arial" w:hAnsi="Arial" w:eastAsia="Arial" w:cs="Arial"/>
                <w:spacing w:val="6"/>
                <w:position w:val="1"/>
                <w:sz w:val="23"/>
                <w:szCs w:val="23"/>
              </w:rPr>
              <w:t>0</w:t>
            </w:r>
            <w:r>
              <w:rPr>
                <w:rFonts w:ascii="仿宋" w:hAnsi="仿宋" w:eastAsia="仿宋" w:cs="仿宋"/>
                <w:spacing w:val="6"/>
                <w:position w:val="1"/>
                <w:sz w:val="23"/>
                <w:szCs w:val="23"/>
              </w:rPr>
              <w:t>立方米</w:t>
            </w:r>
            <w:r>
              <w:rPr>
                <w:rFonts w:ascii="Arial" w:hAnsi="Arial" w:eastAsia="Arial" w:cs="Arial"/>
                <w:spacing w:val="6"/>
                <w:position w:val="1"/>
                <w:sz w:val="23"/>
                <w:szCs w:val="23"/>
              </w:rPr>
              <w:t>/</w:t>
            </w:r>
            <w:r>
              <w:rPr>
                <w:rFonts w:ascii="仿宋" w:hAnsi="仿宋" w:eastAsia="仿宋" w:cs="仿宋"/>
                <w:spacing w:val="6"/>
                <w:position w:val="1"/>
                <w:sz w:val="23"/>
                <w:szCs w:val="23"/>
              </w:rPr>
              <w:t>公顷</w:t>
            </w:r>
            <w:r>
              <w:rPr>
                <w:rFonts w:ascii="Times New Roman" w:hAnsi="Times New Roman" w:eastAsia="Times New Roman" w:cs="Times New Roman"/>
                <w:spacing w:val="6"/>
                <w:position w:val="1"/>
                <w:sz w:val="19"/>
                <w:szCs w:val="19"/>
              </w:rPr>
              <w:t>.</w:t>
            </w:r>
            <w:r>
              <w:rPr>
                <w:rFonts w:ascii="仿宋" w:hAnsi="仿宋" w:eastAsia="仿宋" w:cs="仿宋"/>
                <w:spacing w:val="6"/>
                <w:position w:val="1"/>
                <w:sz w:val="23"/>
                <w:szCs w:val="23"/>
              </w:rPr>
              <w:t>日</w:t>
            </w:r>
          </w:p>
        </w:tc>
        <w:tc>
          <w:tcPr>
            <w:tcW w:w="1620" w:type="dxa"/>
            <w:tcBorders>
              <w:tl2br w:val="nil"/>
              <w:tr2bl w:val="nil"/>
            </w:tcBorders>
            <w:noWrap w:val="0"/>
            <w:vAlign w:val="top"/>
          </w:tcPr>
          <w:p w14:paraId="67FD52A8">
            <w:pPr>
              <w:keepNext w:val="0"/>
              <w:keepLines w:val="0"/>
              <w:pageBreakBefore w:val="0"/>
              <w:widowControl w:val="0"/>
              <w:wordWrap/>
              <w:overflowPunct/>
              <w:bidi w:val="0"/>
              <w:spacing w:before="109" w:line="203" w:lineRule="auto"/>
              <w:ind w:left="638"/>
              <w:rPr>
                <w:rFonts w:ascii="Arial" w:hAnsi="Arial" w:eastAsia="Arial" w:cs="Arial"/>
                <w:sz w:val="23"/>
                <w:szCs w:val="23"/>
              </w:rPr>
            </w:pPr>
            <w:r>
              <w:rPr>
                <w:rFonts w:ascii="Arial" w:hAnsi="Arial" w:eastAsia="Arial" w:cs="Arial"/>
                <w:spacing w:val="3"/>
                <w:sz w:val="23"/>
                <w:szCs w:val="23"/>
              </w:rPr>
              <w:t>0</w:t>
            </w:r>
            <w:r>
              <w:rPr>
                <w:rFonts w:ascii="Arial" w:hAnsi="Arial" w:eastAsia="Arial" w:cs="Arial"/>
                <w:spacing w:val="2"/>
                <w:sz w:val="23"/>
                <w:szCs w:val="23"/>
              </w:rPr>
              <w:t>.88</w:t>
            </w:r>
          </w:p>
        </w:tc>
      </w:tr>
      <w:tr w14:paraId="5A651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65" w:type="dxa"/>
            <w:tcBorders>
              <w:tl2br w:val="nil"/>
              <w:tr2bl w:val="nil"/>
            </w:tcBorders>
            <w:noWrap w:val="0"/>
            <w:vAlign w:val="top"/>
          </w:tcPr>
          <w:p w14:paraId="2BCD5546">
            <w:pPr>
              <w:keepNext w:val="0"/>
              <w:keepLines w:val="0"/>
              <w:pageBreakBefore w:val="0"/>
              <w:widowControl w:val="0"/>
              <w:wordWrap/>
              <w:overflowPunct/>
              <w:bidi w:val="0"/>
              <w:spacing w:before="111" w:line="200" w:lineRule="auto"/>
              <w:ind w:left="424"/>
              <w:rPr>
                <w:rFonts w:ascii="Arial" w:hAnsi="Arial" w:eastAsia="Arial" w:cs="Arial"/>
                <w:sz w:val="23"/>
                <w:szCs w:val="23"/>
              </w:rPr>
            </w:pPr>
            <w:r>
              <w:rPr>
                <w:rFonts w:ascii="Arial" w:hAnsi="Arial" w:eastAsia="Arial" w:cs="Arial"/>
                <w:sz w:val="23"/>
                <w:szCs w:val="23"/>
              </w:rPr>
              <w:t>5</w:t>
            </w:r>
          </w:p>
        </w:tc>
        <w:tc>
          <w:tcPr>
            <w:tcW w:w="3139" w:type="dxa"/>
            <w:tcBorders>
              <w:tl2br w:val="nil"/>
              <w:tr2bl w:val="nil"/>
            </w:tcBorders>
            <w:noWrap w:val="0"/>
            <w:vAlign w:val="top"/>
          </w:tcPr>
          <w:p w14:paraId="7EA94580">
            <w:pPr>
              <w:keepNext w:val="0"/>
              <w:keepLines w:val="0"/>
              <w:pageBreakBefore w:val="0"/>
              <w:widowControl w:val="0"/>
              <w:wordWrap/>
              <w:overflowPunct/>
              <w:bidi w:val="0"/>
              <w:spacing w:before="78" w:line="226" w:lineRule="auto"/>
              <w:ind w:left="122"/>
              <w:rPr>
                <w:rFonts w:ascii="仿宋" w:hAnsi="仿宋" w:eastAsia="仿宋" w:cs="仿宋"/>
                <w:sz w:val="23"/>
                <w:szCs w:val="23"/>
              </w:rPr>
            </w:pPr>
            <w:r>
              <w:rPr>
                <w:rFonts w:ascii="仿宋" w:hAnsi="仿宋" w:eastAsia="仿宋" w:cs="仿宋"/>
                <w:spacing w:val="8"/>
                <w:sz w:val="23"/>
                <w:szCs w:val="23"/>
              </w:rPr>
              <w:t>绿</w:t>
            </w:r>
            <w:r>
              <w:rPr>
                <w:rFonts w:ascii="仿宋" w:hAnsi="仿宋" w:eastAsia="仿宋" w:cs="仿宋"/>
                <w:spacing w:val="7"/>
                <w:sz w:val="23"/>
                <w:szCs w:val="23"/>
              </w:rPr>
              <w:t>地与广场用地</w:t>
            </w:r>
          </w:p>
        </w:tc>
        <w:tc>
          <w:tcPr>
            <w:tcW w:w="2619" w:type="dxa"/>
            <w:tcBorders>
              <w:tl2br w:val="nil"/>
              <w:tr2bl w:val="nil"/>
            </w:tcBorders>
            <w:noWrap w:val="0"/>
            <w:vAlign w:val="top"/>
          </w:tcPr>
          <w:p w14:paraId="75682122">
            <w:pPr>
              <w:keepNext w:val="0"/>
              <w:keepLines w:val="0"/>
              <w:pageBreakBefore w:val="0"/>
              <w:widowControl w:val="0"/>
              <w:wordWrap/>
              <w:overflowPunct/>
              <w:bidi w:val="0"/>
              <w:spacing w:before="42" w:line="319" w:lineRule="exact"/>
              <w:ind w:left="212"/>
              <w:rPr>
                <w:rFonts w:ascii="仿宋" w:hAnsi="仿宋" w:eastAsia="仿宋" w:cs="仿宋"/>
                <w:sz w:val="23"/>
                <w:szCs w:val="23"/>
              </w:rPr>
            </w:pPr>
            <w:r>
              <w:rPr>
                <w:rFonts w:ascii="Arial" w:hAnsi="Arial" w:eastAsia="Arial" w:cs="Arial"/>
                <w:spacing w:val="7"/>
                <w:position w:val="1"/>
                <w:sz w:val="23"/>
                <w:szCs w:val="23"/>
              </w:rPr>
              <w:t>1</w:t>
            </w:r>
            <w:r>
              <w:rPr>
                <w:rFonts w:ascii="Arial" w:hAnsi="Arial" w:eastAsia="Arial" w:cs="Arial"/>
                <w:spacing w:val="5"/>
                <w:position w:val="1"/>
                <w:sz w:val="23"/>
                <w:szCs w:val="23"/>
              </w:rPr>
              <w:t>0</w:t>
            </w:r>
            <w:r>
              <w:rPr>
                <w:rFonts w:ascii="仿宋" w:hAnsi="仿宋" w:eastAsia="仿宋" w:cs="仿宋"/>
                <w:spacing w:val="5"/>
                <w:position w:val="1"/>
                <w:sz w:val="23"/>
                <w:szCs w:val="23"/>
              </w:rPr>
              <w:t>立方米</w:t>
            </w:r>
            <w:r>
              <w:rPr>
                <w:rFonts w:ascii="Arial" w:hAnsi="Arial" w:eastAsia="Arial" w:cs="Arial"/>
                <w:spacing w:val="5"/>
                <w:position w:val="1"/>
                <w:sz w:val="23"/>
                <w:szCs w:val="23"/>
              </w:rPr>
              <w:t>/</w:t>
            </w:r>
            <w:r>
              <w:rPr>
                <w:rFonts w:ascii="仿宋" w:hAnsi="仿宋" w:eastAsia="仿宋" w:cs="仿宋"/>
                <w:spacing w:val="5"/>
                <w:position w:val="1"/>
                <w:sz w:val="23"/>
                <w:szCs w:val="23"/>
              </w:rPr>
              <w:t>公顷</w:t>
            </w:r>
            <w:r>
              <w:rPr>
                <w:rFonts w:ascii="Times New Roman" w:hAnsi="Times New Roman" w:eastAsia="Times New Roman" w:cs="Times New Roman"/>
                <w:spacing w:val="5"/>
                <w:position w:val="1"/>
                <w:sz w:val="19"/>
                <w:szCs w:val="19"/>
              </w:rPr>
              <w:t>.</w:t>
            </w:r>
            <w:r>
              <w:rPr>
                <w:rFonts w:ascii="仿宋" w:hAnsi="仿宋" w:eastAsia="仿宋" w:cs="仿宋"/>
                <w:spacing w:val="5"/>
                <w:position w:val="1"/>
                <w:sz w:val="23"/>
                <w:szCs w:val="23"/>
              </w:rPr>
              <w:t>日</w:t>
            </w:r>
          </w:p>
        </w:tc>
        <w:tc>
          <w:tcPr>
            <w:tcW w:w="1620" w:type="dxa"/>
            <w:tcBorders>
              <w:tl2br w:val="nil"/>
              <w:tr2bl w:val="nil"/>
            </w:tcBorders>
            <w:noWrap w:val="0"/>
            <w:vAlign w:val="top"/>
          </w:tcPr>
          <w:p w14:paraId="549A00B0">
            <w:pPr>
              <w:keepNext w:val="0"/>
              <w:keepLines w:val="0"/>
              <w:pageBreakBefore w:val="0"/>
              <w:widowControl w:val="0"/>
              <w:wordWrap/>
              <w:overflowPunct/>
              <w:bidi w:val="0"/>
              <w:spacing w:before="108" w:line="203" w:lineRule="auto"/>
              <w:ind w:left="638"/>
              <w:rPr>
                <w:rFonts w:ascii="Arial" w:hAnsi="Arial" w:eastAsia="Arial" w:cs="Arial"/>
                <w:sz w:val="23"/>
                <w:szCs w:val="23"/>
              </w:rPr>
            </w:pPr>
            <w:r>
              <w:rPr>
                <w:rFonts w:ascii="Arial" w:hAnsi="Arial" w:eastAsia="Arial" w:cs="Arial"/>
                <w:spacing w:val="-11"/>
                <w:sz w:val="23"/>
                <w:szCs w:val="23"/>
              </w:rPr>
              <w:t>0.19</w:t>
            </w:r>
          </w:p>
        </w:tc>
      </w:tr>
      <w:tr w14:paraId="40020C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965" w:type="dxa"/>
            <w:tcBorders>
              <w:tl2br w:val="nil"/>
              <w:tr2bl w:val="nil"/>
            </w:tcBorders>
            <w:noWrap w:val="0"/>
            <w:vAlign w:val="top"/>
          </w:tcPr>
          <w:p w14:paraId="6E881BB2">
            <w:pPr>
              <w:keepNext w:val="0"/>
              <w:keepLines w:val="0"/>
              <w:pageBreakBefore w:val="0"/>
              <w:widowControl w:val="0"/>
              <w:wordWrap/>
              <w:overflowPunct/>
              <w:bidi w:val="0"/>
              <w:spacing w:before="110" w:line="203" w:lineRule="auto"/>
              <w:ind w:left="423"/>
              <w:rPr>
                <w:rFonts w:ascii="Arial" w:hAnsi="Arial" w:eastAsia="Arial" w:cs="Arial"/>
                <w:sz w:val="23"/>
                <w:szCs w:val="23"/>
              </w:rPr>
            </w:pPr>
            <w:r>
              <w:rPr>
                <w:rFonts w:ascii="Arial" w:hAnsi="Arial" w:eastAsia="Arial" w:cs="Arial"/>
                <w:sz w:val="23"/>
                <w:szCs w:val="23"/>
              </w:rPr>
              <w:t>6</w:t>
            </w:r>
          </w:p>
        </w:tc>
        <w:tc>
          <w:tcPr>
            <w:tcW w:w="3139" w:type="dxa"/>
            <w:tcBorders>
              <w:tl2br w:val="nil"/>
              <w:tr2bl w:val="nil"/>
            </w:tcBorders>
            <w:noWrap w:val="0"/>
            <w:vAlign w:val="top"/>
          </w:tcPr>
          <w:p w14:paraId="77DA89F1">
            <w:pPr>
              <w:keepNext w:val="0"/>
              <w:keepLines w:val="0"/>
              <w:pageBreakBefore w:val="0"/>
              <w:widowControl w:val="0"/>
              <w:wordWrap/>
              <w:overflowPunct/>
              <w:bidi w:val="0"/>
              <w:spacing w:before="80" w:line="225" w:lineRule="auto"/>
              <w:ind w:left="111"/>
              <w:rPr>
                <w:rFonts w:ascii="仿宋" w:hAnsi="仿宋" w:eastAsia="仿宋" w:cs="仿宋"/>
                <w:sz w:val="23"/>
                <w:szCs w:val="23"/>
              </w:rPr>
            </w:pPr>
            <w:r>
              <w:rPr>
                <w:rFonts w:ascii="仿宋" w:hAnsi="仿宋" w:eastAsia="仿宋" w:cs="仿宋"/>
                <w:spacing w:val="8"/>
                <w:sz w:val="23"/>
                <w:szCs w:val="23"/>
              </w:rPr>
              <w:t>未预见水量</w:t>
            </w:r>
          </w:p>
        </w:tc>
        <w:tc>
          <w:tcPr>
            <w:tcW w:w="2619" w:type="dxa"/>
            <w:tcBorders>
              <w:tl2br w:val="nil"/>
              <w:tr2bl w:val="nil"/>
            </w:tcBorders>
            <w:noWrap w:val="0"/>
            <w:vAlign w:val="top"/>
          </w:tcPr>
          <w:p w14:paraId="341CB519">
            <w:pPr>
              <w:keepNext w:val="0"/>
              <w:keepLines w:val="0"/>
              <w:pageBreakBefore w:val="0"/>
              <w:widowControl w:val="0"/>
              <w:wordWrap/>
              <w:overflowPunct/>
              <w:bidi w:val="0"/>
              <w:spacing w:before="43" w:line="319" w:lineRule="exact"/>
              <w:ind w:left="925"/>
              <w:rPr>
                <w:rFonts w:ascii="Arial" w:hAnsi="Arial" w:eastAsia="Arial" w:cs="Arial"/>
                <w:sz w:val="23"/>
                <w:szCs w:val="23"/>
              </w:rPr>
            </w:pPr>
            <w:r>
              <w:rPr>
                <w:rFonts w:ascii="Arial" w:hAnsi="Arial" w:eastAsia="Arial" w:cs="Arial"/>
                <w:spacing w:val="-4"/>
                <w:position w:val="1"/>
                <w:sz w:val="23"/>
                <w:szCs w:val="23"/>
              </w:rPr>
              <w:t>1</w:t>
            </w:r>
            <w:r>
              <w:rPr>
                <w:rFonts w:ascii="Arial" w:hAnsi="Arial" w:eastAsia="Arial" w:cs="Arial"/>
                <w:spacing w:val="-3"/>
                <w:position w:val="1"/>
                <w:sz w:val="23"/>
                <w:szCs w:val="23"/>
              </w:rPr>
              <w:t>0%</w:t>
            </w:r>
          </w:p>
        </w:tc>
        <w:tc>
          <w:tcPr>
            <w:tcW w:w="1620" w:type="dxa"/>
            <w:tcBorders>
              <w:tl2br w:val="nil"/>
              <w:tr2bl w:val="nil"/>
            </w:tcBorders>
            <w:noWrap w:val="0"/>
            <w:vAlign w:val="top"/>
          </w:tcPr>
          <w:p w14:paraId="48C7BE5C">
            <w:pPr>
              <w:keepNext w:val="0"/>
              <w:keepLines w:val="0"/>
              <w:pageBreakBefore w:val="0"/>
              <w:widowControl w:val="0"/>
              <w:wordWrap/>
              <w:overflowPunct/>
              <w:bidi w:val="0"/>
              <w:spacing w:before="110" w:line="203" w:lineRule="auto"/>
              <w:ind w:left="638"/>
              <w:rPr>
                <w:rFonts w:ascii="Arial" w:hAnsi="Arial" w:eastAsia="Arial" w:cs="Arial"/>
                <w:sz w:val="23"/>
                <w:szCs w:val="23"/>
              </w:rPr>
            </w:pPr>
            <w:r>
              <w:rPr>
                <w:rFonts w:ascii="Arial" w:hAnsi="Arial" w:eastAsia="Arial" w:cs="Arial"/>
                <w:spacing w:val="3"/>
                <w:sz w:val="23"/>
                <w:szCs w:val="23"/>
              </w:rPr>
              <w:t>0</w:t>
            </w:r>
            <w:r>
              <w:rPr>
                <w:rFonts w:ascii="Arial" w:hAnsi="Arial" w:eastAsia="Arial" w:cs="Arial"/>
                <w:spacing w:val="2"/>
                <w:sz w:val="23"/>
                <w:szCs w:val="23"/>
              </w:rPr>
              <w:t>.52</w:t>
            </w:r>
          </w:p>
        </w:tc>
      </w:tr>
      <w:tr w14:paraId="772384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965" w:type="dxa"/>
            <w:tcBorders>
              <w:tl2br w:val="nil"/>
              <w:tr2bl w:val="nil"/>
            </w:tcBorders>
            <w:noWrap w:val="0"/>
            <w:vAlign w:val="top"/>
          </w:tcPr>
          <w:p w14:paraId="162ABDEC">
            <w:pPr>
              <w:keepNext w:val="0"/>
              <w:keepLines w:val="0"/>
              <w:pageBreakBefore w:val="0"/>
              <w:widowControl w:val="0"/>
              <w:wordWrap/>
              <w:overflowPunct/>
              <w:bidi w:val="0"/>
              <w:rPr>
                <w:rFonts w:ascii="Arial"/>
                <w:sz w:val="21"/>
              </w:rPr>
            </w:pPr>
          </w:p>
        </w:tc>
        <w:tc>
          <w:tcPr>
            <w:tcW w:w="3139" w:type="dxa"/>
            <w:tcBorders>
              <w:tl2br w:val="nil"/>
              <w:tr2bl w:val="nil"/>
            </w:tcBorders>
            <w:noWrap w:val="0"/>
            <w:vAlign w:val="top"/>
          </w:tcPr>
          <w:p w14:paraId="62A5EA86">
            <w:pPr>
              <w:keepNext w:val="0"/>
              <w:keepLines w:val="0"/>
              <w:pageBreakBefore w:val="0"/>
              <w:widowControl w:val="0"/>
              <w:wordWrap/>
              <w:overflowPunct/>
              <w:bidi w:val="0"/>
              <w:spacing w:before="80" w:line="225" w:lineRule="auto"/>
              <w:ind w:left="114"/>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2619" w:type="dxa"/>
            <w:tcBorders>
              <w:tl2br w:val="nil"/>
              <w:tr2bl w:val="nil"/>
            </w:tcBorders>
            <w:noWrap w:val="0"/>
            <w:vAlign w:val="top"/>
          </w:tcPr>
          <w:p w14:paraId="53BC1C59">
            <w:pPr>
              <w:keepNext w:val="0"/>
              <w:keepLines w:val="0"/>
              <w:pageBreakBefore w:val="0"/>
              <w:widowControl w:val="0"/>
              <w:wordWrap/>
              <w:overflowPunct/>
              <w:bidi w:val="0"/>
              <w:rPr>
                <w:rFonts w:ascii="Arial"/>
                <w:sz w:val="21"/>
              </w:rPr>
            </w:pPr>
          </w:p>
        </w:tc>
        <w:tc>
          <w:tcPr>
            <w:tcW w:w="1620" w:type="dxa"/>
            <w:tcBorders>
              <w:tl2br w:val="nil"/>
              <w:tr2bl w:val="nil"/>
            </w:tcBorders>
            <w:noWrap w:val="0"/>
            <w:vAlign w:val="top"/>
          </w:tcPr>
          <w:p w14:paraId="3C844E9B">
            <w:pPr>
              <w:keepNext w:val="0"/>
              <w:keepLines w:val="0"/>
              <w:pageBreakBefore w:val="0"/>
              <w:widowControl w:val="0"/>
              <w:wordWrap/>
              <w:overflowPunct/>
              <w:bidi w:val="0"/>
              <w:spacing w:before="113" w:line="200" w:lineRule="auto"/>
              <w:ind w:left="638"/>
              <w:rPr>
                <w:rFonts w:ascii="Arial" w:hAnsi="Arial" w:eastAsia="Arial" w:cs="Arial"/>
                <w:sz w:val="23"/>
                <w:szCs w:val="23"/>
              </w:rPr>
            </w:pPr>
            <w:r>
              <w:rPr>
                <w:rFonts w:ascii="Arial" w:hAnsi="Arial" w:eastAsia="Arial" w:cs="Arial"/>
                <w:spacing w:val="3"/>
                <w:sz w:val="23"/>
                <w:szCs w:val="23"/>
              </w:rPr>
              <w:t>5</w:t>
            </w:r>
            <w:r>
              <w:rPr>
                <w:rFonts w:ascii="Arial" w:hAnsi="Arial" w:eastAsia="Arial" w:cs="Arial"/>
                <w:spacing w:val="2"/>
                <w:sz w:val="23"/>
                <w:szCs w:val="23"/>
              </w:rPr>
              <w:t>.77</w:t>
            </w:r>
          </w:p>
        </w:tc>
      </w:tr>
    </w:tbl>
    <w:p w14:paraId="660C3DB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根据规划用地类型及规划规模，预测园区最高日用水量约为5.77万立方米/日。</w:t>
      </w:r>
    </w:p>
    <w:p w14:paraId="60AE801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10.1.4水源规划</w:t>
      </w:r>
    </w:p>
    <w:p w14:paraId="5DE059A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泗洲水库至枫林坑引水工程是泉港区本地重要的地表水水源。正在建设的双溪水库为小(一)型水库，位于泉港区涂岭镇五社村西北侧约700米处，建成后将作为泉港区的补充及应急水源。泉港本地水资源量严重不足，城市用水主要依靠湄洲湾南岸引水工程从晋江引水。湄洲湾南岸供水工程承担泉港区工农业和生活用水等任务，是开发建设湄洲湾建设大型石化城的重要基础工程。</w:t>
      </w:r>
    </w:p>
    <w:p w14:paraId="5EC0AE8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依据《福建省泉州市水源工程建设与调配规划修编报告》，为了组成“上蓄下引、河库连通、多源互补、丰枯调剂”的水网体系，泉州市水利</w:t>
      </w:r>
    </w:p>
    <w:p w14:paraId="27520F3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部门经过了大量的调查研究，根据泉州市的水资源分布、地形、水库条件等，提出的“七库连通工程”(七库包括：彭村水库、山美水库、龙门滩水库、惠女水库、泗洲水库、陈田水库和菱溪水库)已列入水利部江河湖库水系连通工程规划。此外，还规划了惠女水库至黄塘、菱溪水库与湄南供水连接线工程等，把供水量调配至惠安、泉港、洛江的接水点(水厂)。其中菱溪水库至泉港区引调水工程PPP项目正在开展相关工作。</w:t>
      </w:r>
    </w:p>
    <w:p w14:paraId="13B8726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泉港区主要由湄洲湾南岸供水工程和泗洲、菱溪等中型水库供水。</w:t>
      </w:r>
    </w:p>
    <w:p w14:paraId="394CC81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10.1.5水厂规划</w:t>
      </w:r>
    </w:p>
    <w:p w14:paraId="65842DB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港区市政工程专项规划》，泉港区城市供水现状主要依托湄丰水厂与凤阳水厂，其中湄丰水厂设计规模为10万立方米/日，已建规模为5万立方米/日，主要承担泉港北部供水任务；凤阳水厂设计规模为15万立方米/日，已建规模为5万立方米/日，主要承担泉港南部供水任务。目前两个水厂配水管网已联通，实现联合供水，提高了供水保证率。</w:t>
      </w:r>
    </w:p>
    <w:p w14:paraId="4C20466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此外，根据《泉港区市政工程专项规划》，从安全供水及提升水质角度出发，将开展湄丰水厂、凤阳水厂水质提升工程建设，对水厂现状出水深度处理，提高水质，并对水厂的排泥水进行收集处理。</w:t>
      </w:r>
    </w:p>
    <w:p w14:paraId="1CAC99A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本次规划的高新园区位于两座水厂的供水范围内，且主要用水为城市工业及生活用水，通过市政管道由上述水厂供应。</w:t>
      </w:r>
    </w:p>
    <w:p w14:paraId="2494E97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10.1.6管网规划</w:t>
      </w:r>
    </w:p>
    <w:p w14:paraId="0B6430C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北部湄丰水厂主要供北部地势较高地区，此外还向南部地区补充供水；南部凤阳水厂则主要供南部地势较低地区。两区配水管网之间采用多路相互联通，互为备用。</w:t>
      </w:r>
    </w:p>
    <w:p w14:paraId="62E7460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10.2污水工程规划</w:t>
      </w:r>
    </w:p>
    <w:p w14:paraId="5850FA2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b/>
          <w:bCs/>
          <w:spacing w:val="0"/>
          <w:sz w:val="28"/>
          <w:szCs w:val="28"/>
          <w:lang w:val="en-US" w:eastAsia="zh-CN"/>
        </w:rPr>
        <w:t>10.2.1现状概况</w:t>
      </w:r>
    </w:p>
    <w:p w14:paraId="2A361C1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10.2.1.1污水收集与处理设施建设现状</w:t>
      </w:r>
    </w:p>
    <w:p w14:paraId="69D6F89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峰尾污水处理厂近期规模2.5万立方米/日已经建成投入运行，目前进水量已接近设计规模。为了配合污水处理厂的建设，泉港已经建设一根DN1000尾水排海管道，目前已经施工完成，主要解决峰尾污水处理厂的尾水排放问题。</w:t>
      </w:r>
    </w:p>
    <w:p w14:paraId="08B3E40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10.2.2规划原则</w:t>
      </w:r>
    </w:p>
    <w:p w14:paraId="41F065E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(1)园区排水体制采用雨污分流制。</w:t>
      </w:r>
    </w:p>
    <w:p w14:paraId="19588F6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(2)充分利用现有排水管(渠)，污、雨水管网的设置尽量采用自流形式。</w:t>
      </w:r>
    </w:p>
    <w:p w14:paraId="5BE98B8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(3)污水以集中处理为主，园区污水收集后送园区内规划的污水处理厂处理。</w:t>
      </w:r>
    </w:p>
    <w:p w14:paraId="6D62413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(4)污水干管尽量沿城市干道及近期建设道路敷设。</w:t>
      </w:r>
    </w:p>
    <w:p w14:paraId="2832FCE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(5)污水管道沿道路敷设，尽量布置于道路西侧或北侧的(非)车行道下，当路幅宽度大于40米时，宜采用双侧布管。</w:t>
      </w:r>
    </w:p>
    <w:p w14:paraId="43DA826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10.2.3污水量预测</w:t>
      </w:r>
    </w:p>
    <w:p w14:paraId="4681EF9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城市排水工程规划规范》(GB50318-2017)，污水排放系数取0.75(综合城市综合生活污水排放系数和城市工业废水排放系数)，即污水量按平均日用水量的75%计算。预测高新园区污水量为4.32万立方米/日，其中工业污水量为2.22万立方米/日，其他污水量为2.1万立方米/日。</w:t>
      </w:r>
    </w:p>
    <w:p w14:paraId="0425573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10.2.4污水处理设施规划方案</w:t>
      </w:r>
    </w:p>
    <w:p w14:paraId="15C73EF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10.2.4.1收集与处理方案</w:t>
      </w:r>
    </w:p>
    <w:p w14:paraId="5746705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园区内已铺设有集中污水收集管道，污水收集后进入山腰片区污水管网并进一步输送至峰尾污水处理厂处理。另外，园区东侧皮革园区建设有为皮革厂服务的污水处理厂，规模为0.5万立方米/日，目前处于停产状态。</w:t>
      </w:r>
    </w:p>
    <w:p w14:paraId="4C2FAD5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由于高新园区内未来新材料产业发展会产生一定量的工业污水，而峰尾污水处理厂属于生活污水处理厂，因此下文将对高新园区内工业污水的处理方式进行对比分析：</w:t>
      </w:r>
    </w:p>
    <w:p w14:paraId="4628B42E">
      <w:pPr>
        <w:keepNext w:val="0"/>
        <w:keepLines w:val="0"/>
        <w:pageBreakBefore w:val="0"/>
        <w:widowControl w:val="0"/>
        <w:wordWrap/>
        <w:overflowPunct/>
        <w:bidi w:val="0"/>
        <w:spacing w:before="75" w:line="226" w:lineRule="auto"/>
        <w:ind w:left="2544"/>
        <w:rPr>
          <w:rFonts w:ascii="黑体" w:hAnsi="黑体" w:eastAsia="黑体" w:cs="黑体"/>
          <w:sz w:val="23"/>
          <w:szCs w:val="23"/>
        </w:rPr>
      </w:pPr>
      <w:r>
        <w:rPr>
          <w:rFonts w:ascii="黑体" w:hAnsi="黑体" w:eastAsia="黑体" w:cs="黑体"/>
          <w:spacing w:val="8"/>
          <w:sz w:val="23"/>
          <w:szCs w:val="23"/>
        </w:rPr>
        <w:t>表</w:t>
      </w:r>
      <w:r>
        <w:rPr>
          <w:rFonts w:ascii="Arial" w:hAnsi="Arial" w:eastAsia="Arial" w:cs="Arial"/>
          <w:b/>
          <w:bCs/>
          <w:spacing w:val="8"/>
          <w:sz w:val="23"/>
          <w:szCs w:val="23"/>
        </w:rPr>
        <w:t>1</w:t>
      </w:r>
      <w:r>
        <w:rPr>
          <w:rFonts w:ascii="Arial" w:hAnsi="Arial" w:eastAsia="Arial" w:cs="Arial"/>
          <w:b/>
          <w:bCs/>
          <w:spacing w:val="4"/>
          <w:sz w:val="23"/>
          <w:szCs w:val="23"/>
        </w:rPr>
        <w:t>1-2</w:t>
      </w:r>
      <w:r>
        <w:rPr>
          <w:rFonts w:ascii="黑体" w:hAnsi="黑体" w:eastAsia="黑体" w:cs="黑体"/>
          <w:spacing w:val="4"/>
          <w:sz w:val="23"/>
          <w:szCs w:val="23"/>
        </w:rPr>
        <w:t>污水处理厂建设方案对比分析</w:t>
      </w:r>
    </w:p>
    <w:p w14:paraId="390CA4CE">
      <w:pPr>
        <w:keepNext w:val="0"/>
        <w:keepLines w:val="0"/>
        <w:pageBreakBefore w:val="0"/>
        <w:widowControl w:val="0"/>
        <w:wordWrap/>
        <w:overflowPunct/>
        <w:bidi w:val="0"/>
        <w:spacing w:line="138" w:lineRule="exact"/>
      </w:pPr>
    </w:p>
    <w:tbl>
      <w:tblPr>
        <w:tblStyle w:val="9"/>
        <w:tblW w:w="870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7"/>
        <w:gridCol w:w="3683"/>
        <w:gridCol w:w="4029"/>
      </w:tblGrid>
      <w:tr w14:paraId="1C77C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997" w:type="dxa"/>
            <w:tcBorders>
              <w:tl2br w:val="nil"/>
              <w:tr2bl w:val="nil"/>
            </w:tcBorders>
            <w:noWrap w:val="0"/>
            <w:vAlign w:val="top"/>
          </w:tcPr>
          <w:p w14:paraId="120D5BE0">
            <w:pPr>
              <w:keepNext w:val="0"/>
              <w:keepLines w:val="0"/>
              <w:pageBreakBefore w:val="0"/>
              <w:widowControl w:val="0"/>
              <w:kinsoku/>
              <w:wordWrap/>
              <w:overflowPunct/>
              <w:topLinePunct/>
              <w:autoSpaceDE/>
              <w:autoSpaceDN/>
              <w:bidi w:val="0"/>
              <w:adjustRightInd w:val="0"/>
              <w:snapToGrid w:val="0"/>
              <w:spacing w:before="237" w:line="226" w:lineRule="auto"/>
              <w:ind w:left="121"/>
              <w:jc w:val="center"/>
              <w:textAlignment w:val="baseline"/>
              <w:rPr>
                <w:rFonts w:ascii="仿宋" w:hAnsi="仿宋" w:eastAsia="仿宋" w:cs="仿宋"/>
                <w:b/>
                <w:bCs/>
                <w:sz w:val="23"/>
                <w:szCs w:val="23"/>
              </w:rPr>
            </w:pPr>
            <w:r>
              <w:rPr>
                <w:rFonts w:ascii="仿宋" w:hAnsi="仿宋" w:eastAsia="仿宋" w:cs="仿宋"/>
                <w:b/>
                <w:bCs/>
                <w:spacing w:val="3"/>
                <w:sz w:val="23"/>
                <w:szCs w:val="23"/>
              </w:rPr>
              <w:t>方案</w:t>
            </w:r>
          </w:p>
        </w:tc>
        <w:tc>
          <w:tcPr>
            <w:tcW w:w="3683" w:type="dxa"/>
            <w:tcBorders>
              <w:tl2br w:val="nil"/>
              <w:tr2bl w:val="nil"/>
            </w:tcBorders>
            <w:noWrap w:val="0"/>
            <w:vAlign w:val="top"/>
          </w:tcPr>
          <w:p w14:paraId="398BF353">
            <w:pPr>
              <w:keepNext w:val="0"/>
              <w:keepLines w:val="0"/>
              <w:pageBreakBefore w:val="0"/>
              <w:widowControl w:val="0"/>
              <w:kinsoku/>
              <w:wordWrap/>
              <w:overflowPunct/>
              <w:topLinePunct/>
              <w:autoSpaceDE/>
              <w:autoSpaceDN/>
              <w:bidi w:val="0"/>
              <w:adjustRightInd w:val="0"/>
              <w:snapToGrid w:val="0"/>
              <w:spacing w:before="81" w:line="261" w:lineRule="auto"/>
              <w:ind w:left="129" w:right="93" w:hanging="11"/>
              <w:textAlignment w:val="baseline"/>
              <w:rPr>
                <w:rFonts w:ascii="仿宋" w:hAnsi="仿宋" w:eastAsia="仿宋" w:cs="仿宋"/>
                <w:b/>
                <w:bCs/>
                <w:sz w:val="23"/>
                <w:szCs w:val="23"/>
              </w:rPr>
            </w:pPr>
            <w:r>
              <w:rPr>
                <w:rFonts w:ascii="仿宋" w:hAnsi="仿宋" w:eastAsia="仿宋" w:cs="仿宋"/>
                <w:b/>
                <w:bCs/>
                <w:spacing w:val="25"/>
                <w:sz w:val="23"/>
                <w:szCs w:val="23"/>
              </w:rPr>
              <w:t>方</w:t>
            </w:r>
            <w:r>
              <w:rPr>
                <w:rFonts w:ascii="仿宋" w:hAnsi="仿宋" w:eastAsia="仿宋" w:cs="仿宋"/>
                <w:b/>
                <w:bCs/>
                <w:spacing w:val="17"/>
                <w:sz w:val="23"/>
                <w:szCs w:val="23"/>
              </w:rPr>
              <w:t>案一：建设污水提升泵站，统</w:t>
            </w:r>
            <w:r>
              <w:rPr>
                <w:rFonts w:ascii="仿宋" w:hAnsi="仿宋" w:eastAsia="仿宋" w:cs="仿宋"/>
                <w:b/>
                <w:bCs/>
                <w:spacing w:val="16"/>
                <w:sz w:val="23"/>
                <w:szCs w:val="23"/>
              </w:rPr>
              <w:t>一</w:t>
            </w:r>
            <w:r>
              <w:rPr>
                <w:rFonts w:ascii="仿宋" w:hAnsi="仿宋" w:eastAsia="仿宋" w:cs="仿宋"/>
                <w:b/>
                <w:bCs/>
                <w:spacing w:val="9"/>
                <w:sz w:val="23"/>
                <w:szCs w:val="23"/>
              </w:rPr>
              <w:t>排</w:t>
            </w:r>
            <w:r>
              <w:rPr>
                <w:rFonts w:ascii="仿宋" w:hAnsi="仿宋" w:eastAsia="仿宋" w:cs="仿宋"/>
                <w:b/>
                <w:bCs/>
                <w:spacing w:val="8"/>
                <w:sz w:val="23"/>
                <w:szCs w:val="23"/>
              </w:rPr>
              <w:t>入峰尾污水处理厂处理</w:t>
            </w:r>
          </w:p>
        </w:tc>
        <w:tc>
          <w:tcPr>
            <w:tcW w:w="4029" w:type="dxa"/>
            <w:tcBorders>
              <w:tl2br w:val="nil"/>
              <w:tr2bl w:val="nil"/>
            </w:tcBorders>
            <w:noWrap w:val="0"/>
            <w:vAlign w:val="top"/>
          </w:tcPr>
          <w:p w14:paraId="3CA82A1F">
            <w:pPr>
              <w:keepNext w:val="0"/>
              <w:keepLines w:val="0"/>
              <w:pageBreakBefore w:val="0"/>
              <w:widowControl w:val="0"/>
              <w:kinsoku/>
              <w:wordWrap/>
              <w:overflowPunct/>
              <w:topLinePunct/>
              <w:autoSpaceDE/>
              <w:autoSpaceDN/>
              <w:bidi w:val="0"/>
              <w:adjustRightInd w:val="0"/>
              <w:snapToGrid w:val="0"/>
              <w:spacing w:before="81" w:line="261" w:lineRule="auto"/>
              <w:ind w:left="120" w:right="92" w:hanging="1"/>
              <w:textAlignment w:val="baseline"/>
              <w:rPr>
                <w:rFonts w:ascii="仿宋" w:hAnsi="仿宋" w:eastAsia="仿宋" w:cs="仿宋"/>
                <w:b/>
                <w:bCs/>
                <w:sz w:val="23"/>
                <w:szCs w:val="23"/>
              </w:rPr>
            </w:pPr>
            <w:r>
              <w:rPr>
                <w:rFonts w:ascii="仿宋" w:hAnsi="仿宋" w:eastAsia="仿宋" w:cs="仿宋"/>
                <w:b/>
                <w:bCs/>
                <w:spacing w:val="12"/>
                <w:sz w:val="23"/>
                <w:szCs w:val="23"/>
              </w:rPr>
              <w:t>方</w:t>
            </w:r>
            <w:r>
              <w:rPr>
                <w:rFonts w:ascii="仿宋" w:hAnsi="仿宋" w:eastAsia="仿宋" w:cs="仿宋"/>
                <w:b/>
                <w:bCs/>
                <w:spacing w:val="8"/>
                <w:sz w:val="23"/>
                <w:szCs w:val="23"/>
              </w:rPr>
              <w:t>案二：在皮革园区污水处理厂基础</w:t>
            </w:r>
            <w:r>
              <w:rPr>
                <w:rFonts w:ascii="仿宋" w:hAnsi="仿宋" w:eastAsia="仿宋" w:cs="仿宋"/>
                <w:b/>
                <w:bCs/>
                <w:spacing w:val="7"/>
                <w:sz w:val="23"/>
                <w:szCs w:val="23"/>
              </w:rPr>
              <w:t>上</w:t>
            </w:r>
            <w:r>
              <w:rPr>
                <w:rFonts w:ascii="仿宋" w:hAnsi="仿宋" w:eastAsia="仿宋" w:cs="仿宋"/>
                <w:b/>
                <w:bCs/>
                <w:spacing w:val="5"/>
                <w:sz w:val="23"/>
                <w:szCs w:val="23"/>
              </w:rPr>
              <w:t>扩建</w:t>
            </w:r>
          </w:p>
        </w:tc>
      </w:tr>
      <w:tr w14:paraId="51C90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997" w:type="dxa"/>
            <w:tcBorders>
              <w:tl2br w:val="nil"/>
              <w:tr2bl w:val="nil"/>
            </w:tcBorders>
            <w:noWrap w:val="0"/>
            <w:vAlign w:val="top"/>
          </w:tcPr>
          <w:p w14:paraId="77CD60FE">
            <w:pPr>
              <w:keepNext w:val="0"/>
              <w:keepLines w:val="0"/>
              <w:pageBreakBefore w:val="0"/>
              <w:widowControl w:val="0"/>
              <w:kinsoku/>
              <w:wordWrap/>
              <w:overflowPunct/>
              <w:topLinePunct/>
              <w:autoSpaceDE/>
              <w:autoSpaceDN/>
              <w:bidi w:val="0"/>
              <w:adjustRightInd w:val="0"/>
              <w:snapToGrid w:val="0"/>
              <w:spacing w:line="264" w:lineRule="auto"/>
              <w:ind w:left="117" w:right="106" w:firstLine="5"/>
              <w:jc w:val="center"/>
              <w:textAlignment w:val="baseline"/>
              <w:rPr>
                <w:rFonts w:ascii="仿宋" w:hAnsi="仿宋" w:eastAsia="仿宋" w:cs="仿宋"/>
                <w:spacing w:val="7"/>
                <w:sz w:val="23"/>
                <w:szCs w:val="23"/>
              </w:rPr>
            </w:pPr>
            <w:r>
              <w:rPr>
                <w:rFonts w:ascii="仿宋" w:hAnsi="仿宋" w:eastAsia="仿宋" w:cs="仿宋"/>
                <w:spacing w:val="24"/>
                <w:sz w:val="23"/>
                <w:szCs w:val="23"/>
              </w:rPr>
              <w:t>工程建</w:t>
            </w:r>
            <w:r>
              <w:rPr>
                <w:rFonts w:ascii="仿宋" w:hAnsi="仿宋" w:eastAsia="仿宋" w:cs="仿宋"/>
                <w:spacing w:val="7"/>
                <w:sz w:val="23"/>
                <w:szCs w:val="23"/>
              </w:rPr>
              <w:t>设</w:t>
            </w:r>
          </w:p>
          <w:p w14:paraId="05A20357">
            <w:pPr>
              <w:keepNext w:val="0"/>
              <w:keepLines w:val="0"/>
              <w:pageBreakBefore w:val="0"/>
              <w:widowControl w:val="0"/>
              <w:kinsoku/>
              <w:wordWrap/>
              <w:overflowPunct/>
              <w:topLinePunct/>
              <w:autoSpaceDE/>
              <w:autoSpaceDN/>
              <w:bidi w:val="0"/>
              <w:adjustRightInd w:val="0"/>
              <w:snapToGrid w:val="0"/>
              <w:spacing w:line="264" w:lineRule="auto"/>
              <w:ind w:left="117" w:right="106" w:firstLine="5"/>
              <w:jc w:val="center"/>
              <w:textAlignment w:val="baseline"/>
              <w:rPr>
                <w:rFonts w:ascii="仿宋" w:hAnsi="仿宋" w:eastAsia="仿宋" w:cs="仿宋"/>
                <w:sz w:val="23"/>
                <w:szCs w:val="23"/>
              </w:rPr>
            </w:pPr>
            <w:r>
              <w:rPr>
                <w:rFonts w:ascii="仿宋" w:hAnsi="仿宋" w:eastAsia="仿宋" w:cs="仿宋"/>
                <w:spacing w:val="7"/>
                <w:sz w:val="23"/>
                <w:szCs w:val="23"/>
              </w:rPr>
              <w:t>内</w:t>
            </w:r>
            <w:r>
              <w:rPr>
                <w:rFonts w:ascii="仿宋" w:hAnsi="仿宋" w:eastAsia="仿宋" w:cs="仿宋"/>
                <w:spacing w:val="6"/>
                <w:sz w:val="23"/>
                <w:szCs w:val="23"/>
              </w:rPr>
              <w:t>容</w:t>
            </w:r>
          </w:p>
        </w:tc>
        <w:tc>
          <w:tcPr>
            <w:tcW w:w="3683" w:type="dxa"/>
            <w:tcBorders>
              <w:tl2br w:val="nil"/>
              <w:tr2bl w:val="nil"/>
            </w:tcBorders>
            <w:noWrap w:val="0"/>
            <w:vAlign w:val="top"/>
          </w:tcPr>
          <w:p w14:paraId="10083AEC">
            <w:pPr>
              <w:keepNext w:val="0"/>
              <w:keepLines w:val="0"/>
              <w:pageBreakBefore w:val="0"/>
              <w:widowControl w:val="0"/>
              <w:kinsoku/>
              <w:wordWrap/>
              <w:overflowPunct/>
              <w:topLinePunct/>
              <w:autoSpaceDE/>
              <w:autoSpaceDN/>
              <w:bidi w:val="0"/>
              <w:adjustRightInd w:val="0"/>
              <w:snapToGrid w:val="0"/>
              <w:spacing w:before="106" w:line="264" w:lineRule="auto"/>
              <w:ind w:left="124" w:right="105" w:firstLine="6"/>
              <w:textAlignment w:val="baseline"/>
              <w:rPr>
                <w:rFonts w:ascii="仿宋" w:hAnsi="仿宋" w:eastAsia="仿宋" w:cs="仿宋"/>
                <w:sz w:val="23"/>
                <w:szCs w:val="23"/>
              </w:rPr>
            </w:pPr>
            <w:r>
              <w:rPr>
                <w:rFonts w:ascii="Arial" w:hAnsi="Arial" w:eastAsia="Arial" w:cs="Arial"/>
                <w:spacing w:val="-4"/>
                <w:sz w:val="23"/>
                <w:szCs w:val="23"/>
              </w:rPr>
              <w:t>1</w:t>
            </w:r>
            <w:r>
              <w:rPr>
                <w:rFonts w:ascii="仿宋" w:hAnsi="仿宋" w:eastAsia="仿宋" w:cs="仿宋"/>
                <w:spacing w:val="-4"/>
                <w:sz w:val="23"/>
                <w:szCs w:val="23"/>
              </w:rPr>
              <w:t>、区域</w:t>
            </w:r>
            <w:r>
              <w:rPr>
                <w:rFonts w:ascii="仿宋" w:hAnsi="仿宋" w:eastAsia="仿宋" w:cs="仿宋"/>
                <w:spacing w:val="-3"/>
                <w:sz w:val="23"/>
                <w:szCs w:val="23"/>
              </w:rPr>
              <w:t>内</w:t>
            </w:r>
            <w:r>
              <w:rPr>
                <w:rFonts w:ascii="仿宋" w:hAnsi="仿宋" w:eastAsia="仿宋" w:cs="仿宋"/>
                <w:spacing w:val="-2"/>
                <w:sz w:val="23"/>
                <w:szCs w:val="23"/>
              </w:rPr>
              <w:t>需要建设</w:t>
            </w:r>
            <w:r>
              <w:rPr>
                <w:rFonts w:ascii="Arial" w:hAnsi="Arial" w:eastAsia="Arial" w:cs="Arial"/>
                <w:spacing w:val="-2"/>
                <w:sz w:val="23"/>
                <w:szCs w:val="23"/>
              </w:rPr>
              <w:t>2</w:t>
            </w:r>
            <w:r>
              <w:rPr>
                <w:rFonts w:ascii="仿宋" w:hAnsi="仿宋" w:eastAsia="仿宋" w:cs="仿宋"/>
                <w:spacing w:val="-2"/>
                <w:sz w:val="23"/>
                <w:szCs w:val="23"/>
              </w:rPr>
              <w:t>座污水提升</w:t>
            </w:r>
            <w:r>
              <w:rPr>
                <w:rFonts w:ascii="仿宋" w:hAnsi="仿宋" w:eastAsia="仿宋" w:cs="仿宋"/>
                <w:sz w:val="23"/>
                <w:szCs w:val="23"/>
              </w:rPr>
              <w:t>泵站；</w:t>
            </w:r>
          </w:p>
        </w:tc>
        <w:tc>
          <w:tcPr>
            <w:tcW w:w="4029" w:type="dxa"/>
            <w:tcBorders>
              <w:tl2br w:val="nil"/>
              <w:tr2bl w:val="nil"/>
            </w:tcBorders>
            <w:noWrap w:val="0"/>
            <w:vAlign w:val="top"/>
          </w:tcPr>
          <w:p w14:paraId="5B78F6A9">
            <w:pPr>
              <w:keepNext w:val="0"/>
              <w:keepLines w:val="0"/>
              <w:pageBreakBefore w:val="0"/>
              <w:widowControl w:val="0"/>
              <w:kinsoku/>
              <w:wordWrap/>
              <w:overflowPunct/>
              <w:topLinePunct/>
              <w:autoSpaceDE/>
              <w:autoSpaceDN/>
              <w:bidi w:val="0"/>
              <w:adjustRightInd w:val="0"/>
              <w:snapToGrid w:val="0"/>
              <w:spacing w:before="76" w:line="234" w:lineRule="auto"/>
              <w:ind w:left="131"/>
              <w:textAlignment w:val="baseline"/>
              <w:rPr>
                <w:rFonts w:ascii="仿宋" w:hAnsi="仿宋" w:eastAsia="仿宋" w:cs="仿宋"/>
                <w:sz w:val="23"/>
                <w:szCs w:val="23"/>
              </w:rPr>
            </w:pPr>
            <w:r>
              <w:rPr>
                <w:rFonts w:ascii="Arial" w:hAnsi="Arial" w:eastAsia="Arial" w:cs="Arial"/>
                <w:spacing w:val="2"/>
                <w:sz w:val="23"/>
                <w:szCs w:val="23"/>
              </w:rPr>
              <w:t>1</w:t>
            </w:r>
            <w:r>
              <w:rPr>
                <w:rFonts w:ascii="仿宋" w:hAnsi="仿宋" w:eastAsia="仿宋" w:cs="仿宋"/>
                <w:spacing w:val="2"/>
                <w:sz w:val="23"/>
                <w:szCs w:val="23"/>
              </w:rPr>
              <w:t>、需扩建一座污水</w:t>
            </w:r>
            <w:r>
              <w:rPr>
                <w:rFonts w:ascii="仿宋" w:hAnsi="仿宋" w:eastAsia="仿宋" w:cs="仿宋"/>
                <w:spacing w:val="1"/>
                <w:sz w:val="23"/>
                <w:szCs w:val="23"/>
              </w:rPr>
              <w:t>处理厂；</w:t>
            </w:r>
          </w:p>
          <w:p w14:paraId="42B28D05">
            <w:pPr>
              <w:keepNext w:val="0"/>
              <w:keepLines w:val="0"/>
              <w:pageBreakBefore w:val="0"/>
              <w:widowControl w:val="0"/>
              <w:kinsoku/>
              <w:wordWrap/>
              <w:overflowPunct/>
              <w:topLinePunct/>
              <w:autoSpaceDE/>
              <w:autoSpaceDN/>
              <w:bidi w:val="0"/>
              <w:adjustRightInd w:val="0"/>
              <w:snapToGrid w:val="0"/>
              <w:spacing w:before="80" w:line="234" w:lineRule="auto"/>
              <w:ind w:left="112"/>
              <w:textAlignment w:val="baseline"/>
              <w:rPr>
                <w:rFonts w:ascii="仿宋" w:hAnsi="仿宋" w:eastAsia="仿宋" w:cs="仿宋"/>
                <w:sz w:val="23"/>
                <w:szCs w:val="23"/>
              </w:rPr>
            </w:pPr>
            <w:r>
              <w:rPr>
                <w:rFonts w:ascii="Arial" w:hAnsi="Arial" w:eastAsia="Arial" w:cs="Arial"/>
                <w:spacing w:val="4"/>
                <w:sz w:val="23"/>
                <w:szCs w:val="23"/>
              </w:rPr>
              <w:t>2</w:t>
            </w:r>
            <w:r>
              <w:rPr>
                <w:rFonts w:ascii="仿宋" w:hAnsi="仿宋" w:eastAsia="仿宋" w:cs="仿宋"/>
                <w:spacing w:val="3"/>
                <w:sz w:val="23"/>
                <w:szCs w:val="23"/>
              </w:rPr>
              <w:t>、需要建设尾水排放管道。</w:t>
            </w:r>
          </w:p>
        </w:tc>
      </w:tr>
      <w:tr w14:paraId="3630B1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31" w:hRule="atLeast"/>
          <w:jc w:val="center"/>
        </w:trPr>
        <w:tc>
          <w:tcPr>
            <w:tcW w:w="997" w:type="dxa"/>
            <w:tcBorders>
              <w:tl2br w:val="nil"/>
              <w:tr2bl w:val="nil"/>
            </w:tcBorders>
            <w:noWrap w:val="0"/>
            <w:vAlign w:val="top"/>
          </w:tcPr>
          <w:p w14:paraId="5303A40A">
            <w:pPr>
              <w:keepNext w:val="0"/>
              <w:keepLines w:val="0"/>
              <w:pageBreakBefore w:val="0"/>
              <w:widowControl w:val="0"/>
              <w:kinsoku/>
              <w:wordWrap/>
              <w:overflowPunct/>
              <w:topLinePunct/>
              <w:autoSpaceDE/>
              <w:autoSpaceDN/>
              <w:bidi w:val="0"/>
              <w:adjustRightInd w:val="0"/>
              <w:snapToGrid w:val="0"/>
              <w:spacing w:line="269" w:lineRule="auto"/>
              <w:jc w:val="center"/>
              <w:textAlignment w:val="baseline"/>
              <w:rPr>
                <w:rFonts w:ascii="Arial"/>
                <w:sz w:val="21"/>
              </w:rPr>
            </w:pPr>
          </w:p>
          <w:p w14:paraId="72448DB3">
            <w:pPr>
              <w:keepNext w:val="0"/>
              <w:keepLines w:val="0"/>
              <w:pageBreakBefore w:val="0"/>
              <w:widowControl w:val="0"/>
              <w:kinsoku/>
              <w:wordWrap/>
              <w:overflowPunct/>
              <w:topLinePunct/>
              <w:autoSpaceDE/>
              <w:autoSpaceDN/>
              <w:bidi w:val="0"/>
              <w:adjustRightInd w:val="0"/>
              <w:snapToGrid w:val="0"/>
              <w:spacing w:line="269" w:lineRule="auto"/>
              <w:jc w:val="center"/>
              <w:textAlignment w:val="baseline"/>
              <w:rPr>
                <w:rFonts w:ascii="Arial"/>
                <w:sz w:val="21"/>
              </w:rPr>
            </w:pPr>
          </w:p>
          <w:p w14:paraId="073B27C6">
            <w:pPr>
              <w:keepNext w:val="0"/>
              <w:keepLines w:val="0"/>
              <w:pageBreakBefore w:val="0"/>
              <w:widowControl w:val="0"/>
              <w:kinsoku/>
              <w:wordWrap/>
              <w:overflowPunct/>
              <w:topLinePunct/>
              <w:autoSpaceDE/>
              <w:autoSpaceDN/>
              <w:bidi w:val="0"/>
              <w:adjustRightInd w:val="0"/>
              <w:snapToGrid w:val="0"/>
              <w:spacing w:line="269" w:lineRule="auto"/>
              <w:jc w:val="center"/>
              <w:textAlignment w:val="baseline"/>
              <w:rPr>
                <w:rFonts w:ascii="Arial"/>
                <w:sz w:val="21"/>
              </w:rPr>
            </w:pPr>
          </w:p>
          <w:p w14:paraId="6FB9DCC7">
            <w:pPr>
              <w:keepNext w:val="0"/>
              <w:keepLines w:val="0"/>
              <w:pageBreakBefore w:val="0"/>
              <w:widowControl w:val="0"/>
              <w:kinsoku/>
              <w:wordWrap/>
              <w:overflowPunct/>
              <w:topLinePunct/>
              <w:autoSpaceDE/>
              <w:autoSpaceDN/>
              <w:bidi w:val="0"/>
              <w:adjustRightInd w:val="0"/>
              <w:snapToGrid w:val="0"/>
              <w:spacing w:before="74" w:line="225" w:lineRule="auto"/>
              <w:ind w:left="117"/>
              <w:jc w:val="center"/>
              <w:textAlignment w:val="baseline"/>
              <w:rPr>
                <w:rFonts w:ascii="仿宋" w:hAnsi="仿宋" w:eastAsia="仿宋" w:cs="仿宋"/>
                <w:sz w:val="23"/>
                <w:szCs w:val="23"/>
              </w:rPr>
            </w:pPr>
            <w:r>
              <w:rPr>
                <w:rFonts w:ascii="仿宋" w:hAnsi="仿宋" w:eastAsia="仿宋" w:cs="仿宋"/>
                <w:spacing w:val="5"/>
                <w:sz w:val="23"/>
                <w:szCs w:val="23"/>
              </w:rPr>
              <w:t>优点</w:t>
            </w:r>
          </w:p>
        </w:tc>
        <w:tc>
          <w:tcPr>
            <w:tcW w:w="3683" w:type="dxa"/>
            <w:tcBorders>
              <w:tl2br w:val="nil"/>
              <w:tr2bl w:val="nil"/>
            </w:tcBorders>
            <w:noWrap w:val="0"/>
            <w:vAlign w:val="top"/>
          </w:tcPr>
          <w:p w14:paraId="5EEE20FD">
            <w:pPr>
              <w:keepNext w:val="0"/>
              <w:keepLines w:val="0"/>
              <w:pageBreakBefore w:val="0"/>
              <w:widowControl w:val="0"/>
              <w:kinsoku/>
              <w:wordWrap/>
              <w:overflowPunct/>
              <w:topLinePunct/>
              <w:autoSpaceDE/>
              <w:autoSpaceDN/>
              <w:bidi w:val="0"/>
              <w:adjustRightInd w:val="0"/>
              <w:snapToGrid w:val="0"/>
              <w:spacing w:before="80" w:line="261" w:lineRule="auto"/>
              <w:ind w:left="111" w:right="105" w:firstLine="19"/>
              <w:textAlignment w:val="baseline"/>
              <w:rPr>
                <w:rFonts w:ascii="仿宋" w:hAnsi="仿宋" w:eastAsia="仿宋" w:cs="仿宋"/>
                <w:sz w:val="23"/>
                <w:szCs w:val="23"/>
              </w:rPr>
            </w:pPr>
            <w:r>
              <w:rPr>
                <w:rFonts w:ascii="Arial" w:hAnsi="Arial" w:eastAsia="Arial" w:cs="Arial"/>
                <w:spacing w:val="2"/>
                <w:sz w:val="23"/>
                <w:szCs w:val="23"/>
              </w:rPr>
              <w:t>1</w:t>
            </w:r>
            <w:r>
              <w:rPr>
                <w:rFonts w:ascii="仿宋" w:hAnsi="仿宋" w:eastAsia="仿宋" w:cs="仿宋"/>
                <w:spacing w:val="2"/>
                <w:sz w:val="23"/>
                <w:szCs w:val="23"/>
              </w:rPr>
              <w:t>、建设污水提升泵站，污水统</w:t>
            </w:r>
            <w:r>
              <w:rPr>
                <w:rFonts w:ascii="仿宋" w:hAnsi="仿宋" w:eastAsia="仿宋" w:cs="仿宋"/>
                <w:sz w:val="23"/>
                <w:szCs w:val="23"/>
              </w:rPr>
              <w:t>一</w:t>
            </w:r>
            <w:r>
              <w:rPr>
                <w:rFonts w:ascii="仿宋" w:hAnsi="仿宋" w:eastAsia="仿宋" w:cs="仿宋"/>
                <w:spacing w:val="20"/>
                <w:sz w:val="23"/>
                <w:szCs w:val="23"/>
              </w:rPr>
              <w:t>纳</w:t>
            </w:r>
            <w:r>
              <w:rPr>
                <w:rFonts w:ascii="仿宋" w:hAnsi="仿宋" w:eastAsia="仿宋" w:cs="仿宋"/>
                <w:spacing w:val="17"/>
                <w:sz w:val="23"/>
                <w:szCs w:val="23"/>
              </w:rPr>
              <w:t>入峰尾污水处理厂一并处理，</w:t>
            </w:r>
            <w:r>
              <w:rPr>
                <w:rFonts w:ascii="仿宋" w:hAnsi="仿宋" w:eastAsia="仿宋" w:cs="仿宋"/>
                <w:spacing w:val="19"/>
                <w:sz w:val="23"/>
                <w:szCs w:val="23"/>
              </w:rPr>
              <w:t>节</w:t>
            </w:r>
            <w:r>
              <w:rPr>
                <w:rFonts w:ascii="仿宋" w:hAnsi="仿宋" w:eastAsia="仿宋" w:cs="仿宋"/>
                <w:spacing w:val="10"/>
                <w:sz w:val="23"/>
                <w:szCs w:val="23"/>
              </w:rPr>
              <w:t>省土地，节省管理费用。</w:t>
            </w:r>
            <w:r>
              <w:rPr>
                <w:rFonts w:ascii="Arial" w:hAnsi="Arial" w:eastAsia="Arial" w:cs="Arial"/>
                <w:spacing w:val="4"/>
                <w:sz w:val="23"/>
                <w:szCs w:val="23"/>
              </w:rPr>
              <w:t>2</w:t>
            </w:r>
            <w:r>
              <w:rPr>
                <w:rFonts w:ascii="仿宋" w:hAnsi="仿宋" w:eastAsia="仿宋" w:cs="仿宋"/>
                <w:spacing w:val="3"/>
                <w:sz w:val="23"/>
                <w:szCs w:val="23"/>
              </w:rPr>
              <w:t>、利用现有的污水设施，最大限</w:t>
            </w:r>
            <w:r>
              <w:rPr>
                <w:rFonts w:ascii="仿宋" w:hAnsi="仿宋" w:eastAsia="仿宋" w:cs="仿宋"/>
                <w:spacing w:val="13"/>
                <w:sz w:val="23"/>
                <w:szCs w:val="23"/>
              </w:rPr>
              <w:t>度</w:t>
            </w:r>
            <w:r>
              <w:rPr>
                <w:rFonts w:hint="eastAsia" w:ascii="仿宋" w:hAnsi="仿宋" w:eastAsia="仿宋" w:cs="仿宋"/>
                <w:spacing w:val="13"/>
                <w:sz w:val="23"/>
                <w:szCs w:val="23"/>
                <w:lang w:eastAsia="zh-CN"/>
              </w:rPr>
              <w:t>地</w:t>
            </w:r>
            <w:r>
              <w:rPr>
                <w:rFonts w:ascii="仿宋" w:hAnsi="仿宋" w:eastAsia="仿宋" w:cs="仿宋"/>
                <w:spacing w:val="8"/>
                <w:sz w:val="23"/>
                <w:szCs w:val="23"/>
              </w:rPr>
              <w:t>发挥其效率。可以较好</w:t>
            </w:r>
            <w:r>
              <w:rPr>
                <w:rFonts w:hint="eastAsia" w:ascii="仿宋" w:hAnsi="仿宋" w:eastAsia="仿宋" w:cs="仿宋"/>
                <w:spacing w:val="8"/>
                <w:sz w:val="23"/>
                <w:szCs w:val="23"/>
                <w:lang w:eastAsia="zh-CN"/>
              </w:rPr>
              <w:t>地</w:t>
            </w:r>
            <w:r>
              <w:rPr>
                <w:rFonts w:ascii="仿宋" w:hAnsi="仿宋" w:eastAsia="仿宋" w:cs="仿宋"/>
                <w:spacing w:val="8"/>
                <w:sz w:val="23"/>
                <w:szCs w:val="23"/>
              </w:rPr>
              <w:t>解</w:t>
            </w:r>
            <w:r>
              <w:rPr>
                <w:rFonts w:ascii="仿宋" w:hAnsi="仿宋" w:eastAsia="仿宋" w:cs="仿宋"/>
                <w:spacing w:val="16"/>
                <w:sz w:val="23"/>
                <w:szCs w:val="23"/>
              </w:rPr>
              <w:t>决</w:t>
            </w:r>
            <w:r>
              <w:rPr>
                <w:rFonts w:ascii="仿宋" w:hAnsi="仿宋" w:eastAsia="仿宋" w:cs="仿宋"/>
                <w:spacing w:val="9"/>
                <w:sz w:val="23"/>
                <w:szCs w:val="23"/>
              </w:rPr>
              <w:t>园</w:t>
            </w:r>
            <w:r>
              <w:rPr>
                <w:rFonts w:ascii="仿宋" w:hAnsi="仿宋" w:eastAsia="仿宋" w:cs="仿宋"/>
                <w:spacing w:val="8"/>
                <w:sz w:val="23"/>
                <w:szCs w:val="23"/>
              </w:rPr>
              <w:t>区近期污水量小的问题。</w:t>
            </w:r>
          </w:p>
        </w:tc>
        <w:tc>
          <w:tcPr>
            <w:tcW w:w="4029" w:type="dxa"/>
            <w:tcBorders>
              <w:tl2br w:val="nil"/>
              <w:tr2bl w:val="nil"/>
            </w:tcBorders>
            <w:noWrap w:val="0"/>
            <w:vAlign w:val="top"/>
          </w:tcPr>
          <w:p w14:paraId="0D2E7B65">
            <w:pPr>
              <w:keepNext w:val="0"/>
              <w:keepLines w:val="0"/>
              <w:pageBreakBefore w:val="0"/>
              <w:widowControl w:val="0"/>
              <w:kinsoku/>
              <w:wordWrap/>
              <w:overflowPunct/>
              <w:topLinePunct/>
              <w:autoSpaceDE/>
              <w:autoSpaceDN/>
              <w:bidi w:val="0"/>
              <w:adjustRightInd w:val="0"/>
              <w:snapToGrid w:val="0"/>
              <w:spacing w:before="204" w:line="280" w:lineRule="auto"/>
              <w:ind w:left="112" w:right="107" w:firstLine="19"/>
              <w:textAlignment w:val="baseline"/>
              <w:rPr>
                <w:rFonts w:ascii="仿宋" w:hAnsi="仿宋" w:eastAsia="仿宋" w:cs="仿宋"/>
                <w:sz w:val="23"/>
                <w:szCs w:val="23"/>
              </w:rPr>
            </w:pPr>
            <w:r>
              <w:rPr>
                <w:rFonts w:ascii="Arial" w:hAnsi="Arial" w:eastAsia="Arial" w:cs="Arial"/>
                <w:spacing w:val="12"/>
                <w:sz w:val="23"/>
                <w:szCs w:val="23"/>
              </w:rPr>
              <w:t>1</w:t>
            </w:r>
            <w:r>
              <w:rPr>
                <w:rFonts w:ascii="仿宋" w:hAnsi="仿宋" w:eastAsia="仿宋" w:cs="仿宋"/>
                <w:spacing w:val="8"/>
                <w:sz w:val="23"/>
                <w:szCs w:val="23"/>
              </w:rPr>
              <w:t>、对泉港现有的污水管道系统影响</w:t>
            </w:r>
            <w:r>
              <w:rPr>
                <w:rFonts w:ascii="仿宋" w:hAnsi="仿宋" w:eastAsia="仿宋" w:cs="仿宋"/>
                <w:spacing w:val="13"/>
                <w:sz w:val="23"/>
                <w:szCs w:val="23"/>
              </w:rPr>
              <w:t>不大。</w:t>
            </w:r>
            <w:r>
              <w:rPr>
                <w:rFonts w:ascii="Arial" w:hAnsi="Arial" w:eastAsia="Arial" w:cs="Arial"/>
                <w:spacing w:val="9"/>
                <w:sz w:val="23"/>
                <w:szCs w:val="23"/>
              </w:rPr>
              <w:t>2</w:t>
            </w:r>
            <w:r>
              <w:rPr>
                <w:rFonts w:ascii="仿宋" w:hAnsi="仿宋" w:eastAsia="仿宋" w:cs="仿宋"/>
                <w:spacing w:val="5"/>
                <w:sz w:val="23"/>
                <w:szCs w:val="23"/>
              </w:rPr>
              <w:t>、利用部分现有设施及用地。</w:t>
            </w:r>
            <w:r>
              <w:rPr>
                <w:rFonts w:ascii="Arial" w:hAnsi="Arial" w:eastAsia="Arial" w:cs="Arial"/>
                <w:spacing w:val="18"/>
                <w:sz w:val="23"/>
                <w:szCs w:val="23"/>
              </w:rPr>
              <w:t>3</w:t>
            </w:r>
            <w:r>
              <w:rPr>
                <w:rFonts w:ascii="仿宋" w:hAnsi="仿宋" w:eastAsia="仿宋" w:cs="仿宋"/>
                <w:spacing w:val="9"/>
                <w:sz w:val="23"/>
                <w:szCs w:val="23"/>
              </w:rPr>
              <w:t>、可以针对工业污水的水质特点确定处理工艺，确保污水处理达标</w:t>
            </w:r>
            <w:r>
              <w:rPr>
                <w:rFonts w:ascii="仿宋" w:hAnsi="仿宋" w:eastAsia="仿宋" w:cs="仿宋"/>
                <w:spacing w:val="7"/>
                <w:sz w:val="23"/>
                <w:szCs w:val="23"/>
              </w:rPr>
              <w:t>。</w:t>
            </w:r>
          </w:p>
        </w:tc>
      </w:tr>
      <w:tr w14:paraId="6AEDB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64" w:hRule="atLeast"/>
          <w:jc w:val="center"/>
        </w:trPr>
        <w:tc>
          <w:tcPr>
            <w:tcW w:w="997" w:type="dxa"/>
            <w:tcBorders>
              <w:tl2br w:val="nil"/>
              <w:tr2bl w:val="nil"/>
            </w:tcBorders>
            <w:noWrap w:val="0"/>
            <w:vAlign w:val="top"/>
          </w:tcPr>
          <w:p w14:paraId="22D5C09D">
            <w:pPr>
              <w:keepNext w:val="0"/>
              <w:keepLines w:val="0"/>
              <w:pageBreakBefore w:val="0"/>
              <w:widowControl w:val="0"/>
              <w:kinsoku/>
              <w:wordWrap/>
              <w:overflowPunct/>
              <w:topLinePunct/>
              <w:autoSpaceDE/>
              <w:autoSpaceDN/>
              <w:bidi w:val="0"/>
              <w:adjustRightInd w:val="0"/>
              <w:snapToGrid w:val="0"/>
              <w:spacing w:line="310" w:lineRule="auto"/>
              <w:jc w:val="center"/>
              <w:textAlignment w:val="baseline"/>
              <w:rPr>
                <w:rFonts w:ascii="Arial"/>
                <w:sz w:val="21"/>
              </w:rPr>
            </w:pPr>
          </w:p>
          <w:p w14:paraId="0C8D7DB0">
            <w:pPr>
              <w:keepNext w:val="0"/>
              <w:keepLines w:val="0"/>
              <w:pageBreakBefore w:val="0"/>
              <w:widowControl w:val="0"/>
              <w:kinsoku/>
              <w:wordWrap/>
              <w:overflowPunct/>
              <w:topLinePunct/>
              <w:autoSpaceDE/>
              <w:autoSpaceDN/>
              <w:bidi w:val="0"/>
              <w:adjustRightInd w:val="0"/>
              <w:snapToGrid w:val="0"/>
              <w:spacing w:line="311" w:lineRule="auto"/>
              <w:jc w:val="center"/>
              <w:textAlignment w:val="baseline"/>
              <w:rPr>
                <w:rFonts w:ascii="Arial"/>
                <w:sz w:val="21"/>
              </w:rPr>
            </w:pPr>
          </w:p>
          <w:p w14:paraId="7AB4B141">
            <w:pPr>
              <w:keepNext w:val="0"/>
              <w:keepLines w:val="0"/>
              <w:pageBreakBefore w:val="0"/>
              <w:widowControl w:val="0"/>
              <w:kinsoku/>
              <w:wordWrap/>
              <w:overflowPunct/>
              <w:topLinePunct/>
              <w:autoSpaceDE/>
              <w:autoSpaceDN/>
              <w:bidi w:val="0"/>
              <w:adjustRightInd w:val="0"/>
              <w:snapToGrid w:val="0"/>
              <w:spacing w:before="75" w:line="227" w:lineRule="auto"/>
              <w:ind w:left="121"/>
              <w:jc w:val="center"/>
              <w:textAlignment w:val="baseline"/>
              <w:rPr>
                <w:rFonts w:ascii="仿宋" w:hAnsi="仿宋" w:eastAsia="仿宋" w:cs="仿宋"/>
                <w:sz w:val="23"/>
                <w:szCs w:val="23"/>
              </w:rPr>
            </w:pPr>
            <w:r>
              <w:rPr>
                <w:rFonts w:ascii="仿宋" w:hAnsi="仿宋" w:eastAsia="仿宋" w:cs="仿宋"/>
                <w:spacing w:val="3"/>
                <w:sz w:val="23"/>
                <w:szCs w:val="23"/>
              </w:rPr>
              <w:t>缺点</w:t>
            </w:r>
          </w:p>
        </w:tc>
        <w:tc>
          <w:tcPr>
            <w:tcW w:w="3683" w:type="dxa"/>
            <w:tcBorders>
              <w:tl2br w:val="nil"/>
              <w:tr2bl w:val="nil"/>
            </w:tcBorders>
            <w:noWrap w:val="0"/>
            <w:vAlign w:val="top"/>
          </w:tcPr>
          <w:p w14:paraId="4199DE5A">
            <w:pPr>
              <w:keepNext w:val="0"/>
              <w:keepLines w:val="0"/>
              <w:pageBreakBefore w:val="0"/>
              <w:widowControl w:val="0"/>
              <w:kinsoku/>
              <w:wordWrap/>
              <w:overflowPunct/>
              <w:topLinePunct/>
              <w:autoSpaceDE/>
              <w:autoSpaceDN/>
              <w:bidi w:val="0"/>
              <w:adjustRightInd w:val="0"/>
              <w:snapToGrid w:val="0"/>
              <w:spacing w:before="81" w:line="254" w:lineRule="auto"/>
              <w:ind w:left="112" w:right="105" w:firstLine="9"/>
              <w:textAlignment w:val="baseline"/>
              <w:rPr>
                <w:rFonts w:ascii="仿宋" w:hAnsi="仿宋" w:eastAsia="仿宋" w:cs="仿宋"/>
                <w:sz w:val="23"/>
                <w:szCs w:val="23"/>
              </w:rPr>
            </w:pPr>
            <w:r>
              <w:rPr>
                <w:rFonts w:ascii="仿宋" w:hAnsi="仿宋" w:eastAsia="仿宋" w:cs="仿宋"/>
                <w:spacing w:val="23"/>
                <w:sz w:val="23"/>
                <w:szCs w:val="23"/>
              </w:rPr>
              <w:t>远</w:t>
            </w:r>
            <w:r>
              <w:rPr>
                <w:rFonts w:ascii="仿宋" w:hAnsi="仿宋" w:eastAsia="仿宋" w:cs="仿宋"/>
                <w:spacing w:val="16"/>
                <w:sz w:val="23"/>
                <w:szCs w:val="23"/>
              </w:rPr>
              <w:t>期需要对现状驿峰路污水管道</w:t>
            </w:r>
            <w:r>
              <w:rPr>
                <w:rFonts w:ascii="仿宋" w:hAnsi="仿宋" w:eastAsia="仿宋" w:cs="仿宋"/>
                <w:spacing w:val="19"/>
                <w:sz w:val="23"/>
                <w:szCs w:val="23"/>
              </w:rPr>
              <w:t>进</w:t>
            </w:r>
            <w:r>
              <w:rPr>
                <w:rFonts w:ascii="仿宋" w:hAnsi="仿宋" w:eastAsia="仿宋" w:cs="仿宋"/>
                <w:spacing w:val="17"/>
                <w:sz w:val="23"/>
                <w:szCs w:val="23"/>
              </w:rPr>
              <w:t>行改造，需要增加管径，加大</w:t>
            </w:r>
            <w:r>
              <w:rPr>
                <w:rFonts w:ascii="仿宋" w:hAnsi="仿宋" w:eastAsia="仿宋" w:cs="仿宋"/>
                <w:spacing w:val="19"/>
                <w:sz w:val="23"/>
                <w:szCs w:val="23"/>
              </w:rPr>
              <w:t>该</w:t>
            </w:r>
            <w:r>
              <w:rPr>
                <w:rFonts w:ascii="仿宋" w:hAnsi="仿宋" w:eastAsia="仿宋" w:cs="仿宋"/>
                <w:spacing w:val="17"/>
                <w:sz w:val="23"/>
                <w:szCs w:val="23"/>
              </w:rPr>
              <w:t>段污水管道的转输能力；峰尾</w:t>
            </w:r>
            <w:r>
              <w:rPr>
                <w:rFonts w:ascii="仿宋" w:hAnsi="仿宋" w:eastAsia="仿宋" w:cs="仿宋"/>
                <w:spacing w:val="19"/>
                <w:sz w:val="23"/>
                <w:szCs w:val="23"/>
              </w:rPr>
              <w:t>污</w:t>
            </w:r>
            <w:r>
              <w:rPr>
                <w:rFonts w:ascii="仿宋" w:hAnsi="仿宋" w:eastAsia="仿宋" w:cs="仿宋"/>
                <w:spacing w:val="17"/>
                <w:sz w:val="23"/>
                <w:szCs w:val="23"/>
              </w:rPr>
              <w:t>水处理厂设计规模需要适当扩</w:t>
            </w:r>
            <w:r>
              <w:rPr>
                <w:rFonts w:ascii="仿宋" w:hAnsi="仿宋" w:eastAsia="仿宋" w:cs="仿宋"/>
                <w:spacing w:val="1"/>
                <w:sz w:val="23"/>
                <w:szCs w:val="23"/>
              </w:rPr>
              <w:t>大。</w:t>
            </w:r>
          </w:p>
        </w:tc>
        <w:tc>
          <w:tcPr>
            <w:tcW w:w="4029" w:type="dxa"/>
            <w:tcBorders>
              <w:tl2br w:val="nil"/>
              <w:tr2bl w:val="nil"/>
            </w:tcBorders>
            <w:noWrap w:val="0"/>
            <w:vAlign w:val="top"/>
          </w:tcPr>
          <w:p w14:paraId="035DDE82">
            <w:pPr>
              <w:keepNext w:val="0"/>
              <w:keepLines w:val="0"/>
              <w:pageBreakBefore w:val="0"/>
              <w:widowControl w:val="0"/>
              <w:kinsoku/>
              <w:wordWrap/>
              <w:overflowPunct/>
              <w:topLinePunct/>
              <w:autoSpaceDE/>
              <w:autoSpaceDN/>
              <w:bidi w:val="0"/>
              <w:adjustRightInd w:val="0"/>
              <w:snapToGrid w:val="0"/>
              <w:spacing w:before="236" w:line="256" w:lineRule="auto"/>
              <w:ind w:left="115" w:right="107" w:hanging="2"/>
              <w:textAlignment w:val="baseline"/>
              <w:rPr>
                <w:rFonts w:ascii="仿宋" w:hAnsi="仿宋" w:eastAsia="仿宋" w:cs="仿宋"/>
                <w:sz w:val="23"/>
                <w:szCs w:val="23"/>
              </w:rPr>
            </w:pPr>
            <w:r>
              <w:rPr>
                <w:rFonts w:ascii="仿宋" w:hAnsi="仿宋" w:eastAsia="仿宋" w:cs="仿宋"/>
                <w:spacing w:val="31"/>
                <w:sz w:val="23"/>
                <w:szCs w:val="23"/>
              </w:rPr>
              <w:t>建</w:t>
            </w:r>
            <w:r>
              <w:rPr>
                <w:rFonts w:ascii="仿宋" w:hAnsi="仿宋" w:eastAsia="仿宋" w:cs="仿宋"/>
                <w:spacing w:val="23"/>
                <w:sz w:val="23"/>
                <w:szCs w:val="23"/>
              </w:rPr>
              <w:t>设独立的污水处理厂及尾水排放</w:t>
            </w:r>
            <w:r>
              <w:rPr>
                <w:rFonts w:ascii="仿宋" w:hAnsi="仿宋" w:eastAsia="仿宋" w:cs="仿宋"/>
                <w:spacing w:val="14"/>
                <w:sz w:val="23"/>
                <w:szCs w:val="23"/>
              </w:rPr>
              <w:t>管</w:t>
            </w:r>
            <w:r>
              <w:rPr>
                <w:rFonts w:ascii="仿宋" w:hAnsi="仿宋" w:eastAsia="仿宋" w:cs="仿宋"/>
                <w:spacing w:val="8"/>
                <w:sz w:val="23"/>
                <w:szCs w:val="23"/>
              </w:rPr>
              <w:t>道</w:t>
            </w:r>
            <w:r>
              <w:rPr>
                <w:rFonts w:ascii="仿宋" w:hAnsi="仿宋" w:eastAsia="仿宋" w:cs="仿宋"/>
                <w:spacing w:val="7"/>
                <w:sz w:val="23"/>
                <w:szCs w:val="23"/>
              </w:rPr>
              <w:t>，占地面积大，运行及维护费用</w:t>
            </w:r>
            <w:r>
              <w:rPr>
                <w:rFonts w:ascii="仿宋" w:hAnsi="仿宋" w:eastAsia="仿宋" w:cs="仿宋"/>
                <w:spacing w:val="14"/>
                <w:sz w:val="23"/>
                <w:szCs w:val="23"/>
              </w:rPr>
              <w:t>较</w:t>
            </w:r>
            <w:r>
              <w:rPr>
                <w:rFonts w:ascii="仿宋" w:hAnsi="仿宋" w:eastAsia="仿宋" w:cs="仿宋"/>
                <w:spacing w:val="8"/>
                <w:sz w:val="23"/>
                <w:szCs w:val="23"/>
              </w:rPr>
              <w:t>方</w:t>
            </w:r>
            <w:r>
              <w:rPr>
                <w:rFonts w:ascii="仿宋" w:hAnsi="仿宋" w:eastAsia="仿宋" w:cs="仿宋"/>
                <w:spacing w:val="7"/>
                <w:sz w:val="23"/>
                <w:szCs w:val="23"/>
              </w:rPr>
              <w:t>案一要高。近期污水量小，不适</w:t>
            </w:r>
            <w:r>
              <w:rPr>
                <w:rFonts w:ascii="仿宋" w:hAnsi="仿宋" w:eastAsia="仿宋" w:cs="仿宋"/>
                <w:spacing w:val="13"/>
                <w:sz w:val="23"/>
                <w:szCs w:val="23"/>
              </w:rPr>
              <w:t>合</w:t>
            </w:r>
            <w:r>
              <w:rPr>
                <w:rFonts w:ascii="仿宋" w:hAnsi="仿宋" w:eastAsia="仿宋" w:cs="仿宋"/>
                <w:spacing w:val="7"/>
                <w:sz w:val="23"/>
                <w:szCs w:val="23"/>
              </w:rPr>
              <w:t>建设污水处理厂。</w:t>
            </w:r>
          </w:p>
        </w:tc>
      </w:tr>
    </w:tbl>
    <w:p w14:paraId="7CF66F21">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表11-2中的具体分析情况可以看出，方案一与方案二各有利弊，整体上从确保污水达标排放的角度出发，方案二可以实现污水分质处理，保障性更高。同时峰尾污水处理厂受用地规模的限制，远期扩建规模受到限制。因此，本次规划建议园区近期污水依托峰尾污水处理厂处理；远期随着新材料产业项目的逐渐建设，依托皮革区污水处理设施用地建设工业污水处理厂，集中收集处理规划区域内的工业污水，生活污水仍送峰尾污水处理厂处理。</w:t>
      </w:r>
    </w:p>
    <w:p w14:paraId="6247F35D">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10.2.4.2污水处理厂</w:t>
      </w:r>
    </w:p>
    <w:p w14:paraId="535356D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峰尾污水处理厂为泉港区城市污水处理厂，在峰尾镇城平村建设，同时配套铺设了一根DN1000排海管道。污水处理厂一期设计规模为2.5万立方米/日，采用氧化沟处理方案。依据《泉港区市政工程专项规划》，峰尾污水处理厂规划总规模为15万立方米/日，受用地规模限制，计划建设规模为5万立方米/日，远期尾水排海还需要再铺设一根DN1000管道。</w:t>
      </w:r>
    </w:p>
    <w:p w14:paraId="04677F2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园区工业污水处理规划远期建设，收集园区内工业污水。根据预测，规划区工业污水量约2.22万立方米/日，工业污水处理厂规划建设规模为3万立方米/日。</w:t>
      </w:r>
    </w:p>
    <w:p w14:paraId="7DE1A82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10.2.5污水管网系统规划</w:t>
      </w:r>
    </w:p>
    <w:p w14:paraId="1CBCE6AD">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10.2.5.1提升泵站</w:t>
      </w:r>
    </w:p>
    <w:p w14:paraId="6D4D4F0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高新园区内现状共设置了三处提升泵站，包括G324沿线的涂岭2#泵站及驿峰路沿线的普安1#、2#提升泵线。未来随着高新园区开发建设的开展，规划在南侧新增两处提升泵站。</w:t>
      </w:r>
    </w:p>
    <w:p w14:paraId="740ABFB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普安1#污水提升泵站，规模为0.5万立方米/日。主要功能为提升驿峰路西段范围的污水，后用压力管道排入普安2#污水泵站系统。</w:t>
      </w:r>
    </w:p>
    <w:p w14:paraId="25A7C27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普安2#污水泵站，近期规模为1.5万立方米/日，远期规模为2.5万立方米/日，主要服务范围为驿峰路北侧污水和普安1#泵站的污水，该区域污水经提升后采用压力流管道汇入山腰片区污水管网。</w:t>
      </w:r>
    </w:p>
    <w:p w14:paraId="1ECFE22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普安3#污水泵站，总规模为2.0万立方米/日，将高新园区南侧高新产业区范围内的污水，送园区污水处理厂处理。</w:t>
      </w:r>
    </w:p>
    <w:p w14:paraId="4C7FCDE1">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普安4#污水泵站，总规模为0.5万立方米/日，收集高新园区第二疏港大道南部区域污水，送园区污水处理厂处理。</w:t>
      </w:r>
    </w:p>
    <w:p w14:paraId="7E4A1F6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10.2.5.2污水管网</w:t>
      </w:r>
    </w:p>
    <w:p w14:paraId="47A92F1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保留现有驿峰路污水管网，并随着道路建设逐步完善区域内污水支管。未来随着园区规模的扩大对驿峰路污水主管网进行扩建。</w:t>
      </w:r>
    </w:p>
    <w:p w14:paraId="64B59C6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10.3雨水工程规划</w:t>
      </w:r>
    </w:p>
    <w:p w14:paraId="59D7413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10.3.1现状概况</w:t>
      </w:r>
    </w:p>
    <w:p w14:paraId="2D26353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(1)规划区沿道路建设雨水管渠，雨水沿地表及路边沟渠漫流，最终汇至周边河道。</w:t>
      </w:r>
    </w:p>
    <w:p w14:paraId="22EA12C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(2)规划区域内现有雨水管渠不完善，排水系统缺乏统一规划，导致部分片区雨水排放不畅。</w:t>
      </w:r>
    </w:p>
    <w:p w14:paraId="12D5173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10.3.2规划原则</w:t>
      </w:r>
    </w:p>
    <w:p w14:paraId="63CA19D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(1)排水体制采用雨污分流。</w:t>
      </w:r>
    </w:p>
    <w:p w14:paraId="275CA48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(2)雨水排放以高、低就近为原则。</w:t>
      </w:r>
    </w:p>
    <w:p w14:paraId="561293D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(3)雨水管道沿道路敷设，尽量布置于道路东侧或南侧的(非)车行道下，当路幅宽度大于40米时，宜采用双侧布管。</w:t>
      </w:r>
    </w:p>
    <w:p w14:paraId="74AE884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10.3.3雨水量计算</w:t>
      </w:r>
    </w:p>
    <w:p w14:paraId="40FCC02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(1)暴雨强度公式</w:t>
      </w:r>
    </w:p>
    <w:p w14:paraId="05A484D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采用福建省工程建设地方标准《城市及部分县城暴雨强度公式》中惠</w:t>
      </w:r>
    </w:p>
    <w:p w14:paraId="5DC0516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安县暴雨强度公式：</w:t>
      </w:r>
    </w:p>
    <w:p w14:paraId="58B6C85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q=892.031(1+0.688LgP)/(t+2.055)0.534</w:t>
      </w:r>
    </w:p>
    <w:p w14:paraId="49B9169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(2)设计标准及主要参数选定</w:t>
      </w:r>
    </w:p>
    <w:p w14:paraId="5601F93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①雨水管渠设计标准</w:t>
      </w:r>
    </w:p>
    <w:p w14:paraId="6A657EE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暴雨设计重现期P=3年</w:t>
      </w:r>
    </w:p>
    <w:p w14:paraId="53C7513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②降雨历时(t)</w:t>
      </w:r>
    </w:p>
    <w:p w14:paraId="579A9F7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降雨历时t=t1+t2(min)</w:t>
      </w:r>
    </w:p>
    <w:p w14:paraId="7BF3CFF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t1——地面集水时间采用10分钟。</w:t>
      </w:r>
    </w:p>
    <w:p w14:paraId="1D2DFAF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t2——管渠内流行时间</w:t>
      </w:r>
    </w:p>
    <w:p w14:paraId="461B168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③径流系数(φ)</w:t>
      </w:r>
    </w:p>
    <w:p w14:paraId="08A0A10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一般用地考虑取φ=0.3-0.7，绿地取φ=0.15，综合径流系数取0.65</w:t>
      </w:r>
    </w:p>
    <w:p w14:paraId="239F2C6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④设计流量(Q)</w:t>
      </w:r>
    </w:p>
    <w:p w14:paraId="2BC8376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Q=φqF(l/s)</w:t>
      </w:r>
    </w:p>
    <w:p w14:paraId="23B01B7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F——汇水面积(公顷)</w:t>
      </w:r>
    </w:p>
    <w:p w14:paraId="0C0456AD">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⑤设计充满度</w:t>
      </w:r>
    </w:p>
    <w:p w14:paraId="15EB124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雨水管渠水力计算，均按满流计算，即充满度h/D，采用1.0。</w:t>
      </w:r>
    </w:p>
    <w:p w14:paraId="2CFCD0D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10.3.4雨水工程规划</w:t>
      </w:r>
    </w:p>
    <w:p w14:paraId="0240A06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雨水工程规划与防洪系统紧密结合，根据各流域排洪渠布置情况，雨</w:t>
      </w:r>
    </w:p>
    <w:p w14:paraId="71F5A7C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水管道根据规划道路竖向标高，顺道路坡度排放，就近进入附近排洪渠，详见雨水工程规划图。</w:t>
      </w:r>
    </w:p>
    <w:p w14:paraId="4A954BB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按照《泉港区市政工程专项规划》的要求，管道管径≥DN600时，采用钢筋混凝土管；当管径＜DN600时，采用HDPE塑料排水管；管径＞DN2000时，采用钢筋混凝土箱涵，管道接口推荐采用柔性接口。</w:t>
      </w:r>
    </w:p>
    <w:p w14:paraId="07CE985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10.3.5海绵城市建设规划</w:t>
      </w:r>
    </w:p>
    <w:p w14:paraId="44DF39F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高新园区布局情况及内涝控制标准，雨水调蓄设施应从区域规划层面，按照海绵城市规划建设理念，根据土地开发建设计划、区域重要性等级、区域竖向规划、排水系统建设情况、受纳水体调蓄容量及水位情况等多方面综合考虑调蓄设施建设的必要性和工程建设目标。雨水调蓄池设置在雨水干管、总管中游或大流量交汇点，技术经济效益较好。宜优先利用天然洼地或池塘、公园水池等作为雨水调节池，可带来良好的经济效益和环境效益。</w:t>
      </w:r>
    </w:p>
    <w:p w14:paraId="73141C4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地形地势、灾害程度、水系布局与涝水总量平衡地表径流系统“泄”与“蓄”的相对关系。新开发地区应尽量保留利用原有地表泄水通道。道路绿化带设计成“下凹式”，并取消周边侧石，增加道路绿化带蓄水下渗能力。有条件的地方可在路旁设置植草边沟，作为涝水通道。地表径流水深、流速不满足内涝控制标准时，沿程或在低凹处设置滞蓄设施，滞流与临时调蓄超标雨水。</w:t>
      </w:r>
    </w:p>
    <w:p w14:paraId="162B0B1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根据历史上城市内涝易发地区和内涝风险评估中评估出来的高风险地区，结合近期绿地系统建设，规划雨水调蓄设施，落实项目建设用地，确保规划建设项目可以如期实施。</w:t>
      </w:r>
    </w:p>
    <w:p w14:paraId="46A1528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保障泉港区可持续发展，雨水资源化利用非常重要。新建小区应实施回收雨水再利用，回收的雨水用于绿化、保洁等。规划通过对雨水的回用、下渗等综合利用，达到节约水资源和减小外排水量和峰值流量的目的。</w:t>
      </w:r>
    </w:p>
    <w:p w14:paraId="107C307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对新开发建设或改、扩建的区域，规划要求其进行雨水利用工程设计。区域雨水利用工程规划应与区域排水规划同时开展，建筑与小区雨水利用工程规划宜在小区前期规划中考虑。雨水利用规划应以区域总体规划、详细规划为主要依据，并与排水规划、防洪规划、绿化规划和生态环境建设</w:t>
      </w:r>
      <w:r>
        <w:rPr>
          <w:rFonts w:hint="default" w:ascii="仿宋_GB2312" w:hAnsi="仿宋_GB2312" w:eastAsia="仿宋_GB2312" w:cs="仿宋_GB2312"/>
          <w:spacing w:val="6"/>
          <w:sz w:val="28"/>
          <w:szCs w:val="28"/>
          <w:lang w:val="en-US" w:eastAsia="zh-CN"/>
        </w:rPr>
        <w:t>规划等专项规划相协调。规划应提出有利于雨水利用的竖向与坡度控制要求。</w:t>
      </w:r>
    </w:p>
    <w:p w14:paraId="10E253D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雨水利用形式可选择以下形式：</w:t>
      </w:r>
    </w:p>
    <w:p w14:paraId="52698B3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(1)雨水渗入地下可利用绿地、透水铺装地面、渗沟、渗井等渗透设施和生物滞留设施。</w:t>
      </w:r>
    </w:p>
    <w:p w14:paraId="7F76EA3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(2)绿地雨水宜采用渗入地下形式。可依据绿地土壤与地质地形条件，结合景观要求采取整体下凹式绿地、局部下凹式绿地，必要时可在适当的地方设置入渗槽、渗井等渗透设施。</w:t>
      </w:r>
    </w:p>
    <w:p w14:paraId="32D0D63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(3)屋面雨水可选择收集回用、排入绿地下渗、屋顶绿化或屋面滞蓄排放等形式。</w:t>
      </w:r>
    </w:p>
    <w:p w14:paraId="321EDA0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(4)小区内的人行道、非机动车道宜采用透水铺装地面，将雨水渗入地下或下渗后收集回用。</w:t>
      </w:r>
    </w:p>
    <w:p w14:paraId="79BD1FB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(5)城市道路宜采取相应雨水利用措施。红线内绿化带宜采用下凹式绿地；人行步道宜采用透水地面，并应同时满足承载力要求；</w:t>
      </w:r>
    </w:p>
    <w:p w14:paraId="5974A37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道路雨水口宜采用环保雨水口，雨水口可设于绿地内，但进入绿地前宜经适当处理；道路雨水管道接入河道前宜设置调控排放设施。</w:t>
      </w:r>
    </w:p>
    <w:p w14:paraId="17B0CBA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(6)城市河道雨洪宜就近引入公共绿地滞蓄下渗，不具备条件时可在保障防洪安全的前提下通过闸、坝、堰等进行调控利用。</w:t>
      </w:r>
    </w:p>
    <w:p w14:paraId="18415CD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(7)高架立交桥面雨水应利用高程关系收集利用。立交桥区其他道路雨水应结合桥区绿地进行收集和综合利用。</w:t>
      </w:r>
    </w:p>
    <w:p w14:paraId="47DDF58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(8)城市公共排水系统宜在适当位置布设雨洪调蓄池和流量控制井，采用调控排放的形式进行雨水利用。城市公共雨水管接入河道前应设置污物分离设施，并适当设置雨水利用设施。</w:t>
      </w:r>
    </w:p>
    <w:p w14:paraId="31FB99C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(9)河湖在保障安全的前提下宜进行汛期水位的调节利用，使较多雨水拦蓄在河湖内。</w:t>
      </w:r>
    </w:p>
    <w:p w14:paraId="3D20439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(10)季节性河道及沿岸，应采取措施就地拦蓄和下渗雨水。</w:t>
      </w:r>
    </w:p>
    <w:p w14:paraId="0564915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10.4供电工程规划</w:t>
      </w:r>
    </w:p>
    <w:p w14:paraId="15A9C2F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10.4.1现状概况</w:t>
      </w:r>
    </w:p>
    <w:p w14:paraId="236B182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10.4.1.1电源及变配电设施</w:t>
      </w:r>
    </w:p>
    <w:p w14:paraId="66F225FC">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泉港区用电以工业用电为主，近几年总用电量和最高负荷均呈高速增长的趋势，利用小时数也呈逐年增长的趋势。</w:t>
      </w:r>
    </w:p>
    <w:p w14:paraId="22DD9CD7">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泉港区有现状220千伏变电站4座，110千伏变电站8座；泉港区有220千伏线路13回，110千伏线路11回，全部为架空敷设。</w:t>
      </w:r>
    </w:p>
    <w:p w14:paraId="05C8A157">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现状电厂南埔火电厂位于泉港区的东北部，一期工程2×30万千瓦机组已投产，以4回220千伏出线接入泉州220千伏电网。</w:t>
      </w:r>
    </w:p>
    <w:p w14:paraId="79BC413D">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现状有一座110KV普安变电站(2×40MVA)为规划区提供服务，根据《泉州市泉港石化港口新城总体规划(调整)》和《泉港区市政工程专项规划》，为满足供电量的稳定性和供电负荷的要求，在本规划区新增加一座110KV顶郭变电站，主变容量为3×50MVA。</w:t>
      </w:r>
    </w:p>
    <w:p w14:paraId="0689B54E">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规划区周边区域现有及规划220/110KV变电站如下表：</w:t>
      </w:r>
    </w:p>
    <w:p w14:paraId="69F6F504">
      <w:pPr>
        <w:pStyle w:val="2"/>
        <w:keepNext w:val="0"/>
        <w:keepLines w:val="0"/>
        <w:pageBreakBefore w:val="0"/>
        <w:widowControl w:val="0"/>
        <w:kinsoku/>
        <w:wordWrap/>
        <w:overflowPunct/>
        <w:topLinePunct/>
        <w:autoSpaceDE/>
        <w:autoSpaceDN/>
        <w:bidi w:val="0"/>
        <w:adjustRightInd/>
        <w:snapToGrid/>
        <w:spacing w:before="0" w:beforeAutospacing="0" w:line="440" w:lineRule="exact"/>
        <w:jc w:val="center"/>
        <w:textAlignment w:val="auto"/>
        <w:rPr>
          <w:rFonts w:ascii="黑体" w:hAnsi="黑体" w:eastAsia="黑体" w:cs="黑体"/>
          <w:spacing w:val="2"/>
          <w:sz w:val="23"/>
          <w:szCs w:val="23"/>
        </w:rPr>
      </w:pPr>
      <w:r>
        <w:rPr>
          <w:rFonts w:ascii="黑体" w:hAnsi="黑体" w:eastAsia="黑体" w:cs="黑体"/>
          <w:spacing w:val="2"/>
          <w:sz w:val="23"/>
          <w:szCs w:val="23"/>
        </w:rPr>
        <w:t>表11-3变电站一览表</w:t>
      </w:r>
    </w:p>
    <w:tbl>
      <w:tblPr>
        <w:tblStyle w:val="9"/>
        <w:tblW w:w="92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3714"/>
        <w:gridCol w:w="2396"/>
        <w:gridCol w:w="1940"/>
      </w:tblGrid>
      <w:tr w14:paraId="0DACF3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183" w:type="dxa"/>
            <w:tcBorders>
              <w:tl2br w:val="nil"/>
              <w:tr2bl w:val="nil"/>
            </w:tcBorders>
            <w:noWrap w:val="0"/>
            <w:vAlign w:val="top"/>
          </w:tcPr>
          <w:p w14:paraId="6F4596A8">
            <w:pPr>
              <w:keepNext w:val="0"/>
              <w:keepLines w:val="0"/>
              <w:pageBreakBefore w:val="0"/>
              <w:widowControl w:val="0"/>
              <w:kinsoku/>
              <w:wordWrap/>
              <w:overflowPunct/>
              <w:topLinePunct w:val="0"/>
              <w:autoSpaceDE/>
              <w:autoSpaceDN/>
              <w:bidi w:val="0"/>
              <w:adjustRightInd/>
              <w:snapToGrid/>
              <w:spacing w:before="81" w:line="225" w:lineRule="auto"/>
              <w:ind w:left="0"/>
              <w:jc w:val="center"/>
              <w:textAlignment w:val="auto"/>
              <w:rPr>
                <w:rFonts w:ascii="仿宋" w:hAnsi="仿宋" w:eastAsia="仿宋" w:cs="仿宋"/>
                <w:sz w:val="23"/>
                <w:szCs w:val="23"/>
              </w:rPr>
            </w:pPr>
            <w:r>
              <w:rPr>
                <w:rFonts w:ascii="仿宋" w:hAnsi="仿宋" w:eastAsia="仿宋" w:cs="仿宋"/>
                <w:spacing w:val="6"/>
                <w:sz w:val="23"/>
                <w:szCs w:val="23"/>
              </w:rPr>
              <w:t>序号</w:t>
            </w:r>
          </w:p>
        </w:tc>
        <w:tc>
          <w:tcPr>
            <w:tcW w:w="3714" w:type="dxa"/>
            <w:tcBorders>
              <w:tl2br w:val="nil"/>
              <w:tr2bl w:val="nil"/>
            </w:tcBorders>
            <w:noWrap w:val="0"/>
            <w:vAlign w:val="top"/>
          </w:tcPr>
          <w:p w14:paraId="3878075F">
            <w:pPr>
              <w:keepNext w:val="0"/>
              <w:keepLines w:val="0"/>
              <w:pageBreakBefore w:val="0"/>
              <w:widowControl w:val="0"/>
              <w:wordWrap/>
              <w:overflowPunct/>
              <w:bidi w:val="0"/>
              <w:spacing w:before="81" w:line="224" w:lineRule="auto"/>
              <w:ind w:left="128"/>
              <w:rPr>
                <w:rFonts w:ascii="仿宋" w:hAnsi="仿宋" w:eastAsia="仿宋" w:cs="仿宋"/>
                <w:sz w:val="23"/>
                <w:szCs w:val="23"/>
              </w:rPr>
            </w:pPr>
            <w:r>
              <w:rPr>
                <w:rFonts w:ascii="仿宋" w:hAnsi="仿宋" w:eastAsia="仿宋" w:cs="仿宋"/>
                <w:spacing w:val="6"/>
                <w:sz w:val="23"/>
                <w:szCs w:val="23"/>
              </w:rPr>
              <w:t>变电站名</w:t>
            </w:r>
            <w:r>
              <w:rPr>
                <w:rFonts w:ascii="仿宋" w:hAnsi="仿宋" w:eastAsia="仿宋" w:cs="仿宋"/>
                <w:spacing w:val="5"/>
                <w:sz w:val="23"/>
                <w:szCs w:val="23"/>
              </w:rPr>
              <w:t>称</w:t>
            </w:r>
          </w:p>
        </w:tc>
        <w:tc>
          <w:tcPr>
            <w:tcW w:w="4336" w:type="dxa"/>
            <w:gridSpan w:val="2"/>
            <w:tcBorders>
              <w:tl2br w:val="nil"/>
              <w:tr2bl w:val="nil"/>
            </w:tcBorders>
            <w:noWrap w:val="0"/>
            <w:vAlign w:val="top"/>
          </w:tcPr>
          <w:p w14:paraId="1BBF0905">
            <w:pPr>
              <w:keepNext w:val="0"/>
              <w:keepLines w:val="0"/>
              <w:pageBreakBefore w:val="0"/>
              <w:widowControl w:val="0"/>
              <w:wordWrap/>
              <w:overflowPunct/>
              <w:bidi w:val="0"/>
              <w:spacing w:before="81" w:line="227" w:lineRule="auto"/>
              <w:ind w:left="117"/>
              <w:rPr>
                <w:rFonts w:ascii="仿宋" w:hAnsi="仿宋" w:eastAsia="仿宋" w:cs="仿宋"/>
                <w:sz w:val="23"/>
                <w:szCs w:val="23"/>
              </w:rPr>
            </w:pPr>
            <w:r>
              <w:rPr>
                <w:rFonts w:ascii="仿宋" w:hAnsi="仿宋" w:eastAsia="仿宋" w:cs="仿宋"/>
                <w:spacing w:val="-11"/>
                <w:sz w:val="23"/>
                <w:szCs w:val="23"/>
              </w:rPr>
              <w:t>容</w:t>
            </w:r>
            <w:r>
              <w:rPr>
                <w:rFonts w:ascii="仿宋" w:hAnsi="仿宋" w:eastAsia="仿宋" w:cs="仿宋"/>
                <w:spacing w:val="-7"/>
                <w:sz w:val="23"/>
                <w:szCs w:val="23"/>
              </w:rPr>
              <w:t>量(</w:t>
            </w:r>
            <w:r>
              <w:rPr>
                <w:rFonts w:ascii="Arial" w:hAnsi="Arial" w:eastAsia="Arial" w:cs="Arial"/>
                <w:b/>
                <w:bCs/>
                <w:spacing w:val="-7"/>
                <w:sz w:val="23"/>
                <w:szCs w:val="23"/>
              </w:rPr>
              <w:t>MVA</w:t>
            </w:r>
            <w:r>
              <w:rPr>
                <w:rFonts w:ascii="仿宋" w:hAnsi="仿宋" w:eastAsia="仿宋" w:cs="仿宋"/>
                <w:spacing w:val="-7"/>
                <w:sz w:val="23"/>
                <w:szCs w:val="23"/>
              </w:rPr>
              <w:t>)</w:t>
            </w:r>
          </w:p>
        </w:tc>
      </w:tr>
      <w:tr w14:paraId="25F879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4B549B99">
            <w:pPr>
              <w:keepNext w:val="0"/>
              <w:keepLines w:val="0"/>
              <w:pageBreakBefore w:val="0"/>
              <w:widowControl w:val="0"/>
              <w:kinsoku/>
              <w:wordWrap/>
              <w:overflowPunct/>
              <w:topLinePunct w:val="0"/>
              <w:autoSpaceDE/>
              <w:autoSpaceDN/>
              <w:bidi w:val="0"/>
              <w:adjustRightInd/>
              <w:snapToGrid/>
              <w:ind w:left="0"/>
              <w:jc w:val="center"/>
              <w:textAlignment w:val="auto"/>
              <w:rPr>
                <w:rFonts w:ascii="Arial"/>
                <w:sz w:val="21"/>
              </w:rPr>
            </w:pPr>
          </w:p>
        </w:tc>
        <w:tc>
          <w:tcPr>
            <w:tcW w:w="3714" w:type="dxa"/>
            <w:tcBorders>
              <w:tl2br w:val="nil"/>
              <w:tr2bl w:val="nil"/>
            </w:tcBorders>
            <w:noWrap w:val="0"/>
            <w:vAlign w:val="top"/>
          </w:tcPr>
          <w:p w14:paraId="23D4FF8D">
            <w:pPr>
              <w:keepNext w:val="0"/>
              <w:keepLines w:val="0"/>
              <w:pageBreakBefore w:val="0"/>
              <w:widowControl w:val="0"/>
              <w:wordWrap/>
              <w:overflowPunct/>
              <w:bidi w:val="0"/>
              <w:spacing w:before="40" w:line="319" w:lineRule="exact"/>
              <w:ind w:left="110"/>
              <w:rPr>
                <w:rFonts w:ascii="仿宋" w:hAnsi="仿宋" w:eastAsia="仿宋" w:cs="仿宋"/>
                <w:sz w:val="23"/>
                <w:szCs w:val="23"/>
              </w:rPr>
            </w:pPr>
            <w:r>
              <w:rPr>
                <w:rFonts w:ascii="Arial" w:hAnsi="Arial" w:eastAsia="Arial" w:cs="Arial"/>
                <w:spacing w:val="4"/>
                <w:position w:val="1"/>
                <w:sz w:val="23"/>
                <w:szCs w:val="23"/>
              </w:rPr>
              <w:t>220</w:t>
            </w:r>
            <w:r>
              <w:rPr>
                <w:rFonts w:ascii="Arial" w:hAnsi="Arial" w:eastAsia="Arial" w:cs="Arial"/>
                <w:position w:val="1"/>
                <w:sz w:val="23"/>
                <w:szCs w:val="23"/>
              </w:rPr>
              <w:t>KV</w:t>
            </w:r>
            <w:r>
              <w:rPr>
                <w:rFonts w:ascii="仿宋" w:hAnsi="仿宋" w:eastAsia="仿宋" w:cs="仿宋"/>
                <w:spacing w:val="4"/>
                <w:position w:val="1"/>
                <w:sz w:val="23"/>
                <w:szCs w:val="23"/>
              </w:rPr>
              <w:t>变电</w:t>
            </w:r>
            <w:r>
              <w:rPr>
                <w:rFonts w:ascii="仿宋" w:hAnsi="仿宋" w:eastAsia="仿宋" w:cs="仿宋"/>
                <w:spacing w:val="3"/>
                <w:position w:val="1"/>
                <w:sz w:val="23"/>
                <w:szCs w:val="23"/>
              </w:rPr>
              <w:t>站</w:t>
            </w:r>
            <w:r>
              <w:rPr>
                <w:rFonts w:ascii="仿宋" w:hAnsi="仿宋" w:eastAsia="仿宋" w:cs="仿宋"/>
                <w:spacing w:val="2"/>
                <w:position w:val="1"/>
                <w:sz w:val="23"/>
                <w:szCs w:val="23"/>
              </w:rPr>
              <w:t>(</w:t>
            </w:r>
            <w:r>
              <w:rPr>
                <w:rFonts w:ascii="Arial" w:hAnsi="Arial" w:eastAsia="Arial" w:cs="Arial"/>
                <w:spacing w:val="2"/>
                <w:position w:val="1"/>
                <w:sz w:val="23"/>
                <w:szCs w:val="23"/>
              </w:rPr>
              <w:t>220/110</w:t>
            </w:r>
            <w:r>
              <w:rPr>
                <w:rFonts w:ascii="Arial" w:hAnsi="Arial" w:eastAsia="Arial" w:cs="Arial"/>
                <w:position w:val="1"/>
                <w:sz w:val="23"/>
                <w:szCs w:val="23"/>
              </w:rPr>
              <w:t>KV</w:t>
            </w:r>
            <w:r>
              <w:rPr>
                <w:rFonts w:ascii="仿宋" w:hAnsi="仿宋" w:eastAsia="仿宋" w:cs="仿宋"/>
                <w:spacing w:val="2"/>
                <w:position w:val="1"/>
                <w:sz w:val="23"/>
                <w:szCs w:val="23"/>
              </w:rPr>
              <w:t>)</w:t>
            </w:r>
          </w:p>
        </w:tc>
        <w:tc>
          <w:tcPr>
            <w:tcW w:w="2396" w:type="dxa"/>
            <w:tcBorders>
              <w:tl2br w:val="nil"/>
              <w:tr2bl w:val="nil"/>
            </w:tcBorders>
            <w:noWrap w:val="0"/>
            <w:vAlign w:val="top"/>
          </w:tcPr>
          <w:p w14:paraId="1DAF05D0">
            <w:pPr>
              <w:keepNext w:val="0"/>
              <w:keepLines w:val="0"/>
              <w:pageBreakBefore w:val="0"/>
              <w:widowControl w:val="0"/>
              <w:wordWrap/>
              <w:overflowPunct/>
              <w:bidi w:val="0"/>
              <w:spacing w:before="77" w:line="227" w:lineRule="auto"/>
              <w:ind w:left="121"/>
              <w:rPr>
                <w:rFonts w:ascii="仿宋" w:hAnsi="仿宋" w:eastAsia="仿宋" w:cs="仿宋"/>
                <w:sz w:val="23"/>
                <w:szCs w:val="23"/>
              </w:rPr>
            </w:pPr>
            <w:r>
              <w:rPr>
                <w:rFonts w:ascii="仿宋" w:hAnsi="仿宋" w:eastAsia="仿宋" w:cs="仿宋"/>
                <w:spacing w:val="2"/>
                <w:sz w:val="23"/>
                <w:szCs w:val="23"/>
              </w:rPr>
              <w:t>现</w:t>
            </w:r>
            <w:r>
              <w:rPr>
                <w:rFonts w:ascii="仿宋" w:hAnsi="仿宋" w:eastAsia="仿宋" w:cs="仿宋"/>
                <w:spacing w:val="1"/>
                <w:sz w:val="23"/>
                <w:szCs w:val="23"/>
              </w:rPr>
              <w:t>状</w:t>
            </w:r>
          </w:p>
        </w:tc>
        <w:tc>
          <w:tcPr>
            <w:tcW w:w="1940" w:type="dxa"/>
            <w:tcBorders>
              <w:tl2br w:val="nil"/>
              <w:tr2bl w:val="nil"/>
            </w:tcBorders>
            <w:noWrap w:val="0"/>
            <w:vAlign w:val="top"/>
          </w:tcPr>
          <w:p w14:paraId="7E0346EF">
            <w:pPr>
              <w:keepNext w:val="0"/>
              <w:keepLines w:val="0"/>
              <w:pageBreakBefore w:val="0"/>
              <w:widowControl w:val="0"/>
              <w:wordWrap/>
              <w:overflowPunct/>
              <w:bidi w:val="0"/>
              <w:spacing w:before="76" w:line="227" w:lineRule="auto"/>
              <w:ind w:left="125"/>
              <w:rPr>
                <w:rFonts w:ascii="仿宋" w:hAnsi="仿宋" w:eastAsia="仿宋" w:cs="仿宋"/>
                <w:sz w:val="23"/>
                <w:szCs w:val="23"/>
              </w:rPr>
            </w:pPr>
            <w:r>
              <w:rPr>
                <w:rFonts w:ascii="仿宋" w:hAnsi="仿宋" w:eastAsia="仿宋" w:cs="仿宋"/>
                <w:spacing w:val="2"/>
                <w:sz w:val="23"/>
                <w:szCs w:val="23"/>
              </w:rPr>
              <w:t>规</w:t>
            </w:r>
            <w:r>
              <w:rPr>
                <w:rFonts w:ascii="仿宋" w:hAnsi="仿宋" w:eastAsia="仿宋" w:cs="仿宋"/>
                <w:spacing w:val="1"/>
                <w:sz w:val="23"/>
                <w:szCs w:val="23"/>
              </w:rPr>
              <w:t>划</w:t>
            </w:r>
          </w:p>
        </w:tc>
      </w:tr>
      <w:tr w14:paraId="1BA69D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689B00A4">
            <w:pPr>
              <w:keepNext w:val="0"/>
              <w:keepLines w:val="0"/>
              <w:pageBreakBefore w:val="0"/>
              <w:widowControl w:val="0"/>
              <w:kinsoku/>
              <w:wordWrap/>
              <w:overflowPunct/>
              <w:topLinePunct w:val="0"/>
              <w:autoSpaceDE/>
              <w:autoSpaceDN/>
              <w:bidi w:val="0"/>
              <w:adjustRightInd/>
              <w:snapToGrid/>
              <w:spacing w:before="91" w:line="203" w:lineRule="auto"/>
              <w:ind w:left="0"/>
              <w:jc w:val="center"/>
              <w:textAlignment w:val="auto"/>
              <w:rPr>
                <w:rFonts w:ascii="Arial" w:hAnsi="Arial" w:eastAsia="Arial" w:cs="Arial"/>
                <w:sz w:val="23"/>
                <w:szCs w:val="23"/>
              </w:rPr>
            </w:pPr>
            <w:r>
              <w:rPr>
                <w:rFonts w:ascii="Arial" w:hAnsi="Arial" w:eastAsia="Arial" w:cs="Arial"/>
                <w:sz w:val="23"/>
                <w:szCs w:val="23"/>
              </w:rPr>
              <w:t>1</w:t>
            </w:r>
          </w:p>
        </w:tc>
        <w:tc>
          <w:tcPr>
            <w:tcW w:w="3714" w:type="dxa"/>
            <w:tcBorders>
              <w:tl2br w:val="nil"/>
              <w:tr2bl w:val="nil"/>
            </w:tcBorders>
            <w:noWrap w:val="0"/>
            <w:vAlign w:val="top"/>
          </w:tcPr>
          <w:p w14:paraId="49BA9F31">
            <w:pPr>
              <w:keepNext w:val="0"/>
              <w:keepLines w:val="0"/>
              <w:pageBreakBefore w:val="0"/>
              <w:widowControl w:val="0"/>
              <w:wordWrap/>
              <w:overflowPunct/>
              <w:bidi w:val="0"/>
              <w:spacing w:before="77" w:line="227" w:lineRule="auto"/>
              <w:ind w:left="110"/>
              <w:rPr>
                <w:rFonts w:ascii="仿宋" w:hAnsi="仿宋" w:eastAsia="仿宋" w:cs="仿宋"/>
                <w:sz w:val="23"/>
                <w:szCs w:val="23"/>
              </w:rPr>
            </w:pPr>
            <w:r>
              <w:rPr>
                <w:rFonts w:ascii="Arial" w:hAnsi="Arial" w:eastAsia="Arial" w:cs="Arial"/>
                <w:spacing w:val="7"/>
                <w:sz w:val="23"/>
                <w:szCs w:val="23"/>
              </w:rPr>
              <w:t>220</w:t>
            </w:r>
            <w:r>
              <w:rPr>
                <w:rFonts w:ascii="Arial" w:hAnsi="Arial" w:eastAsia="Arial" w:cs="Arial"/>
                <w:sz w:val="23"/>
                <w:szCs w:val="23"/>
              </w:rPr>
              <w:t>KV</w:t>
            </w:r>
            <w:r>
              <w:rPr>
                <w:rFonts w:ascii="仿宋" w:hAnsi="仿宋" w:eastAsia="仿宋" w:cs="仿宋"/>
                <w:spacing w:val="7"/>
                <w:sz w:val="23"/>
                <w:szCs w:val="23"/>
              </w:rPr>
              <w:t>惠安</w:t>
            </w:r>
            <w:r>
              <w:rPr>
                <w:rFonts w:ascii="仿宋" w:hAnsi="仿宋" w:eastAsia="仿宋" w:cs="仿宋"/>
                <w:spacing w:val="6"/>
                <w:sz w:val="23"/>
                <w:szCs w:val="23"/>
              </w:rPr>
              <w:t>变</w:t>
            </w:r>
          </w:p>
        </w:tc>
        <w:tc>
          <w:tcPr>
            <w:tcW w:w="2396" w:type="dxa"/>
            <w:tcBorders>
              <w:tl2br w:val="nil"/>
              <w:tr2bl w:val="nil"/>
            </w:tcBorders>
            <w:noWrap w:val="0"/>
            <w:vAlign w:val="top"/>
          </w:tcPr>
          <w:p w14:paraId="56C07716">
            <w:pPr>
              <w:keepNext w:val="0"/>
              <w:keepLines w:val="0"/>
              <w:pageBreakBefore w:val="0"/>
              <w:widowControl w:val="0"/>
              <w:wordWrap/>
              <w:overflowPunct/>
              <w:bidi w:val="0"/>
              <w:spacing w:before="91" w:line="203" w:lineRule="auto"/>
              <w:ind w:left="111"/>
              <w:rPr>
                <w:rFonts w:ascii="Arial" w:hAnsi="Arial" w:eastAsia="Arial" w:cs="Arial"/>
                <w:sz w:val="23"/>
                <w:szCs w:val="23"/>
              </w:rPr>
            </w:pPr>
            <w:r>
              <w:rPr>
                <w:rFonts w:ascii="Arial" w:hAnsi="Arial" w:eastAsia="Arial" w:cs="Arial"/>
                <w:spacing w:val="7"/>
                <w:sz w:val="23"/>
                <w:szCs w:val="23"/>
              </w:rPr>
              <w:t>2</w:t>
            </w:r>
            <w:r>
              <w:rPr>
                <w:rFonts w:ascii="Arial" w:hAnsi="Arial" w:eastAsia="Arial" w:cs="Arial"/>
                <w:sz w:val="23"/>
                <w:szCs w:val="23"/>
              </w:rPr>
              <w:t>X</w:t>
            </w:r>
            <w:r>
              <w:rPr>
                <w:rFonts w:ascii="Arial" w:hAnsi="Arial" w:eastAsia="Arial" w:cs="Arial"/>
                <w:spacing w:val="5"/>
                <w:sz w:val="23"/>
                <w:szCs w:val="23"/>
              </w:rPr>
              <w:t>120</w:t>
            </w:r>
          </w:p>
        </w:tc>
        <w:tc>
          <w:tcPr>
            <w:tcW w:w="1940" w:type="dxa"/>
            <w:tcBorders>
              <w:tl2br w:val="nil"/>
              <w:tr2bl w:val="nil"/>
            </w:tcBorders>
            <w:noWrap w:val="0"/>
            <w:vAlign w:val="top"/>
          </w:tcPr>
          <w:p w14:paraId="793AF44A">
            <w:pPr>
              <w:keepNext w:val="0"/>
              <w:keepLines w:val="0"/>
              <w:pageBreakBefore w:val="0"/>
              <w:widowControl w:val="0"/>
              <w:wordWrap/>
              <w:overflowPunct/>
              <w:bidi w:val="0"/>
              <w:spacing w:before="91" w:line="203" w:lineRule="auto"/>
              <w:ind w:left="115"/>
              <w:rPr>
                <w:rFonts w:ascii="Arial" w:hAnsi="Arial" w:eastAsia="Arial" w:cs="Arial"/>
                <w:sz w:val="23"/>
                <w:szCs w:val="23"/>
              </w:rPr>
            </w:pPr>
            <w:r>
              <w:rPr>
                <w:rFonts w:ascii="Arial" w:hAnsi="Arial" w:eastAsia="Arial" w:cs="Arial"/>
                <w:spacing w:val="7"/>
                <w:sz w:val="23"/>
                <w:szCs w:val="23"/>
              </w:rPr>
              <w:t>2</w:t>
            </w:r>
            <w:r>
              <w:rPr>
                <w:rFonts w:ascii="Arial" w:hAnsi="Arial" w:eastAsia="Arial" w:cs="Arial"/>
                <w:sz w:val="23"/>
                <w:szCs w:val="23"/>
              </w:rPr>
              <w:t>X</w:t>
            </w:r>
            <w:r>
              <w:rPr>
                <w:rFonts w:ascii="Arial" w:hAnsi="Arial" w:eastAsia="Arial" w:cs="Arial"/>
                <w:spacing w:val="5"/>
                <w:sz w:val="23"/>
                <w:szCs w:val="23"/>
              </w:rPr>
              <w:t>180</w:t>
            </w:r>
          </w:p>
        </w:tc>
      </w:tr>
      <w:tr w14:paraId="61E31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01C159C3">
            <w:pPr>
              <w:keepNext w:val="0"/>
              <w:keepLines w:val="0"/>
              <w:pageBreakBefore w:val="0"/>
              <w:widowControl w:val="0"/>
              <w:kinsoku/>
              <w:wordWrap/>
              <w:overflowPunct/>
              <w:topLinePunct w:val="0"/>
              <w:autoSpaceDE/>
              <w:autoSpaceDN/>
              <w:bidi w:val="0"/>
              <w:adjustRightInd/>
              <w:snapToGrid/>
              <w:spacing w:before="90" w:line="203" w:lineRule="auto"/>
              <w:ind w:left="0"/>
              <w:jc w:val="center"/>
              <w:textAlignment w:val="auto"/>
              <w:rPr>
                <w:rFonts w:ascii="Arial" w:hAnsi="Arial" w:eastAsia="Arial" w:cs="Arial"/>
                <w:sz w:val="23"/>
                <w:szCs w:val="23"/>
              </w:rPr>
            </w:pPr>
            <w:r>
              <w:rPr>
                <w:rFonts w:ascii="Arial" w:hAnsi="Arial" w:eastAsia="Arial" w:cs="Arial"/>
                <w:sz w:val="23"/>
                <w:szCs w:val="23"/>
              </w:rPr>
              <w:t>2</w:t>
            </w:r>
          </w:p>
        </w:tc>
        <w:tc>
          <w:tcPr>
            <w:tcW w:w="3714" w:type="dxa"/>
            <w:tcBorders>
              <w:tl2br w:val="nil"/>
              <w:tr2bl w:val="nil"/>
            </w:tcBorders>
            <w:noWrap w:val="0"/>
            <w:vAlign w:val="top"/>
          </w:tcPr>
          <w:p w14:paraId="2F858563">
            <w:pPr>
              <w:keepNext w:val="0"/>
              <w:keepLines w:val="0"/>
              <w:pageBreakBefore w:val="0"/>
              <w:widowControl w:val="0"/>
              <w:wordWrap/>
              <w:overflowPunct/>
              <w:bidi w:val="0"/>
              <w:spacing w:before="77" w:line="226" w:lineRule="auto"/>
              <w:ind w:left="110"/>
              <w:rPr>
                <w:rFonts w:ascii="仿宋" w:hAnsi="仿宋" w:eastAsia="仿宋" w:cs="仿宋"/>
                <w:sz w:val="23"/>
                <w:szCs w:val="23"/>
              </w:rPr>
            </w:pPr>
            <w:r>
              <w:rPr>
                <w:rFonts w:ascii="Arial" w:hAnsi="Arial" w:eastAsia="Arial" w:cs="Arial"/>
                <w:spacing w:val="7"/>
                <w:sz w:val="23"/>
                <w:szCs w:val="23"/>
              </w:rPr>
              <w:t>220</w:t>
            </w:r>
            <w:r>
              <w:rPr>
                <w:rFonts w:ascii="Arial" w:hAnsi="Arial" w:eastAsia="Arial" w:cs="Arial"/>
                <w:sz w:val="23"/>
                <w:szCs w:val="23"/>
              </w:rPr>
              <w:t>KV</w:t>
            </w:r>
            <w:r>
              <w:rPr>
                <w:rFonts w:ascii="仿宋" w:hAnsi="仿宋" w:eastAsia="仿宋" w:cs="仿宋"/>
                <w:spacing w:val="7"/>
                <w:sz w:val="23"/>
                <w:szCs w:val="23"/>
              </w:rPr>
              <w:t>凤阳</w:t>
            </w:r>
            <w:r>
              <w:rPr>
                <w:rFonts w:ascii="仿宋" w:hAnsi="仿宋" w:eastAsia="仿宋" w:cs="仿宋"/>
                <w:spacing w:val="6"/>
                <w:sz w:val="23"/>
                <w:szCs w:val="23"/>
              </w:rPr>
              <w:t>变</w:t>
            </w:r>
          </w:p>
        </w:tc>
        <w:tc>
          <w:tcPr>
            <w:tcW w:w="2396" w:type="dxa"/>
            <w:tcBorders>
              <w:tl2br w:val="nil"/>
              <w:tr2bl w:val="nil"/>
            </w:tcBorders>
            <w:noWrap w:val="0"/>
            <w:vAlign w:val="top"/>
          </w:tcPr>
          <w:p w14:paraId="2D952A27">
            <w:pPr>
              <w:keepNext w:val="0"/>
              <w:keepLines w:val="0"/>
              <w:pageBreakBefore w:val="0"/>
              <w:widowControl w:val="0"/>
              <w:wordWrap/>
              <w:overflowPunct/>
              <w:bidi w:val="0"/>
              <w:spacing w:before="90" w:line="203" w:lineRule="auto"/>
              <w:ind w:left="130"/>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X</w:t>
            </w:r>
            <w:r>
              <w:rPr>
                <w:rFonts w:ascii="Arial" w:hAnsi="Arial" w:eastAsia="Arial" w:cs="Arial"/>
                <w:spacing w:val="1"/>
                <w:sz w:val="23"/>
                <w:szCs w:val="23"/>
              </w:rPr>
              <w:t>24</w:t>
            </w:r>
            <w:r>
              <w:rPr>
                <w:rFonts w:ascii="Arial" w:hAnsi="Arial" w:eastAsia="Arial" w:cs="Arial"/>
                <w:sz w:val="23"/>
                <w:szCs w:val="23"/>
              </w:rPr>
              <w:t>0</w:t>
            </w:r>
          </w:p>
        </w:tc>
        <w:tc>
          <w:tcPr>
            <w:tcW w:w="1940" w:type="dxa"/>
            <w:tcBorders>
              <w:tl2br w:val="nil"/>
              <w:tr2bl w:val="nil"/>
            </w:tcBorders>
            <w:noWrap w:val="0"/>
            <w:vAlign w:val="top"/>
          </w:tcPr>
          <w:p w14:paraId="11074879">
            <w:pPr>
              <w:keepNext w:val="0"/>
              <w:keepLines w:val="0"/>
              <w:pageBreakBefore w:val="0"/>
              <w:widowControl w:val="0"/>
              <w:wordWrap/>
              <w:overflowPunct/>
              <w:bidi w:val="0"/>
              <w:spacing w:before="90" w:line="203" w:lineRule="auto"/>
              <w:ind w:left="118"/>
              <w:rPr>
                <w:rFonts w:ascii="Arial" w:hAnsi="Arial" w:eastAsia="Arial" w:cs="Arial"/>
                <w:sz w:val="23"/>
                <w:szCs w:val="23"/>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5"/>
                <w:sz w:val="23"/>
                <w:szCs w:val="23"/>
              </w:rPr>
              <w:t>24</w:t>
            </w:r>
            <w:r>
              <w:rPr>
                <w:rFonts w:ascii="Arial" w:hAnsi="Arial" w:eastAsia="Arial" w:cs="Arial"/>
                <w:spacing w:val="4"/>
                <w:sz w:val="23"/>
                <w:szCs w:val="23"/>
              </w:rPr>
              <w:t>0</w:t>
            </w:r>
          </w:p>
        </w:tc>
      </w:tr>
      <w:tr w14:paraId="160D51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55A15D9C">
            <w:pPr>
              <w:keepNext w:val="0"/>
              <w:keepLines w:val="0"/>
              <w:pageBreakBefore w:val="0"/>
              <w:widowControl w:val="0"/>
              <w:kinsoku/>
              <w:wordWrap/>
              <w:overflowPunct/>
              <w:topLinePunct w:val="0"/>
              <w:autoSpaceDE/>
              <w:autoSpaceDN/>
              <w:bidi w:val="0"/>
              <w:adjustRightInd/>
              <w:snapToGrid/>
              <w:spacing w:before="91" w:line="203" w:lineRule="auto"/>
              <w:ind w:left="0"/>
              <w:jc w:val="center"/>
              <w:textAlignment w:val="auto"/>
              <w:rPr>
                <w:rFonts w:ascii="Arial" w:hAnsi="Arial" w:eastAsia="Arial" w:cs="Arial"/>
                <w:sz w:val="23"/>
                <w:szCs w:val="23"/>
              </w:rPr>
            </w:pPr>
            <w:r>
              <w:rPr>
                <w:rFonts w:ascii="Arial" w:hAnsi="Arial" w:eastAsia="Arial" w:cs="Arial"/>
                <w:sz w:val="23"/>
                <w:szCs w:val="23"/>
              </w:rPr>
              <w:t>3</w:t>
            </w:r>
          </w:p>
        </w:tc>
        <w:tc>
          <w:tcPr>
            <w:tcW w:w="3714" w:type="dxa"/>
            <w:tcBorders>
              <w:tl2br w:val="nil"/>
              <w:tr2bl w:val="nil"/>
            </w:tcBorders>
            <w:noWrap w:val="0"/>
            <w:vAlign w:val="top"/>
          </w:tcPr>
          <w:p w14:paraId="4B977C91">
            <w:pPr>
              <w:keepNext w:val="0"/>
              <w:keepLines w:val="0"/>
              <w:pageBreakBefore w:val="0"/>
              <w:widowControl w:val="0"/>
              <w:wordWrap/>
              <w:overflowPunct/>
              <w:bidi w:val="0"/>
              <w:spacing w:before="78" w:line="227" w:lineRule="auto"/>
              <w:ind w:left="110"/>
              <w:rPr>
                <w:rFonts w:ascii="仿宋" w:hAnsi="仿宋" w:eastAsia="仿宋" w:cs="仿宋"/>
                <w:sz w:val="23"/>
                <w:szCs w:val="23"/>
              </w:rPr>
            </w:pPr>
            <w:r>
              <w:rPr>
                <w:rFonts w:ascii="Arial" w:hAnsi="Arial" w:eastAsia="Arial" w:cs="Arial"/>
                <w:spacing w:val="7"/>
                <w:sz w:val="23"/>
                <w:szCs w:val="23"/>
              </w:rPr>
              <w:t>220</w:t>
            </w:r>
            <w:r>
              <w:rPr>
                <w:rFonts w:ascii="Arial" w:hAnsi="Arial" w:eastAsia="Arial" w:cs="Arial"/>
                <w:sz w:val="23"/>
                <w:szCs w:val="23"/>
              </w:rPr>
              <w:t>KV</w:t>
            </w:r>
            <w:r>
              <w:rPr>
                <w:rFonts w:ascii="仿宋" w:hAnsi="仿宋" w:eastAsia="仿宋" w:cs="仿宋"/>
                <w:spacing w:val="7"/>
                <w:sz w:val="23"/>
                <w:szCs w:val="23"/>
              </w:rPr>
              <w:t>垄边</w:t>
            </w:r>
            <w:r>
              <w:rPr>
                <w:rFonts w:ascii="仿宋" w:hAnsi="仿宋" w:eastAsia="仿宋" w:cs="仿宋"/>
                <w:spacing w:val="6"/>
                <w:sz w:val="23"/>
                <w:szCs w:val="23"/>
              </w:rPr>
              <w:t>变</w:t>
            </w:r>
          </w:p>
        </w:tc>
        <w:tc>
          <w:tcPr>
            <w:tcW w:w="2396" w:type="dxa"/>
            <w:tcBorders>
              <w:tl2br w:val="nil"/>
              <w:tr2bl w:val="nil"/>
            </w:tcBorders>
            <w:noWrap w:val="0"/>
            <w:vAlign w:val="top"/>
          </w:tcPr>
          <w:p w14:paraId="5759761A">
            <w:pPr>
              <w:keepNext w:val="0"/>
              <w:keepLines w:val="0"/>
              <w:pageBreakBefore w:val="0"/>
              <w:widowControl w:val="0"/>
              <w:wordWrap/>
              <w:overflowPunct/>
              <w:bidi w:val="0"/>
              <w:spacing w:before="91" w:line="203" w:lineRule="auto"/>
              <w:ind w:left="130"/>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X</w:t>
            </w:r>
            <w:r>
              <w:rPr>
                <w:rFonts w:ascii="Arial" w:hAnsi="Arial" w:eastAsia="Arial" w:cs="Arial"/>
                <w:spacing w:val="1"/>
                <w:sz w:val="23"/>
                <w:szCs w:val="23"/>
              </w:rPr>
              <w:t>24</w:t>
            </w:r>
            <w:r>
              <w:rPr>
                <w:rFonts w:ascii="Arial" w:hAnsi="Arial" w:eastAsia="Arial" w:cs="Arial"/>
                <w:sz w:val="23"/>
                <w:szCs w:val="23"/>
              </w:rPr>
              <w:t>0</w:t>
            </w:r>
          </w:p>
        </w:tc>
        <w:tc>
          <w:tcPr>
            <w:tcW w:w="1940" w:type="dxa"/>
            <w:tcBorders>
              <w:tl2br w:val="nil"/>
              <w:tr2bl w:val="nil"/>
            </w:tcBorders>
            <w:noWrap w:val="0"/>
            <w:vAlign w:val="top"/>
          </w:tcPr>
          <w:p w14:paraId="69D43C40">
            <w:pPr>
              <w:keepNext w:val="0"/>
              <w:keepLines w:val="0"/>
              <w:pageBreakBefore w:val="0"/>
              <w:widowControl w:val="0"/>
              <w:wordWrap/>
              <w:overflowPunct/>
              <w:bidi w:val="0"/>
              <w:spacing w:before="91" w:line="203" w:lineRule="auto"/>
              <w:ind w:left="118"/>
              <w:rPr>
                <w:rFonts w:ascii="Arial" w:hAnsi="Arial" w:eastAsia="Arial" w:cs="Arial"/>
                <w:sz w:val="23"/>
                <w:szCs w:val="23"/>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5"/>
                <w:sz w:val="23"/>
                <w:szCs w:val="23"/>
              </w:rPr>
              <w:t>24</w:t>
            </w:r>
            <w:r>
              <w:rPr>
                <w:rFonts w:ascii="Arial" w:hAnsi="Arial" w:eastAsia="Arial" w:cs="Arial"/>
                <w:spacing w:val="4"/>
                <w:sz w:val="23"/>
                <w:szCs w:val="23"/>
              </w:rPr>
              <w:t>0</w:t>
            </w:r>
          </w:p>
        </w:tc>
      </w:tr>
      <w:tr w14:paraId="2C5E3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08C6CDDA">
            <w:pPr>
              <w:keepNext w:val="0"/>
              <w:keepLines w:val="0"/>
              <w:pageBreakBefore w:val="0"/>
              <w:widowControl w:val="0"/>
              <w:kinsoku/>
              <w:wordWrap/>
              <w:overflowPunct/>
              <w:topLinePunct w:val="0"/>
              <w:autoSpaceDE/>
              <w:autoSpaceDN/>
              <w:bidi w:val="0"/>
              <w:adjustRightInd/>
              <w:snapToGrid/>
              <w:spacing w:before="91" w:line="203" w:lineRule="auto"/>
              <w:ind w:left="0"/>
              <w:jc w:val="center"/>
              <w:textAlignment w:val="auto"/>
              <w:rPr>
                <w:rFonts w:ascii="Arial" w:hAnsi="Arial" w:eastAsia="Arial" w:cs="Arial"/>
                <w:sz w:val="23"/>
                <w:szCs w:val="23"/>
              </w:rPr>
            </w:pPr>
            <w:r>
              <w:rPr>
                <w:rFonts w:ascii="Arial" w:hAnsi="Arial" w:eastAsia="Arial" w:cs="Arial"/>
                <w:spacing w:val="2"/>
                <w:sz w:val="23"/>
                <w:szCs w:val="23"/>
              </w:rPr>
              <w:t>4</w:t>
            </w:r>
          </w:p>
        </w:tc>
        <w:tc>
          <w:tcPr>
            <w:tcW w:w="3714" w:type="dxa"/>
            <w:tcBorders>
              <w:tl2br w:val="nil"/>
              <w:tr2bl w:val="nil"/>
            </w:tcBorders>
            <w:noWrap w:val="0"/>
            <w:vAlign w:val="top"/>
          </w:tcPr>
          <w:p w14:paraId="4537EFC9">
            <w:pPr>
              <w:keepNext w:val="0"/>
              <w:keepLines w:val="0"/>
              <w:pageBreakBefore w:val="0"/>
              <w:widowControl w:val="0"/>
              <w:wordWrap/>
              <w:overflowPunct/>
              <w:bidi w:val="0"/>
              <w:spacing w:before="77" w:line="225" w:lineRule="auto"/>
              <w:ind w:left="110"/>
              <w:rPr>
                <w:rFonts w:ascii="仿宋" w:hAnsi="仿宋" w:eastAsia="仿宋" w:cs="仿宋"/>
                <w:sz w:val="23"/>
                <w:szCs w:val="23"/>
              </w:rPr>
            </w:pPr>
            <w:r>
              <w:rPr>
                <w:rFonts w:ascii="Arial" w:hAnsi="Arial" w:eastAsia="Arial" w:cs="Arial"/>
                <w:spacing w:val="7"/>
                <w:sz w:val="23"/>
                <w:szCs w:val="23"/>
              </w:rPr>
              <w:t>220</w:t>
            </w:r>
            <w:r>
              <w:rPr>
                <w:rFonts w:ascii="Arial" w:hAnsi="Arial" w:eastAsia="Arial" w:cs="Arial"/>
                <w:sz w:val="23"/>
                <w:szCs w:val="23"/>
              </w:rPr>
              <w:t>KV</w:t>
            </w:r>
            <w:r>
              <w:rPr>
                <w:rFonts w:ascii="仿宋" w:hAnsi="仿宋" w:eastAsia="仿宋" w:cs="仿宋"/>
                <w:spacing w:val="7"/>
                <w:sz w:val="23"/>
                <w:szCs w:val="23"/>
              </w:rPr>
              <w:t>炼化</w:t>
            </w:r>
            <w:r>
              <w:rPr>
                <w:rFonts w:ascii="仿宋" w:hAnsi="仿宋" w:eastAsia="仿宋" w:cs="仿宋"/>
                <w:spacing w:val="6"/>
                <w:sz w:val="23"/>
                <w:szCs w:val="23"/>
              </w:rPr>
              <w:t>变</w:t>
            </w:r>
          </w:p>
        </w:tc>
        <w:tc>
          <w:tcPr>
            <w:tcW w:w="2396" w:type="dxa"/>
            <w:tcBorders>
              <w:tl2br w:val="nil"/>
              <w:tr2bl w:val="nil"/>
            </w:tcBorders>
            <w:noWrap w:val="0"/>
            <w:vAlign w:val="top"/>
          </w:tcPr>
          <w:p w14:paraId="4E999351">
            <w:pPr>
              <w:keepNext w:val="0"/>
              <w:keepLines w:val="0"/>
              <w:pageBreakBefore w:val="0"/>
              <w:widowControl w:val="0"/>
              <w:wordWrap/>
              <w:overflowPunct/>
              <w:bidi w:val="0"/>
              <w:spacing w:before="90" w:line="203" w:lineRule="auto"/>
              <w:ind w:left="107"/>
              <w:rPr>
                <w:rFonts w:ascii="Arial" w:hAnsi="Arial" w:eastAsia="Arial" w:cs="Arial"/>
                <w:sz w:val="23"/>
                <w:szCs w:val="23"/>
              </w:rPr>
            </w:pPr>
            <w:r>
              <w:rPr>
                <w:rFonts w:ascii="Arial" w:hAnsi="Arial" w:eastAsia="Arial" w:cs="Arial"/>
                <w:spacing w:val="8"/>
                <w:sz w:val="23"/>
                <w:szCs w:val="23"/>
              </w:rPr>
              <w:t>4</w:t>
            </w:r>
            <w:r>
              <w:rPr>
                <w:rFonts w:ascii="Arial" w:hAnsi="Arial" w:eastAsia="Arial" w:cs="Arial"/>
                <w:sz w:val="23"/>
                <w:szCs w:val="23"/>
              </w:rPr>
              <w:t>X</w:t>
            </w:r>
            <w:r>
              <w:rPr>
                <w:rFonts w:ascii="Arial" w:hAnsi="Arial" w:eastAsia="Arial" w:cs="Arial"/>
                <w:spacing w:val="6"/>
                <w:sz w:val="23"/>
                <w:szCs w:val="23"/>
              </w:rPr>
              <w:t>120</w:t>
            </w:r>
          </w:p>
        </w:tc>
        <w:tc>
          <w:tcPr>
            <w:tcW w:w="1940" w:type="dxa"/>
            <w:tcBorders>
              <w:tl2br w:val="nil"/>
              <w:tr2bl w:val="nil"/>
            </w:tcBorders>
            <w:noWrap w:val="0"/>
            <w:vAlign w:val="top"/>
          </w:tcPr>
          <w:p w14:paraId="663257A3">
            <w:pPr>
              <w:keepNext w:val="0"/>
              <w:keepLines w:val="0"/>
              <w:pageBreakBefore w:val="0"/>
              <w:widowControl w:val="0"/>
              <w:wordWrap/>
              <w:overflowPunct/>
              <w:bidi w:val="0"/>
              <w:spacing w:before="189" w:line="150" w:lineRule="exact"/>
              <w:ind w:left="129"/>
              <w:rPr>
                <w:rFonts w:ascii="仿宋" w:hAnsi="仿宋" w:eastAsia="仿宋" w:cs="仿宋"/>
                <w:sz w:val="9"/>
                <w:szCs w:val="9"/>
              </w:rPr>
            </w:pPr>
            <w:r>
              <w:rPr>
                <w:rFonts w:ascii="仿宋" w:hAnsi="仿宋" w:eastAsia="仿宋" w:cs="仿宋"/>
                <w:spacing w:val="140"/>
                <w:position w:val="1"/>
                <w:sz w:val="9"/>
                <w:szCs w:val="9"/>
              </w:rPr>
              <w:t>—</w:t>
            </w:r>
            <w:r>
              <w:rPr>
                <w:rFonts w:ascii="仿宋" w:hAnsi="仿宋" w:eastAsia="仿宋" w:cs="仿宋"/>
                <w:spacing w:val="139"/>
                <w:position w:val="1"/>
                <w:sz w:val="9"/>
                <w:szCs w:val="9"/>
              </w:rPr>
              <w:t>—</w:t>
            </w:r>
          </w:p>
        </w:tc>
      </w:tr>
      <w:tr w14:paraId="572F04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4E6CBB1B">
            <w:pPr>
              <w:keepNext w:val="0"/>
              <w:keepLines w:val="0"/>
              <w:pageBreakBefore w:val="0"/>
              <w:widowControl w:val="0"/>
              <w:kinsoku/>
              <w:wordWrap/>
              <w:overflowPunct/>
              <w:topLinePunct w:val="0"/>
              <w:autoSpaceDE/>
              <w:autoSpaceDN/>
              <w:bidi w:val="0"/>
              <w:adjustRightInd/>
              <w:snapToGrid/>
              <w:spacing w:before="95" w:line="200" w:lineRule="auto"/>
              <w:ind w:left="0"/>
              <w:jc w:val="center"/>
              <w:textAlignment w:val="auto"/>
              <w:rPr>
                <w:rFonts w:ascii="Arial" w:hAnsi="Arial" w:eastAsia="Arial" w:cs="Arial"/>
                <w:sz w:val="23"/>
                <w:szCs w:val="23"/>
              </w:rPr>
            </w:pPr>
            <w:r>
              <w:rPr>
                <w:rFonts w:ascii="Arial" w:hAnsi="Arial" w:eastAsia="Arial" w:cs="Arial"/>
                <w:sz w:val="23"/>
                <w:szCs w:val="23"/>
              </w:rPr>
              <w:t>5</w:t>
            </w:r>
          </w:p>
        </w:tc>
        <w:tc>
          <w:tcPr>
            <w:tcW w:w="3714" w:type="dxa"/>
            <w:tcBorders>
              <w:tl2br w:val="nil"/>
              <w:tr2bl w:val="nil"/>
            </w:tcBorders>
            <w:noWrap w:val="0"/>
            <w:vAlign w:val="top"/>
          </w:tcPr>
          <w:p w14:paraId="3BE89839">
            <w:pPr>
              <w:keepNext w:val="0"/>
              <w:keepLines w:val="0"/>
              <w:pageBreakBefore w:val="0"/>
              <w:widowControl w:val="0"/>
              <w:wordWrap/>
              <w:overflowPunct/>
              <w:bidi w:val="0"/>
              <w:spacing w:before="79" w:line="224" w:lineRule="auto"/>
              <w:ind w:left="110"/>
              <w:rPr>
                <w:rFonts w:ascii="仿宋" w:hAnsi="仿宋" w:eastAsia="仿宋" w:cs="仿宋"/>
                <w:sz w:val="23"/>
                <w:szCs w:val="23"/>
              </w:rPr>
            </w:pPr>
            <w:r>
              <w:rPr>
                <w:rFonts w:ascii="Arial" w:hAnsi="Arial" w:eastAsia="Arial" w:cs="Arial"/>
                <w:spacing w:val="7"/>
                <w:sz w:val="23"/>
                <w:szCs w:val="23"/>
              </w:rPr>
              <w:t>220</w:t>
            </w:r>
            <w:r>
              <w:rPr>
                <w:rFonts w:ascii="Arial" w:hAnsi="Arial" w:eastAsia="Arial" w:cs="Arial"/>
                <w:sz w:val="23"/>
                <w:szCs w:val="23"/>
              </w:rPr>
              <w:t>KV</w:t>
            </w:r>
            <w:r>
              <w:rPr>
                <w:rFonts w:ascii="仿宋" w:hAnsi="仿宋" w:eastAsia="仿宋" w:cs="仿宋"/>
                <w:spacing w:val="7"/>
                <w:sz w:val="23"/>
                <w:szCs w:val="23"/>
              </w:rPr>
              <w:t>前黄</w:t>
            </w:r>
            <w:r>
              <w:rPr>
                <w:rFonts w:ascii="仿宋" w:hAnsi="仿宋" w:eastAsia="仿宋" w:cs="仿宋"/>
                <w:spacing w:val="6"/>
                <w:sz w:val="23"/>
                <w:szCs w:val="23"/>
              </w:rPr>
              <w:t>变</w:t>
            </w:r>
          </w:p>
        </w:tc>
        <w:tc>
          <w:tcPr>
            <w:tcW w:w="2396" w:type="dxa"/>
            <w:tcBorders>
              <w:tl2br w:val="nil"/>
              <w:tr2bl w:val="nil"/>
            </w:tcBorders>
            <w:noWrap w:val="0"/>
            <w:vAlign w:val="top"/>
          </w:tcPr>
          <w:p w14:paraId="4E74399C">
            <w:pPr>
              <w:keepNext w:val="0"/>
              <w:keepLines w:val="0"/>
              <w:pageBreakBefore w:val="0"/>
              <w:widowControl w:val="0"/>
              <w:wordWrap/>
              <w:overflowPunct/>
              <w:bidi w:val="0"/>
              <w:rPr>
                <w:rFonts w:ascii="Arial"/>
                <w:sz w:val="21"/>
              </w:rPr>
            </w:pPr>
          </w:p>
        </w:tc>
        <w:tc>
          <w:tcPr>
            <w:tcW w:w="1940" w:type="dxa"/>
            <w:tcBorders>
              <w:tl2br w:val="nil"/>
              <w:tr2bl w:val="nil"/>
            </w:tcBorders>
            <w:noWrap w:val="0"/>
            <w:vAlign w:val="top"/>
          </w:tcPr>
          <w:p w14:paraId="36546169">
            <w:pPr>
              <w:keepNext w:val="0"/>
              <w:keepLines w:val="0"/>
              <w:pageBreakBefore w:val="0"/>
              <w:widowControl w:val="0"/>
              <w:wordWrap/>
              <w:overflowPunct/>
              <w:bidi w:val="0"/>
              <w:spacing w:before="92" w:line="203" w:lineRule="auto"/>
              <w:ind w:left="115"/>
              <w:rPr>
                <w:rFonts w:ascii="Arial" w:hAnsi="Arial" w:eastAsia="Arial" w:cs="Arial"/>
                <w:sz w:val="23"/>
                <w:szCs w:val="23"/>
              </w:rPr>
            </w:pPr>
            <w:r>
              <w:rPr>
                <w:rFonts w:ascii="Arial" w:hAnsi="Arial" w:eastAsia="Arial" w:cs="Arial"/>
                <w:spacing w:val="7"/>
                <w:sz w:val="23"/>
                <w:szCs w:val="23"/>
              </w:rPr>
              <w:t>2</w:t>
            </w:r>
            <w:r>
              <w:rPr>
                <w:rFonts w:ascii="Arial" w:hAnsi="Arial" w:eastAsia="Arial" w:cs="Arial"/>
                <w:sz w:val="23"/>
                <w:szCs w:val="23"/>
              </w:rPr>
              <w:t>X</w:t>
            </w:r>
            <w:r>
              <w:rPr>
                <w:rFonts w:ascii="Arial" w:hAnsi="Arial" w:eastAsia="Arial" w:cs="Arial"/>
                <w:spacing w:val="5"/>
                <w:sz w:val="23"/>
                <w:szCs w:val="23"/>
              </w:rPr>
              <w:t>180</w:t>
            </w:r>
          </w:p>
        </w:tc>
      </w:tr>
      <w:tr w14:paraId="0EFA5F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0491771D">
            <w:pPr>
              <w:keepNext w:val="0"/>
              <w:keepLines w:val="0"/>
              <w:pageBreakBefore w:val="0"/>
              <w:widowControl w:val="0"/>
              <w:kinsoku/>
              <w:wordWrap/>
              <w:overflowPunct/>
              <w:topLinePunct w:val="0"/>
              <w:autoSpaceDE/>
              <w:autoSpaceDN/>
              <w:bidi w:val="0"/>
              <w:adjustRightInd/>
              <w:snapToGrid/>
              <w:ind w:left="0"/>
              <w:jc w:val="center"/>
              <w:textAlignment w:val="auto"/>
              <w:rPr>
                <w:rFonts w:ascii="Arial"/>
                <w:sz w:val="21"/>
              </w:rPr>
            </w:pPr>
          </w:p>
        </w:tc>
        <w:tc>
          <w:tcPr>
            <w:tcW w:w="3714" w:type="dxa"/>
            <w:tcBorders>
              <w:tl2br w:val="nil"/>
              <w:tr2bl w:val="nil"/>
            </w:tcBorders>
            <w:noWrap w:val="0"/>
            <w:vAlign w:val="top"/>
          </w:tcPr>
          <w:p w14:paraId="3CCC3EF3">
            <w:pPr>
              <w:keepNext w:val="0"/>
              <w:keepLines w:val="0"/>
              <w:pageBreakBefore w:val="0"/>
              <w:widowControl w:val="0"/>
              <w:wordWrap/>
              <w:overflowPunct/>
              <w:bidi w:val="0"/>
              <w:spacing w:before="41" w:line="319" w:lineRule="exact"/>
              <w:ind w:left="129"/>
              <w:rPr>
                <w:rFonts w:ascii="仿宋" w:hAnsi="仿宋" w:eastAsia="仿宋" w:cs="仿宋"/>
                <w:sz w:val="23"/>
                <w:szCs w:val="23"/>
              </w:rPr>
            </w:pPr>
            <w:r>
              <w:rPr>
                <w:rFonts w:ascii="Arial" w:hAnsi="Arial" w:eastAsia="Arial" w:cs="Arial"/>
                <w:spacing w:val="-8"/>
                <w:position w:val="1"/>
                <w:sz w:val="23"/>
                <w:szCs w:val="23"/>
              </w:rPr>
              <w:t>1</w:t>
            </w:r>
            <w:r>
              <w:rPr>
                <w:rFonts w:ascii="Arial" w:hAnsi="Arial" w:eastAsia="Arial" w:cs="Arial"/>
                <w:spacing w:val="-4"/>
                <w:position w:val="1"/>
                <w:sz w:val="23"/>
                <w:szCs w:val="23"/>
              </w:rPr>
              <w:t>10KV</w:t>
            </w:r>
            <w:r>
              <w:rPr>
                <w:rFonts w:ascii="仿宋" w:hAnsi="仿宋" w:eastAsia="仿宋" w:cs="仿宋"/>
                <w:spacing w:val="-4"/>
                <w:position w:val="1"/>
                <w:sz w:val="23"/>
                <w:szCs w:val="23"/>
              </w:rPr>
              <w:t>变电站(</w:t>
            </w:r>
            <w:r>
              <w:rPr>
                <w:rFonts w:ascii="Arial" w:hAnsi="Arial" w:eastAsia="Arial" w:cs="Arial"/>
                <w:spacing w:val="-4"/>
                <w:position w:val="1"/>
                <w:sz w:val="23"/>
                <w:szCs w:val="23"/>
              </w:rPr>
              <w:t>110/10KV</w:t>
            </w:r>
            <w:r>
              <w:rPr>
                <w:rFonts w:ascii="仿宋" w:hAnsi="仿宋" w:eastAsia="仿宋" w:cs="仿宋"/>
                <w:spacing w:val="-4"/>
                <w:position w:val="1"/>
                <w:sz w:val="23"/>
                <w:szCs w:val="23"/>
              </w:rPr>
              <w:t>)</w:t>
            </w:r>
          </w:p>
        </w:tc>
        <w:tc>
          <w:tcPr>
            <w:tcW w:w="2396" w:type="dxa"/>
            <w:tcBorders>
              <w:tl2br w:val="nil"/>
              <w:tr2bl w:val="nil"/>
            </w:tcBorders>
            <w:noWrap w:val="0"/>
            <w:vAlign w:val="top"/>
          </w:tcPr>
          <w:p w14:paraId="7CDEF46B">
            <w:pPr>
              <w:keepNext w:val="0"/>
              <w:keepLines w:val="0"/>
              <w:pageBreakBefore w:val="0"/>
              <w:widowControl w:val="0"/>
              <w:wordWrap/>
              <w:overflowPunct/>
              <w:bidi w:val="0"/>
              <w:rPr>
                <w:rFonts w:ascii="Arial"/>
                <w:sz w:val="21"/>
              </w:rPr>
            </w:pPr>
          </w:p>
        </w:tc>
        <w:tc>
          <w:tcPr>
            <w:tcW w:w="1940" w:type="dxa"/>
            <w:tcBorders>
              <w:tl2br w:val="nil"/>
              <w:tr2bl w:val="nil"/>
            </w:tcBorders>
            <w:noWrap w:val="0"/>
            <w:vAlign w:val="top"/>
          </w:tcPr>
          <w:p w14:paraId="69C504DA">
            <w:pPr>
              <w:keepNext w:val="0"/>
              <w:keepLines w:val="0"/>
              <w:pageBreakBefore w:val="0"/>
              <w:widowControl w:val="0"/>
              <w:wordWrap/>
              <w:overflowPunct/>
              <w:bidi w:val="0"/>
              <w:rPr>
                <w:rFonts w:ascii="Arial"/>
                <w:sz w:val="21"/>
              </w:rPr>
            </w:pPr>
          </w:p>
        </w:tc>
      </w:tr>
      <w:tr w14:paraId="061919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183" w:type="dxa"/>
            <w:tcBorders>
              <w:tl2br w:val="nil"/>
              <w:tr2bl w:val="nil"/>
            </w:tcBorders>
            <w:noWrap w:val="0"/>
            <w:vAlign w:val="top"/>
          </w:tcPr>
          <w:p w14:paraId="569EC506">
            <w:pPr>
              <w:keepNext w:val="0"/>
              <w:keepLines w:val="0"/>
              <w:pageBreakBefore w:val="0"/>
              <w:widowControl w:val="0"/>
              <w:kinsoku/>
              <w:wordWrap/>
              <w:overflowPunct/>
              <w:topLinePunct w:val="0"/>
              <w:autoSpaceDE/>
              <w:autoSpaceDN/>
              <w:bidi w:val="0"/>
              <w:adjustRightInd/>
              <w:snapToGrid/>
              <w:spacing w:before="92" w:line="203" w:lineRule="auto"/>
              <w:ind w:left="0"/>
              <w:jc w:val="center"/>
              <w:textAlignment w:val="auto"/>
              <w:rPr>
                <w:rFonts w:ascii="Arial" w:hAnsi="Arial" w:eastAsia="Arial" w:cs="Arial"/>
                <w:sz w:val="23"/>
                <w:szCs w:val="23"/>
              </w:rPr>
            </w:pPr>
            <w:r>
              <w:rPr>
                <w:rFonts w:ascii="Arial" w:hAnsi="Arial" w:eastAsia="Arial" w:cs="Arial"/>
                <w:sz w:val="23"/>
                <w:szCs w:val="23"/>
              </w:rPr>
              <w:t>1</w:t>
            </w:r>
          </w:p>
        </w:tc>
        <w:tc>
          <w:tcPr>
            <w:tcW w:w="3714" w:type="dxa"/>
            <w:tcBorders>
              <w:tl2br w:val="nil"/>
              <w:tr2bl w:val="nil"/>
            </w:tcBorders>
            <w:noWrap w:val="0"/>
            <w:vAlign w:val="top"/>
          </w:tcPr>
          <w:p w14:paraId="36A7E602">
            <w:pPr>
              <w:keepNext w:val="0"/>
              <w:keepLines w:val="0"/>
              <w:pageBreakBefore w:val="0"/>
              <w:widowControl w:val="0"/>
              <w:wordWrap/>
              <w:overflowPunct/>
              <w:bidi w:val="0"/>
              <w:spacing w:before="79" w:line="227" w:lineRule="auto"/>
              <w:ind w:left="129"/>
              <w:rPr>
                <w:rFonts w:ascii="仿宋" w:hAnsi="仿宋" w:eastAsia="仿宋" w:cs="仿宋"/>
                <w:sz w:val="23"/>
                <w:szCs w:val="23"/>
              </w:rPr>
            </w:pPr>
            <w:r>
              <w:rPr>
                <w:rFonts w:ascii="Arial" w:hAnsi="Arial" w:eastAsia="Arial" w:cs="Arial"/>
                <w:spacing w:val="5"/>
                <w:sz w:val="23"/>
                <w:szCs w:val="23"/>
              </w:rPr>
              <w:t>1</w:t>
            </w:r>
            <w:r>
              <w:rPr>
                <w:rFonts w:ascii="Arial" w:hAnsi="Arial" w:eastAsia="Arial" w:cs="Arial"/>
                <w:spacing w:val="4"/>
                <w:sz w:val="23"/>
                <w:szCs w:val="23"/>
              </w:rPr>
              <w:t>10</w:t>
            </w:r>
            <w:r>
              <w:rPr>
                <w:rFonts w:ascii="Arial" w:hAnsi="Arial" w:eastAsia="Arial" w:cs="Arial"/>
                <w:sz w:val="23"/>
                <w:szCs w:val="23"/>
              </w:rPr>
              <w:t>KV</w:t>
            </w:r>
            <w:r>
              <w:rPr>
                <w:rFonts w:ascii="仿宋" w:hAnsi="仿宋" w:eastAsia="仿宋" w:cs="仿宋"/>
                <w:spacing w:val="4"/>
                <w:sz w:val="23"/>
                <w:szCs w:val="23"/>
              </w:rPr>
              <w:t>港区变</w:t>
            </w:r>
          </w:p>
        </w:tc>
        <w:tc>
          <w:tcPr>
            <w:tcW w:w="2396" w:type="dxa"/>
            <w:tcBorders>
              <w:tl2br w:val="nil"/>
              <w:tr2bl w:val="nil"/>
            </w:tcBorders>
            <w:noWrap w:val="0"/>
            <w:vAlign w:val="top"/>
          </w:tcPr>
          <w:p w14:paraId="1E59A931">
            <w:pPr>
              <w:keepNext w:val="0"/>
              <w:keepLines w:val="0"/>
              <w:pageBreakBefore w:val="0"/>
              <w:widowControl w:val="0"/>
              <w:wordWrap/>
              <w:overflowPunct/>
              <w:bidi w:val="0"/>
              <w:spacing w:before="26" w:line="319" w:lineRule="exact"/>
              <w:ind w:left="107"/>
              <w:rPr>
                <w:rFonts w:ascii="Arial" w:hAnsi="Arial" w:eastAsia="Arial" w:cs="Arial"/>
                <w:sz w:val="23"/>
                <w:szCs w:val="23"/>
              </w:rPr>
            </w:pPr>
            <w:r>
              <w:rPr>
                <w:rFonts w:ascii="Arial" w:hAnsi="Arial" w:eastAsia="Arial" w:cs="Arial"/>
                <w:spacing w:val="6"/>
                <w:position w:val="1"/>
                <w:sz w:val="23"/>
                <w:szCs w:val="23"/>
              </w:rPr>
              <w:t>4</w:t>
            </w:r>
            <w:r>
              <w:rPr>
                <w:rFonts w:ascii="Arial" w:hAnsi="Arial" w:eastAsia="Arial" w:cs="Arial"/>
                <w:spacing w:val="5"/>
                <w:position w:val="1"/>
                <w:sz w:val="23"/>
                <w:szCs w:val="23"/>
              </w:rPr>
              <w:t>0+50</w:t>
            </w:r>
          </w:p>
        </w:tc>
        <w:tc>
          <w:tcPr>
            <w:tcW w:w="1940" w:type="dxa"/>
            <w:tcBorders>
              <w:tl2br w:val="nil"/>
              <w:tr2bl w:val="nil"/>
            </w:tcBorders>
            <w:noWrap w:val="0"/>
            <w:vAlign w:val="top"/>
          </w:tcPr>
          <w:p w14:paraId="3DB6DCD4">
            <w:pPr>
              <w:keepNext w:val="0"/>
              <w:keepLines w:val="0"/>
              <w:pageBreakBefore w:val="0"/>
              <w:widowControl w:val="0"/>
              <w:wordWrap/>
              <w:overflowPunct/>
              <w:bidi w:val="0"/>
              <w:spacing w:before="92" w:line="203" w:lineRule="auto"/>
              <w:ind w:left="118"/>
              <w:rPr>
                <w:rFonts w:ascii="Arial" w:hAnsi="Arial" w:eastAsia="Arial" w:cs="Arial"/>
                <w:sz w:val="23"/>
                <w:szCs w:val="23"/>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4"/>
                <w:sz w:val="23"/>
                <w:szCs w:val="23"/>
              </w:rPr>
              <w:t>50</w:t>
            </w:r>
          </w:p>
        </w:tc>
      </w:tr>
      <w:tr w14:paraId="6D78EC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183" w:type="dxa"/>
            <w:tcBorders>
              <w:tl2br w:val="nil"/>
              <w:tr2bl w:val="nil"/>
            </w:tcBorders>
            <w:noWrap w:val="0"/>
            <w:vAlign w:val="top"/>
          </w:tcPr>
          <w:p w14:paraId="5858FEA1">
            <w:pPr>
              <w:keepNext w:val="0"/>
              <w:keepLines w:val="0"/>
              <w:pageBreakBefore w:val="0"/>
              <w:widowControl w:val="0"/>
              <w:kinsoku/>
              <w:wordWrap/>
              <w:overflowPunct/>
              <w:topLinePunct w:val="0"/>
              <w:autoSpaceDE/>
              <w:autoSpaceDN/>
              <w:bidi w:val="0"/>
              <w:adjustRightInd/>
              <w:snapToGrid/>
              <w:spacing w:before="92" w:line="203" w:lineRule="auto"/>
              <w:ind w:left="0"/>
              <w:jc w:val="center"/>
              <w:textAlignment w:val="auto"/>
              <w:rPr>
                <w:rFonts w:ascii="Arial" w:hAnsi="Arial" w:eastAsia="Arial" w:cs="Arial"/>
                <w:sz w:val="23"/>
                <w:szCs w:val="23"/>
              </w:rPr>
            </w:pPr>
            <w:r>
              <w:rPr>
                <w:rFonts w:ascii="Arial" w:hAnsi="Arial" w:eastAsia="Arial" w:cs="Arial"/>
                <w:sz w:val="23"/>
                <w:szCs w:val="23"/>
              </w:rPr>
              <w:t>2</w:t>
            </w:r>
          </w:p>
        </w:tc>
        <w:tc>
          <w:tcPr>
            <w:tcW w:w="3714" w:type="dxa"/>
            <w:tcBorders>
              <w:tl2br w:val="nil"/>
              <w:tr2bl w:val="nil"/>
            </w:tcBorders>
            <w:noWrap w:val="0"/>
            <w:vAlign w:val="top"/>
          </w:tcPr>
          <w:p w14:paraId="16E93EB7">
            <w:pPr>
              <w:keepNext w:val="0"/>
              <w:keepLines w:val="0"/>
              <w:pageBreakBefore w:val="0"/>
              <w:widowControl w:val="0"/>
              <w:wordWrap/>
              <w:overflowPunct/>
              <w:bidi w:val="0"/>
              <w:spacing w:before="81" w:line="225" w:lineRule="auto"/>
              <w:ind w:left="129"/>
              <w:rPr>
                <w:rFonts w:ascii="仿宋" w:hAnsi="仿宋" w:eastAsia="仿宋" w:cs="仿宋"/>
                <w:sz w:val="23"/>
                <w:szCs w:val="23"/>
              </w:rPr>
            </w:pPr>
            <w:r>
              <w:rPr>
                <w:rFonts w:ascii="Arial" w:hAnsi="Arial" w:eastAsia="Arial" w:cs="Arial"/>
                <w:spacing w:val="5"/>
                <w:sz w:val="23"/>
                <w:szCs w:val="23"/>
              </w:rPr>
              <w:t>1</w:t>
            </w:r>
            <w:r>
              <w:rPr>
                <w:rFonts w:ascii="Arial" w:hAnsi="Arial" w:eastAsia="Arial" w:cs="Arial"/>
                <w:spacing w:val="4"/>
                <w:sz w:val="23"/>
                <w:szCs w:val="23"/>
              </w:rPr>
              <w:t>10</w:t>
            </w:r>
            <w:r>
              <w:rPr>
                <w:rFonts w:ascii="Arial" w:hAnsi="Arial" w:eastAsia="Arial" w:cs="Arial"/>
                <w:sz w:val="23"/>
                <w:szCs w:val="23"/>
              </w:rPr>
              <w:t>KV</w:t>
            </w:r>
            <w:r>
              <w:rPr>
                <w:rFonts w:ascii="仿宋" w:hAnsi="仿宋" w:eastAsia="仿宋" w:cs="仿宋"/>
                <w:spacing w:val="4"/>
                <w:sz w:val="23"/>
                <w:szCs w:val="23"/>
              </w:rPr>
              <w:t>峰尾变</w:t>
            </w:r>
          </w:p>
        </w:tc>
        <w:tc>
          <w:tcPr>
            <w:tcW w:w="2396" w:type="dxa"/>
            <w:tcBorders>
              <w:tl2br w:val="nil"/>
              <w:tr2bl w:val="nil"/>
            </w:tcBorders>
            <w:noWrap w:val="0"/>
            <w:vAlign w:val="top"/>
          </w:tcPr>
          <w:p w14:paraId="4B451DBB">
            <w:pPr>
              <w:keepNext w:val="0"/>
              <w:keepLines w:val="0"/>
              <w:pageBreakBefore w:val="0"/>
              <w:widowControl w:val="0"/>
              <w:wordWrap/>
              <w:overflowPunct/>
              <w:bidi w:val="0"/>
              <w:spacing w:before="92" w:line="203" w:lineRule="auto"/>
              <w:ind w:left="130"/>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X</w:t>
            </w:r>
            <w:r>
              <w:rPr>
                <w:rFonts w:ascii="Arial" w:hAnsi="Arial" w:eastAsia="Arial" w:cs="Arial"/>
                <w:spacing w:val="-1"/>
                <w:sz w:val="23"/>
                <w:szCs w:val="23"/>
              </w:rPr>
              <w:t>40</w:t>
            </w:r>
          </w:p>
        </w:tc>
        <w:tc>
          <w:tcPr>
            <w:tcW w:w="1940" w:type="dxa"/>
            <w:tcBorders>
              <w:tl2br w:val="nil"/>
              <w:tr2bl w:val="nil"/>
            </w:tcBorders>
            <w:noWrap w:val="0"/>
            <w:vAlign w:val="top"/>
          </w:tcPr>
          <w:p w14:paraId="34494FB4">
            <w:pPr>
              <w:keepNext w:val="0"/>
              <w:keepLines w:val="0"/>
              <w:pageBreakBefore w:val="0"/>
              <w:widowControl w:val="0"/>
              <w:wordWrap/>
              <w:overflowPunct/>
              <w:bidi w:val="0"/>
              <w:spacing w:before="92" w:line="203" w:lineRule="auto"/>
              <w:ind w:left="118"/>
              <w:rPr>
                <w:rFonts w:ascii="Arial" w:hAnsi="Arial" w:eastAsia="Arial" w:cs="Arial"/>
                <w:sz w:val="23"/>
                <w:szCs w:val="23"/>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4"/>
                <w:sz w:val="23"/>
                <w:szCs w:val="23"/>
              </w:rPr>
              <w:t>40</w:t>
            </w:r>
          </w:p>
        </w:tc>
      </w:tr>
      <w:tr w14:paraId="28F07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83" w:type="dxa"/>
            <w:tcBorders>
              <w:tl2br w:val="nil"/>
              <w:tr2bl w:val="nil"/>
            </w:tcBorders>
            <w:noWrap w:val="0"/>
            <w:vAlign w:val="top"/>
          </w:tcPr>
          <w:p w14:paraId="228A6D60">
            <w:pPr>
              <w:keepNext w:val="0"/>
              <w:keepLines w:val="0"/>
              <w:pageBreakBefore w:val="0"/>
              <w:widowControl w:val="0"/>
              <w:kinsoku/>
              <w:wordWrap/>
              <w:overflowPunct/>
              <w:topLinePunct w:val="0"/>
              <w:autoSpaceDE/>
              <w:autoSpaceDN/>
              <w:bidi w:val="0"/>
              <w:adjustRightInd/>
              <w:snapToGrid/>
              <w:spacing w:before="93" w:line="203" w:lineRule="auto"/>
              <w:ind w:left="0"/>
              <w:jc w:val="center"/>
              <w:textAlignment w:val="auto"/>
              <w:rPr>
                <w:rFonts w:ascii="Arial" w:hAnsi="Arial" w:eastAsia="Arial" w:cs="Arial"/>
                <w:sz w:val="23"/>
                <w:szCs w:val="23"/>
              </w:rPr>
            </w:pPr>
            <w:r>
              <w:rPr>
                <w:rFonts w:ascii="Arial" w:hAnsi="Arial" w:eastAsia="Arial" w:cs="Arial"/>
                <w:sz w:val="23"/>
                <w:szCs w:val="23"/>
              </w:rPr>
              <w:t>3</w:t>
            </w:r>
          </w:p>
        </w:tc>
        <w:tc>
          <w:tcPr>
            <w:tcW w:w="3714" w:type="dxa"/>
            <w:tcBorders>
              <w:tl2br w:val="nil"/>
              <w:tr2bl w:val="nil"/>
            </w:tcBorders>
            <w:noWrap w:val="0"/>
            <w:vAlign w:val="top"/>
          </w:tcPr>
          <w:p w14:paraId="0DC96298">
            <w:pPr>
              <w:keepNext w:val="0"/>
              <w:keepLines w:val="0"/>
              <w:pageBreakBefore w:val="0"/>
              <w:widowControl w:val="0"/>
              <w:wordWrap/>
              <w:overflowPunct/>
              <w:bidi w:val="0"/>
              <w:spacing w:before="79" w:line="227" w:lineRule="auto"/>
              <w:ind w:left="129"/>
              <w:rPr>
                <w:rFonts w:ascii="仿宋" w:hAnsi="仿宋" w:eastAsia="仿宋" w:cs="仿宋"/>
                <w:sz w:val="23"/>
                <w:szCs w:val="23"/>
              </w:rPr>
            </w:pPr>
            <w:r>
              <w:rPr>
                <w:rFonts w:ascii="Arial" w:hAnsi="Arial" w:eastAsia="Arial" w:cs="Arial"/>
                <w:spacing w:val="5"/>
                <w:sz w:val="23"/>
                <w:szCs w:val="23"/>
              </w:rPr>
              <w:t>1</w:t>
            </w:r>
            <w:r>
              <w:rPr>
                <w:rFonts w:ascii="Arial" w:hAnsi="Arial" w:eastAsia="Arial" w:cs="Arial"/>
                <w:spacing w:val="4"/>
                <w:sz w:val="23"/>
                <w:szCs w:val="23"/>
              </w:rPr>
              <w:t>10</w:t>
            </w:r>
            <w:r>
              <w:rPr>
                <w:rFonts w:ascii="Arial" w:hAnsi="Arial" w:eastAsia="Arial" w:cs="Arial"/>
                <w:sz w:val="23"/>
                <w:szCs w:val="23"/>
              </w:rPr>
              <w:t>KV</w:t>
            </w:r>
            <w:r>
              <w:rPr>
                <w:rFonts w:ascii="仿宋" w:hAnsi="仿宋" w:eastAsia="仿宋" w:cs="仿宋"/>
                <w:spacing w:val="4"/>
                <w:sz w:val="23"/>
                <w:szCs w:val="23"/>
              </w:rPr>
              <w:t>普安变</w:t>
            </w:r>
          </w:p>
        </w:tc>
        <w:tc>
          <w:tcPr>
            <w:tcW w:w="2396" w:type="dxa"/>
            <w:tcBorders>
              <w:tl2br w:val="nil"/>
              <w:tr2bl w:val="nil"/>
            </w:tcBorders>
            <w:noWrap w:val="0"/>
            <w:vAlign w:val="top"/>
          </w:tcPr>
          <w:p w14:paraId="385ACEA3">
            <w:pPr>
              <w:keepNext w:val="0"/>
              <w:keepLines w:val="0"/>
              <w:pageBreakBefore w:val="0"/>
              <w:widowControl w:val="0"/>
              <w:wordWrap/>
              <w:overflowPunct/>
              <w:bidi w:val="0"/>
              <w:spacing w:before="93" w:line="203" w:lineRule="auto"/>
              <w:ind w:left="111"/>
              <w:rPr>
                <w:rFonts w:ascii="Arial" w:hAnsi="Arial" w:eastAsia="Arial" w:cs="Arial"/>
                <w:sz w:val="23"/>
                <w:szCs w:val="23"/>
              </w:rPr>
            </w:pPr>
            <w:r>
              <w:rPr>
                <w:rFonts w:ascii="Arial" w:hAnsi="Arial" w:eastAsia="Arial" w:cs="Arial"/>
                <w:spacing w:val="6"/>
                <w:sz w:val="23"/>
                <w:szCs w:val="23"/>
              </w:rPr>
              <w:t>2</w:t>
            </w:r>
            <w:r>
              <w:rPr>
                <w:rFonts w:ascii="Arial" w:hAnsi="Arial" w:eastAsia="Arial" w:cs="Arial"/>
                <w:sz w:val="23"/>
                <w:szCs w:val="23"/>
              </w:rPr>
              <w:t>X</w:t>
            </w:r>
            <w:r>
              <w:rPr>
                <w:rFonts w:ascii="Arial" w:hAnsi="Arial" w:eastAsia="Arial" w:cs="Arial"/>
                <w:spacing w:val="5"/>
                <w:sz w:val="23"/>
                <w:szCs w:val="23"/>
              </w:rPr>
              <w:t>40</w:t>
            </w:r>
          </w:p>
        </w:tc>
        <w:tc>
          <w:tcPr>
            <w:tcW w:w="1940" w:type="dxa"/>
            <w:tcBorders>
              <w:tl2br w:val="nil"/>
              <w:tr2bl w:val="nil"/>
            </w:tcBorders>
            <w:noWrap w:val="0"/>
            <w:vAlign w:val="top"/>
          </w:tcPr>
          <w:p w14:paraId="1527ACDC">
            <w:pPr>
              <w:keepNext w:val="0"/>
              <w:keepLines w:val="0"/>
              <w:pageBreakBefore w:val="0"/>
              <w:widowControl w:val="0"/>
              <w:wordWrap/>
              <w:overflowPunct/>
              <w:bidi w:val="0"/>
              <w:spacing w:before="93" w:line="203" w:lineRule="auto"/>
              <w:ind w:left="118"/>
              <w:rPr>
                <w:rFonts w:ascii="Arial" w:hAnsi="Arial" w:eastAsia="Arial" w:cs="Arial"/>
                <w:sz w:val="23"/>
                <w:szCs w:val="23"/>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4"/>
                <w:sz w:val="23"/>
                <w:szCs w:val="23"/>
              </w:rPr>
              <w:t>40</w:t>
            </w:r>
          </w:p>
        </w:tc>
      </w:tr>
      <w:tr w14:paraId="49C66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183" w:type="dxa"/>
            <w:tcBorders>
              <w:tl2br w:val="nil"/>
              <w:tr2bl w:val="nil"/>
            </w:tcBorders>
            <w:noWrap w:val="0"/>
            <w:vAlign w:val="top"/>
          </w:tcPr>
          <w:p w14:paraId="052D9B71">
            <w:pPr>
              <w:keepNext w:val="0"/>
              <w:keepLines w:val="0"/>
              <w:pageBreakBefore w:val="0"/>
              <w:widowControl w:val="0"/>
              <w:kinsoku/>
              <w:wordWrap/>
              <w:overflowPunct/>
              <w:topLinePunct w:val="0"/>
              <w:autoSpaceDE/>
              <w:autoSpaceDN/>
              <w:bidi w:val="0"/>
              <w:adjustRightInd/>
              <w:snapToGrid/>
              <w:spacing w:before="92" w:line="203" w:lineRule="auto"/>
              <w:ind w:left="0"/>
              <w:jc w:val="center"/>
              <w:textAlignment w:val="auto"/>
              <w:rPr>
                <w:rFonts w:ascii="Arial" w:hAnsi="Arial" w:eastAsia="Arial" w:cs="Arial"/>
                <w:sz w:val="23"/>
                <w:szCs w:val="23"/>
              </w:rPr>
            </w:pPr>
            <w:r>
              <w:rPr>
                <w:rFonts w:ascii="Arial" w:hAnsi="Arial" w:eastAsia="Arial" w:cs="Arial"/>
                <w:spacing w:val="2"/>
                <w:sz w:val="23"/>
                <w:szCs w:val="23"/>
              </w:rPr>
              <w:t>4</w:t>
            </w:r>
          </w:p>
        </w:tc>
        <w:tc>
          <w:tcPr>
            <w:tcW w:w="3714" w:type="dxa"/>
            <w:tcBorders>
              <w:tl2br w:val="nil"/>
              <w:tr2bl w:val="nil"/>
            </w:tcBorders>
            <w:noWrap w:val="0"/>
            <w:vAlign w:val="top"/>
          </w:tcPr>
          <w:p w14:paraId="4F52F09B">
            <w:pPr>
              <w:keepNext w:val="0"/>
              <w:keepLines w:val="0"/>
              <w:pageBreakBefore w:val="0"/>
              <w:widowControl w:val="0"/>
              <w:wordWrap/>
              <w:overflowPunct/>
              <w:bidi w:val="0"/>
              <w:spacing w:before="78" w:line="226" w:lineRule="auto"/>
              <w:ind w:left="129"/>
              <w:rPr>
                <w:rFonts w:ascii="仿宋" w:hAnsi="仿宋" w:eastAsia="仿宋" w:cs="仿宋"/>
                <w:sz w:val="23"/>
                <w:szCs w:val="23"/>
              </w:rPr>
            </w:pPr>
            <w:r>
              <w:rPr>
                <w:rFonts w:ascii="Arial" w:hAnsi="Arial" w:eastAsia="Arial" w:cs="Arial"/>
                <w:spacing w:val="5"/>
                <w:sz w:val="23"/>
                <w:szCs w:val="23"/>
              </w:rPr>
              <w:t>1</w:t>
            </w:r>
            <w:r>
              <w:rPr>
                <w:rFonts w:ascii="Arial" w:hAnsi="Arial" w:eastAsia="Arial" w:cs="Arial"/>
                <w:spacing w:val="4"/>
                <w:sz w:val="23"/>
                <w:szCs w:val="23"/>
              </w:rPr>
              <w:t>10</w:t>
            </w:r>
            <w:r>
              <w:rPr>
                <w:rFonts w:ascii="Arial" w:hAnsi="Arial" w:eastAsia="Arial" w:cs="Arial"/>
                <w:sz w:val="23"/>
                <w:szCs w:val="23"/>
              </w:rPr>
              <w:t>KV</w:t>
            </w:r>
            <w:r>
              <w:rPr>
                <w:rFonts w:ascii="仿宋" w:hAnsi="仿宋" w:eastAsia="仿宋" w:cs="仿宋"/>
                <w:spacing w:val="4"/>
                <w:sz w:val="23"/>
                <w:szCs w:val="23"/>
              </w:rPr>
              <w:t>仙境变</w:t>
            </w:r>
          </w:p>
        </w:tc>
        <w:tc>
          <w:tcPr>
            <w:tcW w:w="2396" w:type="dxa"/>
            <w:tcBorders>
              <w:tl2br w:val="nil"/>
              <w:tr2bl w:val="nil"/>
            </w:tcBorders>
            <w:noWrap w:val="0"/>
            <w:vAlign w:val="top"/>
          </w:tcPr>
          <w:p w14:paraId="6AB63CD6">
            <w:pPr>
              <w:keepNext w:val="0"/>
              <w:keepLines w:val="0"/>
              <w:pageBreakBefore w:val="0"/>
              <w:widowControl w:val="0"/>
              <w:wordWrap/>
              <w:overflowPunct/>
              <w:bidi w:val="0"/>
              <w:spacing w:before="92" w:line="203" w:lineRule="auto"/>
              <w:ind w:left="111"/>
              <w:rPr>
                <w:rFonts w:ascii="Arial" w:hAnsi="Arial" w:eastAsia="Arial" w:cs="Arial"/>
                <w:sz w:val="23"/>
                <w:szCs w:val="23"/>
              </w:rPr>
            </w:pPr>
            <w:r>
              <w:rPr>
                <w:rFonts w:ascii="Arial" w:hAnsi="Arial" w:eastAsia="Arial" w:cs="Arial"/>
                <w:spacing w:val="6"/>
                <w:sz w:val="23"/>
                <w:szCs w:val="23"/>
              </w:rPr>
              <w:t>2</w:t>
            </w:r>
            <w:r>
              <w:rPr>
                <w:rFonts w:ascii="Arial" w:hAnsi="Arial" w:eastAsia="Arial" w:cs="Arial"/>
                <w:sz w:val="23"/>
                <w:szCs w:val="23"/>
              </w:rPr>
              <w:t>X</w:t>
            </w:r>
            <w:r>
              <w:rPr>
                <w:rFonts w:ascii="Arial" w:hAnsi="Arial" w:eastAsia="Arial" w:cs="Arial"/>
                <w:spacing w:val="5"/>
                <w:sz w:val="23"/>
                <w:szCs w:val="23"/>
              </w:rPr>
              <w:t>50</w:t>
            </w:r>
          </w:p>
        </w:tc>
        <w:tc>
          <w:tcPr>
            <w:tcW w:w="1940" w:type="dxa"/>
            <w:tcBorders>
              <w:tl2br w:val="nil"/>
              <w:tr2bl w:val="nil"/>
            </w:tcBorders>
            <w:noWrap w:val="0"/>
            <w:vAlign w:val="top"/>
          </w:tcPr>
          <w:p w14:paraId="1110816D">
            <w:pPr>
              <w:keepNext w:val="0"/>
              <w:keepLines w:val="0"/>
              <w:pageBreakBefore w:val="0"/>
              <w:widowControl w:val="0"/>
              <w:wordWrap/>
              <w:overflowPunct/>
              <w:bidi w:val="0"/>
              <w:spacing w:before="92" w:line="203" w:lineRule="auto"/>
              <w:ind w:left="118"/>
              <w:rPr>
                <w:rFonts w:ascii="Arial" w:hAnsi="Arial" w:eastAsia="Arial" w:cs="Arial"/>
                <w:sz w:val="23"/>
                <w:szCs w:val="23"/>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4"/>
                <w:sz w:val="23"/>
                <w:szCs w:val="23"/>
              </w:rPr>
              <w:t>50</w:t>
            </w:r>
          </w:p>
        </w:tc>
      </w:tr>
      <w:tr w14:paraId="461122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83" w:type="dxa"/>
            <w:tcBorders>
              <w:tl2br w:val="nil"/>
              <w:tr2bl w:val="nil"/>
            </w:tcBorders>
            <w:noWrap w:val="0"/>
            <w:vAlign w:val="top"/>
          </w:tcPr>
          <w:p w14:paraId="32E3AB22">
            <w:pPr>
              <w:keepNext w:val="0"/>
              <w:keepLines w:val="0"/>
              <w:pageBreakBefore w:val="0"/>
              <w:widowControl w:val="0"/>
              <w:kinsoku/>
              <w:wordWrap/>
              <w:overflowPunct/>
              <w:topLinePunct w:val="0"/>
              <w:autoSpaceDE/>
              <w:autoSpaceDN/>
              <w:bidi w:val="0"/>
              <w:adjustRightInd/>
              <w:snapToGrid/>
              <w:spacing w:before="97" w:line="200" w:lineRule="auto"/>
              <w:ind w:left="0"/>
              <w:jc w:val="center"/>
              <w:textAlignment w:val="auto"/>
              <w:rPr>
                <w:rFonts w:ascii="Arial" w:hAnsi="Arial" w:eastAsia="Arial" w:cs="Arial"/>
                <w:sz w:val="23"/>
                <w:szCs w:val="23"/>
              </w:rPr>
            </w:pPr>
            <w:r>
              <w:rPr>
                <w:rFonts w:ascii="Arial" w:hAnsi="Arial" w:eastAsia="Arial" w:cs="Arial"/>
                <w:sz w:val="23"/>
                <w:szCs w:val="23"/>
              </w:rPr>
              <w:t>5</w:t>
            </w:r>
          </w:p>
        </w:tc>
        <w:tc>
          <w:tcPr>
            <w:tcW w:w="3714" w:type="dxa"/>
            <w:tcBorders>
              <w:tl2br w:val="nil"/>
              <w:tr2bl w:val="nil"/>
            </w:tcBorders>
            <w:noWrap w:val="0"/>
            <w:vAlign w:val="top"/>
          </w:tcPr>
          <w:p w14:paraId="57EFEF55">
            <w:pPr>
              <w:keepNext w:val="0"/>
              <w:keepLines w:val="0"/>
              <w:pageBreakBefore w:val="0"/>
              <w:widowControl w:val="0"/>
              <w:wordWrap/>
              <w:overflowPunct/>
              <w:bidi w:val="0"/>
              <w:spacing w:before="81" w:line="226" w:lineRule="auto"/>
              <w:ind w:left="129"/>
              <w:rPr>
                <w:rFonts w:ascii="仿宋" w:hAnsi="仿宋" w:eastAsia="仿宋" w:cs="仿宋"/>
                <w:sz w:val="23"/>
                <w:szCs w:val="23"/>
              </w:rPr>
            </w:pPr>
            <w:r>
              <w:rPr>
                <w:rFonts w:ascii="Arial" w:hAnsi="Arial" w:eastAsia="Arial" w:cs="Arial"/>
                <w:spacing w:val="5"/>
                <w:sz w:val="23"/>
                <w:szCs w:val="23"/>
              </w:rPr>
              <w:t>110</w:t>
            </w:r>
            <w:r>
              <w:rPr>
                <w:rFonts w:ascii="Arial" w:hAnsi="Arial" w:eastAsia="Arial" w:cs="Arial"/>
                <w:sz w:val="23"/>
                <w:szCs w:val="23"/>
              </w:rPr>
              <w:t>KV</w:t>
            </w:r>
            <w:r>
              <w:rPr>
                <w:rFonts w:ascii="仿宋" w:hAnsi="仿宋" w:eastAsia="仿宋" w:cs="仿宋"/>
                <w:spacing w:val="5"/>
                <w:sz w:val="23"/>
                <w:szCs w:val="23"/>
              </w:rPr>
              <w:t>炼油厂</w:t>
            </w:r>
            <w:r>
              <w:rPr>
                <w:rFonts w:ascii="仿宋" w:hAnsi="仿宋" w:eastAsia="仿宋" w:cs="仿宋"/>
                <w:spacing w:val="4"/>
                <w:sz w:val="23"/>
                <w:szCs w:val="23"/>
              </w:rPr>
              <w:t>变</w:t>
            </w:r>
          </w:p>
        </w:tc>
        <w:tc>
          <w:tcPr>
            <w:tcW w:w="2396" w:type="dxa"/>
            <w:tcBorders>
              <w:tl2br w:val="nil"/>
              <w:tr2bl w:val="nil"/>
            </w:tcBorders>
            <w:noWrap w:val="0"/>
            <w:vAlign w:val="top"/>
          </w:tcPr>
          <w:p w14:paraId="7555DCBE">
            <w:pPr>
              <w:keepNext w:val="0"/>
              <w:keepLines w:val="0"/>
              <w:pageBreakBefore w:val="0"/>
              <w:widowControl w:val="0"/>
              <w:wordWrap/>
              <w:overflowPunct/>
              <w:bidi w:val="0"/>
              <w:spacing w:before="94" w:line="203" w:lineRule="auto"/>
              <w:ind w:left="111"/>
              <w:rPr>
                <w:rFonts w:ascii="Arial" w:hAnsi="Arial" w:eastAsia="Arial" w:cs="Arial"/>
                <w:sz w:val="23"/>
                <w:szCs w:val="23"/>
              </w:rPr>
            </w:pPr>
            <w:r>
              <w:rPr>
                <w:rFonts w:ascii="Arial" w:hAnsi="Arial" w:eastAsia="Arial" w:cs="Arial"/>
                <w:spacing w:val="6"/>
                <w:sz w:val="23"/>
                <w:szCs w:val="23"/>
              </w:rPr>
              <w:t>2</w:t>
            </w:r>
            <w:r>
              <w:rPr>
                <w:rFonts w:ascii="Arial" w:hAnsi="Arial" w:eastAsia="Arial" w:cs="Arial"/>
                <w:sz w:val="23"/>
                <w:szCs w:val="23"/>
              </w:rPr>
              <w:t>X</w:t>
            </w:r>
            <w:r>
              <w:rPr>
                <w:rFonts w:ascii="Arial" w:hAnsi="Arial" w:eastAsia="Arial" w:cs="Arial"/>
                <w:spacing w:val="6"/>
                <w:sz w:val="23"/>
                <w:szCs w:val="23"/>
              </w:rPr>
              <w:t>31.5</w:t>
            </w:r>
          </w:p>
        </w:tc>
        <w:tc>
          <w:tcPr>
            <w:tcW w:w="1940" w:type="dxa"/>
            <w:tcBorders>
              <w:tl2br w:val="nil"/>
              <w:tr2bl w:val="nil"/>
            </w:tcBorders>
            <w:noWrap w:val="0"/>
            <w:vAlign w:val="top"/>
          </w:tcPr>
          <w:p w14:paraId="1FC5927F">
            <w:pPr>
              <w:keepNext w:val="0"/>
              <w:keepLines w:val="0"/>
              <w:pageBreakBefore w:val="0"/>
              <w:widowControl w:val="0"/>
              <w:wordWrap/>
              <w:overflowPunct/>
              <w:bidi w:val="0"/>
              <w:spacing w:before="193" w:line="150" w:lineRule="exact"/>
              <w:ind w:left="129"/>
              <w:rPr>
                <w:rFonts w:ascii="仿宋" w:hAnsi="仿宋" w:eastAsia="仿宋" w:cs="仿宋"/>
                <w:sz w:val="9"/>
                <w:szCs w:val="9"/>
              </w:rPr>
            </w:pPr>
            <w:r>
              <w:rPr>
                <w:rFonts w:ascii="仿宋" w:hAnsi="仿宋" w:eastAsia="仿宋" w:cs="仿宋"/>
                <w:spacing w:val="140"/>
                <w:position w:val="1"/>
                <w:sz w:val="9"/>
                <w:szCs w:val="9"/>
              </w:rPr>
              <w:t>—</w:t>
            </w:r>
            <w:r>
              <w:rPr>
                <w:rFonts w:ascii="仿宋" w:hAnsi="仿宋" w:eastAsia="仿宋" w:cs="仿宋"/>
                <w:spacing w:val="139"/>
                <w:position w:val="1"/>
                <w:sz w:val="9"/>
                <w:szCs w:val="9"/>
              </w:rPr>
              <w:t>—</w:t>
            </w:r>
          </w:p>
        </w:tc>
      </w:tr>
      <w:tr w14:paraId="4DFD8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83" w:type="dxa"/>
            <w:tcBorders>
              <w:tl2br w:val="nil"/>
              <w:tr2bl w:val="nil"/>
            </w:tcBorders>
            <w:noWrap w:val="0"/>
            <w:vAlign w:val="top"/>
          </w:tcPr>
          <w:p w14:paraId="2C1C87EC">
            <w:pPr>
              <w:keepNext w:val="0"/>
              <w:keepLines w:val="0"/>
              <w:pageBreakBefore w:val="0"/>
              <w:widowControl w:val="0"/>
              <w:kinsoku/>
              <w:wordWrap/>
              <w:overflowPunct/>
              <w:topLinePunct w:val="0"/>
              <w:autoSpaceDE/>
              <w:autoSpaceDN/>
              <w:bidi w:val="0"/>
              <w:adjustRightInd/>
              <w:snapToGrid/>
              <w:spacing w:before="91" w:line="203" w:lineRule="auto"/>
              <w:ind w:left="0" w:leftChars="0"/>
              <w:jc w:val="center"/>
              <w:textAlignment w:val="auto"/>
              <w:rPr>
                <w:rFonts w:ascii="Arial" w:hAnsi="Arial" w:eastAsia="Arial" w:cs="Arial"/>
                <w:sz w:val="23"/>
                <w:szCs w:val="23"/>
              </w:rPr>
            </w:pPr>
            <w:r>
              <w:rPr>
                <w:rFonts w:ascii="Arial" w:hAnsi="Arial" w:eastAsia="Arial" w:cs="Arial"/>
                <w:sz w:val="23"/>
                <w:szCs w:val="23"/>
              </w:rPr>
              <w:t>6</w:t>
            </w:r>
          </w:p>
        </w:tc>
        <w:tc>
          <w:tcPr>
            <w:tcW w:w="3714" w:type="dxa"/>
            <w:tcBorders>
              <w:tl2br w:val="nil"/>
              <w:tr2bl w:val="nil"/>
            </w:tcBorders>
            <w:noWrap w:val="0"/>
            <w:vAlign w:val="top"/>
          </w:tcPr>
          <w:p w14:paraId="7BDF493E">
            <w:pPr>
              <w:keepNext w:val="0"/>
              <w:keepLines w:val="0"/>
              <w:pageBreakBefore w:val="0"/>
              <w:widowControl w:val="0"/>
              <w:wordWrap/>
              <w:overflowPunct/>
              <w:bidi w:val="0"/>
              <w:spacing w:before="77" w:line="225" w:lineRule="auto"/>
              <w:ind w:left="129" w:leftChars="0"/>
              <w:rPr>
                <w:rFonts w:ascii="Arial" w:hAnsi="Arial" w:eastAsia="Arial" w:cs="Arial"/>
                <w:spacing w:val="5"/>
                <w:sz w:val="23"/>
                <w:szCs w:val="23"/>
              </w:rPr>
            </w:pPr>
            <w:r>
              <w:rPr>
                <w:rFonts w:ascii="Arial" w:hAnsi="Arial" w:eastAsia="Arial" w:cs="Arial"/>
                <w:spacing w:val="5"/>
                <w:sz w:val="23"/>
                <w:szCs w:val="23"/>
              </w:rPr>
              <w:t>1</w:t>
            </w:r>
            <w:r>
              <w:rPr>
                <w:rFonts w:ascii="Arial" w:hAnsi="Arial" w:eastAsia="Arial" w:cs="Arial"/>
                <w:spacing w:val="4"/>
                <w:sz w:val="23"/>
                <w:szCs w:val="23"/>
              </w:rPr>
              <w:t>10</w:t>
            </w:r>
            <w:r>
              <w:rPr>
                <w:rFonts w:ascii="Arial" w:hAnsi="Arial" w:eastAsia="Arial" w:cs="Arial"/>
                <w:sz w:val="23"/>
                <w:szCs w:val="23"/>
              </w:rPr>
              <w:t>KV</w:t>
            </w:r>
            <w:r>
              <w:rPr>
                <w:rFonts w:ascii="仿宋" w:hAnsi="仿宋" w:eastAsia="仿宋" w:cs="仿宋"/>
                <w:spacing w:val="4"/>
                <w:sz w:val="23"/>
                <w:szCs w:val="23"/>
              </w:rPr>
              <w:t>氯厂变</w:t>
            </w:r>
          </w:p>
        </w:tc>
        <w:tc>
          <w:tcPr>
            <w:tcW w:w="2396" w:type="dxa"/>
            <w:tcBorders>
              <w:tl2br w:val="nil"/>
              <w:tr2bl w:val="nil"/>
            </w:tcBorders>
            <w:noWrap w:val="0"/>
            <w:vAlign w:val="top"/>
          </w:tcPr>
          <w:p w14:paraId="01669D90">
            <w:pPr>
              <w:keepNext w:val="0"/>
              <w:keepLines w:val="0"/>
              <w:pageBreakBefore w:val="0"/>
              <w:widowControl w:val="0"/>
              <w:wordWrap/>
              <w:overflowPunct/>
              <w:bidi w:val="0"/>
              <w:spacing w:before="24" w:line="319" w:lineRule="exact"/>
              <w:ind w:left="114" w:leftChars="0"/>
              <w:rPr>
                <w:rFonts w:ascii="Arial" w:hAnsi="Arial" w:eastAsia="Arial" w:cs="Arial"/>
                <w:spacing w:val="6"/>
                <w:sz w:val="23"/>
                <w:szCs w:val="23"/>
              </w:rPr>
            </w:pPr>
            <w:r>
              <w:rPr>
                <w:rFonts w:ascii="Arial" w:hAnsi="Arial" w:eastAsia="Arial" w:cs="Arial"/>
                <w:spacing w:val="4"/>
                <w:position w:val="1"/>
                <w:sz w:val="23"/>
                <w:szCs w:val="23"/>
              </w:rPr>
              <w:t>31.5+5</w:t>
            </w:r>
            <w:r>
              <w:rPr>
                <w:rFonts w:ascii="Arial" w:hAnsi="Arial" w:eastAsia="Arial" w:cs="Arial"/>
                <w:spacing w:val="3"/>
                <w:position w:val="1"/>
                <w:sz w:val="23"/>
                <w:szCs w:val="23"/>
              </w:rPr>
              <w:t>0</w:t>
            </w:r>
          </w:p>
        </w:tc>
        <w:tc>
          <w:tcPr>
            <w:tcW w:w="1940" w:type="dxa"/>
            <w:tcBorders>
              <w:tl2br w:val="nil"/>
              <w:tr2bl w:val="nil"/>
            </w:tcBorders>
            <w:noWrap w:val="0"/>
            <w:vAlign w:val="top"/>
          </w:tcPr>
          <w:p w14:paraId="68BD6020">
            <w:pPr>
              <w:keepNext w:val="0"/>
              <w:keepLines w:val="0"/>
              <w:pageBreakBefore w:val="0"/>
              <w:widowControl w:val="0"/>
              <w:wordWrap/>
              <w:overflowPunct/>
              <w:bidi w:val="0"/>
              <w:spacing w:before="189" w:line="150" w:lineRule="exact"/>
              <w:ind w:left="129" w:leftChars="0"/>
              <w:rPr>
                <w:rFonts w:ascii="仿宋" w:hAnsi="仿宋" w:eastAsia="仿宋" w:cs="仿宋"/>
                <w:spacing w:val="140"/>
                <w:position w:val="1"/>
                <w:sz w:val="9"/>
                <w:szCs w:val="9"/>
              </w:rPr>
            </w:pPr>
            <w:r>
              <w:rPr>
                <w:rFonts w:ascii="仿宋" w:hAnsi="仿宋" w:eastAsia="仿宋" w:cs="仿宋"/>
                <w:spacing w:val="140"/>
                <w:position w:val="1"/>
                <w:sz w:val="9"/>
                <w:szCs w:val="9"/>
              </w:rPr>
              <w:t>—</w:t>
            </w:r>
            <w:r>
              <w:rPr>
                <w:rFonts w:ascii="仿宋" w:hAnsi="仿宋" w:eastAsia="仿宋" w:cs="仿宋"/>
                <w:spacing w:val="139"/>
                <w:position w:val="1"/>
                <w:sz w:val="9"/>
                <w:szCs w:val="9"/>
              </w:rPr>
              <w:t>—</w:t>
            </w:r>
          </w:p>
        </w:tc>
      </w:tr>
      <w:tr w14:paraId="269A15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83" w:type="dxa"/>
            <w:tcBorders>
              <w:tl2br w:val="nil"/>
              <w:tr2bl w:val="nil"/>
            </w:tcBorders>
            <w:noWrap w:val="0"/>
            <w:vAlign w:val="top"/>
          </w:tcPr>
          <w:p w14:paraId="4F078028">
            <w:pPr>
              <w:keepNext w:val="0"/>
              <w:keepLines w:val="0"/>
              <w:pageBreakBefore w:val="0"/>
              <w:widowControl w:val="0"/>
              <w:kinsoku/>
              <w:wordWrap/>
              <w:overflowPunct/>
              <w:topLinePunct w:val="0"/>
              <w:autoSpaceDE/>
              <w:autoSpaceDN/>
              <w:bidi w:val="0"/>
              <w:adjustRightInd/>
              <w:snapToGrid/>
              <w:spacing w:before="94" w:line="201" w:lineRule="auto"/>
              <w:ind w:left="0" w:leftChars="0"/>
              <w:jc w:val="center"/>
              <w:textAlignment w:val="auto"/>
              <w:rPr>
                <w:rFonts w:ascii="Arial" w:hAnsi="Arial" w:eastAsia="Arial" w:cs="Arial"/>
                <w:sz w:val="23"/>
                <w:szCs w:val="23"/>
              </w:rPr>
            </w:pPr>
            <w:r>
              <w:rPr>
                <w:rFonts w:ascii="Arial" w:hAnsi="Arial" w:eastAsia="Arial" w:cs="Arial"/>
                <w:sz w:val="23"/>
                <w:szCs w:val="23"/>
              </w:rPr>
              <w:t>7</w:t>
            </w:r>
          </w:p>
        </w:tc>
        <w:tc>
          <w:tcPr>
            <w:tcW w:w="3714" w:type="dxa"/>
            <w:tcBorders>
              <w:tl2br w:val="nil"/>
              <w:tr2bl w:val="nil"/>
            </w:tcBorders>
            <w:noWrap w:val="0"/>
            <w:vAlign w:val="top"/>
          </w:tcPr>
          <w:p w14:paraId="4FE4C952">
            <w:pPr>
              <w:keepNext w:val="0"/>
              <w:keepLines w:val="0"/>
              <w:pageBreakBefore w:val="0"/>
              <w:widowControl w:val="0"/>
              <w:wordWrap/>
              <w:overflowPunct/>
              <w:bidi w:val="0"/>
              <w:spacing w:before="79" w:line="225" w:lineRule="auto"/>
              <w:ind w:left="129" w:leftChars="0"/>
              <w:rPr>
                <w:rFonts w:ascii="Arial" w:hAnsi="Arial" w:eastAsia="Arial" w:cs="Arial"/>
                <w:spacing w:val="5"/>
                <w:sz w:val="23"/>
                <w:szCs w:val="23"/>
              </w:rPr>
            </w:pPr>
            <w:r>
              <w:rPr>
                <w:rFonts w:ascii="Arial" w:hAnsi="Arial" w:eastAsia="Arial" w:cs="Arial"/>
                <w:spacing w:val="9"/>
                <w:sz w:val="23"/>
                <w:szCs w:val="23"/>
              </w:rPr>
              <w:t>1</w:t>
            </w:r>
            <w:r>
              <w:rPr>
                <w:rFonts w:ascii="Arial" w:hAnsi="Arial" w:eastAsia="Arial" w:cs="Arial"/>
                <w:spacing w:val="5"/>
                <w:sz w:val="23"/>
                <w:szCs w:val="23"/>
              </w:rPr>
              <w:t>10</w:t>
            </w:r>
            <w:r>
              <w:rPr>
                <w:rFonts w:ascii="Arial" w:hAnsi="Arial" w:eastAsia="Arial" w:cs="Arial"/>
                <w:sz w:val="23"/>
                <w:szCs w:val="23"/>
              </w:rPr>
              <w:t>KV</w:t>
            </w:r>
            <w:r>
              <w:rPr>
                <w:rFonts w:ascii="仿宋" w:hAnsi="仿宋" w:eastAsia="仿宋" w:cs="仿宋"/>
                <w:spacing w:val="5"/>
                <w:sz w:val="23"/>
                <w:szCs w:val="23"/>
              </w:rPr>
              <w:t>福林气体变</w:t>
            </w:r>
          </w:p>
        </w:tc>
        <w:tc>
          <w:tcPr>
            <w:tcW w:w="2396" w:type="dxa"/>
            <w:tcBorders>
              <w:tl2br w:val="nil"/>
              <w:tr2bl w:val="nil"/>
            </w:tcBorders>
            <w:noWrap w:val="0"/>
            <w:vAlign w:val="top"/>
          </w:tcPr>
          <w:p w14:paraId="09479AAE">
            <w:pPr>
              <w:keepNext w:val="0"/>
              <w:keepLines w:val="0"/>
              <w:pageBreakBefore w:val="0"/>
              <w:widowControl w:val="0"/>
              <w:wordWrap/>
              <w:overflowPunct/>
              <w:bidi w:val="0"/>
              <w:spacing w:before="92" w:line="203" w:lineRule="auto"/>
              <w:ind w:left="130" w:leftChars="0"/>
              <w:rPr>
                <w:rFonts w:ascii="Arial" w:hAnsi="Arial" w:eastAsia="Arial" w:cs="Arial"/>
                <w:spacing w:val="6"/>
                <w:sz w:val="23"/>
                <w:szCs w:val="23"/>
              </w:rPr>
            </w:pPr>
            <w:r>
              <w:rPr>
                <w:rFonts w:ascii="Arial" w:hAnsi="Arial" w:eastAsia="Arial" w:cs="Arial"/>
                <w:spacing w:val="3"/>
                <w:sz w:val="23"/>
                <w:szCs w:val="23"/>
              </w:rPr>
              <w:t>1</w:t>
            </w:r>
            <w:r>
              <w:rPr>
                <w:rFonts w:ascii="Arial" w:hAnsi="Arial" w:eastAsia="Arial" w:cs="Arial"/>
                <w:sz w:val="23"/>
                <w:szCs w:val="23"/>
              </w:rPr>
              <w:t>X</w:t>
            </w:r>
            <w:r>
              <w:rPr>
                <w:rFonts w:ascii="Arial" w:hAnsi="Arial" w:eastAsia="Arial" w:cs="Arial"/>
                <w:spacing w:val="2"/>
                <w:sz w:val="23"/>
                <w:szCs w:val="23"/>
              </w:rPr>
              <w:t>31.5</w:t>
            </w:r>
          </w:p>
        </w:tc>
        <w:tc>
          <w:tcPr>
            <w:tcW w:w="1940" w:type="dxa"/>
            <w:tcBorders>
              <w:tl2br w:val="nil"/>
              <w:tr2bl w:val="nil"/>
            </w:tcBorders>
            <w:noWrap w:val="0"/>
            <w:vAlign w:val="top"/>
          </w:tcPr>
          <w:p w14:paraId="32FD1228">
            <w:pPr>
              <w:keepNext w:val="0"/>
              <w:keepLines w:val="0"/>
              <w:pageBreakBefore w:val="0"/>
              <w:widowControl w:val="0"/>
              <w:wordWrap/>
              <w:overflowPunct/>
              <w:bidi w:val="0"/>
              <w:spacing w:before="191" w:line="150" w:lineRule="exact"/>
              <w:ind w:left="129" w:leftChars="0"/>
              <w:rPr>
                <w:rFonts w:ascii="仿宋" w:hAnsi="仿宋" w:eastAsia="仿宋" w:cs="仿宋"/>
                <w:spacing w:val="140"/>
                <w:position w:val="1"/>
                <w:sz w:val="9"/>
                <w:szCs w:val="9"/>
              </w:rPr>
            </w:pPr>
            <w:r>
              <w:rPr>
                <w:rFonts w:ascii="仿宋" w:hAnsi="仿宋" w:eastAsia="仿宋" w:cs="仿宋"/>
                <w:spacing w:val="140"/>
                <w:position w:val="1"/>
                <w:sz w:val="9"/>
                <w:szCs w:val="9"/>
              </w:rPr>
              <w:t>—</w:t>
            </w:r>
            <w:r>
              <w:rPr>
                <w:rFonts w:ascii="仿宋" w:hAnsi="仿宋" w:eastAsia="仿宋" w:cs="仿宋"/>
                <w:spacing w:val="139"/>
                <w:position w:val="1"/>
                <w:sz w:val="9"/>
                <w:szCs w:val="9"/>
              </w:rPr>
              <w:t>—</w:t>
            </w:r>
          </w:p>
        </w:tc>
      </w:tr>
      <w:tr w14:paraId="550D3C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83" w:type="dxa"/>
            <w:tcBorders>
              <w:tl2br w:val="nil"/>
              <w:tr2bl w:val="nil"/>
            </w:tcBorders>
            <w:noWrap w:val="0"/>
            <w:vAlign w:val="top"/>
          </w:tcPr>
          <w:p w14:paraId="56C3B9AF">
            <w:pPr>
              <w:keepNext w:val="0"/>
              <w:keepLines w:val="0"/>
              <w:pageBreakBefore w:val="0"/>
              <w:widowControl w:val="0"/>
              <w:kinsoku/>
              <w:wordWrap/>
              <w:overflowPunct/>
              <w:topLinePunct w:val="0"/>
              <w:autoSpaceDE/>
              <w:autoSpaceDN/>
              <w:bidi w:val="0"/>
              <w:adjustRightInd/>
              <w:snapToGrid/>
              <w:spacing w:before="92" w:line="203" w:lineRule="auto"/>
              <w:ind w:left="0" w:leftChars="0"/>
              <w:jc w:val="center"/>
              <w:textAlignment w:val="auto"/>
              <w:rPr>
                <w:rFonts w:ascii="Arial" w:hAnsi="Arial" w:eastAsia="Arial" w:cs="Arial"/>
                <w:sz w:val="23"/>
                <w:szCs w:val="23"/>
              </w:rPr>
            </w:pPr>
            <w:r>
              <w:rPr>
                <w:rFonts w:ascii="Arial" w:hAnsi="Arial" w:eastAsia="Arial" w:cs="Arial"/>
                <w:sz w:val="23"/>
                <w:szCs w:val="23"/>
              </w:rPr>
              <w:t>8</w:t>
            </w:r>
          </w:p>
        </w:tc>
        <w:tc>
          <w:tcPr>
            <w:tcW w:w="3714" w:type="dxa"/>
            <w:tcBorders>
              <w:tl2br w:val="nil"/>
              <w:tr2bl w:val="nil"/>
            </w:tcBorders>
            <w:noWrap w:val="0"/>
            <w:vAlign w:val="top"/>
          </w:tcPr>
          <w:p w14:paraId="292225D3">
            <w:pPr>
              <w:keepNext w:val="0"/>
              <w:keepLines w:val="0"/>
              <w:pageBreakBefore w:val="0"/>
              <w:widowControl w:val="0"/>
              <w:wordWrap/>
              <w:overflowPunct/>
              <w:bidi w:val="0"/>
              <w:spacing w:before="79" w:line="225" w:lineRule="auto"/>
              <w:ind w:left="129" w:leftChars="0"/>
              <w:rPr>
                <w:rFonts w:ascii="Arial" w:hAnsi="Arial" w:eastAsia="Arial" w:cs="Arial"/>
                <w:spacing w:val="5"/>
                <w:sz w:val="23"/>
                <w:szCs w:val="23"/>
              </w:rPr>
            </w:pPr>
            <w:r>
              <w:rPr>
                <w:rFonts w:ascii="Arial" w:hAnsi="Arial" w:eastAsia="Arial" w:cs="Arial"/>
                <w:spacing w:val="9"/>
                <w:sz w:val="23"/>
                <w:szCs w:val="23"/>
              </w:rPr>
              <w:t>1</w:t>
            </w:r>
            <w:r>
              <w:rPr>
                <w:rFonts w:ascii="Arial" w:hAnsi="Arial" w:eastAsia="Arial" w:cs="Arial"/>
                <w:spacing w:val="5"/>
                <w:sz w:val="23"/>
                <w:szCs w:val="23"/>
              </w:rPr>
              <w:t>10</w:t>
            </w:r>
            <w:r>
              <w:rPr>
                <w:rFonts w:ascii="Arial" w:hAnsi="Arial" w:eastAsia="Arial" w:cs="Arial"/>
                <w:sz w:val="23"/>
                <w:szCs w:val="23"/>
              </w:rPr>
              <w:t>KV</w:t>
            </w:r>
            <w:r>
              <w:rPr>
                <w:rFonts w:ascii="仿宋" w:hAnsi="仿宋" w:eastAsia="仿宋" w:cs="仿宋"/>
                <w:spacing w:val="5"/>
                <w:sz w:val="23"/>
                <w:szCs w:val="23"/>
              </w:rPr>
              <w:t>联合石化变</w:t>
            </w:r>
          </w:p>
        </w:tc>
        <w:tc>
          <w:tcPr>
            <w:tcW w:w="2396" w:type="dxa"/>
            <w:tcBorders>
              <w:tl2br w:val="nil"/>
              <w:tr2bl w:val="nil"/>
            </w:tcBorders>
            <w:noWrap w:val="0"/>
            <w:vAlign w:val="top"/>
          </w:tcPr>
          <w:p w14:paraId="3073C222">
            <w:pPr>
              <w:keepNext w:val="0"/>
              <w:keepLines w:val="0"/>
              <w:pageBreakBefore w:val="0"/>
              <w:widowControl w:val="0"/>
              <w:wordWrap/>
              <w:overflowPunct/>
              <w:bidi w:val="0"/>
              <w:spacing w:before="92" w:line="203" w:lineRule="auto"/>
              <w:ind w:left="111" w:leftChars="0"/>
              <w:rPr>
                <w:rFonts w:ascii="Arial" w:hAnsi="Arial" w:eastAsia="Arial" w:cs="Arial"/>
                <w:spacing w:val="6"/>
                <w:sz w:val="23"/>
                <w:szCs w:val="23"/>
              </w:rPr>
            </w:pPr>
            <w:r>
              <w:rPr>
                <w:rFonts w:ascii="Arial" w:hAnsi="Arial" w:eastAsia="Arial" w:cs="Arial"/>
                <w:spacing w:val="6"/>
                <w:sz w:val="23"/>
                <w:szCs w:val="23"/>
              </w:rPr>
              <w:t>2</w:t>
            </w:r>
            <w:r>
              <w:rPr>
                <w:rFonts w:ascii="Arial" w:hAnsi="Arial" w:eastAsia="Arial" w:cs="Arial"/>
                <w:sz w:val="23"/>
                <w:szCs w:val="23"/>
              </w:rPr>
              <w:t>X</w:t>
            </w:r>
            <w:r>
              <w:rPr>
                <w:rFonts w:ascii="Arial" w:hAnsi="Arial" w:eastAsia="Arial" w:cs="Arial"/>
                <w:spacing w:val="5"/>
                <w:sz w:val="23"/>
                <w:szCs w:val="23"/>
              </w:rPr>
              <w:t>25</w:t>
            </w:r>
          </w:p>
        </w:tc>
        <w:tc>
          <w:tcPr>
            <w:tcW w:w="1940" w:type="dxa"/>
            <w:tcBorders>
              <w:tl2br w:val="nil"/>
              <w:tr2bl w:val="nil"/>
            </w:tcBorders>
            <w:noWrap w:val="0"/>
            <w:vAlign w:val="top"/>
          </w:tcPr>
          <w:p w14:paraId="5837BB0C">
            <w:pPr>
              <w:keepNext w:val="0"/>
              <w:keepLines w:val="0"/>
              <w:pageBreakBefore w:val="0"/>
              <w:widowControl w:val="0"/>
              <w:wordWrap/>
              <w:overflowPunct/>
              <w:bidi w:val="0"/>
              <w:spacing w:before="191" w:line="150" w:lineRule="exact"/>
              <w:ind w:left="129" w:leftChars="0"/>
              <w:rPr>
                <w:rFonts w:ascii="仿宋" w:hAnsi="仿宋" w:eastAsia="仿宋" w:cs="仿宋"/>
                <w:spacing w:val="140"/>
                <w:position w:val="1"/>
                <w:sz w:val="9"/>
                <w:szCs w:val="9"/>
              </w:rPr>
            </w:pPr>
            <w:r>
              <w:rPr>
                <w:rFonts w:ascii="仿宋" w:hAnsi="仿宋" w:eastAsia="仿宋" w:cs="仿宋"/>
                <w:spacing w:val="140"/>
                <w:position w:val="1"/>
                <w:sz w:val="9"/>
                <w:szCs w:val="9"/>
              </w:rPr>
              <w:t>—</w:t>
            </w:r>
            <w:r>
              <w:rPr>
                <w:rFonts w:ascii="仿宋" w:hAnsi="仿宋" w:eastAsia="仿宋" w:cs="仿宋"/>
                <w:spacing w:val="139"/>
                <w:position w:val="1"/>
                <w:sz w:val="9"/>
                <w:szCs w:val="9"/>
              </w:rPr>
              <w:t>—</w:t>
            </w:r>
          </w:p>
        </w:tc>
      </w:tr>
      <w:tr w14:paraId="08846E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83" w:type="dxa"/>
            <w:tcBorders>
              <w:tl2br w:val="nil"/>
              <w:tr2bl w:val="nil"/>
            </w:tcBorders>
            <w:noWrap w:val="0"/>
            <w:vAlign w:val="top"/>
          </w:tcPr>
          <w:p w14:paraId="56B95D0E">
            <w:pPr>
              <w:keepNext w:val="0"/>
              <w:keepLines w:val="0"/>
              <w:pageBreakBefore w:val="0"/>
              <w:widowControl w:val="0"/>
              <w:kinsoku/>
              <w:wordWrap/>
              <w:overflowPunct/>
              <w:topLinePunct w:val="0"/>
              <w:autoSpaceDE/>
              <w:autoSpaceDN/>
              <w:bidi w:val="0"/>
              <w:adjustRightInd/>
              <w:snapToGrid/>
              <w:spacing w:before="94" w:line="203" w:lineRule="auto"/>
              <w:ind w:left="0" w:leftChars="0"/>
              <w:jc w:val="center"/>
              <w:textAlignment w:val="auto"/>
              <w:rPr>
                <w:rFonts w:ascii="Arial" w:hAnsi="Arial" w:eastAsia="Arial" w:cs="Arial"/>
                <w:kern w:val="2"/>
                <w:sz w:val="23"/>
                <w:szCs w:val="23"/>
                <w:lang w:val="en-US" w:eastAsia="zh-CN" w:bidi="ar-SA"/>
              </w:rPr>
            </w:pPr>
            <w:r>
              <w:rPr>
                <w:rFonts w:ascii="Arial" w:hAnsi="Arial" w:eastAsia="Arial" w:cs="Arial"/>
                <w:sz w:val="23"/>
                <w:szCs w:val="23"/>
              </w:rPr>
              <w:t>9</w:t>
            </w:r>
          </w:p>
        </w:tc>
        <w:tc>
          <w:tcPr>
            <w:tcW w:w="3714" w:type="dxa"/>
            <w:tcBorders>
              <w:tl2br w:val="nil"/>
              <w:tr2bl w:val="nil"/>
            </w:tcBorders>
            <w:noWrap w:val="0"/>
            <w:vAlign w:val="top"/>
          </w:tcPr>
          <w:p w14:paraId="0CE7D5E4">
            <w:pPr>
              <w:keepNext w:val="0"/>
              <w:keepLines w:val="0"/>
              <w:pageBreakBefore w:val="0"/>
              <w:widowControl w:val="0"/>
              <w:wordWrap/>
              <w:overflowPunct/>
              <w:bidi w:val="0"/>
              <w:spacing w:before="82" w:line="224" w:lineRule="auto"/>
              <w:ind w:left="129" w:leftChars="0"/>
              <w:rPr>
                <w:rFonts w:ascii="仿宋" w:hAnsi="仿宋" w:eastAsia="仿宋" w:cs="仿宋"/>
                <w:kern w:val="2"/>
                <w:sz w:val="23"/>
                <w:szCs w:val="23"/>
                <w:lang w:val="en-US" w:eastAsia="zh-CN" w:bidi="ar-SA"/>
              </w:rPr>
            </w:pPr>
            <w:r>
              <w:rPr>
                <w:rFonts w:ascii="Arial" w:hAnsi="Arial" w:eastAsia="Arial" w:cs="Arial"/>
                <w:spacing w:val="5"/>
                <w:sz w:val="23"/>
                <w:szCs w:val="23"/>
              </w:rPr>
              <w:t>1</w:t>
            </w:r>
            <w:r>
              <w:rPr>
                <w:rFonts w:ascii="Arial" w:hAnsi="Arial" w:eastAsia="Arial" w:cs="Arial"/>
                <w:spacing w:val="4"/>
                <w:sz w:val="23"/>
                <w:szCs w:val="23"/>
              </w:rPr>
              <w:t>10</w:t>
            </w:r>
            <w:r>
              <w:rPr>
                <w:rFonts w:ascii="Arial" w:hAnsi="Arial" w:eastAsia="Arial" w:cs="Arial"/>
                <w:sz w:val="23"/>
                <w:szCs w:val="23"/>
              </w:rPr>
              <w:t>KV</w:t>
            </w:r>
            <w:r>
              <w:rPr>
                <w:rFonts w:ascii="仿宋" w:hAnsi="仿宋" w:eastAsia="仿宋" w:cs="仿宋"/>
                <w:spacing w:val="4"/>
                <w:sz w:val="23"/>
                <w:szCs w:val="23"/>
              </w:rPr>
              <w:t>顶郭变</w:t>
            </w:r>
          </w:p>
        </w:tc>
        <w:tc>
          <w:tcPr>
            <w:tcW w:w="2396" w:type="dxa"/>
            <w:tcBorders>
              <w:tl2br w:val="nil"/>
              <w:tr2bl w:val="nil"/>
            </w:tcBorders>
            <w:noWrap w:val="0"/>
            <w:vAlign w:val="top"/>
          </w:tcPr>
          <w:p w14:paraId="57633983">
            <w:pPr>
              <w:keepNext w:val="0"/>
              <w:keepLines w:val="0"/>
              <w:pageBreakBefore w:val="0"/>
              <w:widowControl w:val="0"/>
              <w:wordWrap/>
              <w:overflowPunct/>
              <w:bidi w:val="0"/>
              <w:spacing w:before="193" w:line="150" w:lineRule="exact"/>
              <w:ind w:left="125" w:leftChars="0"/>
              <w:rPr>
                <w:rFonts w:ascii="仿宋" w:hAnsi="仿宋" w:eastAsia="仿宋" w:cs="仿宋"/>
                <w:kern w:val="2"/>
                <w:sz w:val="9"/>
                <w:szCs w:val="9"/>
                <w:lang w:val="en-US" w:eastAsia="zh-CN" w:bidi="ar-SA"/>
              </w:rPr>
            </w:pPr>
            <w:r>
              <w:rPr>
                <w:rFonts w:ascii="仿宋" w:hAnsi="仿宋" w:eastAsia="仿宋" w:cs="仿宋"/>
                <w:spacing w:val="140"/>
                <w:position w:val="1"/>
                <w:sz w:val="9"/>
                <w:szCs w:val="9"/>
              </w:rPr>
              <w:t>—</w:t>
            </w:r>
            <w:r>
              <w:rPr>
                <w:rFonts w:ascii="仿宋" w:hAnsi="仿宋" w:eastAsia="仿宋" w:cs="仿宋"/>
                <w:spacing w:val="139"/>
                <w:position w:val="1"/>
                <w:sz w:val="9"/>
                <w:szCs w:val="9"/>
              </w:rPr>
              <w:t>—</w:t>
            </w:r>
          </w:p>
        </w:tc>
        <w:tc>
          <w:tcPr>
            <w:tcW w:w="1940" w:type="dxa"/>
            <w:tcBorders>
              <w:tl2br w:val="nil"/>
              <w:tr2bl w:val="nil"/>
            </w:tcBorders>
            <w:noWrap w:val="0"/>
            <w:vAlign w:val="top"/>
          </w:tcPr>
          <w:p w14:paraId="31822EFC">
            <w:pPr>
              <w:keepNext w:val="0"/>
              <w:keepLines w:val="0"/>
              <w:pageBreakBefore w:val="0"/>
              <w:widowControl w:val="0"/>
              <w:wordWrap/>
              <w:overflowPunct/>
              <w:bidi w:val="0"/>
              <w:spacing w:before="94" w:line="203" w:lineRule="auto"/>
              <w:ind w:left="118" w:leftChars="0"/>
              <w:rPr>
                <w:rFonts w:ascii="Arial" w:hAnsi="Arial" w:eastAsia="Arial" w:cs="Arial"/>
                <w:kern w:val="2"/>
                <w:sz w:val="23"/>
                <w:szCs w:val="23"/>
                <w:lang w:val="en-US" w:eastAsia="zh-CN" w:bidi="ar-SA"/>
              </w:rPr>
            </w:pPr>
            <w:r>
              <w:rPr>
                <w:rFonts w:ascii="Arial" w:hAnsi="Arial" w:eastAsia="Arial" w:cs="Arial"/>
                <w:spacing w:val="5"/>
                <w:sz w:val="23"/>
                <w:szCs w:val="23"/>
              </w:rPr>
              <w:t>3</w:t>
            </w:r>
            <w:r>
              <w:rPr>
                <w:rFonts w:ascii="Arial" w:hAnsi="Arial" w:eastAsia="Arial" w:cs="Arial"/>
                <w:sz w:val="23"/>
                <w:szCs w:val="23"/>
              </w:rPr>
              <w:t>X</w:t>
            </w:r>
            <w:r>
              <w:rPr>
                <w:rFonts w:ascii="Arial" w:hAnsi="Arial" w:eastAsia="Arial" w:cs="Arial"/>
                <w:spacing w:val="4"/>
                <w:sz w:val="23"/>
                <w:szCs w:val="23"/>
              </w:rPr>
              <w:t>50</w:t>
            </w:r>
          </w:p>
        </w:tc>
      </w:tr>
    </w:tbl>
    <w:p w14:paraId="4F83602B">
      <w:pPr>
        <w:pStyle w:val="2"/>
        <w:keepNext w:val="0"/>
        <w:keepLines w:val="0"/>
        <w:pageBreakBefore w:val="0"/>
        <w:widowControl w:val="0"/>
        <w:kinsoku/>
        <w:wordWrap/>
        <w:overflowPunct/>
        <w:topLinePunct/>
        <w:autoSpaceDE/>
        <w:autoSpaceDN/>
        <w:bidi w:val="0"/>
        <w:adjustRightInd/>
        <w:snapToGrid/>
        <w:spacing w:before="157" w:beforeLines="5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为了减少电压等级层次，根据我国现行电压标准，高新园区内供电电压采用110KV，配电电压采用10KV，使用电压采用0.4KV。</w:t>
      </w:r>
    </w:p>
    <w:p w14:paraId="69886960">
      <w:pPr>
        <w:pStyle w:val="2"/>
        <w:keepNext w:val="0"/>
        <w:keepLines w:val="0"/>
        <w:pageBreakBefore w:val="0"/>
        <w:widowControl w:val="0"/>
        <w:kinsoku/>
        <w:wordWrap/>
        <w:overflowPunct/>
        <w:topLinePunct/>
        <w:autoSpaceDE/>
        <w:autoSpaceDN/>
        <w:bidi w:val="0"/>
        <w:adjustRightInd/>
        <w:snapToGrid/>
        <w:spacing w:before="0" w:beforeAutospacing="0" w:line="44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综上所述，区域电网220/110KV电网结构能基本满足高新园区近远期电力负荷的需要。</w:t>
      </w:r>
    </w:p>
    <w:p w14:paraId="642C7C0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10.4.1.2电力通道</w:t>
      </w:r>
    </w:p>
    <w:p w14:paraId="6F44D5E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规划区内现状35千伏及以上电压等级的电力线路均为架空线，区内现状220千伏架空线从园区中部穿过，分割建设用地。</w:t>
      </w:r>
    </w:p>
    <w:p w14:paraId="7A578CC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10.4.2规划原则</w:t>
      </w:r>
    </w:p>
    <w:p w14:paraId="118EAE1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(1)依据国家的电力产业政策，并与地区电力规划相结合，统筹安排园区内外供配电设施及各级输电线路；</w:t>
      </w:r>
    </w:p>
    <w:p w14:paraId="5382114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(2)结合当地的电力资源状况，考虑送电容量、送电距离、运行方式等因素，规划在园区建设一定数量的220/110KV总变电站，确保园区电力供应的稳定性和安全性；</w:t>
      </w:r>
    </w:p>
    <w:p w14:paraId="36CC70D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(3)园区内配电电压等级的设置应结合规划项目的特点，电网建设应满足技术先进、运行安全可靠、调度灵活及经济合理的原则；</w:t>
      </w:r>
    </w:p>
    <w:p w14:paraId="386A38D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(4)供电工程规划应满足园区分期建设要求，便于操作实施。</w:t>
      </w:r>
    </w:p>
    <w:p w14:paraId="1620828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10.4.3用电负荷预测</w:t>
      </w:r>
    </w:p>
    <w:p w14:paraId="59C6FD6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根据《城市电力规划规范》(GB/T 50293-2014)和园区产业特点，本规划采用负荷密度法进行用电负荷预测。用电负荷预测充分考虑到高新区产业项目用电的特征，并参考国内外现有高新区单位建设用地用电现状水平，力求准确地预测园区用电负荷。</w:t>
      </w:r>
    </w:p>
    <w:p w14:paraId="6F42B5F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10.4.3.1园区整体用电负荷</w:t>
      </w:r>
    </w:p>
    <w:p w14:paraId="3AAC9298">
      <w:pPr>
        <w:pStyle w:val="2"/>
        <w:keepNext w:val="0"/>
        <w:keepLines w:val="0"/>
        <w:pageBreakBefore w:val="0"/>
        <w:widowControl w:val="0"/>
        <w:kinsoku/>
        <w:wordWrap/>
        <w:overflowPunct/>
        <w:topLinePunct/>
        <w:autoSpaceDE/>
        <w:autoSpaceDN/>
        <w:bidi w:val="0"/>
        <w:adjustRightInd/>
        <w:snapToGrid/>
        <w:spacing w:before="0" w:beforeAutospacing="0" w:line="440" w:lineRule="exact"/>
        <w:jc w:val="center"/>
        <w:textAlignment w:val="auto"/>
      </w:pPr>
      <w:r>
        <w:rPr>
          <w:rFonts w:ascii="黑体" w:hAnsi="黑体" w:eastAsia="黑体" w:cs="黑体"/>
          <w:spacing w:val="2"/>
          <w:sz w:val="23"/>
          <w:szCs w:val="23"/>
        </w:rPr>
        <w:t>表</w:t>
      </w:r>
      <w:r>
        <w:rPr>
          <w:rFonts w:ascii="Arial" w:hAnsi="Arial" w:eastAsia="Arial" w:cs="Arial"/>
          <w:b/>
          <w:bCs/>
          <w:spacing w:val="2"/>
          <w:sz w:val="23"/>
          <w:szCs w:val="23"/>
        </w:rPr>
        <w:t>11-4</w:t>
      </w:r>
      <w:r>
        <w:rPr>
          <w:rFonts w:ascii="黑体" w:hAnsi="黑体" w:eastAsia="黑体" w:cs="黑体"/>
          <w:spacing w:val="2"/>
          <w:sz w:val="23"/>
          <w:szCs w:val="23"/>
        </w:rPr>
        <w:t>用电负荷预测</w:t>
      </w:r>
      <w:r>
        <w:rPr>
          <w:rFonts w:ascii="黑体" w:hAnsi="黑体" w:eastAsia="黑体" w:cs="黑体"/>
          <w:spacing w:val="1"/>
          <w:sz w:val="23"/>
          <w:szCs w:val="23"/>
        </w:rPr>
        <w:t>表</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86"/>
        <w:gridCol w:w="1253"/>
        <w:gridCol w:w="3417"/>
        <w:gridCol w:w="2029"/>
        <w:gridCol w:w="1607"/>
      </w:tblGrid>
      <w:tr w14:paraId="397BF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986" w:type="dxa"/>
            <w:vMerge w:val="restart"/>
            <w:tcBorders>
              <w:tl2br w:val="nil"/>
              <w:tr2bl w:val="nil"/>
            </w:tcBorders>
            <w:noWrap w:val="0"/>
            <w:vAlign w:val="center"/>
          </w:tcPr>
          <w:p w14:paraId="0D00D1D4">
            <w:pPr>
              <w:keepNext w:val="0"/>
              <w:keepLines w:val="0"/>
              <w:pageBreakBefore w:val="0"/>
              <w:widowControl w:val="0"/>
              <w:kinsoku/>
              <w:wordWrap/>
              <w:overflowPunct/>
              <w:topLinePunct w:val="0"/>
              <w:autoSpaceDE/>
              <w:autoSpaceDN/>
              <w:bidi w:val="0"/>
              <w:adjustRightInd/>
              <w:snapToGrid/>
              <w:spacing w:line="220" w:lineRule="exact"/>
              <w:ind w:left="115"/>
              <w:jc w:val="center"/>
              <w:textAlignment w:val="auto"/>
              <w:rPr>
                <w:rFonts w:ascii="仿宋" w:hAnsi="仿宋" w:eastAsia="仿宋" w:cs="仿宋"/>
                <w:sz w:val="23"/>
                <w:szCs w:val="23"/>
              </w:rPr>
            </w:pPr>
            <w:r>
              <w:rPr>
                <w:rFonts w:ascii="仿宋" w:hAnsi="仿宋" w:eastAsia="仿宋" w:cs="仿宋"/>
                <w:spacing w:val="6"/>
                <w:sz w:val="23"/>
                <w:szCs w:val="23"/>
              </w:rPr>
              <w:t>序号</w:t>
            </w:r>
          </w:p>
        </w:tc>
        <w:tc>
          <w:tcPr>
            <w:tcW w:w="1253" w:type="dxa"/>
            <w:vMerge w:val="restart"/>
            <w:tcBorders>
              <w:tl2br w:val="nil"/>
              <w:tr2bl w:val="nil"/>
            </w:tcBorders>
            <w:noWrap w:val="0"/>
            <w:vAlign w:val="center"/>
          </w:tcPr>
          <w:p w14:paraId="4CAB1F4B">
            <w:pPr>
              <w:keepNext w:val="0"/>
              <w:keepLines w:val="0"/>
              <w:pageBreakBefore w:val="0"/>
              <w:widowControl w:val="0"/>
              <w:kinsoku/>
              <w:wordWrap/>
              <w:overflowPunct/>
              <w:topLinePunct w:val="0"/>
              <w:autoSpaceDE/>
              <w:autoSpaceDN/>
              <w:bidi w:val="0"/>
              <w:adjustRightInd/>
              <w:snapToGrid/>
              <w:spacing w:line="220" w:lineRule="exact"/>
              <w:ind w:left="113"/>
              <w:jc w:val="center"/>
              <w:textAlignment w:val="auto"/>
              <w:rPr>
                <w:rFonts w:ascii="仿宋" w:hAnsi="仿宋" w:eastAsia="仿宋" w:cs="仿宋"/>
                <w:sz w:val="23"/>
                <w:szCs w:val="23"/>
              </w:rPr>
            </w:pPr>
            <w:r>
              <w:rPr>
                <w:rFonts w:ascii="仿宋" w:hAnsi="仿宋" w:eastAsia="仿宋" w:cs="仿宋"/>
                <w:spacing w:val="9"/>
                <w:sz w:val="23"/>
                <w:szCs w:val="23"/>
              </w:rPr>
              <w:t>用</w:t>
            </w:r>
            <w:r>
              <w:rPr>
                <w:rFonts w:ascii="仿宋" w:hAnsi="仿宋" w:eastAsia="仿宋" w:cs="仿宋"/>
                <w:spacing w:val="8"/>
                <w:sz w:val="23"/>
                <w:szCs w:val="23"/>
              </w:rPr>
              <w:t>地代码</w:t>
            </w:r>
          </w:p>
        </w:tc>
        <w:tc>
          <w:tcPr>
            <w:tcW w:w="3417" w:type="dxa"/>
            <w:vMerge w:val="restart"/>
            <w:tcBorders>
              <w:tl2br w:val="nil"/>
              <w:tr2bl w:val="nil"/>
            </w:tcBorders>
            <w:noWrap w:val="0"/>
            <w:vAlign w:val="center"/>
          </w:tcPr>
          <w:p w14:paraId="52048866">
            <w:pPr>
              <w:keepNext w:val="0"/>
              <w:keepLines w:val="0"/>
              <w:pageBreakBefore w:val="0"/>
              <w:widowControl w:val="0"/>
              <w:kinsoku/>
              <w:wordWrap/>
              <w:overflowPunct/>
              <w:topLinePunct w:val="0"/>
              <w:autoSpaceDE/>
              <w:autoSpaceDN/>
              <w:bidi w:val="0"/>
              <w:adjustRightInd/>
              <w:snapToGrid/>
              <w:spacing w:line="220" w:lineRule="exact"/>
              <w:ind w:left="114"/>
              <w:jc w:val="center"/>
              <w:textAlignment w:val="auto"/>
              <w:rPr>
                <w:rFonts w:ascii="仿宋" w:hAnsi="仿宋" w:eastAsia="仿宋" w:cs="仿宋"/>
                <w:sz w:val="23"/>
                <w:szCs w:val="23"/>
              </w:rPr>
            </w:pPr>
            <w:r>
              <w:rPr>
                <w:rFonts w:ascii="仿宋" w:hAnsi="仿宋" w:eastAsia="仿宋" w:cs="仿宋"/>
                <w:spacing w:val="9"/>
                <w:sz w:val="23"/>
                <w:szCs w:val="23"/>
              </w:rPr>
              <w:t>用</w:t>
            </w:r>
            <w:r>
              <w:rPr>
                <w:rFonts w:ascii="仿宋" w:hAnsi="仿宋" w:eastAsia="仿宋" w:cs="仿宋"/>
                <w:spacing w:val="8"/>
                <w:sz w:val="23"/>
                <w:szCs w:val="23"/>
              </w:rPr>
              <w:t>地分类</w:t>
            </w:r>
          </w:p>
        </w:tc>
        <w:tc>
          <w:tcPr>
            <w:tcW w:w="2029" w:type="dxa"/>
            <w:tcBorders>
              <w:tl2br w:val="nil"/>
              <w:tr2bl w:val="nil"/>
            </w:tcBorders>
            <w:noWrap w:val="0"/>
            <w:vAlign w:val="center"/>
          </w:tcPr>
          <w:p w14:paraId="4AD01191">
            <w:pPr>
              <w:keepNext w:val="0"/>
              <w:keepLines w:val="0"/>
              <w:pageBreakBefore w:val="0"/>
              <w:widowControl w:val="0"/>
              <w:kinsoku/>
              <w:wordWrap/>
              <w:overflowPunct/>
              <w:topLinePunct w:val="0"/>
              <w:autoSpaceDE/>
              <w:autoSpaceDN/>
              <w:bidi w:val="0"/>
              <w:adjustRightInd/>
              <w:snapToGrid/>
              <w:spacing w:line="220" w:lineRule="exact"/>
              <w:ind w:left="144"/>
              <w:jc w:val="center"/>
              <w:textAlignment w:val="auto"/>
              <w:rPr>
                <w:rFonts w:ascii="仿宋" w:hAnsi="仿宋" w:eastAsia="仿宋" w:cs="仿宋"/>
                <w:sz w:val="23"/>
                <w:szCs w:val="23"/>
              </w:rPr>
            </w:pPr>
            <w:r>
              <w:rPr>
                <w:rFonts w:ascii="仿宋" w:hAnsi="仿宋" w:eastAsia="仿宋" w:cs="仿宋"/>
                <w:spacing w:val="5"/>
                <w:sz w:val="23"/>
                <w:szCs w:val="23"/>
              </w:rPr>
              <w:t>电</w:t>
            </w:r>
            <w:r>
              <w:rPr>
                <w:rFonts w:ascii="仿宋" w:hAnsi="仿宋" w:eastAsia="仿宋" w:cs="仿宋"/>
                <w:spacing w:val="3"/>
                <w:sz w:val="23"/>
                <w:szCs w:val="23"/>
              </w:rPr>
              <w:t>负荷指标</w:t>
            </w:r>
          </w:p>
        </w:tc>
        <w:tc>
          <w:tcPr>
            <w:tcW w:w="1607" w:type="dxa"/>
            <w:tcBorders>
              <w:tl2br w:val="nil"/>
              <w:tr2bl w:val="nil"/>
            </w:tcBorders>
            <w:noWrap w:val="0"/>
            <w:vAlign w:val="center"/>
          </w:tcPr>
          <w:p w14:paraId="414A8F6C">
            <w:pPr>
              <w:keepNext w:val="0"/>
              <w:keepLines w:val="0"/>
              <w:pageBreakBefore w:val="0"/>
              <w:widowControl w:val="0"/>
              <w:kinsoku/>
              <w:wordWrap/>
              <w:overflowPunct/>
              <w:topLinePunct w:val="0"/>
              <w:autoSpaceDE/>
              <w:autoSpaceDN/>
              <w:bidi w:val="0"/>
              <w:adjustRightInd/>
              <w:snapToGrid/>
              <w:spacing w:line="220" w:lineRule="exact"/>
              <w:ind w:left="117"/>
              <w:jc w:val="center"/>
              <w:textAlignment w:val="auto"/>
              <w:rPr>
                <w:rFonts w:ascii="仿宋" w:hAnsi="仿宋" w:eastAsia="仿宋" w:cs="仿宋"/>
                <w:sz w:val="23"/>
                <w:szCs w:val="23"/>
              </w:rPr>
            </w:pPr>
            <w:r>
              <w:rPr>
                <w:rFonts w:ascii="仿宋" w:hAnsi="仿宋" w:eastAsia="仿宋" w:cs="仿宋"/>
                <w:spacing w:val="9"/>
                <w:sz w:val="23"/>
                <w:szCs w:val="23"/>
              </w:rPr>
              <w:t>用</w:t>
            </w:r>
            <w:r>
              <w:rPr>
                <w:rFonts w:ascii="仿宋" w:hAnsi="仿宋" w:eastAsia="仿宋" w:cs="仿宋"/>
                <w:spacing w:val="8"/>
                <w:sz w:val="23"/>
                <w:szCs w:val="23"/>
              </w:rPr>
              <w:t>电负荷</w:t>
            </w:r>
          </w:p>
        </w:tc>
      </w:tr>
      <w:tr w14:paraId="272E3E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986" w:type="dxa"/>
            <w:vMerge w:val="continue"/>
            <w:tcBorders>
              <w:tl2br w:val="nil"/>
              <w:tr2bl w:val="nil"/>
            </w:tcBorders>
            <w:noWrap w:val="0"/>
            <w:vAlign w:val="center"/>
          </w:tcPr>
          <w:p w14:paraId="4B83B67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sz w:val="21"/>
              </w:rPr>
            </w:pPr>
          </w:p>
        </w:tc>
        <w:tc>
          <w:tcPr>
            <w:tcW w:w="1253" w:type="dxa"/>
            <w:vMerge w:val="continue"/>
            <w:tcBorders>
              <w:tl2br w:val="nil"/>
              <w:tr2bl w:val="nil"/>
            </w:tcBorders>
            <w:noWrap w:val="0"/>
            <w:vAlign w:val="center"/>
          </w:tcPr>
          <w:p w14:paraId="72D587B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sz w:val="21"/>
              </w:rPr>
            </w:pPr>
          </w:p>
        </w:tc>
        <w:tc>
          <w:tcPr>
            <w:tcW w:w="3417" w:type="dxa"/>
            <w:vMerge w:val="continue"/>
            <w:tcBorders>
              <w:tl2br w:val="nil"/>
              <w:tr2bl w:val="nil"/>
            </w:tcBorders>
            <w:noWrap w:val="0"/>
            <w:vAlign w:val="center"/>
          </w:tcPr>
          <w:p w14:paraId="6F177B6A">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sz w:val="21"/>
              </w:rPr>
            </w:pPr>
          </w:p>
        </w:tc>
        <w:tc>
          <w:tcPr>
            <w:tcW w:w="2029" w:type="dxa"/>
            <w:tcBorders>
              <w:tl2br w:val="nil"/>
              <w:tr2bl w:val="nil"/>
            </w:tcBorders>
            <w:noWrap w:val="0"/>
            <w:vAlign w:val="center"/>
          </w:tcPr>
          <w:p w14:paraId="5A2B120A">
            <w:pPr>
              <w:keepNext w:val="0"/>
              <w:keepLines w:val="0"/>
              <w:pageBreakBefore w:val="0"/>
              <w:widowControl w:val="0"/>
              <w:kinsoku/>
              <w:wordWrap/>
              <w:overflowPunct/>
              <w:topLinePunct w:val="0"/>
              <w:autoSpaceDE/>
              <w:autoSpaceDN/>
              <w:bidi w:val="0"/>
              <w:adjustRightInd/>
              <w:snapToGrid/>
              <w:spacing w:line="220" w:lineRule="exact"/>
              <w:ind w:left="122"/>
              <w:jc w:val="center"/>
              <w:textAlignment w:val="auto"/>
              <w:rPr>
                <w:rFonts w:ascii="仿宋" w:hAnsi="仿宋" w:eastAsia="仿宋" w:cs="仿宋"/>
                <w:sz w:val="23"/>
                <w:szCs w:val="23"/>
              </w:rPr>
            </w:pPr>
            <w:r>
              <w:rPr>
                <w:rFonts w:ascii="Arial" w:hAnsi="Arial" w:eastAsia="Arial" w:cs="Arial"/>
                <w:b/>
                <w:bCs/>
                <w:position w:val="2"/>
                <w:sz w:val="23"/>
                <w:szCs w:val="23"/>
              </w:rPr>
              <w:t>kW</w:t>
            </w:r>
            <w:r>
              <w:rPr>
                <w:rFonts w:ascii="Arial" w:hAnsi="Arial" w:eastAsia="Arial" w:cs="Arial"/>
                <w:b/>
                <w:bCs/>
                <w:spacing w:val="8"/>
                <w:position w:val="2"/>
                <w:sz w:val="23"/>
                <w:szCs w:val="23"/>
              </w:rPr>
              <w:t>/</w:t>
            </w:r>
            <w:r>
              <w:rPr>
                <w:rFonts w:ascii="仿宋" w:hAnsi="仿宋" w:eastAsia="仿宋" w:cs="仿宋"/>
                <w:spacing w:val="7"/>
                <w:position w:val="2"/>
                <w:sz w:val="23"/>
                <w:szCs w:val="23"/>
              </w:rPr>
              <w:t>公顷</w:t>
            </w:r>
          </w:p>
        </w:tc>
        <w:tc>
          <w:tcPr>
            <w:tcW w:w="1607" w:type="dxa"/>
            <w:tcBorders>
              <w:tl2br w:val="nil"/>
              <w:tr2bl w:val="nil"/>
            </w:tcBorders>
            <w:noWrap w:val="0"/>
            <w:vAlign w:val="center"/>
          </w:tcPr>
          <w:p w14:paraId="3DCE0F41">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hAnsi="Arial" w:eastAsia="Arial" w:cs="Arial"/>
                <w:sz w:val="23"/>
                <w:szCs w:val="23"/>
              </w:rPr>
            </w:pPr>
            <w:r>
              <w:rPr>
                <w:rFonts w:ascii="Arial" w:hAnsi="Arial" w:eastAsia="Arial" w:cs="Arial"/>
                <w:b/>
                <w:bCs/>
                <w:position w:val="2"/>
                <w:sz w:val="23"/>
                <w:szCs w:val="23"/>
              </w:rPr>
              <w:t>k</w:t>
            </w:r>
            <w:r>
              <w:rPr>
                <w:rFonts w:ascii="Arial" w:hAnsi="Arial" w:eastAsia="Arial" w:cs="Arial"/>
                <w:b/>
                <w:bCs/>
                <w:spacing w:val="8"/>
                <w:sz w:val="23"/>
                <w:szCs w:val="23"/>
              </w:rPr>
              <w:t>W</w:t>
            </w:r>
          </w:p>
        </w:tc>
      </w:tr>
      <w:tr w14:paraId="2881F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86" w:type="dxa"/>
            <w:tcBorders>
              <w:tl2br w:val="nil"/>
              <w:tr2bl w:val="nil"/>
            </w:tcBorders>
            <w:noWrap w:val="0"/>
            <w:vAlign w:val="center"/>
          </w:tcPr>
          <w:p w14:paraId="1F715278">
            <w:pPr>
              <w:keepNext w:val="0"/>
              <w:keepLines w:val="0"/>
              <w:pageBreakBefore w:val="0"/>
              <w:widowControl w:val="0"/>
              <w:kinsoku/>
              <w:wordWrap/>
              <w:overflowPunct/>
              <w:topLinePunct w:val="0"/>
              <w:autoSpaceDE/>
              <w:autoSpaceDN/>
              <w:bidi w:val="0"/>
              <w:adjustRightInd/>
              <w:snapToGrid/>
              <w:spacing w:line="220" w:lineRule="exact"/>
              <w:ind w:left="134"/>
              <w:jc w:val="center"/>
              <w:textAlignment w:val="auto"/>
              <w:rPr>
                <w:rFonts w:ascii="Arial" w:hAnsi="Arial" w:eastAsia="Arial" w:cs="Arial"/>
                <w:sz w:val="23"/>
                <w:szCs w:val="23"/>
              </w:rPr>
            </w:pPr>
            <w:r>
              <w:rPr>
                <w:rFonts w:ascii="Arial" w:hAnsi="Arial" w:eastAsia="Arial" w:cs="Arial"/>
                <w:sz w:val="23"/>
                <w:szCs w:val="23"/>
              </w:rPr>
              <w:t>1</w:t>
            </w:r>
          </w:p>
        </w:tc>
        <w:tc>
          <w:tcPr>
            <w:tcW w:w="1253" w:type="dxa"/>
            <w:tcBorders>
              <w:tl2br w:val="nil"/>
              <w:tr2bl w:val="nil"/>
            </w:tcBorders>
            <w:noWrap w:val="0"/>
            <w:vAlign w:val="center"/>
          </w:tcPr>
          <w:p w14:paraId="1FBAF478">
            <w:pPr>
              <w:keepNext w:val="0"/>
              <w:keepLines w:val="0"/>
              <w:pageBreakBefore w:val="0"/>
              <w:widowControl w:val="0"/>
              <w:kinsoku/>
              <w:wordWrap/>
              <w:overflowPunct/>
              <w:topLinePunct w:val="0"/>
              <w:autoSpaceDE/>
              <w:autoSpaceDN/>
              <w:bidi w:val="0"/>
              <w:adjustRightInd/>
              <w:snapToGrid/>
              <w:spacing w:line="220" w:lineRule="exact"/>
              <w:ind w:left="122"/>
              <w:jc w:val="center"/>
              <w:textAlignment w:val="auto"/>
              <w:rPr>
                <w:rFonts w:ascii="Arial" w:hAnsi="Arial" w:eastAsia="Arial" w:cs="Arial"/>
                <w:sz w:val="23"/>
                <w:szCs w:val="23"/>
              </w:rPr>
            </w:pPr>
            <w:r>
              <w:rPr>
                <w:rFonts w:ascii="Arial" w:hAnsi="Arial" w:eastAsia="Arial" w:cs="Arial"/>
                <w:sz w:val="23"/>
                <w:szCs w:val="23"/>
              </w:rPr>
              <w:t>R</w:t>
            </w:r>
          </w:p>
        </w:tc>
        <w:tc>
          <w:tcPr>
            <w:tcW w:w="3417" w:type="dxa"/>
            <w:tcBorders>
              <w:tl2br w:val="nil"/>
              <w:tr2bl w:val="nil"/>
            </w:tcBorders>
            <w:noWrap w:val="0"/>
            <w:vAlign w:val="center"/>
          </w:tcPr>
          <w:p w14:paraId="2A2AADB4">
            <w:pPr>
              <w:keepNext w:val="0"/>
              <w:keepLines w:val="0"/>
              <w:pageBreakBefore w:val="0"/>
              <w:widowControl w:val="0"/>
              <w:kinsoku/>
              <w:wordWrap/>
              <w:overflowPunct/>
              <w:topLinePunct w:val="0"/>
              <w:autoSpaceDE/>
              <w:autoSpaceDN/>
              <w:bidi w:val="0"/>
              <w:adjustRightInd/>
              <w:snapToGrid/>
              <w:spacing w:line="220" w:lineRule="exact"/>
              <w:ind w:left="109"/>
              <w:jc w:val="center"/>
              <w:textAlignment w:val="auto"/>
              <w:rPr>
                <w:rFonts w:ascii="仿宋" w:hAnsi="仿宋" w:eastAsia="仿宋" w:cs="仿宋"/>
                <w:sz w:val="23"/>
                <w:szCs w:val="23"/>
              </w:rPr>
            </w:pPr>
            <w:r>
              <w:rPr>
                <w:rFonts w:ascii="仿宋" w:hAnsi="仿宋" w:eastAsia="仿宋" w:cs="仿宋"/>
                <w:spacing w:val="9"/>
                <w:sz w:val="23"/>
                <w:szCs w:val="23"/>
              </w:rPr>
              <w:t>居住用地</w:t>
            </w:r>
          </w:p>
        </w:tc>
        <w:tc>
          <w:tcPr>
            <w:tcW w:w="2029" w:type="dxa"/>
            <w:tcBorders>
              <w:tl2br w:val="nil"/>
              <w:tr2bl w:val="nil"/>
            </w:tcBorders>
            <w:noWrap w:val="0"/>
            <w:vAlign w:val="center"/>
          </w:tcPr>
          <w:p w14:paraId="680A033E">
            <w:pPr>
              <w:keepNext w:val="0"/>
              <w:keepLines w:val="0"/>
              <w:pageBreakBefore w:val="0"/>
              <w:widowControl w:val="0"/>
              <w:kinsoku/>
              <w:wordWrap/>
              <w:overflowPunct/>
              <w:topLinePunct w:val="0"/>
              <w:autoSpaceDE/>
              <w:autoSpaceDN/>
              <w:bidi w:val="0"/>
              <w:adjustRightInd/>
              <w:snapToGrid/>
              <w:spacing w:line="220" w:lineRule="exact"/>
              <w:ind w:left="132"/>
              <w:jc w:val="center"/>
              <w:textAlignment w:val="auto"/>
              <w:rPr>
                <w:rFonts w:ascii="Arial" w:hAnsi="Arial" w:eastAsia="Arial" w:cs="Arial"/>
                <w:sz w:val="23"/>
                <w:szCs w:val="23"/>
              </w:rPr>
            </w:pPr>
            <w:r>
              <w:rPr>
                <w:rFonts w:ascii="Arial" w:hAnsi="Arial" w:eastAsia="Arial" w:cs="Arial"/>
                <w:spacing w:val="2"/>
                <w:sz w:val="23"/>
                <w:szCs w:val="23"/>
              </w:rPr>
              <w:t>150-</w:t>
            </w:r>
            <w:r>
              <w:rPr>
                <w:rFonts w:ascii="Arial" w:hAnsi="Arial" w:eastAsia="Arial" w:cs="Arial"/>
                <w:spacing w:val="1"/>
                <w:sz w:val="23"/>
                <w:szCs w:val="23"/>
              </w:rPr>
              <w:t>200</w:t>
            </w:r>
          </w:p>
        </w:tc>
        <w:tc>
          <w:tcPr>
            <w:tcW w:w="1607" w:type="dxa"/>
            <w:tcBorders>
              <w:tl2br w:val="nil"/>
              <w:tr2bl w:val="nil"/>
            </w:tcBorders>
            <w:noWrap w:val="0"/>
            <w:vAlign w:val="center"/>
          </w:tcPr>
          <w:p w14:paraId="7AD094DA">
            <w:pPr>
              <w:keepNext w:val="0"/>
              <w:keepLines w:val="0"/>
              <w:pageBreakBefore w:val="0"/>
              <w:widowControl w:val="0"/>
              <w:kinsoku/>
              <w:wordWrap/>
              <w:overflowPunct/>
              <w:topLinePunct w:val="0"/>
              <w:autoSpaceDE/>
              <w:autoSpaceDN/>
              <w:bidi w:val="0"/>
              <w:adjustRightInd/>
              <w:snapToGrid/>
              <w:spacing w:line="220" w:lineRule="exact"/>
              <w:ind w:left="111"/>
              <w:jc w:val="center"/>
              <w:textAlignment w:val="auto"/>
              <w:rPr>
                <w:rFonts w:ascii="Arial" w:hAnsi="Arial" w:eastAsia="Arial" w:cs="Arial"/>
                <w:sz w:val="23"/>
                <w:szCs w:val="23"/>
              </w:rPr>
            </w:pPr>
            <w:r>
              <w:rPr>
                <w:rFonts w:ascii="Arial" w:hAnsi="Arial" w:eastAsia="Arial" w:cs="Arial"/>
                <w:spacing w:val="5"/>
                <w:sz w:val="23"/>
                <w:szCs w:val="23"/>
              </w:rPr>
              <w:t>40866</w:t>
            </w:r>
          </w:p>
        </w:tc>
      </w:tr>
      <w:tr w14:paraId="236C6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86" w:type="dxa"/>
            <w:tcBorders>
              <w:tl2br w:val="nil"/>
              <w:tr2bl w:val="nil"/>
            </w:tcBorders>
            <w:noWrap w:val="0"/>
            <w:vAlign w:val="center"/>
          </w:tcPr>
          <w:p w14:paraId="3B93E730">
            <w:pPr>
              <w:keepNext w:val="0"/>
              <w:keepLines w:val="0"/>
              <w:pageBreakBefore w:val="0"/>
              <w:widowControl w:val="0"/>
              <w:kinsoku/>
              <w:wordWrap/>
              <w:overflowPunct/>
              <w:topLinePunct w:val="0"/>
              <w:autoSpaceDE/>
              <w:autoSpaceDN/>
              <w:bidi w:val="0"/>
              <w:adjustRightInd/>
              <w:snapToGrid/>
              <w:spacing w:line="220" w:lineRule="exact"/>
              <w:ind w:left="115"/>
              <w:jc w:val="center"/>
              <w:textAlignment w:val="auto"/>
              <w:rPr>
                <w:rFonts w:ascii="Arial" w:hAnsi="Arial" w:eastAsia="Arial" w:cs="Arial"/>
                <w:sz w:val="23"/>
                <w:szCs w:val="23"/>
              </w:rPr>
            </w:pPr>
            <w:r>
              <w:rPr>
                <w:rFonts w:ascii="Arial" w:hAnsi="Arial" w:eastAsia="Arial" w:cs="Arial"/>
                <w:sz w:val="23"/>
                <w:szCs w:val="23"/>
              </w:rPr>
              <w:t>2</w:t>
            </w:r>
          </w:p>
        </w:tc>
        <w:tc>
          <w:tcPr>
            <w:tcW w:w="1253" w:type="dxa"/>
            <w:tcBorders>
              <w:tl2br w:val="nil"/>
              <w:tr2bl w:val="nil"/>
            </w:tcBorders>
            <w:noWrap w:val="0"/>
            <w:vAlign w:val="center"/>
          </w:tcPr>
          <w:p w14:paraId="4E428CAC">
            <w:pPr>
              <w:keepNext w:val="0"/>
              <w:keepLines w:val="0"/>
              <w:pageBreakBefore w:val="0"/>
              <w:widowControl w:val="0"/>
              <w:kinsoku/>
              <w:wordWrap/>
              <w:overflowPunct/>
              <w:topLinePunct w:val="0"/>
              <w:autoSpaceDE/>
              <w:autoSpaceDN/>
              <w:bidi w:val="0"/>
              <w:adjustRightInd/>
              <w:snapToGrid/>
              <w:spacing w:line="220" w:lineRule="exact"/>
              <w:ind w:left="103"/>
              <w:jc w:val="center"/>
              <w:textAlignment w:val="auto"/>
              <w:rPr>
                <w:rFonts w:ascii="Arial" w:hAnsi="Arial" w:eastAsia="Arial" w:cs="Arial"/>
                <w:sz w:val="23"/>
                <w:szCs w:val="23"/>
              </w:rPr>
            </w:pPr>
            <w:r>
              <w:rPr>
                <w:rFonts w:ascii="Arial" w:hAnsi="Arial" w:eastAsia="Arial" w:cs="Arial"/>
                <w:spacing w:val="6"/>
                <w:sz w:val="23"/>
                <w:szCs w:val="23"/>
              </w:rPr>
              <w:t>A</w:t>
            </w:r>
          </w:p>
        </w:tc>
        <w:tc>
          <w:tcPr>
            <w:tcW w:w="3417" w:type="dxa"/>
            <w:tcBorders>
              <w:tl2br w:val="nil"/>
              <w:tr2bl w:val="nil"/>
            </w:tcBorders>
            <w:noWrap w:val="0"/>
            <w:vAlign w:val="center"/>
          </w:tcPr>
          <w:p w14:paraId="31AB2A7A">
            <w:pPr>
              <w:keepNext w:val="0"/>
              <w:keepLines w:val="0"/>
              <w:pageBreakBefore w:val="0"/>
              <w:widowControl w:val="0"/>
              <w:kinsoku/>
              <w:wordWrap/>
              <w:overflowPunct/>
              <w:topLinePunct w:val="0"/>
              <w:autoSpaceDE/>
              <w:autoSpaceDN/>
              <w:bidi w:val="0"/>
              <w:adjustRightInd/>
              <w:snapToGrid/>
              <w:spacing w:line="220" w:lineRule="exact"/>
              <w:ind w:left="113"/>
              <w:jc w:val="center"/>
              <w:textAlignment w:val="auto"/>
              <w:rPr>
                <w:rFonts w:ascii="仿宋" w:hAnsi="仿宋" w:eastAsia="仿宋" w:cs="仿宋"/>
                <w:sz w:val="23"/>
                <w:szCs w:val="23"/>
              </w:rPr>
            </w:pPr>
            <w:r>
              <w:rPr>
                <w:rFonts w:ascii="仿宋" w:hAnsi="仿宋" w:eastAsia="仿宋" w:cs="仿宋"/>
                <w:spacing w:val="13"/>
                <w:sz w:val="23"/>
                <w:szCs w:val="23"/>
              </w:rPr>
              <w:t>公</w:t>
            </w:r>
            <w:r>
              <w:rPr>
                <w:rFonts w:ascii="仿宋" w:hAnsi="仿宋" w:eastAsia="仿宋" w:cs="仿宋"/>
                <w:spacing w:val="9"/>
                <w:sz w:val="23"/>
                <w:szCs w:val="23"/>
              </w:rPr>
              <w:t>共管理与公共服务设施用地</w:t>
            </w:r>
          </w:p>
        </w:tc>
        <w:tc>
          <w:tcPr>
            <w:tcW w:w="2029" w:type="dxa"/>
            <w:tcBorders>
              <w:tl2br w:val="nil"/>
              <w:tr2bl w:val="nil"/>
            </w:tcBorders>
            <w:noWrap w:val="0"/>
            <w:vAlign w:val="center"/>
          </w:tcPr>
          <w:p w14:paraId="31C10E61">
            <w:pPr>
              <w:keepNext w:val="0"/>
              <w:keepLines w:val="0"/>
              <w:pageBreakBefore w:val="0"/>
              <w:widowControl w:val="0"/>
              <w:kinsoku/>
              <w:wordWrap/>
              <w:overflowPunct/>
              <w:topLinePunct w:val="0"/>
              <w:autoSpaceDE/>
              <w:autoSpaceDN/>
              <w:bidi w:val="0"/>
              <w:adjustRightInd/>
              <w:snapToGrid/>
              <w:spacing w:line="220" w:lineRule="exact"/>
              <w:ind w:left="132"/>
              <w:jc w:val="center"/>
              <w:textAlignment w:val="auto"/>
              <w:rPr>
                <w:rFonts w:ascii="Arial" w:hAnsi="Arial" w:eastAsia="Arial" w:cs="Arial"/>
                <w:sz w:val="23"/>
                <w:szCs w:val="23"/>
              </w:rPr>
            </w:pPr>
            <w:r>
              <w:rPr>
                <w:rFonts w:ascii="Arial" w:hAnsi="Arial" w:eastAsia="Arial" w:cs="Arial"/>
                <w:spacing w:val="2"/>
                <w:sz w:val="23"/>
                <w:szCs w:val="23"/>
              </w:rPr>
              <w:t>150-</w:t>
            </w:r>
            <w:r>
              <w:rPr>
                <w:rFonts w:ascii="Arial" w:hAnsi="Arial" w:eastAsia="Arial" w:cs="Arial"/>
                <w:spacing w:val="1"/>
                <w:sz w:val="23"/>
                <w:szCs w:val="23"/>
              </w:rPr>
              <w:t>250</w:t>
            </w:r>
          </w:p>
        </w:tc>
        <w:tc>
          <w:tcPr>
            <w:tcW w:w="1607" w:type="dxa"/>
            <w:tcBorders>
              <w:tl2br w:val="nil"/>
              <w:tr2bl w:val="nil"/>
            </w:tcBorders>
            <w:noWrap w:val="0"/>
            <w:vAlign w:val="center"/>
          </w:tcPr>
          <w:p w14:paraId="48B47058">
            <w:pPr>
              <w:keepNext w:val="0"/>
              <w:keepLines w:val="0"/>
              <w:pageBreakBefore w:val="0"/>
              <w:widowControl w:val="0"/>
              <w:kinsoku/>
              <w:wordWrap/>
              <w:overflowPunct/>
              <w:topLinePunct w:val="0"/>
              <w:autoSpaceDE/>
              <w:autoSpaceDN/>
              <w:bidi w:val="0"/>
              <w:adjustRightInd/>
              <w:snapToGrid/>
              <w:spacing w:line="220" w:lineRule="exact"/>
              <w:ind w:left="134"/>
              <w:jc w:val="center"/>
              <w:textAlignment w:val="auto"/>
              <w:rPr>
                <w:rFonts w:ascii="Arial" w:hAnsi="Arial" w:eastAsia="Arial" w:cs="Arial"/>
                <w:sz w:val="23"/>
                <w:szCs w:val="23"/>
              </w:rPr>
            </w:pPr>
            <w:r>
              <w:rPr>
                <w:rFonts w:ascii="Arial" w:hAnsi="Arial" w:eastAsia="Arial" w:cs="Arial"/>
                <w:spacing w:val="-12"/>
                <w:sz w:val="23"/>
                <w:szCs w:val="23"/>
              </w:rPr>
              <w:t>1</w:t>
            </w:r>
            <w:r>
              <w:rPr>
                <w:rFonts w:ascii="Arial" w:hAnsi="Arial" w:eastAsia="Arial" w:cs="Arial"/>
                <w:spacing w:val="-10"/>
                <w:sz w:val="23"/>
                <w:szCs w:val="23"/>
              </w:rPr>
              <w:t xml:space="preserve"> 1080</w:t>
            </w:r>
          </w:p>
        </w:tc>
      </w:tr>
      <w:tr w14:paraId="1973F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986" w:type="dxa"/>
            <w:tcBorders>
              <w:tl2br w:val="nil"/>
              <w:tr2bl w:val="nil"/>
            </w:tcBorders>
            <w:noWrap w:val="0"/>
            <w:vAlign w:val="center"/>
          </w:tcPr>
          <w:p w14:paraId="6F28C998">
            <w:pPr>
              <w:keepNext w:val="0"/>
              <w:keepLines w:val="0"/>
              <w:pageBreakBefore w:val="0"/>
              <w:widowControl w:val="0"/>
              <w:kinsoku/>
              <w:wordWrap/>
              <w:overflowPunct/>
              <w:topLinePunct w:val="0"/>
              <w:autoSpaceDE/>
              <w:autoSpaceDN/>
              <w:bidi w:val="0"/>
              <w:adjustRightInd/>
              <w:snapToGrid/>
              <w:spacing w:line="220" w:lineRule="exact"/>
              <w:ind w:left="118"/>
              <w:jc w:val="center"/>
              <w:textAlignment w:val="auto"/>
              <w:rPr>
                <w:rFonts w:ascii="Arial" w:hAnsi="Arial" w:eastAsia="Arial" w:cs="Arial"/>
                <w:sz w:val="23"/>
                <w:szCs w:val="23"/>
              </w:rPr>
            </w:pPr>
            <w:r>
              <w:rPr>
                <w:rFonts w:ascii="Arial" w:hAnsi="Arial" w:eastAsia="Arial" w:cs="Arial"/>
                <w:sz w:val="23"/>
                <w:szCs w:val="23"/>
              </w:rPr>
              <w:t>3</w:t>
            </w:r>
          </w:p>
        </w:tc>
        <w:tc>
          <w:tcPr>
            <w:tcW w:w="1253" w:type="dxa"/>
            <w:tcBorders>
              <w:tl2br w:val="nil"/>
              <w:tr2bl w:val="nil"/>
            </w:tcBorders>
            <w:noWrap w:val="0"/>
            <w:vAlign w:val="center"/>
          </w:tcPr>
          <w:p w14:paraId="7FB95169">
            <w:pPr>
              <w:keepNext w:val="0"/>
              <w:keepLines w:val="0"/>
              <w:pageBreakBefore w:val="0"/>
              <w:widowControl w:val="0"/>
              <w:kinsoku/>
              <w:wordWrap/>
              <w:overflowPunct/>
              <w:topLinePunct w:val="0"/>
              <w:autoSpaceDE/>
              <w:autoSpaceDN/>
              <w:bidi w:val="0"/>
              <w:adjustRightInd/>
              <w:snapToGrid/>
              <w:spacing w:line="220" w:lineRule="exact"/>
              <w:ind w:left="121"/>
              <w:jc w:val="center"/>
              <w:textAlignment w:val="auto"/>
              <w:rPr>
                <w:rFonts w:ascii="Arial" w:hAnsi="Arial" w:eastAsia="Arial" w:cs="Arial"/>
                <w:sz w:val="23"/>
                <w:szCs w:val="23"/>
              </w:rPr>
            </w:pPr>
            <w:r>
              <w:rPr>
                <w:rFonts w:ascii="Arial" w:hAnsi="Arial" w:eastAsia="Arial" w:cs="Arial"/>
                <w:sz w:val="23"/>
                <w:szCs w:val="23"/>
              </w:rPr>
              <w:t>B</w:t>
            </w:r>
          </w:p>
        </w:tc>
        <w:tc>
          <w:tcPr>
            <w:tcW w:w="3417" w:type="dxa"/>
            <w:tcBorders>
              <w:tl2br w:val="nil"/>
              <w:tr2bl w:val="nil"/>
            </w:tcBorders>
            <w:noWrap w:val="0"/>
            <w:vAlign w:val="center"/>
          </w:tcPr>
          <w:p w14:paraId="4C08F49E">
            <w:pPr>
              <w:keepNext w:val="0"/>
              <w:keepLines w:val="0"/>
              <w:pageBreakBefore w:val="0"/>
              <w:widowControl w:val="0"/>
              <w:kinsoku/>
              <w:wordWrap/>
              <w:overflowPunct/>
              <w:topLinePunct w:val="0"/>
              <w:autoSpaceDE/>
              <w:autoSpaceDN/>
              <w:bidi w:val="0"/>
              <w:adjustRightInd/>
              <w:snapToGrid/>
              <w:spacing w:line="220" w:lineRule="exact"/>
              <w:ind w:left="125"/>
              <w:jc w:val="center"/>
              <w:textAlignment w:val="auto"/>
              <w:rPr>
                <w:rFonts w:ascii="仿宋" w:hAnsi="仿宋" w:eastAsia="仿宋" w:cs="仿宋"/>
                <w:sz w:val="23"/>
                <w:szCs w:val="23"/>
              </w:rPr>
            </w:pPr>
            <w:r>
              <w:rPr>
                <w:rFonts w:ascii="仿宋" w:hAnsi="仿宋" w:eastAsia="仿宋" w:cs="仿宋"/>
                <w:spacing w:val="8"/>
                <w:sz w:val="23"/>
                <w:szCs w:val="23"/>
              </w:rPr>
              <w:t>商业服务业设施用</w:t>
            </w:r>
            <w:r>
              <w:rPr>
                <w:rFonts w:ascii="仿宋" w:hAnsi="仿宋" w:eastAsia="仿宋" w:cs="仿宋"/>
                <w:spacing w:val="6"/>
                <w:sz w:val="23"/>
                <w:szCs w:val="23"/>
              </w:rPr>
              <w:t>地</w:t>
            </w:r>
          </w:p>
        </w:tc>
        <w:tc>
          <w:tcPr>
            <w:tcW w:w="2029" w:type="dxa"/>
            <w:tcBorders>
              <w:tl2br w:val="nil"/>
              <w:tr2bl w:val="nil"/>
            </w:tcBorders>
            <w:noWrap w:val="0"/>
            <w:vAlign w:val="center"/>
          </w:tcPr>
          <w:p w14:paraId="100C1676">
            <w:pPr>
              <w:keepNext w:val="0"/>
              <w:keepLines w:val="0"/>
              <w:pageBreakBefore w:val="0"/>
              <w:widowControl w:val="0"/>
              <w:kinsoku/>
              <w:wordWrap/>
              <w:overflowPunct/>
              <w:topLinePunct w:val="0"/>
              <w:autoSpaceDE/>
              <w:autoSpaceDN/>
              <w:bidi w:val="0"/>
              <w:adjustRightInd/>
              <w:snapToGrid/>
              <w:spacing w:line="220" w:lineRule="exact"/>
              <w:ind w:left="113"/>
              <w:jc w:val="center"/>
              <w:textAlignment w:val="auto"/>
              <w:rPr>
                <w:rFonts w:ascii="Arial" w:hAnsi="Arial" w:eastAsia="Arial" w:cs="Arial"/>
                <w:sz w:val="23"/>
                <w:szCs w:val="23"/>
              </w:rPr>
            </w:pPr>
            <w:r>
              <w:rPr>
                <w:rFonts w:ascii="Arial" w:hAnsi="Arial" w:eastAsia="Arial" w:cs="Arial"/>
                <w:spacing w:val="7"/>
                <w:sz w:val="23"/>
                <w:szCs w:val="23"/>
              </w:rPr>
              <w:t>2</w:t>
            </w:r>
            <w:r>
              <w:rPr>
                <w:rFonts w:ascii="Arial" w:hAnsi="Arial" w:eastAsia="Arial" w:cs="Arial"/>
                <w:spacing w:val="4"/>
                <w:sz w:val="23"/>
                <w:szCs w:val="23"/>
              </w:rPr>
              <w:t>00-300</w:t>
            </w:r>
          </w:p>
        </w:tc>
        <w:tc>
          <w:tcPr>
            <w:tcW w:w="1607" w:type="dxa"/>
            <w:tcBorders>
              <w:tl2br w:val="nil"/>
              <w:tr2bl w:val="nil"/>
            </w:tcBorders>
            <w:noWrap w:val="0"/>
            <w:vAlign w:val="center"/>
          </w:tcPr>
          <w:p w14:paraId="04138A21">
            <w:pPr>
              <w:keepNext w:val="0"/>
              <w:keepLines w:val="0"/>
              <w:pageBreakBefore w:val="0"/>
              <w:widowControl w:val="0"/>
              <w:kinsoku/>
              <w:wordWrap/>
              <w:overflowPunct/>
              <w:topLinePunct w:val="0"/>
              <w:autoSpaceDE/>
              <w:autoSpaceDN/>
              <w:bidi w:val="0"/>
              <w:adjustRightInd/>
              <w:snapToGrid/>
              <w:spacing w:line="220" w:lineRule="exact"/>
              <w:ind w:left="114"/>
              <w:jc w:val="center"/>
              <w:textAlignment w:val="auto"/>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4"/>
                <w:sz w:val="23"/>
                <w:szCs w:val="23"/>
              </w:rPr>
              <w:t>2637</w:t>
            </w:r>
          </w:p>
        </w:tc>
      </w:tr>
      <w:tr w14:paraId="2B7288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986" w:type="dxa"/>
            <w:tcBorders>
              <w:tl2br w:val="nil"/>
              <w:tr2bl w:val="nil"/>
            </w:tcBorders>
            <w:noWrap w:val="0"/>
            <w:vAlign w:val="center"/>
          </w:tcPr>
          <w:p w14:paraId="792B0DE0">
            <w:pPr>
              <w:keepNext w:val="0"/>
              <w:keepLines w:val="0"/>
              <w:pageBreakBefore w:val="0"/>
              <w:widowControl w:val="0"/>
              <w:kinsoku/>
              <w:wordWrap/>
              <w:overflowPunct/>
              <w:topLinePunct w:val="0"/>
              <w:autoSpaceDE/>
              <w:autoSpaceDN/>
              <w:bidi w:val="0"/>
              <w:adjustRightInd/>
              <w:snapToGrid/>
              <w:spacing w:line="220" w:lineRule="exact"/>
              <w:ind w:left="111"/>
              <w:jc w:val="center"/>
              <w:textAlignment w:val="auto"/>
              <w:rPr>
                <w:rFonts w:ascii="Arial" w:hAnsi="Arial" w:eastAsia="Arial" w:cs="Arial"/>
                <w:sz w:val="23"/>
                <w:szCs w:val="23"/>
              </w:rPr>
            </w:pPr>
            <w:r>
              <w:rPr>
                <w:rFonts w:ascii="Arial" w:hAnsi="Arial" w:eastAsia="Arial" w:cs="Arial"/>
                <w:spacing w:val="2"/>
                <w:sz w:val="23"/>
                <w:szCs w:val="23"/>
              </w:rPr>
              <w:t>4</w:t>
            </w:r>
          </w:p>
        </w:tc>
        <w:tc>
          <w:tcPr>
            <w:tcW w:w="1253" w:type="dxa"/>
            <w:tcBorders>
              <w:tl2br w:val="nil"/>
              <w:tr2bl w:val="nil"/>
            </w:tcBorders>
            <w:noWrap w:val="0"/>
            <w:vAlign w:val="center"/>
          </w:tcPr>
          <w:p w14:paraId="1209233C">
            <w:pPr>
              <w:keepNext w:val="0"/>
              <w:keepLines w:val="0"/>
              <w:pageBreakBefore w:val="0"/>
              <w:widowControl w:val="0"/>
              <w:kinsoku/>
              <w:wordWrap/>
              <w:overflowPunct/>
              <w:topLinePunct w:val="0"/>
              <w:autoSpaceDE/>
              <w:autoSpaceDN/>
              <w:bidi w:val="0"/>
              <w:adjustRightInd/>
              <w:snapToGrid/>
              <w:spacing w:line="220" w:lineRule="exact"/>
              <w:ind w:left="121"/>
              <w:jc w:val="center"/>
              <w:textAlignment w:val="auto"/>
              <w:rPr>
                <w:rFonts w:ascii="Arial" w:hAnsi="Arial" w:eastAsia="Arial" w:cs="Arial"/>
                <w:sz w:val="23"/>
                <w:szCs w:val="23"/>
              </w:rPr>
            </w:pPr>
            <w:r>
              <w:rPr>
                <w:rFonts w:ascii="Arial" w:hAnsi="Arial" w:eastAsia="Arial" w:cs="Arial"/>
                <w:sz w:val="23"/>
                <w:szCs w:val="23"/>
              </w:rPr>
              <w:t>M</w:t>
            </w:r>
          </w:p>
        </w:tc>
        <w:tc>
          <w:tcPr>
            <w:tcW w:w="3417" w:type="dxa"/>
            <w:tcBorders>
              <w:tl2br w:val="nil"/>
              <w:tr2bl w:val="nil"/>
            </w:tcBorders>
            <w:noWrap w:val="0"/>
            <w:vAlign w:val="center"/>
          </w:tcPr>
          <w:p w14:paraId="5870CE7F">
            <w:pPr>
              <w:keepNext w:val="0"/>
              <w:keepLines w:val="0"/>
              <w:pageBreakBefore w:val="0"/>
              <w:widowControl w:val="0"/>
              <w:kinsoku/>
              <w:wordWrap/>
              <w:overflowPunct/>
              <w:topLinePunct w:val="0"/>
              <w:autoSpaceDE/>
              <w:autoSpaceDN/>
              <w:bidi w:val="0"/>
              <w:adjustRightInd/>
              <w:snapToGrid/>
              <w:spacing w:line="220" w:lineRule="exact"/>
              <w:ind w:left="120"/>
              <w:jc w:val="center"/>
              <w:textAlignment w:val="auto"/>
              <w:rPr>
                <w:rFonts w:ascii="仿宋" w:hAnsi="仿宋" w:eastAsia="仿宋" w:cs="仿宋"/>
                <w:sz w:val="23"/>
                <w:szCs w:val="23"/>
              </w:rPr>
            </w:pPr>
            <w:r>
              <w:rPr>
                <w:rFonts w:ascii="仿宋" w:hAnsi="仿宋" w:eastAsia="仿宋" w:cs="仿宋"/>
                <w:spacing w:val="6"/>
                <w:sz w:val="23"/>
                <w:szCs w:val="23"/>
              </w:rPr>
              <w:t>工业用地</w:t>
            </w:r>
          </w:p>
        </w:tc>
        <w:tc>
          <w:tcPr>
            <w:tcW w:w="2029" w:type="dxa"/>
            <w:tcBorders>
              <w:tl2br w:val="nil"/>
              <w:tr2bl w:val="nil"/>
            </w:tcBorders>
            <w:noWrap w:val="0"/>
            <w:vAlign w:val="center"/>
          </w:tcPr>
          <w:p w14:paraId="229AC465">
            <w:pPr>
              <w:keepNext w:val="0"/>
              <w:keepLines w:val="0"/>
              <w:pageBreakBefore w:val="0"/>
              <w:widowControl w:val="0"/>
              <w:kinsoku/>
              <w:wordWrap/>
              <w:overflowPunct/>
              <w:topLinePunct w:val="0"/>
              <w:autoSpaceDE/>
              <w:autoSpaceDN/>
              <w:bidi w:val="0"/>
              <w:adjustRightInd/>
              <w:snapToGrid/>
              <w:spacing w:line="220" w:lineRule="exact"/>
              <w:ind w:left="116"/>
              <w:jc w:val="center"/>
              <w:textAlignment w:val="auto"/>
              <w:rPr>
                <w:rFonts w:ascii="Arial" w:hAnsi="Arial" w:eastAsia="Arial" w:cs="Arial"/>
                <w:sz w:val="23"/>
                <w:szCs w:val="23"/>
              </w:rPr>
            </w:pPr>
            <w:r>
              <w:rPr>
                <w:rFonts w:ascii="Arial" w:hAnsi="Arial" w:eastAsia="Arial" w:cs="Arial"/>
                <w:spacing w:val="6"/>
                <w:sz w:val="23"/>
                <w:szCs w:val="23"/>
              </w:rPr>
              <w:t>3</w:t>
            </w:r>
            <w:r>
              <w:rPr>
                <w:rFonts w:ascii="Arial" w:hAnsi="Arial" w:eastAsia="Arial" w:cs="Arial"/>
                <w:spacing w:val="4"/>
                <w:sz w:val="23"/>
                <w:szCs w:val="23"/>
              </w:rPr>
              <w:t>00~500</w:t>
            </w:r>
          </w:p>
        </w:tc>
        <w:tc>
          <w:tcPr>
            <w:tcW w:w="1607" w:type="dxa"/>
            <w:tcBorders>
              <w:tl2br w:val="nil"/>
              <w:tr2bl w:val="nil"/>
            </w:tcBorders>
            <w:noWrap w:val="0"/>
            <w:vAlign w:val="center"/>
          </w:tcPr>
          <w:p w14:paraId="28E28337">
            <w:pPr>
              <w:keepNext w:val="0"/>
              <w:keepLines w:val="0"/>
              <w:pageBreakBefore w:val="0"/>
              <w:widowControl w:val="0"/>
              <w:kinsoku/>
              <w:wordWrap/>
              <w:overflowPunct/>
              <w:topLinePunct w:val="0"/>
              <w:autoSpaceDE/>
              <w:autoSpaceDN/>
              <w:bidi w:val="0"/>
              <w:adjustRightInd/>
              <w:snapToGrid/>
              <w:spacing w:line="220" w:lineRule="exact"/>
              <w:ind w:left="114"/>
              <w:jc w:val="center"/>
              <w:textAlignment w:val="auto"/>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4"/>
                <w:sz w:val="23"/>
                <w:szCs w:val="23"/>
              </w:rPr>
              <w:t>40000</w:t>
            </w:r>
          </w:p>
        </w:tc>
      </w:tr>
      <w:tr w14:paraId="434E63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86" w:type="dxa"/>
            <w:tcBorders>
              <w:tl2br w:val="nil"/>
              <w:tr2bl w:val="nil"/>
            </w:tcBorders>
            <w:noWrap w:val="0"/>
            <w:vAlign w:val="center"/>
          </w:tcPr>
          <w:p w14:paraId="6E5645E0">
            <w:pPr>
              <w:keepNext w:val="0"/>
              <w:keepLines w:val="0"/>
              <w:pageBreakBefore w:val="0"/>
              <w:widowControl w:val="0"/>
              <w:kinsoku/>
              <w:wordWrap/>
              <w:overflowPunct/>
              <w:topLinePunct w:val="0"/>
              <w:autoSpaceDE/>
              <w:autoSpaceDN/>
              <w:bidi w:val="0"/>
              <w:adjustRightInd/>
              <w:snapToGrid/>
              <w:spacing w:line="220" w:lineRule="exact"/>
              <w:ind w:left="118"/>
              <w:jc w:val="center"/>
              <w:textAlignment w:val="auto"/>
              <w:rPr>
                <w:rFonts w:ascii="Arial" w:hAnsi="Arial" w:eastAsia="Arial" w:cs="Arial"/>
                <w:sz w:val="23"/>
                <w:szCs w:val="23"/>
              </w:rPr>
            </w:pPr>
            <w:r>
              <w:rPr>
                <w:rFonts w:ascii="Arial" w:hAnsi="Arial" w:eastAsia="Arial" w:cs="Arial"/>
                <w:sz w:val="23"/>
                <w:szCs w:val="23"/>
              </w:rPr>
              <w:t>5</w:t>
            </w:r>
          </w:p>
        </w:tc>
        <w:tc>
          <w:tcPr>
            <w:tcW w:w="1253" w:type="dxa"/>
            <w:tcBorders>
              <w:tl2br w:val="nil"/>
              <w:tr2bl w:val="nil"/>
            </w:tcBorders>
            <w:noWrap w:val="0"/>
            <w:vAlign w:val="center"/>
          </w:tcPr>
          <w:p w14:paraId="053CF68C">
            <w:pPr>
              <w:keepNext w:val="0"/>
              <w:keepLines w:val="0"/>
              <w:pageBreakBefore w:val="0"/>
              <w:widowControl w:val="0"/>
              <w:kinsoku/>
              <w:wordWrap/>
              <w:overflowPunct/>
              <w:topLinePunct w:val="0"/>
              <w:autoSpaceDE/>
              <w:autoSpaceDN/>
              <w:bidi w:val="0"/>
              <w:adjustRightInd/>
              <w:snapToGrid/>
              <w:spacing w:line="220" w:lineRule="exact"/>
              <w:ind w:left="106"/>
              <w:jc w:val="center"/>
              <w:textAlignment w:val="auto"/>
              <w:rPr>
                <w:rFonts w:ascii="Arial" w:hAnsi="Arial" w:eastAsia="Arial" w:cs="Arial"/>
                <w:sz w:val="23"/>
                <w:szCs w:val="23"/>
              </w:rPr>
            </w:pPr>
            <w:r>
              <w:rPr>
                <w:rFonts w:ascii="Arial" w:hAnsi="Arial" w:eastAsia="Arial" w:cs="Arial"/>
                <w:spacing w:val="6"/>
                <w:sz w:val="23"/>
                <w:szCs w:val="23"/>
              </w:rPr>
              <w:t>W</w:t>
            </w:r>
          </w:p>
        </w:tc>
        <w:tc>
          <w:tcPr>
            <w:tcW w:w="3417" w:type="dxa"/>
            <w:tcBorders>
              <w:tl2br w:val="nil"/>
              <w:tr2bl w:val="nil"/>
            </w:tcBorders>
            <w:noWrap w:val="0"/>
            <w:vAlign w:val="center"/>
          </w:tcPr>
          <w:p w14:paraId="1C2B9041">
            <w:pPr>
              <w:keepNext w:val="0"/>
              <w:keepLines w:val="0"/>
              <w:pageBreakBefore w:val="0"/>
              <w:widowControl w:val="0"/>
              <w:kinsoku/>
              <w:wordWrap/>
              <w:overflowPunct/>
              <w:topLinePunct w:val="0"/>
              <w:autoSpaceDE/>
              <w:autoSpaceDN/>
              <w:bidi w:val="0"/>
              <w:adjustRightInd/>
              <w:snapToGrid/>
              <w:spacing w:line="220" w:lineRule="exact"/>
              <w:ind w:left="122"/>
              <w:jc w:val="center"/>
              <w:textAlignment w:val="auto"/>
              <w:rPr>
                <w:rFonts w:ascii="仿宋" w:hAnsi="仿宋" w:eastAsia="仿宋" w:cs="仿宋"/>
                <w:sz w:val="23"/>
                <w:szCs w:val="23"/>
              </w:rPr>
            </w:pPr>
            <w:r>
              <w:rPr>
                <w:rFonts w:ascii="仿宋" w:hAnsi="仿宋" w:eastAsia="仿宋" w:cs="仿宋"/>
                <w:spacing w:val="8"/>
                <w:sz w:val="23"/>
                <w:szCs w:val="23"/>
              </w:rPr>
              <w:t>物</w:t>
            </w:r>
            <w:r>
              <w:rPr>
                <w:rFonts w:ascii="仿宋" w:hAnsi="仿宋" w:eastAsia="仿宋" w:cs="仿宋"/>
                <w:spacing w:val="7"/>
                <w:sz w:val="23"/>
                <w:szCs w:val="23"/>
              </w:rPr>
              <w:t>流仓储用地</w:t>
            </w:r>
          </w:p>
        </w:tc>
        <w:tc>
          <w:tcPr>
            <w:tcW w:w="2029" w:type="dxa"/>
            <w:tcBorders>
              <w:tl2br w:val="nil"/>
              <w:tr2bl w:val="nil"/>
            </w:tcBorders>
            <w:noWrap w:val="0"/>
            <w:vAlign w:val="center"/>
          </w:tcPr>
          <w:p w14:paraId="5D454598">
            <w:pPr>
              <w:keepNext w:val="0"/>
              <w:keepLines w:val="0"/>
              <w:pageBreakBefore w:val="0"/>
              <w:widowControl w:val="0"/>
              <w:kinsoku/>
              <w:wordWrap/>
              <w:overflowPunct/>
              <w:topLinePunct w:val="0"/>
              <w:autoSpaceDE/>
              <w:autoSpaceDN/>
              <w:bidi w:val="0"/>
              <w:adjustRightInd/>
              <w:snapToGrid/>
              <w:spacing w:line="220" w:lineRule="exact"/>
              <w:ind w:left="132"/>
              <w:jc w:val="center"/>
              <w:textAlignment w:val="auto"/>
              <w:rPr>
                <w:rFonts w:ascii="Arial" w:hAnsi="Arial" w:eastAsia="Arial" w:cs="Arial"/>
                <w:sz w:val="23"/>
                <w:szCs w:val="23"/>
              </w:rPr>
            </w:pPr>
            <w:r>
              <w:rPr>
                <w:rFonts w:ascii="Arial" w:hAnsi="Arial" w:eastAsia="Arial" w:cs="Arial"/>
                <w:spacing w:val="2"/>
                <w:sz w:val="23"/>
                <w:szCs w:val="23"/>
              </w:rPr>
              <w:t>100-</w:t>
            </w:r>
            <w:r>
              <w:rPr>
                <w:rFonts w:ascii="Arial" w:hAnsi="Arial" w:eastAsia="Arial" w:cs="Arial"/>
                <w:spacing w:val="1"/>
                <w:sz w:val="23"/>
                <w:szCs w:val="23"/>
              </w:rPr>
              <w:t>150</w:t>
            </w:r>
          </w:p>
        </w:tc>
        <w:tc>
          <w:tcPr>
            <w:tcW w:w="1607" w:type="dxa"/>
            <w:tcBorders>
              <w:tl2br w:val="nil"/>
              <w:tr2bl w:val="nil"/>
            </w:tcBorders>
            <w:noWrap w:val="0"/>
            <w:vAlign w:val="center"/>
          </w:tcPr>
          <w:p w14:paraId="745DC048">
            <w:pPr>
              <w:keepNext w:val="0"/>
              <w:keepLines w:val="0"/>
              <w:pageBreakBefore w:val="0"/>
              <w:widowControl w:val="0"/>
              <w:kinsoku/>
              <w:wordWrap/>
              <w:overflowPunct/>
              <w:topLinePunct w:val="0"/>
              <w:autoSpaceDE/>
              <w:autoSpaceDN/>
              <w:bidi w:val="0"/>
              <w:adjustRightInd/>
              <w:snapToGrid/>
              <w:spacing w:line="220" w:lineRule="exact"/>
              <w:ind w:left="119"/>
              <w:jc w:val="center"/>
              <w:textAlignment w:val="auto"/>
              <w:rPr>
                <w:rFonts w:ascii="Arial" w:hAnsi="Arial" w:eastAsia="Arial" w:cs="Arial"/>
                <w:sz w:val="23"/>
                <w:szCs w:val="23"/>
              </w:rPr>
            </w:pPr>
            <w:r>
              <w:rPr>
                <w:rFonts w:ascii="Arial" w:hAnsi="Arial" w:eastAsia="Arial" w:cs="Arial"/>
                <w:spacing w:val="3"/>
                <w:sz w:val="23"/>
                <w:szCs w:val="23"/>
              </w:rPr>
              <w:t>787</w:t>
            </w:r>
            <w:r>
              <w:rPr>
                <w:rFonts w:ascii="Arial" w:hAnsi="Arial" w:eastAsia="Arial" w:cs="Arial"/>
                <w:spacing w:val="2"/>
                <w:sz w:val="23"/>
                <w:szCs w:val="23"/>
              </w:rPr>
              <w:t>6</w:t>
            </w:r>
          </w:p>
        </w:tc>
      </w:tr>
      <w:tr w14:paraId="2A36B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86" w:type="dxa"/>
            <w:tcBorders>
              <w:tl2br w:val="nil"/>
              <w:tr2bl w:val="nil"/>
            </w:tcBorders>
            <w:noWrap w:val="0"/>
            <w:vAlign w:val="center"/>
          </w:tcPr>
          <w:p w14:paraId="18D684F9">
            <w:pPr>
              <w:keepNext w:val="0"/>
              <w:keepLines w:val="0"/>
              <w:pageBreakBefore w:val="0"/>
              <w:widowControl w:val="0"/>
              <w:kinsoku/>
              <w:wordWrap/>
              <w:overflowPunct/>
              <w:topLinePunct w:val="0"/>
              <w:autoSpaceDE/>
              <w:autoSpaceDN/>
              <w:bidi w:val="0"/>
              <w:adjustRightInd/>
              <w:snapToGrid/>
              <w:spacing w:line="220" w:lineRule="exact"/>
              <w:ind w:left="117"/>
              <w:jc w:val="center"/>
              <w:textAlignment w:val="auto"/>
              <w:rPr>
                <w:rFonts w:ascii="Arial" w:hAnsi="Arial" w:eastAsia="Arial" w:cs="Arial"/>
                <w:sz w:val="23"/>
                <w:szCs w:val="23"/>
              </w:rPr>
            </w:pPr>
            <w:r>
              <w:rPr>
                <w:rFonts w:ascii="Arial" w:hAnsi="Arial" w:eastAsia="Arial" w:cs="Arial"/>
                <w:sz w:val="23"/>
                <w:szCs w:val="23"/>
              </w:rPr>
              <w:t>6</w:t>
            </w:r>
          </w:p>
        </w:tc>
        <w:tc>
          <w:tcPr>
            <w:tcW w:w="1253" w:type="dxa"/>
            <w:tcBorders>
              <w:tl2br w:val="nil"/>
              <w:tr2bl w:val="nil"/>
            </w:tcBorders>
            <w:noWrap w:val="0"/>
            <w:vAlign w:val="center"/>
          </w:tcPr>
          <w:p w14:paraId="3ADF0F98">
            <w:pPr>
              <w:keepNext w:val="0"/>
              <w:keepLines w:val="0"/>
              <w:pageBreakBefore w:val="0"/>
              <w:widowControl w:val="0"/>
              <w:kinsoku/>
              <w:wordWrap/>
              <w:overflowPunct/>
              <w:topLinePunct w:val="0"/>
              <w:autoSpaceDE/>
              <w:autoSpaceDN/>
              <w:bidi w:val="0"/>
              <w:adjustRightInd/>
              <w:snapToGrid/>
              <w:spacing w:line="220" w:lineRule="exact"/>
              <w:ind w:left="114"/>
              <w:jc w:val="center"/>
              <w:textAlignment w:val="auto"/>
              <w:rPr>
                <w:rFonts w:ascii="Arial" w:hAnsi="Arial" w:eastAsia="Arial" w:cs="Arial"/>
                <w:sz w:val="23"/>
                <w:szCs w:val="23"/>
              </w:rPr>
            </w:pPr>
            <w:r>
              <w:rPr>
                <w:rFonts w:ascii="Arial" w:hAnsi="Arial" w:eastAsia="Arial" w:cs="Arial"/>
                <w:sz w:val="23"/>
                <w:szCs w:val="23"/>
              </w:rPr>
              <w:t>S</w:t>
            </w:r>
          </w:p>
        </w:tc>
        <w:tc>
          <w:tcPr>
            <w:tcW w:w="3417" w:type="dxa"/>
            <w:tcBorders>
              <w:tl2br w:val="nil"/>
              <w:tr2bl w:val="nil"/>
            </w:tcBorders>
            <w:noWrap w:val="0"/>
            <w:vAlign w:val="center"/>
          </w:tcPr>
          <w:p w14:paraId="7B2713B4">
            <w:pPr>
              <w:keepNext w:val="0"/>
              <w:keepLines w:val="0"/>
              <w:pageBreakBefore w:val="0"/>
              <w:widowControl w:val="0"/>
              <w:kinsoku/>
              <w:wordWrap/>
              <w:overflowPunct/>
              <w:topLinePunct w:val="0"/>
              <w:autoSpaceDE/>
              <w:autoSpaceDN/>
              <w:bidi w:val="0"/>
              <w:adjustRightInd/>
              <w:snapToGrid/>
              <w:spacing w:line="220" w:lineRule="exact"/>
              <w:ind w:left="123"/>
              <w:jc w:val="center"/>
              <w:textAlignment w:val="auto"/>
              <w:rPr>
                <w:rFonts w:ascii="仿宋" w:hAnsi="仿宋" w:eastAsia="仿宋" w:cs="仿宋"/>
                <w:sz w:val="23"/>
                <w:szCs w:val="23"/>
              </w:rPr>
            </w:pPr>
            <w:r>
              <w:rPr>
                <w:rFonts w:ascii="仿宋" w:hAnsi="仿宋" w:eastAsia="仿宋" w:cs="仿宋"/>
                <w:spacing w:val="7"/>
                <w:sz w:val="23"/>
                <w:szCs w:val="23"/>
              </w:rPr>
              <w:t>交通设施用地</w:t>
            </w:r>
          </w:p>
        </w:tc>
        <w:tc>
          <w:tcPr>
            <w:tcW w:w="2029" w:type="dxa"/>
            <w:tcBorders>
              <w:tl2br w:val="nil"/>
              <w:tr2bl w:val="nil"/>
            </w:tcBorders>
            <w:noWrap w:val="0"/>
            <w:vAlign w:val="center"/>
          </w:tcPr>
          <w:p w14:paraId="62128FD6">
            <w:pPr>
              <w:keepNext w:val="0"/>
              <w:keepLines w:val="0"/>
              <w:pageBreakBefore w:val="0"/>
              <w:widowControl w:val="0"/>
              <w:kinsoku/>
              <w:wordWrap/>
              <w:overflowPunct/>
              <w:topLinePunct w:val="0"/>
              <w:autoSpaceDE/>
              <w:autoSpaceDN/>
              <w:bidi w:val="0"/>
              <w:adjustRightInd/>
              <w:snapToGrid/>
              <w:spacing w:line="220" w:lineRule="exact"/>
              <w:ind w:left="132"/>
              <w:jc w:val="center"/>
              <w:textAlignment w:val="auto"/>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5-30</w:t>
            </w:r>
          </w:p>
        </w:tc>
        <w:tc>
          <w:tcPr>
            <w:tcW w:w="1607" w:type="dxa"/>
            <w:tcBorders>
              <w:tl2br w:val="nil"/>
              <w:tr2bl w:val="nil"/>
            </w:tcBorders>
            <w:noWrap w:val="0"/>
            <w:vAlign w:val="center"/>
          </w:tcPr>
          <w:p w14:paraId="6C39C627">
            <w:pPr>
              <w:keepNext w:val="0"/>
              <w:keepLines w:val="0"/>
              <w:pageBreakBefore w:val="0"/>
              <w:widowControl w:val="0"/>
              <w:kinsoku/>
              <w:wordWrap/>
              <w:overflowPunct/>
              <w:topLinePunct w:val="0"/>
              <w:autoSpaceDE/>
              <w:autoSpaceDN/>
              <w:bidi w:val="0"/>
              <w:adjustRightInd/>
              <w:snapToGrid/>
              <w:spacing w:line="220" w:lineRule="exact"/>
              <w:ind w:left="118"/>
              <w:jc w:val="center"/>
              <w:textAlignment w:val="auto"/>
              <w:rPr>
                <w:rFonts w:ascii="Arial" w:hAnsi="Arial" w:eastAsia="Arial" w:cs="Arial"/>
                <w:sz w:val="23"/>
                <w:szCs w:val="23"/>
              </w:rPr>
            </w:pPr>
            <w:r>
              <w:rPr>
                <w:rFonts w:ascii="Arial" w:hAnsi="Arial" w:eastAsia="Arial" w:cs="Arial"/>
                <w:spacing w:val="3"/>
                <w:sz w:val="23"/>
                <w:szCs w:val="23"/>
              </w:rPr>
              <w:t>5660</w:t>
            </w:r>
          </w:p>
        </w:tc>
      </w:tr>
      <w:tr w14:paraId="18DE7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986" w:type="dxa"/>
            <w:tcBorders>
              <w:tl2br w:val="nil"/>
              <w:tr2bl w:val="nil"/>
            </w:tcBorders>
            <w:noWrap w:val="0"/>
            <w:vAlign w:val="center"/>
          </w:tcPr>
          <w:p w14:paraId="7F24549F">
            <w:pPr>
              <w:keepNext w:val="0"/>
              <w:keepLines w:val="0"/>
              <w:pageBreakBefore w:val="0"/>
              <w:widowControl w:val="0"/>
              <w:kinsoku/>
              <w:wordWrap/>
              <w:overflowPunct/>
              <w:topLinePunct w:val="0"/>
              <w:autoSpaceDE/>
              <w:autoSpaceDN/>
              <w:bidi w:val="0"/>
              <w:adjustRightInd/>
              <w:snapToGrid/>
              <w:spacing w:line="220" w:lineRule="exact"/>
              <w:ind w:left="119"/>
              <w:jc w:val="center"/>
              <w:textAlignment w:val="auto"/>
              <w:rPr>
                <w:rFonts w:ascii="Arial" w:hAnsi="Arial" w:eastAsia="Arial" w:cs="Arial"/>
                <w:sz w:val="23"/>
                <w:szCs w:val="23"/>
              </w:rPr>
            </w:pPr>
            <w:r>
              <w:rPr>
                <w:rFonts w:ascii="Arial" w:hAnsi="Arial" w:eastAsia="Arial" w:cs="Arial"/>
                <w:sz w:val="23"/>
                <w:szCs w:val="23"/>
              </w:rPr>
              <w:t>7</w:t>
            </w:r>
          </w:p>
        </w:tc>
        <w:tc>
          <w:tcPr>
            <w:tcW w:w="1253" w:type="dxa"/>
            <w:tcBorders>
              <w:tl2br w:val="nil"/>
              <w:tr2bl w:val="nil"/>
            </w:tcBorders>
            <w:noWrap w:val="0"/>
            <w:vAlign w:val="center"/>
          </w:tcPr>
          <w:p w14:paraId="5EAA98DB">
            <w:pPr>
              <w:keepNext w:val="0"/>
              <w:keepLines w:val="0"/>
              <w:pageBreakBefore w:val="0"/>
              <w:widowControl w:val="0"/>
              <w:kinsoku/>
              <w:wordWrap/>
              <w:overflowPunct/>
              <w:topLinePunct w:val="0"/>
              <w:autoSpaceDE/>
              <w:autoSpaceDN/>
              <w:bidi w:val="0"/>
              <w:adjustRightInd/>
              <w:snapToGrid/>
              <w:spacing w:line="220" w:lineRule="exact"/>
              <w:ind w:left="122"/>
              <w:jc w:val="center"/>
              <w:textAlignment w:val="auto"/>
              <w:rPr>
                <w:rFonts w:ascii="Arial" w:hAnsi="Arial" w:eastAsia="Arial" w:cs="Arial"/>
                <w:sz w:val="23"/>
                <w:szCs w:val="23"/>
              </w:rPr>
            </w:pPr>
            <w:r>
              <w:rPr>
                <w:rFonts w:ascii="Arial" w:hAnsi="Arial" w:eastAsia="Arial" w:cs="Arial"/>
                <w:sz w:val="23"/>
                <w:szCs w:val="23"/>
              </w:rPr>
              <w:t>U</w:t>
            </w:r>
          </w:p>
        </w:tc>
        <w:tc>
          <w:tcPr>
            <w:tcW w:w="3417" w:type="dxa"/>
            <w:tcBorders>
              <w:tl2br w:val="nil"/>
              <w:tr2bl w:val="nil"/>
            </w:tcBorders>
            <w:noWrap w:val="0"/>
            <w:vAlign w:val="center"/>
          </w:tcPr>
          <w:p w14:paraId="0A02596E">
            <w:pPr>
              <w:keepNext w:val="0"/>
              <w:keepLines w:val="0"/>
              <w:pageBreakBefore w:val="0"/>
              <w:widowControl w:val="0"/>
              <w:kinsoku/>
              <w:wordWrap/>
              <w:overflowPunct/>
              <w:topLinePunct w:val="0"/>
              <w:autoSpaceDE/>
              <w:autoSpaceDN/>
              <w:bidi w:val="0"/>
              <w:adjustRightInd/>
              <w:snapToGrid/>
              <w:spacing w:line="220" w:lineRule="exact"/>
              <w:ind w:left="113"/>
              <w:jc w:val="center"/>
              <w:textAlignment w:val="auto"/>
              <w:rPr>
                <w:rFonts w:ascii="仿宋" w:hAnsi="仿宋" w:eastAsia="仿宋" w:cs="仿宋"/>
                <w:sz w:val="23"/>
                <w:szCs w:val="23"/>
              </w:rPr>
            </w:pPr>
            <w:r>
              <w:rPr>
                <w:rFonts w:ascii="仿宋" w:hAnsi="仿宋" w:eastAsia="仿宋" w:cs="仿宋"/>
                <w:spacing w:val="11"/>
                <w:sz w:val="23"/>
                <w:szCs w:val="23"/>
              </w:rPr>
              <w:t>公</w:t>
            </w:r>
            <w:r>
              <w:rPr>
                <w:rFonts w:ascii="仿宋" w:hAnsi="仿宋" w:eastAsia="仿宋" w:cs="仿宋"/>
                <w:spacing w:val="8"/>
                <w:sz w:val="23"/>
                <w:szCs w:val="23"/>
              </w:rPr>
              <w:t>用设施用地</w:t>
            </w:r>
          </w:p>
        </w:tc>
        <w:tc>
          <w:tcPr>
            <w:tcW w:w="2029" w:type="dxa"/>
            <w:tcBorders>
              <w:tl2br w:val="nil"/>
              <w:tr2bl w:val="nil"/>
            </w:tcBorders>
            <w:noWrap w:val="0"/>
            <w:vAlign w:val="center"/>
          </w:tcPr>
          <w:p w14:paraId="1352EF71">
            <w:pPr>
              <w:keepNext w:val="0"/>
              <w:keepLines w:val="0"/>
              <w:pageBreakBefore w:val="0"/>
              <w:widowControl w:val="0"/>
              <w:kinsoku/>
              <w:wordWrap/>
              <w:overflowPunct/>
              <w:topLinePunct w:val="0"/>
              <w:autoSpaceDE/>
              <w:autoSpaceDN/>
              <w:bidi w:val="0"/>
              <w:adjustRightInd/>
              <w:snapToGrid/>
              <w:spacing w:line="220" w:lineRule="exact"/>
              <w:ind w:left="132"/>
              <w:jc w:val="center"/>
              <w:textAlignment w:val="auto"/>
              <w:rPr>
                <w:rFonts w:ascii="Arial" w:hAnsi="Arial" w:eastAsia="Arial" w:cs="Arial"/>
                <w:sz w:val="23"/>
                <w:szCs w:val="23"/>
              </w:rPr>
            </w:pPr>
            <w:r>
              <w:rPr>
                <w:rFonts w:ascii="Arial" w:hAnsi="Arial" w:eastAsia="Arial" w:cs="Arial"/>
                <w:spacing w:val="2"/>
                <w:sz w:val="23"/>
                <w:szCs w:val="23"/>
              </w:rPr>
              <w:t>150-</w:t>
            </w:r>
            <w:r>
              <w:rPr>
                <w:rFonts w:ascii="Arial" w:hAnsi="Arial" w:eastAsia="Arial" w:cs="Arial"/>
                <w:spacing w:val="1"/>
                <w:sz w:val="23"/>
                <w:szCs w:val="23"/>
              </w:rPr>
              <w:t>200</w:t>
            </w:r>
          </w:p>
        </w:tc>
        <w:tc>
          <w:tcPr>
            <w:tcW w:w="1607" w:type="dxa"/>
            <w:tcBorders>
              <w:tl2br w:val="nil"/>
              <w:tr2bl w:val="nil"/>
            </w:tcBorders>
            <w:noWrap w:val="0"/>
            <w:vAlign w:val="center"/>
          </w:tcPr>
          <w:p w14:paraId="0C7C17F9">
            <w:pPr>
              <w:keepNext w:val="0"/>
              <w:keepLines w:val="0"/>
              <w:pageBreakBefore w:val="0"/>
              <w:widowControl w:val="0"/>
              <w:kinsoku/>
              <w:wordWrap/>
              <w:overflowPunct/>
              <w:topLinePunct w:val="0"/>
              <w:autoSpaceDE/>
              <w:autoSpaceDN/>
              <w:bidi w:val="0"/>
              <w:adjustRightInd/>
              <w:snapToGrid/>
              <w:spacing w:line="220" w:lineRule="exact"/>
              <w:ind w:left="114"/>
              <w:jc w:val="center"/>
              <w:textAlignment w:val="auto"/>
              <w:rPr>
                <w:rFonts w:ascii="Arial" w:hAnsi="Arial" w:eastAsia="Arial" w:cs="Arial"/>
                <w:sz w:val="23"/>
                <w:szCs w:val="23"/>
              </w:rPr>
            </w:pPr>
            <w:r>
              <w:rPr>
                <w:rFonts w:ascii="Arial" w:hAnsi="Arial" w:eastAsia="Arial" w:cs="Arial"/>
                <w:spacing w:val="4"/>
                <w:sz w:val="23"/>
                <w:szCs w:val="23"/>
              </w:rPr>
              <w:t>200</w:t>
            </w:r>
            <w:r>
              <w:rPr>
                <w:rFonts w:ascii="Arial" w:hAnsi="Arial" w:eastAsia="Arial" w:cs="Arial"/>
                <w:spacing w:val="3"/>
                <w:sz w:val="23"/>
                <w:szCs w:val="23"/>
              </w:rPr>
              <w:t>5</w:t>
            </w:r>
          </w:p>
        </w:tc>
      </w:tr>
      <w:tr w14:paraId="5A7D5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986" w:type="dxa"/>
            <w:tcBorders>
              <w:tl2br w:val="nil"/>
              <w:tr2bl w:val="nil"/>
            </w:tcBorders>
            <w:noWrap w:val="0"/>
            <w:vAlign w:val="center"/>
          </w:tcPr>
          <w:p w14:paraId="1AC3B550">
            <w:pPr>
              <w:keepNext w:val="0"/>
              <w:keepLines w:val="0"/>
              <w:pageBreakBefore w:val="0"/>
              <w:widowControl w:val="0"/>
              <w:kinsoku/>
              <w:wordWrap/>
              <w:overflowPunct/>
              <w:topLinePunct w:val="0"/>
              <w:autoSpaceDE/>
              <w:autoSpaceDN/>
              <w:bidi w:val="0"/>
              <w:adjustRightInd/>
              <w:snapToGrid/>
              <w:spacing w:line="220" w:lineRule="exact"/>
              <w:ind w:left="118"/>
              <w:jc w:val="center"/>
              <w:textAlignment w:val="auto"/>
              <w:rPr>
                <w:rFonts w:ascii="Arial" w:hAnsi="Arial" w:eastAsia="Arial" w:cs="Arial"/>
                <w:sz w:val="23"/>
                <w:szCs w:val="23"/>
              </w:rPr>
            </w:pPr>
            <w:r>
              <w:rPr>
                <w:rFonts w:ascii="Arial" w:hAnsi="Arial" w:eastAsia="Arial" w:cs="Arial"/>
                <w:sz w:val="23"/>
                <w:szCs w:val="23"/>
              </w:rPr>
              <w:t>8</w:t>
            </w:r>
          </w:p>
        </w:tc>
        <w:tc>
          <w:tcPr>
            <w:tcW w:w="1253" w:type="dxa"/>
            <w:tcBorders>
              <w:tl2br w:val="nil"/>
              <w:tr2bl w:val="nil"/>
            </w:tcBorders>
            <w:noWrap w:val="0"/>
            <w:vAlign w:val="center"/>
          </w:tcPr>
          <w:p w14:paraId="02B6CCE1">
            <w:pPr>
              <w:keepNext w:val="0"/>
              <w:keepLines w:val="0"/>
              <w:pageBreakBefore w:val="0"/>
              <w:widowControl w:val="0"/>
              <w:kinsoku/>
              <w:wordWrap/>
              <w:overflowPunct/>
              <w:topLinePunct w:val="0"/>
              <w:autoSpaceDE/>
              <w:autoSpaceDN/>
              <w:bidi w:val="0"/>
              <w:adjustRightInd/>
              <w:snapToGrid/>
              <w:spacing w:line="220" w:lineRule="exact"/>
              <w:ind w:left="116"/>
              <w:jc w:val="center"/>
              <w:textAlignment w:val="auto"/>
              <w:rPr>
                <w:rFonts w:ascii="Arial" w:hAnsi="Arial" w:eastAsia="Arial" w:cs="Arial"/>
                <w:sz w:val="23"/>
                <w:szCs w:val="23"/>
              </w:rPr>
            </w:pPr>
            <w:r>
              <w:rPr>
                <w:rFonts w:ascii="Arial" w:hAnsi="Arial" w:eastAsia="Arial" w:cs="Arial"/>
                <w:sz w:val="23"/>
                <w:szCs w:val="23"/>
              </w:rPr>
              <w:t>G</w:t>
            </w:r>
          </w:p>
        </w:tc>
        <w:tc>
          <w:tcPr>
            <w:tcW w:w="3417" w:type="dxa"/>
            <w:tcBorders>
              <w:tl2br w:val="nil"/>
              <w:tr2bl w:val="nil"/>
            </w:tcBorders>
            <w:noWrap w:val="0"/>
            <w:vAlign w:val="center"/>
          </w:tcPr>
          <w:p w14:paraId="0B906811">
            <w:pPr>
              <w:keepNext w:val="0"/>
              <w:keepLines w:val="0"/>
              <w:pageBreakBefore w:val="0"/>
              <w:widowControl w:val="0"/>
              <w:kinsoku/>
              <w:wordWrap/>
              <w:overflowPunct/>
              <w:topLinePunct w:val="0"/>
              <w:autoSpaceDE/>
              <w:autoSpaceDN/>
              <w:bidi w:val="0"/>
              <w:adjustRightInd/>
              <w:snapToGrid/>
              <w:spacing w:line="220" w:lineRule="exact"/>
              <w:ind w:left="125"/>
              <w:jc w:val="center"/>
              <w:textAlignment w:val="auto"/>
              <w:rPr>
                <w:rFonts w:ascii="仿宋" w:hAnsi="仿宋" w:eastAsia="仿宋" w:cs="仿宋"/>
                <w:sz w:val="23"/>
                <w:szCs w:val="23"/>
              </w:rPr>
            </w:pPr>
            <w:r>
              <w:rPr>
                <w:rFonts w:ascii="仿宋" w:hAnsi="仿宋" w:eastAsia="仿宋" w:cs="仿宋"/>
                <w:spacing w:val="8"/>
                <w:sz w:val="23"/>
                <w:szCs w:val="23"/>
              </w:rPr>
              <w:t>绿</w:t>
            </w:r>
            <w:r>
              <w:rPr>
                <w:rFonts w:ascii="仿宋" w:hAnsi="仿宋" w:eastAsia="仿宋" w:cs="仿宋"/>
                <w:spacing w:val="7"/>
                <w:sz w:val="23"/>
                <w:szCs w:val="23"/>
              </w:rPr>
              <w:t>地与广场用地</w:t>
            </w:r>
          </w:p>
        </w:tc>
        <w:tc>
          <w:tcPr>
            <w:tcW w:w="2029" w:type="dxa"/>
            <w:tcBorders>
              <w:tl2br w:val="nil"/>
              <w:tr2bl w:val="nil"/>
            </w:tcBorders>
            <w:noWrap w:val="0"/>
            <w:vAlign w:val="center"/>
          </w:tcPr>
          <w:p w14:paraId="355F622A">
            <w:pPr>
              <w:keepNext w:val="0"/>
              <w:keepLines w:val="0"/>
              <w:pageBreakBefore w:val="0"/>
              <w:widowControl w:val="0"/>
              <w:kinsoku/>
              <w:wordWrap/>
              <w:overflowPunct/>
              <w:topLinePunct w:val="0"/>
              <w:autoSpaceDE/>
              <w:autoSpaceDN/>
              <w:bidi w:val="0"/>
              <w:adjustRightInd/>
              <w:snapToGrid/>
              <w:spacing w:line="220" w:lineRule="exact"/>
              <w:ind w:left="132"/>
              <w:jc w:val="center"/>
              <w:textAlignment w:val="auto"/>
              <w:rPr>
                <w:rFonts w:ascii="Arial" w:hAnsi="Arial" w:eastAsia="Arial" w:cs="Arial"/>
                <w:sz w:val="23"/>
                <w:szCs w:val="23"/>
              </w:rPr>
            </w:pPr>
            <w:r>
              <w:rPr>
                <w:rFonts w:ascii="Arial" w:hAnsi="Arial" w:eastAsia="Arial" w:cs="Arial"/>
                <w:spacing w:val="1"/>
                <w:sz w:val="23"/>
                <w:szCs w:val="23"/>
              </w:rPr>
              <w:t>1</w:t>
            </w:r>
            <w:r>
              <w:rPr>
                <w:rFonts w:ascii="Arial" w:hAnsi="Arial" w:eastAsia="Arial" w:cs="Arial"/>
                <w:sz w:val="23"/>
                <w:szCs w:val="23"/>
              </w:rPr>
              <w:t>0-20</w:t>
            </w:r>
          </w:p>
        </w:tc>
        <w:tc>
          <w:tcPr>
            <w:tcW w:w="1607" w:type="dxa"/>
            <w:tcBorders>
              <w:tl2br w:val="nil"/>
              <w:tr2bl w:val="nil"/>
            </w:tcBorders>
            <w:noWrap w:val="0"/>
            <w:vAlign w:val="center"/>
          </w:tcPr>
          <w:p w14:paraId="37E2060E">
            <w:pPr>
              <w:keepNext w:val="0"/>
              <w:keepLines w:val="0"/>
              <w:pageBreakBefore w:val="0"/>
              <w:widowControl w:val="0"/>
              <w:kinsoku/>
              <w:wordWrap/>
              <w:overflowPunct/>
              <w:topLinePunct w:val="0"/>
              <w:autoSpaceDE/>
              <w:autoSpaceDN/>
              <w:bidi w:val="0"/>
              <w:adjustRightInd/>
              <w:snapToGrid/>
              <w:spacing w:line="220" w:lineRule="exact"/>
              <w:ind w:left="114"/>
              <w:jc w:val="center"/>
              <w:textAlignment w:val="auto"/>
              <w:rPr>
                <w:rFonts w:ascii="Arial" w:hAnsi="Arial" w:eastAsia="Arial" w:cs="Arial"/>
                <w:sz w:val="23"/>
                <w:szCs w:val="23"/>
              </w:rPr>
            </w:pPr>
            <w:r>
              <w:rPr>
                <w:rFonts w:ascii="Arial" w:hAnsi="Arial" w:eastAsia="Arial" w:cs="Arial"/>
                <w:spacing w:val="4"/>
                <w:sz w:val="23"/>
                <w:szCs w:val="23"/>
              </w:rPr>
              <w:t>258</w:t>
            </w:r>
            <w:r>
              <w:rPr>
                <w:rFonts w:ascii="Arial" w:hAnsi="Arial" w:eastAsia="Arial" w:cs="Arial"/>
                <w:spacing w:val="3"/>
                <w:sz w:val="23"/>
                <w:szCs w:val="23"/>
              </w:rPr>
              <w:t>7</w:t>
            </w:r>
          </w:p>
        </w:tc>
      </w:tr>
      <w:tr w14:paraId="6C809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986" w:type="dxa"/>
            <w:tcBorders>
              <w:tl2br w:val="nil"/>
              <w:tr2bl w:val="nil"/>
            </w:tcBorders>
            <w:noWrap w:val="0"/>
            <w:vAlign w:val="center"/>
          </w:tcPr>
          <w:p w14:paraId="6EDE6FA5">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sz w:val="21"/>
              </w:rPr>
            </w:pPr>
          </w:p>
        </w:tc>
        <w:tc>
          <w:tcPr>
            <w:tcW w:w="1253" w:type="dxa"/>
            <w:tcBorders>
              <w:tl2br w:val="nil"/>
              <w:tr2bl w:val="nil"/>
            </w:tcBorders>
            <w:noWrap w:val="0"/>
            <w:vAlign w:val="center"/>
          </w:tcPr>
          <w:p w14:paraId="171A5D0C">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sz w:val="21"/>
              </w:rPr>
            </w:pPr>
          </w:p>
        </w:tc>
        <w:tc>
          <w:tcPr>
            <w:tcW w:w="3417" w:type="dxa"/>
            <w:tcBorders>
              <w:tl2br w:val="nil"/>
              <w:tr2bl w:val="nil"/>
            </w:tcBorders>
            <w:noWrap w:val="0"/>
            <w:vAlign w:val="center"/>
          </w:tcPr>
          <w:p w14:paraId="38E3908A">
            <w:pPr>
              <w:keepNext w:val="0"/>
              <w:keepLines w:val="0"/>
              <w:pageBreakBefore w:val="0"/>
              <w:widowControl w:val="0"/>
              <w:kinsoku/>
              <w:wordWrap/>
              <w:overflowPunct/>
              <w:topLinePunct w:val="0"/>
              <w:autoSpaceDE/>
              <w:autoSpaceDN/>
              <w:bidi w:val="0"/>
              <w:adjustRightInd/>
              <w:snapToGrid/>
              <w:spacing w:line="220" w:lineRule="exact"/>
              <w:ind w:left="117"/>
              <w:jc w:val="center"/>
              <w:textAlignment w:val="auto"/>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2029" w:type="dxa"/>
            <w:tcBorders>
              <w:tl2br w:val="nil"/>
              <w:tr2bl w:val="nil"/>
            </w:tcBorders>
            <w:noWrap w:val="0"/>
            <w:vAlign w:val="center"/>
          </w:tcPr>
          <w:p w14:paraId="083B1B60">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Arial"/>
                <w:sz w:val="21"/>
              </w:rPr>
            </w:pPr>
          </w:p>
        </w:tc>
        <w:tc>
          <w:tcPr>
            <w:tcW w:w="1607" w:type="dxa"/>
            <w:tcBorders>
              <w:tl2br w:val="nil"/>
              <w:tr2bl w:val="nil"/>
            </w:tcBorders>
            <w:noWrap w:val="0"/>
            <w:vAlign w:val="center"/>
          </w:tcPr>
          <w:p w14:paraId="30A00F53">
            <w:pPr>
              <w:keepNext w:val="0"/>
              <w:keepLines w:val="0"/>
              <w:pageBreakBefore w:val="0"/>
              <w:widowControl w:val="0"/>
              <w:kinsoku/>
              <w:wordWrap/>
              <w:overflowPunct/>
              <w:topLinePunct w:val="0"/>
              <w:autoSpaceDE/>
              <w:autoSpaceDN/>
              <w:bidi w:val="0"/>
              <w:adjustRightInd/>
              <w:snapToGrid/>
              <w:spacing w:line="220" w:lineRule="exact"/>
              <w:ind w:left="118"/>
              <w:jc w:val="center"/>
              <w:textAlignment w:val="auto"/>
              <w:rPr>
                <w:rFonts w:ascii="Arial" w:hAnsi="Arial" w:eastAsia="Arial" w:cs="Arial"/>
                <w:sz w:val="23"/>
                <w:szCs w:val="23"/>
              </w:rPr>
            </w:pPr>
            <w:r>
              <w:rPr>
                <w:rFonts w:ascii="Arial" w:hAnsi="Arial" w:eastAsia="Arial" w:cs="Arial"/>
                <w:spacing w:val="4"/>
                <w:sz w:val="23"/>
                <w:szCs w:val="23"/>
              </w:rPr>
              <w:t>33271</w:t>
            </w:r>
            <w:r>
              <w:rPr>
                <w:rFonts w:ascii="Arial" w:hAnsi="Arial" w:eastAsia="Arial" w:cs="Arial"/>
                <w:spacing w:val="3"/>
                <w:sz w:val="23"/>
                <w:szCs w:val="23"/>
              </w:rPr>
              <w:t>1</w:t>
            </w:r>
          </w:p>
        </w:tc>
      </w:tr>
    </w:tbl>
    <w:p w14:paraId="7B9B2E13">
      <w:pPr>
        <w:keepNext w:val="0"/>
        <w:keepLines w:val="0"/>
        <w:pageBreakBefore w:val="0"/>
        <w:widowControl w:val="0"/>
        <w:kinsoku/>
        <w:wordWrap/>
        <w:overflowPunct/>
        <w:topLinePunct w:val="0"/>
        <w:autoSpaceDE/>
        <w:autoSpaceDN/>
        <w:bidi w:val="0"/>
        <w:adjustRightInd/>
        <w:snapToGrid/>
        <w:spacing w:before="91" w:line="216" w:lineRule="auto"/>
        <w:ind w:left="0" w:firstLine="566" w:firstLineChars="200"/>
        <w:textAlignment w:val="auto"/>
        <w:outlineLvl w:val="3"/>
        <w:rPr>
          <w:rFonts w:hint="eastAsia" w:ascii="仿宋_GB2312" w:hAnsi="仿宋_GB2312" w:eastAsia="仿宋_GB2312" w:cs="仿宋_GB2312"/>
          <w:b/>
          <w:bCs/>
          <w:sz w:val="28"/>
          <w:szCs w:val="28"/>
        </w:rPr>
      </w:pPr>
      <w:r>
        <w:rPr>
          <w:rFonts w:hint="eastAsia" w:ascii="仿宋_GB2312" w:hAnsi="仿宋_GB2312" w:eastAsia="仿宋_GB2312" w:cs="仿宋_GB2312"/>
          <w:b/>
          <w:bCs/>
          <w:spacing w:val="1"/>
          <w:sz w:val="28"/>
          <w:szCs w:val="28"/>
        </w:rPr>
        <w:t>10</w:t>
      </w:r>
      <w:r>
        <w:rPr>
          <w:rFonts w:hint="eastAsia" w:ascii="仿宋_GB2312" w:hAnsi="仿宋_GB2312" w:eastAsia="仿宋_GB2312" w:cs="仿宋_GB2312"/>
          <w:b/>
          <w:bCs/>
          <w:sz w:val="28"/>
          <w:szCs w:val="28"/>
        </w:rPr>
        <w:t>.4.3.2规划产业项目用电负荷</w:t>
      </w:r>
    </w:p>
    <w:p w14:paraId="3E872241">
      <w:pPr>
        <w:keepNext w:val="0"/>
        <w:keepLines w:val="0"/>
        <w:pageBreakBefore w:val="0"/>
        <w:widowControl w:val="0"/>
        <w:wordWrap/>
        <w:overflowPunct/>
        <w:bidi w:val="0"/>
        <w:spacing w:before="75" w:line="334" w:lineRule="exact"/>
        <w:ind w:left="2112"/>
      </w:pPr>
      <w:r>
        <w:rPr>
          <w:rFonts w:ascii="黑体" w:hAnsi="黑体" w:eastAsia="黑体" w:cs="黑体"/>
          <w:spacing w:val="10"/>
          <w:position w:val="2"/>
          <w:sz w:val="23"/>
          <w:szCs w:val="23"/>
        </w:rPr>
        <w:t>表</w:t>
      </w:r>
      <w:r>
        <w:rPr>
          <w:rFonts w:ascii="Arial" w:hAnsi="Arial" w:eastAsia="Arial" w:cs="Arial"/>
          <w:b/>
          <w:bCs/>
          <w:spacing w:val="5"/>
          <w:position w:val="2"/>
          <w:sz w:val="23"/>
          <w:szCs w:val="23"/>
        </w:rPr>
        <w:t>11-5</w:t>
      </w:r>
      <w:r>
        <w:rPr>
          <w:rFonts w:ascii="黑体" w:hAnsi="黑体" w:eastAsia="黑体" w:cs="黑体"/>
          <w:spacing w:val="5"/>
          <w:position w:val="2"/>
          <w:sz w:val="23"/>
          <w:szCs w:val="23"/>
        </w:rPr>
        <w:t>产业项目用电负荷预测表(单位：</w:t>
      </w:r>
      <w:r>
        <w:rPr>
          <w:rFonts w:ascii="Arial" w:hAnsi="Arial" w:eastAsia="Arial" w:cs="Arial"/>
          <w:b/>
          <w:bCs/>
          <w:position w:val="2"/>
          <w:sz w:val="23"/>
          <w:szCs w:val="23"/>
        </w:rPr>
        <w:t>kW</w:t>
      </w:r>
      <w:r>
        <w:rPr>
          <w:rFonts w:ascii="黑体" w:hAnsi="黑体" w:eastAsia="黑体" w:cs="黑体"/>
          <w:spacing w:val="5"/>
          <w:position w:val="2"/>
          <w:sz w:val="23"/>
          <w:szCs w:val="23"/>
        </w:rPr>
        <w:t>)</w:t>
      </w:r>
    </w:p>
    <w:tbl>
      <w:tblPr>
        <w:tblStyle w:val="9"/>
        <w:tblW w:w="92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18"/>
        <w:gridCol w:w="4910"/>
        <w:gridCol w:w="2605"/>
      </w:tblGrid>
      <w:tr w14:paraId="583D6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718" w:type="dxa"/>
            <w:tcBorders>
              <w:tl2br w:val="nil"/>
              <w:tr2bl w:val="nil"/>
            </w:tcBorders>
            <w:noWrap w:val="0"/>
            <w:vAlign w:val="top"/>
          </w:tcPr>
          <w:p w14:paraId="2875FE97">
            <w:pPr>
              <w:keepNext w:val="0"/>
              <w:keepLines w:val="0"/>
              <w:pageBreakBefore w:val="0"/>
              <w:widowControl w:val="0"/>
              <w:wordWrap/>
              <w:overflowPunct/>
              <w:bidi w:val="0"/>
              <w:spacing w:before="86" w:line="225" w:lineRule="auto"/>
              <w:ind w:left="112"/>
              <w:rPr>
                <w:rFonts w:ascii="仿宋" w:hAnsi="仿宋" w:eastAsia="仿宋" w:cs="仿宋"/>
                <w:sz w:val="23"/>
                <w:szCs w:val="23"/>
              </w:rPr>
            </w:pPr>
            <w:r>
              <w:rPr>
                <w:rFonts w:ascii="仿宋" w:hAnsi="仿宋" w:eastAsia="仿宋" w:cs="仿宋"/>
                <w:spacing w:val="6"/>
                <w:sz w:val="23"/>
                <w:szCs w:val="23"/>
              </w:rPr>
              <w:t>序号</w:t>
            </w:r>
          </w:p>
        </w:tc>
        <w:tc>
          <w:tcPr>
            <w:tcW w:w="4910" w:type="dxa"/>
            <w:tcBorders>
              <w:tl2br w:val="nil"/>
              <w:tr2bl w:val="nil"/>
            </w:tcBorders>
            <w:noWrap w:val="0"/>
            <w:vAlign w:val="top"/>
          </w:tcPr>
          <w:p w14:paraId="38DFA09D">
            <w:pPr>
              <w:keepNext w:val="0"/>
              <w:keepLines w:val="0"/>
              <w:pageBreakBefore w:val="0"/>
              <w:widowControl w:val="0"/>
              <w:wordWrap/>
              <w:overflowPunct/>
              <w:bidi w:val="0"/>
              <w:spacing w:before="86" w:line="224" w:lineRule="auto"/>
              <w:ind w:left="113"/>
              <w:rPr>
                <w:rFonts w:ascii="仿宋" w:hAnsi="仿宋" w:eastAsia="仿宋" w:cs="仿宋"/>
                <w:sz w:val="23"/>
                <w:szCs w:val="23"/>
              </w:rPr>
            </w:pPr>
            <w:r>
              <w:rPr>
                <w:rFonts w:ascii="仿宋" w:hAnsi="仿宋" w:eastAsia="仿宋" w:cs="仿宋"/>
                <w:spacing w:val="9"/>
                <w:sz w:val="23"/>
                <w:szCs w:val="23"/>
              </w:rPr>
              <w:t>项</w:t>
            </w:r>
            <w:r>
              <w:rPr>
                <w:rFonts w:ascii="仿宋" w:hAnsi="仿宋" w:eastAsia="仿宋" w:cs="仿宋"/>
                <w:spacing w:val="7"/>
                <w:sz w:val="23"/>
                <w:szCs w:val="23"/>
              </w:rPr>
              <w:t>目名称</w:t>
            </w:r>
          </w:p>
        </w:tc>
        <w:tc>
          <w:tcPr>
            <w:tcW w:w="2605" w:type="dxa"/>
            <w:tcBorders>
              <w:tl2br w:val="nil"/>
              <w:tr2bl w:val="nil"/>
            </w:tcBorders>
            <w:noWrap w:val="0"/>
            <w:vAlign w:val="top"/>
          </w:tcPr>
          <w:p w14:paraId="409C5ED6">
            <w:pPr>
              <w:keepNext w:val="0"/>
              <w:keepLines w:val="0"/>
              <w:pageBreakBefore w:val="0"/>
              <w:widowControl w:val="0"/>
              <w:wordWrap/>
              <w:overflowPunct/>
              <w:bidi w:val="0"/>
              <w:spacing w:before="86" w:line="226" w:lineRule="auto"/>
              <w:ind w:left="122"/>
              <w:rPr>
                <w:rFonts w:ascii="仿宋" w:hAnsi="仿宋" w:eastAsia="仿宋" w:cs="仿宋"/>
                <w:sz w:val="23"/>
                <w:szCs w:val="23"/>
              </w:rPr>
            </w:pPr>
            <w:r>
              <w:rPr>
                <w:rFonts w:ascii="仿宋" w:hAnsi="仿宋" w:eastAsia="仿宋" w:cs="仿宋"/>
                <w:spacing w:val="2"/>
                <w:sz w:val="23"/>
                <w:szCs w:val="23"/>
              </w:rPr>
              <w:t>数量</w:t>
            </w:r>
          </w:p>
        </w:tc>
      </w:tr>
      <w:tr w14:paraId="3A1BFE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718" w:type="dxa"/>
            <w:tcBorders>
              <w:tl2br w:val="nil"/>
              <w:tr2bl w:val="nil"/>
            </w:tcBorders>
            <w:noWrap w:val="0"/>
            <w:vAlign w:val="top"/>
          </w:tcPr>
          <w:p w14:paraId="30ADD131">
            <w:pPr>
              <w:keepNext w:val="0"/>
              <w:keepLines w:val="0"/>
              <w:pageBreakBefore w:val="0"/>
              <w:widowControl w:val="0"/>
              <w:wordWrap/>
              <w:overflowPunct/>
              <w:bidi w:val="0"/>
              <w:spacing w:before="112" w:line="203" w:lineRule="auto"/>
              <w:ind w:left="131"/>
              <w:rPr>
                <w:rFonts w:ascii="Arial" w:hAnsi="Arial" w:eastAsia="Arial" w:cs="Arial"/>
                <w:sz w:val="23"/>
                <w:szCs w:val="23"/>
              </w:rPr>
            </w:pPr>
            <w:r>
              <w:rPr>
                <w:rFonts w:ascii="Arial" w:hAnsi="Arial" w:eastAsia="Arial" w:cs="Arial"/>
                <w:sz w:val="23"/>
                <w:szCs w:val="23"/>
              </w:rPr>
              <w:t>1</w:t>
            </w:r>
          </w:p>
        </w:tc>
        <w:tc>
          <w:tcPr>
            <w:tcW w:w="4910" w:type="dxa"/>
            <w:tcBorders>
              <w:tl2br w:val="nil"/>
              <w:tr2bl w:val="nil"/>
            </w:tcBorders>
            <w:noWrap w:val="0"/>
            <w:vAlign w:val="top"/>
          </w:tcPr>
          <w:p w14:paraId="55459576">
            <w:pPr>
              <w:keepNext w:val="0"/>
              <w:keepLines w:val="0"/>
              <w:pageBreakBefore w:val="0"/>
              <w:widowControl w:val="0"/>
              <w:wordWrap/>
              <w:overflowPunct/>
              <w:bidi w:val="0"/>
              <w:spacing w:before="81" w:line="223" w:lineRule="auto"/>
              <w:ind w:left="118"/>
              <w:rPr>
                <w:rFonts w:ascii="仿宋" w:hAnsi="仿宋" w:eastAsia="仿宋" w:cs="仿宋"/>
                <w:sz w:val="23"/>
                <w:szCs w:val="23"/>
              </w:rPr>
            </w:pPr>
            <w:r>
              <w:rPr>
                <w:rFonts w:ascii="仿宋" w:hAnsi="仿宋" w:eastAsia="仿宋" w:cs="仿宋"/>
                <w:spacing w:val="8"/>
                <w:sz w:val="23"/>
                <w:szCs w:val="23"/>
              </w:rPr>
              <w:t>化</w:t>
            </w:r>
            <w:r>
              <w:rPr>
                <w:rFonts w:ascii="仿宋" w:hAnsi="仿宋" w:eastAsia="仿宋" w:cs="仿宋"/>
                <w:spacing w:val="6"/>
                <w:sz w:val="23"/>
                <w:szCs w:val="23"/>
              </w:rPr>
              <w:t>工新材料</w:t>
            </w:r>
          </w:p>
        </w:tc>
        <w:tc>
          <w:tcPr>
            <w:tcW w:w="2605" w:type="dxa"/>
            <w:tcBorders>
              <w:tl2br w:val="nil"/>
              <w:tr2bl w:val="nil"/>
            </w:tcBorders>
            <w:noWrap w:val="0"/>
            <w:vAlign w:val="top"/>
          </w:tcPr>
          <w:p w14:paraId="4CB416CD">
            <w:pPr>
              <w:keepNext w:val="0"/>
              <w:keepLines w:val="0"/>
              <w:pageBreakBefore w:val="0"/>
              <w:widowControl w:val="0"/>
              <w:wordWrap/>
              <w:overflowPunct/>
              <w:bidi w:val="0"/>
              <w:spacing w:before="111" w:line="203" w:lineRule="auto"/>
              <w:ind w:left="132"/>
              <w:rPr>
                <w:rFonts w:ascii="Arial" w:hAnsi="Arial" w:eastAsia="Arial" w:cs="Arial"/>
                <w:sz w:val="23"/>
                <w:szCs w:val="23"/>
              </w:rPr>
            </w:pPr>
            <w:r>
              <w:rPr>
                <w:rFonts w:ascii="Arial" w:hAnsi="Arial" w:eastAsia="Arial" w:cs="Arial"/>
                <w:spacing w:val="1"/>
                <w:sz w:val="23"/>
                <w:szCs w:val="23"/>
              </w:rPr>
              <w:t>1430</w:t>
            </w:r>
            <w:r>
              <w:rPr>
                <w:rFonts w:ascii="Arial" w:hAnsi="Arial" w:eastAsia="Arial" w:cs="Arial"/>
                <w:sz w:val="23"/>
                <w:szCs w:val="23"/>
              </w:rPr>
              <w:t>00</w:t>
            </w:r>
          </w:p>
        </w:tc>
      </w:tr>
      <w:tr w14:paraId="40ABA5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1718" w:type="dxa"/>
            <w:tcBorders>
              <w:tl2br w:val="nil"/>
              <w:tr2bl w:val="nil"/>
            </w:tcBorders>
            <w:noWrap w:val="0"/>
            <w:vAlign w:val="top"/>
          </w:tcPr>
          <w:p w14:paraId="10B60D10">
            <w:pPr>
              <w:keepNext w:val="0"/>
              <w:keepLines w:val="0"/>
              <w:pageBreakBefore w:val="0"/>
              <w:widowControl w:val="0"/>
              <w:wordWrap/>
              <w:overflowPunct/>
              <w:bidi w:val="0"/>
              <w:spacing w:before="111" w:line="203" w:lineRule="auto"/>
              <w:ind w:left="112"/>
              <w:rPr>
                <w:rFonts w:ascii="Arial" w:hAnsi="Arial" w:eastAsia="Arial" w:cs="Arial"/>
                <w:sz w:val="23"/>
                <w:szCs w:val="23"/>
              </w:rPr>
            </w:pPr>
            <w:r>
              <w:rPr>
                <w:rFonts w:ascii="Arial" w:hAnsi="Arial" w:eastAsia="Arial" w:cs="Arial"/>
                <w:sz w:val="23"/>
                <w:szCs w:val="23"/>
              </w:rPr>
              <w:t>2</w:t>
            </w:r>
          </w:p>
        </w:tc>
        <w:tc>
          <w:tcPr>
            <w:tcW w:w="4910" w:type="dxa"/>
            <w:tcBorders>
              <w:tl2br w:val="nil"/>
              <w:tr2bl w:val="nil"/>
            </w:tcBorders>
            <w:noWrap w:val="0"/>
            <w:vAlign w:val="top"/>
          </w:tcPr>
          <w:p w14:paraId="0786C2D1">
            <w:pPr>
              <w:keepNext w:val="0"/>
              <w:keepLines w:val="0"/>
              <w:pageBreakBefore w:val="0"/>
              <w:widowControl w:val="0"/>
              <w:wordWrap/>
              <w:overflowPunct/>
              <w:bidi w:val="0"/>
              <w:spacing w:before="81" w:line="223" w:lineRule="auto"/>
              <w:ind w:left="114"/>
              <w:rPr>
                <w:rFonts w:ascii="仿宋" w:hAnsi="仿宋" w:eastAsia="仿宋" w:cs="仿宋"/>
                <w:sz w:val="23"/>
                <w:szCs w:val="23"/>
              </w:rPr>
            </w:pPr>
            <w:r>
              <w:rPr>
                <w:rFonts w:ascii="仿宋" w:hAnsi="仿宋" w:eastAsia="仿宋" w:cs="仿宋"/>
                <w:spacing w:val="8"/>
                <w:sz w:val="23"/>
                <w:szCs w:val="23"/>
              </w:rPr>
              <w:t>新</w:t>
            </w:r>
            <w:r>
              <w:rPr>
                <w:rFonts w:ascii="仿宋" w:hAnsi="仿宋" w:eastAsia="仿宋" w:cs="仿宋"/>
                <w:spacing w:val="7"/>
                <w:sz w:val="23"/>
                <w:szCs w:val="23"/>
              </w:rPr>
              <w:t>能源材料</w:t>
            </w:r>
          </w:p>
        </w:tc>
        <w:tc>
          <w:tcPr>
            <w:tcW w:w="2605" w:type="dxa"/>
            <w:tcBorders>
              <w:tl2br w:val="nil"/>
              <w:tr2bl w:val="nil"/>
            </w:tcBorders>
            <w:noWrap w:val="0"/>
            <w:vAlign w:val="top"/>
          </w:tcPr>
          <w:p w14:paraId="22B45BE2">
            <w:pPr>
              <w:keepNext w:val="0"/>
              <w:keepLines w:val="0"/>
              <w:pageBreakBefore w:val="0"/>
              <w:widowControl w:val="0"/>
              <w:wordWrap/>
              <w:overflowPunct/>
              <w:bidi w:val="0"/>
              <w:spacing w:before="111" w:line="203" w:lineRule="auto"/>
              <w:ind w:left="116"/>
              <w:rPr>
                <w:rFonts w:ascii="Arial" w:hAnsi="Arial" w:eastAsia="Arial" w:cs="Arial"/>
                <w:sz w:val="23"/>
                <w:szCs w:val="23"/>
              </w:rPr>
            </w:pPr>
            <w:r>
              <w:rPr>
                <w:rFonts w:ascii="Arial" w:hAnsi="Arial" w:eastAsia="Arial" w:cs="Arial"/>
                <w:spacing w:val="6"/>
                <w:sz w:val="23"/>
                <w:szCs w:val="23"/>
              </w:rPr>
              <w:t>3</w:t>
            </w:r>
            <w:r>
              <w:rPr>
                <w:rFonts w:ascii="Arial" w:hAnsi="Arial" w:eastAsia="Arial" w:cs="Arial"/>
                <w:spacing w:val="3"/>
                <w:sz w:val="23"/>
                <w:szCs w:val="23"/>
              </w:rPr>
              <w:t>0000</w:t>
            </w:r>
          </w:p>
        </w:tc>
      </w:tr>
      <w:tr w14:paraId="78E7A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718" w:type="dxa"/>
            <w:tcBorders>
              <w:tl2br w:val="nil"/>
              <w:tr2bl w:val="nil"/>
            </w:tcBorders>
            <w:noWrap w:val="0"/>
            <w:vAlign w:val="top"/>
          </w:tcPr>
          <w:p w14:paraId="68D7DEBD">
            <w:pPr>
              <w:keepNext w:val="0"/>
              <w:keepLines w:val="0"/>
              <w:pageBreakBefore w:val="0"/>
              <w:widowControl w:val="0"/>
              <w:wordWrap/>
              <w:overflowPunct/>
              <w:bidi w:val="0"/>
              <w:spacing w:before="112" w:line="203" w:lineRule="auto"/>
              <w:ind w:left="115"/>
              <w:rPr>
                <w:rFonts w:ascii="Arial" w:hAnsi="Arial" w:eastAsia="Arial" w:cs="Arial"/>
                <w:sz w:val="23"/>
                <w:szCs w:val="23"/>
              </w:rPr>
            </w:pPr>
            <w:r>
              <w:rPr>
                <w:rFonts w:ascii="Arial" w:hAnsi="Arial" w:eastAsia="Arial" w:cs="Arial"/>
                <w:sz w:val="23"/>
                <w:szCs w:val="23"/>
              </w:rPr>
              <w:t>3</w:t>
            </w:r>
          </w:p>
        </w:tc>
        <w:tc>
          <w:tcPr>
            <w:tcW w:w="4910" w:type="dxa"/>
            <w:tcBorders>
              <w:tl2br w:val="nil"/>
              <w:tr2bl w:val="nil"/>
            </w:tcBorders>
            <w:noWrap w:val="0"/>
            <w:vAlign w:val="top"/>
          </w:tcPr>
          <w:p w14:paraId="5F85F3D3">
            <w:pPr>
              <w:keepNext w:val="0"/>
              <w:keepLines w:val="0"/>
              <w:pageBreakBefore w:val="0"/>
              <w:widowControl w:val="0"/>
              <w:wordWrap/>
              <w:overflowPunct/>
              <w:bidi w:val="0"/>
              <w:spacing w:before="82" w:line="223" w:lineRule="auto"/>
              <w:ind w:left="120"/>
              <w:rPr>
                <w:rFonts w:ascii="仿宋" w:hAnsi="仿宋" w:eastAsia="仿宋" w:cs="仿宋"/>
                <w:sz w:val="23"/>
                <w:szCs w:val="23"/>
              </w:rPr>
            </w:pPr>
            <w:r>
              <w:rPr>
                <w:rFonts w:ascii="仿宋" w:hAnsi="仿宋" w:eastAsia="仿宋" w:cs="仿宋"/>
                <w:spacing w:val="10"/>
                <w:sz w:val="23"/>
                <w:szCs w:val="23"/>
              </w:rPr>
              <w:t>大</w:t>
            </w:r>
            <w:r>
              <w:rPr>
                <w:rFonts w:ascii="仿宋" w:hAnsi="仿宋" w:eastAsia="仿宋" w:cs="仿宋"/>
                <w:spacing w:val="6"/>
                <w:sz w:val="23"/>
                <w:szCs w:val="23"/>
              </w:rPr>
              <w:t>健康新材料</w:t>
            </w:r>
          </w:p>
        </w:tc>
        <w:tc>
          <w:tcPr>
            <w:tcW w:w="2605" w:type="dxa"/>
            <w:tcBorders>
              <w:tl2br w:val="nil"/>
              <w:tr2bl w:val="nil"/>
            </w:tcBorders>
            <w:noWrap w:val="0"/>
            <w:vAlign w:val="top"/>
          </w:tcPr>
          <w:p w14:paraId="23648CA7">
            <w:pPr>
              <w:keepNext w:val="0"/>
              <w:keepLines w:val="0"/>
              <w:pageBreakBefore w:val="0"/>
              <w:widowControl w:val="0"/>
              <w:wordWrap/>
              <w:overflowPunct/>
              <w:bidi w:val="0"/>
              <w:spacing w:before="112" w:line="203" w:lineRule="auto"/>
              <w:ind w:left="116"/>
              <w:rPr>
                <w:rFonts w:ascii="Arial" w:hAnsi="Arial" w:eastAsia="Arial" w:cs="Arial"/>
                <w:sz w:val="23"/>
                <w:szCs w:val="23"/>
              </w:rPr>
            </w:pPr>
            <w:r>
              <w:rPr>
                <w:rFonts w:ascii="Arial" w:hAnsi="Arial" w:eastAsia="Arial" w:cs="Arial"/>
                <w:spacing w:val="6"/>
                <w:sz w:val="23"/>
                <w:szCs w:val="23"/>
              </w:rPr>
              <w:t>3</w:t>
            </w:r>
            <w:r>
              <w:rPr>
                <w:rFonts w:ascii="Arial" w:hAnsi="Arial" w:eastAsia="Arial" w:cs="Arial"/>
                <w:spacing w:val="3"/>
                <w:sz w:val="23"/>
                <w:szCs w:val="23"/>
              </w:rPr>
              <w:t>5000</w:t>
            </w:r>
          </w:p>
        </w:tc>
      </w:tr>
      <w:tr w14:paraId="3E270D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718" w:type="dxa"/>
            <w:tcBorders>
              <w:tl2br w:val="nil"/>
              <w:tr2bl w:val="nil"/>
            </w:tcBorders>
            <w:noWrap w:val="0"/>
            <w:vAlign w:val="top"/>
          </w:tcPr>
          <w:p w14:paraId="055123F8">
            <w:pPr>
              <w:keepNext w:val="0"/>
              <w:keepLines w:val="0"/>
              <w:pageBreakBefore w:val="0"/>
              <w:widowControl w:val="0"/>
              <w:wordWrap/>
              <w:overflowPunct/>
              <w:bidi w:val="0"/>
              <w:spacing w:before="112" w:line="203" w:lineRule="auto"/>
              <w:ind w:left="108"/>
              <w:rPr>
                <w:rFonts w:ascii="Arial" w:hAnsi="Arial" w:eastAsia="Arial" w:cs="Arial"/>
                <w:sz w:val="23"/>
                <w:szCs w:val="23"/>
              </w:rPr>
            </w:pPr>
            <w:r>
              <w:rPr>
                <w:rFonts w:ascii="Arial" w:hAnsi="Arial" w:eastAsia="Arial" w:cs="Arial"/>
                <w:spacing w:val="2"/>
                <w:sz w:val="23"/>
                <w:szCs w:val="23"/>
              </w:rPr>
              <w:t>4</w:t>
            </w:r>
          </w:p>
        </w:tc>
        <w:tc>
          <w:tcPr>
            <w:tcW w:w="4910" w:type="dxa"/>
            <w:tcBorders>
              <w:tl2br w:val="nil"/>
              <w:tr2bl w:val="nil"/>
            </w:tcBorders>
            <w:noWrap w:val="0"/>
            <w:vAlign w:val="top"/>
          </w:tcPr>
          <w:p w14:paraId="08B8538B">
            <w:pPr>
              <w:keepNext w:val="0"/>
              <w:keepLines w:val="0"/>
              <w:pageBreakBefore w:val="0"/>
              <w:widowControl w:val="0"/>
              <w:wordWrap/>
              <w:overflowPunct/>
              <w:bidi w:val="0"/>
              <w:spacing w:before="82" w:line="223" w:lineRule="auto"/>
              <w:ind w:left="117"/>
              <w:rPr>
                <w:rFonts w:ascii="仿宋" w:hAnsi="仿宋" w:eastAsia="仿宋" w:cs="仿宋"/>
                <w:sz w:val="23"/>
                <w:szCs w:val="23"/>
              </w:rPr>
            </w:pPr>
            <w:r>
              <w:rPr>
                <w:rFonts w:ascii="仿宋" w:hAnsi="仿宋" w:eastAsia="仿宋" w:cs="仿宋"/>
                <w:spacing w:val="11"/>
                <w:sz w:val="23"/>
                <w:szCs w:val="23"/>
              </w:rPr>
              <w:t>节</w:t>
            </w:r>
            <w:r>
              <w:rPr>
                <w:rFonts w:ascii="仿宋" w:hAnsi="仿宋" w:eastAsia="仿宋" w:cs="仿宋"/>
                <w:spacing w:val="7"/>
                <w:sz w:val="23"/>
                <w:szCs w:val="23"/>
              </w:rPr>
              <w:t>能环保新材料</w:t>
            </w:r>
          </w:p>
        </w:tc>
        <w:tc>
          <w:tcPr>
            <w:tcW w:w="2605" w:type="dxa"/>
            <w:tcBorders>
              <w:tl2br w:val="nil"/>
              <w:tr2bl w:val="nil"/>
            </w:tcBorders>
            <w:noWrap w:val="0"/>
            <w:vAlign w:val="top"/>
          </w:tcPr>
          <w:p w14:paraId="65BAD763">
            <w:pPr>
              <w:keepNext w:val="0"/>
              <w:keepLines w:val="0"/>
              <w:pageBreakBefore w:val="0"/>
              <w:widowControl w:val="0"/>
              <w:wordWrap/>
              <w:overflowPunct/>
              <w:bidi w:val="0"/>
              <w:spacing w:before="112" w:line="203" w:lineRule="auto"/>
              <w:ind w:left="132"/>
              <w:rPr>
                <w:rFonts w:ascii="Arial" w:hAnsi="Arial" w:eastAsia="Arial" w:cs="Arial"/>
                <w:sz w:val="23"/>
                <w:szCs w:val="23"/>
              </w:rPr>
            </w:pPr>
            <w:r>
              <w:rPr>
                <w:rFonts w:ascii="Arial" w:hAnsi="Arial" w:eastAsia="Arial" w:cs="Arial"/>
                <w:spacing w:val="1"/>
                <w:sz w:val="23"/>
                <w:szCs w:val="23"/>
              </w:rPr>
              <w:t>15</w:t>
            </w:r>
            <w:r>
              <w:rPr>
                <w:rFonts w:ascii="Arial" w:hAnsi="Arial" w:eastAsia="Arial" w:cs="Arial"/>
                <w:sz w:val="23"/>
                <w:szCs w:val="23"/>
              </w:rPr>
              <w:t>000</w:t>
            </w:r>
          </w:p>
        </w:tc>
      </w:tr>
      <w:tr w14:paraId="22C97D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718" w:type="dxa"/>
            <w:tcBorders>
              <w:tl2br w:val="nil"/>
              <w:tr2bl w:val="nil"/>
            </w:tcBorders>
            <w:noWrap w:val="0"/>
            <w:vAlign w:val="top"/>
          </w:tcPr>
          <w:p w14:paraId="684E8388">
            <w:pPr>
              <w:keepNext w:val="0"/>
              <w:keepLines w:val="0"/>
              <w:pageBreakBefore w:val="0"/>
              <w:widowControl w:val="0"/>
              <w:wordWrap/>
              <w:overflowPunct/>
              <w:bidi w:val="0"/>
              <w:rPr>
                <w:rFonts w:ascii="Arial"/>
                <w:sz w:val="21"/>
              </w:rPr>
            </w:pPr>
          </w:p>
        </w:tc>
        <w:tc>
          <w:tcPr>
            <w:tcW w:w="4910" w:type="dxa"/>
            <w:tcBorders>
              <w:tl2br w:val="nil"/>
              <w:tr2bl w:val="nil"/>
            </w:tcBorders>
            <w:noWrap w:val="0"/>
            <w:vAlign w:val="top"/>
          </w:tcPr>
          <w:p w14:paraId="29017049">
            <w:pPr>
              <w:keepNext w:val="0"/>
              <w:keepLines w:val="0"/>
              <w:pageBreakBefore w:val="0"/>
              <w:widowControl w:val="0"/>
              <w:wordWrap/>
              <w:overflowPunct/>
              <w:bidi w:val="0"/>
              <w:spacing w:before="84" w:line="225" w:lineRule="auto"/>
              <w:ind w:left="113"/>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2605" w:type="dxa"/>
            <w:tcBorders>
              <w:tl2br w:val="nil"/>
              <w:tr2bl w:val="nil"/>
            </w:tcBorders>
            <w:noWrap w:val="0"/>
            <w:vAlign w:val="top"/>
          </w:tcPr>
          <w:p w14:paraId="2F398201">
            <w:pPr>
              <w:keepNext w:val="0"/>
              <w:keepLines w:val="0"/>
              <w:pageBreakBefore w:val="0"/>
              <w:widowControl w:val="0"/>
              <w:wordWrap/>
              <w:overflowPunct/>
              <w:bidi w:val="0"/>
              <w:spacing w:before="114" w:line="203" w:lineRule="auto"/>
              <w:ind w:left="112"/>
              <w:rPr>
                <w:rFonts w:ascii="Arial" w:hAnsi="Arial" w:eastAsia="Arial" w:cs="Arial"/>
                <w:sz w:val="23"/>
                <w:szCs w:val="23"/>
              </w:rPr>
            </w:pPr>
            <w:r>
              <w:rPr>
                <w:rFonts w:ascii="Arial" w:hAnsi="Arial" w:eastAsia="Arial" w:cs="Arial"/>
                <w:b/>
                <w:bCs/>
                <w:spacing w:val="7"/>
                <w:sz w:val="23"/>
                <w:szCs w:val="23"/>
              </w:rPr>
              <w:t>2</w:t>
            </w:r>
            <w:r>
              <w:rPr>
                <w:rFonts w:ascii="Arial" w:hAnsi="Arial" w:eastAsia="Arial" w:cs="Arial"/>
                <w:b/>
                <w:bCs/>
                <w:spacing w:val="4"/>
                <w:sz w:val="23"/>
                <w:szCs w:val="23"/>
              </w:rPr>
              <w:t>23000</w:t>
            </w:r>
          </w:p>
        </w:tc>
      </w:tr>
    </w:tbl>
    <w:p w14:paraId="3A9C34A2">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根据泉港新材料高新技术产业园区整体用电负荷预测情况，同时考虑</w:t>
      </w:r>
      <w:r>
        <w:rPr>
          <w:rFonts w:hint="default" w:ascii="仿宋_GB2312" w:hAnsi="仿宋_GB2312" w:eastAsia="仿宋_GB2312" w:cs="仿宋_GB2312"/>
          <w:spacing w:val="6"/>
          <w:sz w:val="28"/>
          <w:szCs w:val="28"/>
          <w:lang w:val="en-US" w:eastAsia="zh-CN"/>
        </w:rPr>
        <w:t>实际产业项目的实际用电需求预测，园区近远期用电负荷预测值约为34万KW。</w:t>
      </w:r>
    </w:p>
    <w:p w14:paraId="197BF90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10.4.4供电设施规划</w:t>
      </w:r>
    </w:p>
    <w:p w14:paraId="173F57A5">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10.4.4.1 220/110KV变电站</w:t>
      </w:r>
    </w:p>
    <w:p w14:paraId="7CC5D784">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港新材料高新技术产业园区近远期项目用电的需要，同时满足110KV主变容载比为1.8-2.0的要求，近期依托110KV普安变(3×40MVA)及110KV顶郭变(3×50MVA)；远期需根据实际用电负荷情况，对220KV前黄变(2×180MVA)、110KV普安变及顶郭变进行扩容。</w:t>
      </w:r>
    </w:p>
    <w:p w14:paraId="6B55E35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园区内110KV普安变及顶郭变将作为园区的主供电源点，向园区内建设项目提供10KV等级供电线路。届时，在园区内规划建设若干10KV开关站及相应中低压变配电设施，可满足产业项目用电负荷的需要。</w:t>
      </w:r>
    </w:p>
    <w:p w14:paraId="2A240F22">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项目用电负荷在40MW以上时，原则上采用110KV电压供电，其余的则以10KV供电，10KV线路形成环状，通过低压变配电站，实行分区供电。</w:t>
      </w:r>
    </w:p>
    <w:p w14:paraId="62CF8C0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110/10KV总降压变电站110kV侧母线采用双母线方式，10kV以下中低压供电线路埋地敷设，园区内110kV以上高压线路沿绿化带架空敷设。</w:t>
      </w:r>
    </w:p>
    <w:p w14:paraId="4EED579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10.4.4.2 10KV开关站</w:t>
      </w:r>
    </w:p>
    <w:p w14:paraId="2EA9611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内规划建设若干10KV开关站，每座10KV开关站转供容量10000-20000kVA，开关站设置应体现集约节约用地原则，尽量减少占地，宜结合工业、商业、办公类建筑以及地块内公用配套建筑统一建设，开关站设置为附建式(结合居住或其他建筑建设)，每座附建式开关站需建筑面</w:t>
      </w:r>
      <w:r>
        <w:rPr>
          <w:rFonts w:hint="default" w:ascii="仿宋_GB2312" w:hAnsi="仿宋_GB2312" w:eastAsia="仿宋_GB2312" w:cs="仿宋_GB2312"/>
          <w:spacing w:val="-6"/>
          <w:sz w:val="28"/>
          <w:szCs w:val="28"/>
          <w:lang w:val="en-US" w:eastAsia="zh-CN"/>
        </w:rPr>
        <w:t>积160平方米以上，净高不小于3.9米，开关站设于临市政道路的地面一层。</w:t>
      </w:r>
    </w:p>
    <w:p w14:paraId="645DCE0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开关站应位于用电负荷中心区设置，沿市政道路布置(距道路红线距离不宜大于50米)，原则上应沿市政道路按1公里1座开关站并预留开关站的进出线排管路径。对于成片开发建设地块，在解决该地块供配电设施的前提下，达到10万平方米建筑面积或5万平方米用地面积或地块沿</w:t>
      </w:r>
    </w:p>
    <w:p w14:paraId="4CE824A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街面长度达200米的开发地块，需另设置一座公用开关站。</w:t>
      </w:r>
    </w:p>
    <w:p w14:paraId="210793E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建10/0.4kV配电室均设置为户内式，配电室可与10kV开关站合并建设。10kV及0.4kV线路均埋地敷设，电力电缆沟一般沿道路红线边敷设，其纵坡与道路纵坡相同。在主干道上及变电站开关站出入处，电力电缆孔数为12-16孔，次干路为9-12孔，支路为6孔。</w:t>
      </w:r>
    </w:p>
    <w:p w14:paraId="0195D881">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10.4.4.3区内电网规划</w:t>
      </w:r>
    </w:p>
    <w:p w14:paraId="0669854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根据所在地电网电压等级配置，园区电压等级配置为110/10/0.4kV。规划110kV总降压变电站将来作为整个园区的主供电源点，向近远期项目提供10kV等级供电线路。</w:t>
      </w:r>
    </w:p>
    <w:p w14:paraId="4DC30EF3">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10.4.4.4存在问题</w:t>
      </w:r>
    </w:p>
    <w:p w14:paraId="35DDD8C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由于园区近远期规划项目用电负荷较大，园区南侧规划的220KV前黄变主变容量为2台180000KVA，为满足220KV容载比1.8-2.0的要求，远期需对主变压器进行扩容，并满足产业区供电双电源要求。</w:t>
      </w:r>
    </w:p>
    <w:p w14:paraId="208BA4F4">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按照福厦高铁及沈海高速复线的线路方案，原普安变电站位于线路用地范围内，需要进行异地迁建。规划对普安变电站的初步选址提供了建议方案，选址及建设方案以电力部门确定的方案为准。</w:t>
      </w:r>
    </w:p>
    <w:p w14:paraId="28FB4DE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10.4.5高压走廊</w:t>
      </w:r>
    </w:p>
    <w:p w14:paraId="1565E7C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10.4.5.1布置原则</w:t>
      </w:r>
    </w:p>
    <w:p w14:paraId="43C0611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充分利用现有的生态绿地系统，结合泉港区总体规划对电力走廊的控制要求，对现有220kV高压走廊进行改线。</w:t>
      </w:r>
    </w:p>
    <w:p w14:paraId="60734B7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另外，园区内新建高压线路走廊应尽量沿道路绿化带架设，并尽量采用同塔多回架设，110kV电力线路主要采用架空敷设。10/0.4kV电力线路以电缆直埋或电缆沟方式敷设为主。</w:t>
      </w:r>
    </w:p>
    <w:p w14:paraId="0DB61F4D">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10.4.5.2走廊宽度</w:t>
      </w:r>
    </w:p>
    <w:p w14:paraId="56742A1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高压走廊结合园区内道路、河渠、绿化带架设，避免随意穿越规划地</w:t>
      </w:r>
    </w:p>
    <w:p w14:paraId="2836C4B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块，减少同道路、河流、铁路等的交叉。区内220kV线路走廊控制宽度约30</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40米；110kV线路走廊控制宽度约15</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25米。</w:t>
      </w:r>
    </w:p>
    <w:p w14:paraId="1D52082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10.5通信工程规划</w:t>
      </w:r>
    </w:p>
    <w:p w14:paraId="4B412B7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10.5.1现状概况</w:t>
      </w:r>
    </w:p>
    <w:p w14:paraId="2193267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通信事业发展迅速，园区信息化步伐在不断加快。目前已建成覆盖城区的光缆通信网和无线通信网络，乡镇及城区已实现交换、传输数字化，已开通国际、国内自动漫游、传真、数据通信等综合业务。目前规划区已实现村村通电话。</w:t>
      </w:r>
    </w:p>
    <w:p w14:paraId="3854396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10.5.2规划目标及原则</w:t>
      </w:r>
    </w:p>
    <w:p w14:paraId="1688F33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美化城市面貌，园区内主、次干道应逐步达到无杆化，通信线路以电缆管道埋地敷设为主，其埋设路由原则上东西路埋设在路的南侧，南北街埋设在街的东侧。根据园区电话用户增长需求量，电话交换机应逐年扩容，并加快光纤到小区、到大楼的建设。创造条件实现电信网的智能化、高速化，完成电信“十网”建设目标，即建成支撑网、同步数字系列传输网、长途无线电话交换网、数字移动电话网、无线寻呼网、数据通信网、智能业务网、窄带综合业务网、完善本地电话网和宽带用户接入网。同时，根据需要和可能积极联合建设CATV网络，采用同缆分纤、同轴电缆和双绞线重叠入户的方式为用户提供有线电视、电话和数据业务。</w:t>
      </w:r>
    </w:p>
    <w:p w14:paraId="7351618D">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10.5.3用量预测</w:t>
      </w:r>
    </w:p>
    <w:p w14:paraId="2E05044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根据《城市通信工程规划规范》(GB/T50853-2013)规定，结合园区通信设施配置特点及实际要求，参考城市建设用地分类，对园区的通信工程进行规划。</w:t>
      </w:r>
    </w:p>
    <w:p w14:paraId="1D4B21B2">
      <w:pPr>
        <w:keepNext w:val="0"/>
        <w:keepLines w:val="0"/>
        <w:pageBreakBefore w:val="0"/>
        <w:widowControl w:val="0"/>
        <w:wordWrap/>
        <w:overflowPunct/>
        <w:bidi w:val="0"/>
        <w:spacing w:before="75" w:line="225" w:lineRule="auto"/>
        <w:ind w:left="3252"/>
      </w:pPr>
      <w:r>
        <w:rPr>
          <w:rFonts w:ascii="黑体" w:hAnsi="黑体" w:eastAsia="黑体" w:cs="黑体"/>
          <w:spacing w:val="4"/>
          <w:sz w:val="23"/>
          <w:szCs w:val="23"/>
        </w:rPr>
        <w:t>表</w:t>
      </w:r>
      <w:r>
        <w:rPr>
          <w:rFonts w:ascii="Arial" w:hAnsi="Arial" w:eastAsia="Arial" w:cs="Arial"/>
          <w:b/>
          <w:bCs/>
          <w:spacing w:val="4"/>
          <w:sz w:val="23"/>
          <w:szCs w:val="23"/>
        </w:rPr>
        <w:t>11</w:t>
      </w:r>
      <w:r>
        <w:rPr>
          <w:rFonts w:ascii="Arial" w:hAnsi="Arial" w:eastAsia="Arial" w:cs="Arial"/>
          <w:b/>
          <w:bCs/>
          <w:spacing w:val="3"/>
          <w:sz w:val="23"/>
          <w:szCs w:val="23"/>
        </w:rPr>
        <w:t>-</w:t>
      </w:r>
      <w:r>
        <w:rPr>
          <w:rFonts w:ascii="Arial" w:hAnsi="Arial" w:eastAsia="Arial" w:cs="Arial"/>
          <w:b/>
          <w:bCs/>
          <w:spacing w:val="2"/>
          <w:sz w:val="23"/>
          <w:szCs w:val="23"/>
        </w:rPr>
        <w:t>6</w:t>
      </w:r>
      <w:r>
        <w:rPr>
          <w:rFonts w:ascii="黑体" w:hAnsi="黑体" w:eastAsia="黑体" w:cs="黑体"/>
          <w:spacing w:val="2"/>
          <w:sz w:val="23"/>
          <w:szCs w:val="23"/>
        </w:rPr>
        <w:t>园区通信量预测表</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55"/>
        <w:gridCol w:w="3377"/>
        <w:gridCol w:w="2860"/>
      </w:tblGrid>
      <w:tr w14:paraId="2835F5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3055" w:type="dxa"/>
            <w:tcBorders>
              <w:tl2br w:val="nil"/>
              <w:tr2bl w:val="nil"/>
            </w:tcBorders>
            <w:noWrap w:val="0"/>
            <w:vAlign w:val="top"/>
          </w:tcPr>
          <w:p w14:paraId="270E0364">
            <w:pPr>
              <w:keepNext w:val="0"/>
              <w:keepLines w:val="0"/>
              <w:pageBreakBefore w:val="0"/>
              <w:widowControl w:val="0"/>
              <w:wordWrap/>
              <w:overflowPunct/>
              <w:bidi w:val="0"/>
              <w:spacing w:before="83" w:line="227" w:lineRule="auto"/>
              <w:ind w:left="117"/>
              <w:rPr>
                <w:rFonts w:ascii="仿宋" w:hAnsi="仿宋" w:eastAsia="仿宋" w:cs="仿宋"/>
                <w:sz w:val="23"/>
                <w:szCs w:val="23"/>
              </w:rPr>
            </w:pPr>
            <w:r>
              <w:rPr>
                <w:rFonts w:ascii="仿宋" w:hAnsi="仿宋" w:eastAsia="仿宋" w:cs="仿宋"/>
                <w:spacing w:val="9"/>
                <w:sz w:val="23"/>
                <w:szCs w:val="23"/>
              </w:rPr>
              <w:t>用</w:t>
            </w:r>
            <w:r>
              <w:rPr>
                <w:rFonts w:ascii="仿宋" w:hAnsi="仿宋" w:eastAsia="仿宋" w:cs="仿宋"/>
                <w:spacing w:val="8"/>
                <w:sz w:val="23"/>
                <w:szCs w:val="23"/>
              </w:rPr>
              <w:t>地分类</w:t>
            </w:r>
          </w:p>
        </w:tc>
        <w:tc>
          <w:tcPr>
            <w:tcW w:w="3377" w:type="dxa"/>
            <w:tcBorders>
              <w:tl2br w:val="nil"/>
              <w:tr2bl w:val="nil"/>
            </w:tcBorders>
            <w:noWrap w:val="0"/>
            <w:vAlign w:val="top"/>
          </w:tcPr>
          <w:p w14:paraId="11BBB36E">
            <w:pPr>
              <w:keepNext w:val="0"/>
              <w:keepLines w:val="0"/>
              <w:pageBreakBefore w:val="0"/>
              <w:widowControl w:val="0"/>
              <w:wordWrap/>
              <w:overflowPunct/>
              <w:bidi w:val="0"/>
              <w:spacing w:before="45" w:line="334" w:lineRule="exact"/>
              <w:ind w:left="118"/>
              <w:rPr>
                <w:rFonts w:ascii="仿宋" w:hAnsi="仿宋" w:eastAsia="仿宋" w:cs="仿宋"/>
                <w:sz w:val="23"/>
                <w:szCs w:val="23"/>
              </w:rPr>
            </w:pPr>
            <w:r>
              <w:rPr>
                <w:rFonts w:ascii="仿宋" w:hAnsi="仿宋" w:eastAsia="仿宋" w:cs="仿宋"/>
                <w:spacing w:val="11"/>
                <w:position w:val="2"/>
                <w:sz w:val="23"/>
                <w:szCs w:val="23"/>
              </w:rPr>
              <w:t>通</w:t>
            </w:r>
            <w:r>
              <w:rPr>
                <w:rFonts w:ascii="仿宋" w:hAnsi="仿宋" w:eastAsia="仿宋" w:cs="仿宋"/>
                <w:spacing w:val="8"/>
                <w:position w:val="2"/>
                <w:sz w:val="23"/>
                <w:szCs w:val="23"/>
              </w:rPr>
              <w:t>信需求指标(局号</w:t>
            </w:r>
            <w:r>
              <w:rPr>
                <w:rFonts w:ascii="Arial" w:hAnsi="Arial" w:eastAsia="Arial" w:cs="Arial"/>
                <w:b/>
                <w:bCs/>
                <w:spacing w:val="8"/>
                <w:position w:val="2"/>
                <w:sz w:val="23"/>
                <w:szCs w:val="23"/>
              </w:rPr>
              <w:t>/</w:t>
            </w:r>
            <w:r>
              <w:rPr>
                <w:rFonts w:ascii="仿宋" w:hAnsi="仿宋" w:eastAsia="仿宋" w:cs="仿宋"/>
                <w:spacing w:val="8"/>
                <w:position w:val="2"/>
                <w:sz w:val="23"/>
                <w:szCs w:val="23"/>
              </w:rPr>
              <w:t>公顷)</w:t>
            </w:r>
          </w:p>
        </w:tc>
        <w:tc>
          <w:tcPr>
            <w:tcW w:w="2860" w:type="dxa"/>
            <w:tcBorders>
              <w:tl2br w:val="nil"/>
              <w:tr2bl w:val="nil"/>
            </w:tcBorders>
            <w:noWrap w:val="0"/>
            <w:vAlign w:val="top"/>
          </w:tcPr>
          <w:p w14:paraId="3484CD8E">
            <w:pPr>
              <w:keepNext w:val="0"/>
              <w:keepLines w:val="0"/>
              <w:pageBreakBefore w:val="0"/>
              <w:widowControl w:val="0"/>
              <w:wordWrap/>
              <w:overflowPunct/>
              <w:bidi w:val="0"/>
              <w:spacing w:before="84" w:line="224" w:lineRule="auto"/>
              <w:ind w:left="120"/>
              <w:rPr>
                <w:rFonts w:ascii="仿宋" w:hAnsi="仿宋" w:eastAsia="仿宋" w:cs="仿宋"/>
                <w:sz w:val="23"/>
                <w:szCs w:val="23"/>
              </w:rPr>
            </w:pPr>
            <w:r>
              <w:rPr>
                <w:rFonts w:ascii="仿宋" w:hAnsi="仿宋" w:eastAsia="仿宋" w:cs="仿宋"/>
                <w:spacing w:val="14"/>
                <w:sz w:val="23"/>
                <w:szCs w:val="23"/>
              </w:rPr>
              <w:t>通</w:t>
            </w:r>
            <w:r>
              <w:rPr>
                <w:rFonts w:ascii="仿宋" w:hAnsi="仿宋" w:eastAsia="仿宋" w:cs="仿宋"/>
                <w:spacing w:val="7"/>
                <w:sz w:val="23"/>
                <w:szCs w:val="23"/>
              </w:rPr>
              <w:t>信需求量(局号)</w:t>
            </w:r>
          </w:p>
        </w:tc>
      </w:tr>
      <w:tr w14:paraId="0D26B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3055" w:type="dxa"/>
            <w:tcBorders>
              <w:tl2br w:val="nil"/>
              <w:tr2bl w:val="nil"/>
            </w:tcBorders>
            <w:noWrap w:val="0"/>
            <w:vAlign w:val="top"/>
          </w:tcPr>
          <w:p w14:paraId="7E644482">
            <w:pPr>
              <w:keepNext w:val="0"/>
              <w:keepLines w:val="0"/>
              <w:pageBreakBefore w:val="0"/>
              <w:widowControl w:val="0"/>
              <w:wordWrap/>
              <w:overflowPunct/>
              <w:bidi w:val="0"/>
              <w:spacing w:before="93" w:line="224" w:lineRule="auto"/>
              <w:ind w:left="112"/>
              <w:rPr>
                <w:rFonts w:ascii="仿宋" w:hAnsi="仿宋" w:eastAsia="仿宋" w:cs="仿宋"/>
                <w:sz w:val="23"/>
                <w:szCs w:val="23"/>
              </w:rPr>
            </w:pPr>
            <w:r>
              <w:rPr>
                <w:rFonts w:ascii="仿宋" w:hAnsi="仿宋" w:eastAsia="仿宋" w:cs="仿宋"/>
                <w:spacing w:val="9"/>
                <w:sz w:val="23"/>
                <w:szCs w:val="23"/>
              </w:rPr>
              <w:t>居住用地</w:t>
            </w:r>
          </w:p>
        </w:tc>
        <w:tc>
          <w:tcPr>
            <w:tcW w:w="3377" w:type="dxa"/>
            <w:tcBorders>
              <w:tl2br w:val="nil"/>
              <w:tr2bl w:val="nil"/>
            </w:tcBorders>
            <w:noWrap w:val="0"/>
            <w:vAlign w:val="top"/>
          </w:tcPr>
          <w:p w14:paraId="2329342D">
            <w:pPr>
              <w:keepNext w:val="0"/>
              <w:keepLines w:val="0"/>
              <w:pageBreakBefore w:val="0"/>
              <w:widowControl w:val="0"/>
              <w:wordWrap/>
              <w:overflowPunct/>
              <w:bidi w:val="0"/>
              <w:spacing w:before="125" w:line="203" w:lineRule="auto"/>
              <w:ind w:left="129"/>
              <w:rPr>
                <w:rFonts w:ascii="Arial" w:hAnsi="Arial" w:eastAsia="Arial" w:cs="Arial"/>
                <w:sz w:val="23"/>
                <w:szCs w:val="23"/>
              </w:rPr>
            </w:pPr>
            <w:r>
              <w:rPr>
                <w:rFonts w:ascii="Arial" w:hAnsi="Arial" w:eastAsia="Arial" w:cs="Arial"/>
                <w:spacing w:val="-4"/>
                <w:sz w:val="23"/>
                <w:szCs w:val="23"/>
              </w:rPr>
              <w:t>1</w:t>
            </w:r>
            <w:r>
              <w:rPr>
                <w:rFonts w:ascii="Arial" w:hAnsi="Arial" w:eastAsia="Arial" w:cs="Arial"/>
                <w:spacing w:val="-2"/>
                <w:sz w:val="23"/>
                <w:szCs w:val="23"/>
              </w:rPr>
              <w:t>20</w:t>
            </w:r>
          </w:p>
        </w:tc>
        <w:tc>
          <w:tcPr>
            <w:tcW w:w="2860" w:type="dxa"/>
            <w:tcBorders>
              <w:tl2br w:val="nil"/>
              <w:tr2bl w:val="nil"/>
            </w:tcBorders>
            <w:noWrap w:val="0"/>
            <w:vAlign w:val="top"/>
          </w:tcPr>
          <w:p w14:paraId="1A0F1302">
            <w:pPr>
              <w:keepNext w:val="0"/>
              <w:keepLines w:val="0"/>
              <w:pageBreakBefore w:val="0"/>
              <w:widowControl w:val="0"/>
              <w:wordWrap/>
              <w:overflowPunct/>
              <w:bidi w:val="0"/>
              <w:spacing w:before="125" w:line="203" w:lineRule="auto"/>
              <w:ind w:left="112"/>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4"/>
                <w:sz w:val="23"/>
                <w:szCs w:val="23"/>
              </w:rPr>
              <w:t>8022</w:t>
            </w:r>
          </w:p>
        </w:tc>
      </w:tr>
      <w:tr w14:paraId="3B7FDE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3055" w:type="dxa"/>
            <w:tcBorders>
              <w:tl2br w:val="nil"/>
              <w:tr2bl w:val="nil"/>
            </w:tcBorders>
            <w:noWrap w:val="0"/>
            <w:vAlign w:val="top"/>
          </w:tcPr>
          <w:p w14:paraId="1EA85CBF">
            <w:pPr>
              <w:keepNext w:val="0"/>
              <w:keepLines w:val="0"/>
              <w:pageBreakBefore w:val="0"/>
              <w:widowControl w:val="0"/>
              <w:wordWrap/>
              <w:overflowPunct/>
              <w:bidi w:val="0"/>
              <w:spacing w:before="78" w:line="225" w:lineRule="auto"/>
              <w:ind w:left="116"/>
              <w:rPr>
                <w:rFonts w:ascii="仿宋" w:hAnsi="仿宋" w:eastAsia="仿宋" w:cs="仿宋"/>
                <w:sz w:val="23"/>
                <w:szCs w:val="23"/>
              </w:rPr>
            </w:pPr>
            <w:r>
              <w:rPr>
                <w:rFonts w:ascii="仿宋" w:hAnsi="仿宋" w:eastAsia="仿宋" w:cs="仿宋"/>
                <w:spacing w:val="10"/>
                <w:sz w:val="23"/>
                <w:szCs w:val="23"/>
              </w:rPr>
              <w:t>公</w:t>
            </w:r>
            <w:r>
              <w:rPr>
                <w:rFonts w:ascii="仿宋" w:hAnsi="仿宋" w:eastAsia="仿宋" w:cs="仿宋"/>
                <w:spacing w:val="9"/>
                <w:sz w:val="23"/>
                <w:szCs w:val="23"/>
              </w:rPr>
              <w:t>共管理服务设施用地</w:t>
            </w:r>
          </w:p>
        </w:tc>
        <w:tc>
          <w:tcPr>
            <w:tcW w:w="3377" w:type="dxa"/>
            <w:tcBorders>
              <w:tl2br w:val="nil"/>
              <w:tr2bl w:val="nil"/>
            </w:tcBorders>
            <w:noWrap w:val="0"/>
            <w:vAlign w:val="top"/>
          </w:tcPr>
          <w:p w14:paraId="7F4BC078">
            <w:pPr>
              <w:keepNext w:val="0"/>
              <w:keepLines w:val="0"/>
              <w:pageBreakBefore w:val="0"/>
              <w:widowControl w:val="0"/>
              <w:wordWrap/>
              <w:overflowPunct/>
              <w:bidi w:val="0"/>
              <w:spacing w:before="108" w:line="203" w:lineRule="auto"/>
              <w:ind w:left="113"/>
              <w:rPr>
                <w:rFonts w:ascii="Arial" w:hAnsi="Arial" w:eastAsia="Arial" w:cs="Arial"/>
                <w:sz w:val="23"/>
                <w:szCs w:val="23"/>
              </w:rPr>
            </w:pPr>
            <w:r>
              <w:rPr>
                <w:rFonts w:ascii="Arial" w:hAnsi="Arial" w:eastAsia="Arial" w:cs="Arial"/>
                <w:spacing w:val="1"/>
                <w:sz w:val="23"/>
                <w:szCs w:val="23"/>
              </w:rPr>
              <w:t>80</w:t>
            </w:r>
          </w:p>
        </w:tc>
        <w:tc>
          <w:tcPr>
            <w:tcW w:w="2860" w:type="dxa"/>
            <w:tcBorders>
              <w:tl2br w:val="nil"/>
              <w:tr2bl w:val="nil"/>
            </w:tcBorders>
            <w:noWrap w:val="0"/>
            <w:vAlign w:val="top"/>
          </w:tcPr>
          <w:p w14:paraId="5717A054">
            <w:pPr>
              <w:keepNext w:val="0"/>
              <w:keepLines w:val="0"/>
              <w:pageBreakBefore w:val="0"/>
              <w:widowControl w:val="0"/>
              <w:wordWrap/>
              <w:overflowPunct/>
              <w:bidi w:val="0"/>
              <w:spacing w:before="108" w:line="203" w:lineRule="auto"/>
              <w:ind w:left="108"/>
              <w:rPr>
                <w:rFonts w:ascii="Arial" w:hAnsi="Arial" w:eastAsia="Arial" w:cs="Arial"/>
                <w:sz w:val="23"/>
                <w:szCs w:val="23"/>
              </w:rPr>
            </w:pPr>
            <w:r>
              <w:rPr>
                <w:rFonts w:ascii="Arial" w:hAnsi="Arial" w:eastAsia="Arial" w:cs="Arial"/>
                <w:spacing w:val="5"/>
                <w:sz w:val="23"/>
                <w:szCs w:val="23"/>
              </w:rPr>
              <w:t>443</w:t>
            </w:r>
            <w:r>
              <w:rPr>
                <w:rFonts w:ascii="Arial" w:hAnsi="Arial" w:eastAsia="Arial" w:cs="Arial"/>
                <w:spacing w:val="4"/>
                <w:sz w:val="23"/>
                <w:szCs w:val="23"/>
              </w:rPr>
              <w:t>2</w:t>
            </w:r>
          </w:p>
        </w:tc>
      </w:tr>
      <w:tr w14:paraId="33B2DD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3055" w:type="dxa"/>
            <w:tcBorders>
              <w:tl2br w:val="nil"/>
              <w:tr2bl w:val="nil"/>
            </w:tcBorders>
            <w:noWrap w:val="0"/>
            <w:vAlign w:val="top"/>
          </w:tcPr>
          <w:p w14:paraId="3CC741D2">
            <w:pPr>
              <w:keepNext w:val="0"/>
              <w:keepLines w:val="0"/>
              <w:pageBreakBefore w:val="0"/>
              <w:widowControl w:val="0"/>
              <w:wordWrap/>
              <w:overflowPunct/>
              <w:bidi w:val="0"/>
              <w:spacing w:before="94" w:line="225" w:lineRule="auto"/>
              <w:ind w:left="127"/>
              <w:rPr>
                <w:rFonts w:ascii="仿宋" w:hAnsi="仿宋" w:eastAsia="仿宋" w:cs="仿宋"/>
                <w:sz w:val="23"/>
                <w:szCs w:val="23"/>
              </w:rPr>
            </w:pPr>
            <w:r>
              <w:rPr>
                <w:rFonts w:ascii="仿宋" w:hAnsi="仿宋" w:eastAsia="仿宋" w:cs="仿宋"/>
                <w:spacing w:val="6"/>
                <w:sz w:val="23"/>
                <w:szCs w:val="23"/>
              </w:rPr>
              <w:t>商业服务业</w:t>
            </w:r>
          </w:p>
        </w:tc>
        <w:tc>
          <w:tcPr>
            <w:tcW w:w="3377" w:type="dxa"/>
            <w:tcBorders>
              <w:tl2br w:val="nil"/>
              <w:tr2bl w:val="nil"/>
            </w:tcBorders>
            <w:noWrap w:val="0"/>
            <w:vAlign w:val="top"/>
          </w:tcPr>
          <w:p w14:paraId="1C1F0B9B">
            <w:pPr>
              <w:keepNext w:val="0"/>
              <w:keepLines w:val="0"/>
              <w:pageBreakBefore w:val="0"/>
              <w:widowControl w:val="0"/>
              <w:wordWrap/>
              <w:overflowPunct/>
              <w:bidi w:val="0"/>
              <w:spacing w:before="127" w:line="203" w:lineRule="auto"/>
              <w:ind w:left="129"/>
              <w:rPr>
                <w:rFonts w:ascii="Arial" w:hAnsi="Arial" w:eastAsia="Arial" w:cs="Arial"/>
                <w:sz w:val="23"/>
                <w:szCs w:val="23"/>
              </w:rPr>
            </w:pPr>
            <w:r>
              <w:rPr>
                <w:rFonts w:ascii="Arial" w:hAnsi="Arial" w:eastAsia="Arial" w:cs="Arial"/>
                <w:spacing w:val="-4"/>
                <w:sz w:val="23"/>
                <w:szCs w:val="23"/>
              </w:rPr>
              <w:t>1</w:t>
            </w:r>
            <w:r>
              <w:rPr>
                <w:rFonts w:ascii="Arial" w:hAnsi="Arial" w:eastAsia="Arial" w:cs="Arial"/>
                <w:spacing w:val="-2"/>
                <w:sz w:val="23"/>
                <w:szCs w:val="23"/>
              </w:rPr>
              <w:t>00</w:t>
            </w:r>
          </w:p>
        </w:tc>
        <w:tc>
          <w:tcPr>
            <w:tcW w:w="2860" w:type="dxa"/>
            <w:tcBorders>
              <w:tl2br w:val="nil"/>
              <w:tr2bl w:val="nil"/>
            </w:tcBorders>
            <w:noWrap w:val="0"/>
            <w:vAlign w:val="top"/>
          </w:tcPr>
          <w:p w14:paraId="0257704F">
            <w:pPr>
              <w:keepNext w:val="0"/>
              <w:keepLines w:val="0"/>
              <w:pageBreakBefore w:val="0"/>
              <w:widowControl w:val="0"/>
              <w:wordWrap/>
              <w:overflowPunct/>
              <w:bidi w:val="0"/>
              <w:spacing w:before="127" w:line="203" w:lineRule="auto"/>
              <w:ind w:left="115"/>
              <w:rPr>
                <w:rFonts w:ascii="Arial" w:hAnsi="Arial" w:eastAsia="Arial" w:cs="Arial"/>
                <w:sz w:val="23"/>
                <w:szCs w:val="23"/>
              </w:rPr>
            </w:pPr>
            <w:r>
              <w:rPr>
                <w:rFonts w:ascii="Arial" w:hAnsi="Arial" w:eastAsia="Arial" w:cs="Arial"/>
                <w:spacing w:val="3"/>
                <w:sz w:val="23"/>
                <w:szCs w:val="23"/>
              </w:rPr>
              <w:t>9055</w:t>
            </w:r>
          </w:p>
        </w:tc>
      </w:tr>
      <w:tr w14:paraId="2A2B8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3055" w:type="dxa"/>
            <w:tcBorders>
              <w:tl2br w:val="nil"/>
              <w:tr2bl w:val="nil"/>
            </w:tcBorders>
            <w:noWrap w:val="0"/>
            <w:vAlign w:val="top"/>
          </w:tcPr>
          <w:p w14:paraId="0CF85730">
            <w:pPr>
              <w:keepNext w:val="0"/>
              <w:keepLines w:val="0"/>
              <w:pageBreakBefore w:val="0"/>
              <w:widowControl w:val="0"/>
              <w:wordWrap/>
              <w:overflowPunct/>
              <w:bidi w:val="0"/>
              <w:spacing w:before="96" w:line="227" w:lineRule="auto"/>
              <w:ind w:left="123"/>
              <w:rPr>
                <w:rFonts w:ascii="仿宋" w:hAnsi="仿宋" w:eastAsia="仿宋" w:cs="仿宋"/>
                <w:sz w:val="23"/>
                <w:szCs w:val="23"/>
              </w:rPr>
            </w:pPr>
            <w:r>
              <w:rPr>
                <w:rFonts w:ascii="仿宋" w:hAnsi="仿宋" w:eastAsia="仿宋" w:cs="仿宋"/>
                <w:spacing w:val="6"/>
                <w:sz w:val="23"/>
                <w:szCs w:val="23"/>
              </w:rPr>
              <w:t>工业用地</w:t>
            </w:r>
          </w:p>
        </w:tc>
        <w:tc>
          <w:tcPr>
            <w:tcW w:w="3377" w:type="dxa"/>
            <w:tcBorders>
              <w:tl2br w:val="nil"/>
              <w:tr2bl w:val="nil"/>
            </w:tcBorders>
            <w:noWrap w:val="0"/>
            <w:vAlign w:val="top"/>
          </w:tcPr>
          <w:p w14:paraId="3A69366E">
            <w:pPr>
              <w:keepNext w:val="0"/>
              <w:keepLines w:val="0"/>
              <w:pageBreakBefore w:val="0"/>
              <w:widowControl w:val="0"/>
              <w:wordWrap/>
              <w:overflowPunct/>
              <w:bidi w:val="0"/>
              <w:spacing w:before="126" w:line="203" w:lineRule="auto"/>
              <w:ind w:left="110"/>
              <w:rPr>
                <w:rFonts w:ascii="Arial" w:hAnsi="Arial" w:eastAsia="Arial" w:cs="Arial"/>
                <w:sz w:val="23"/>
                <w:szCs w:val="23"/>
              </w:rPr>
            </w:pPr>
            <w:r>
              <w:rPr>
                <w:rFonts w:ascii="Arial" w:hAnsi="Arial" w:eastAsia="Arial" w:cs="Arial"/>
                <w:spacing w:val="3"/>
                <w:sz w:val="23"/>
                <w:szCs w:val="23"/>
              </w:rPr>
              <w:t>2</w:t>
            </w:r>
            <w:r>
              <w:rPr>
                <w:rFonts w:ascii="Arial" w:hAnsi="Arial" w:eastAsia="Arial" w:cs="Arial"/>
                <w:spacing w:val="2"/>
                <w:sz w:val="23"/>
                <w:szCs w:val="23"/>
              </w:rPr>
              <w:t>0</w:t>
            </w:r>
          </w:p>
        </w:tc>
        <w:tc>
          <w:tcPr>
            <w:tcW w:w="2860" w:type="dxa"/>
            <w:tcBorders>
              <w:tl2br w:val="nil"/>
              <w:tr2bl w:val="nil"/>
            </w:tcBorders>
            <w:noWrap w:val="0"/>
            <w:vAlign w:val="top"/>
          </w:tcPr>
          <w:p w14:paraId="2CA372EA">
            <w:pPr>
              <w:keepNext w:val="0"/>
              <w:keepLines w:val="0"/>
              <w:pageBreakBefore w:val="0"/>
              <w:widowControl w:val="0"/>
              <w:wordWrap/>
              <w:overflowPunct/>
              <w:bidi w:val="0"/>
              <w:spacing w:before="126" w:line="203" w:lineRule="auto"/>
              <w:ind w:left="131"/>
              <w:rPr>
                <w:rFonts w:ascii="Arial" w:hAnsi="Arial" w:eastAsia="Arial" w:cs="Arial"/>
                <w:sz w:val="23"/>
                <w:szCs w:val="23"/>
              </w:rPr>
            </w:pPr>
            <w:r>
              <w:rPr>
                <w:rFonts w:ascii="Arial" w:hAnsi="Arial" w:eastAsia="Arial" w:cs="Arial"/>
                <w:spacing w:val="-12"/>
                <w:sz w:val="23"/>
                <w:szCs w:val="23"/>
              </w:rPr>
              <w:t>1</w:t>
            </w:r>
            <w:r>
              <w:rPr>
                <w:rFonts w:ascii="Arial" w:hAnsi="Arial" w:eastAsia="Arial" w:cs="Arial"/>
                <w:spacing w:val="-10"/>
                <w:sz w:val="23"/>
                <w:szCs w:val="23"/>
              </w:rPr>
              <w:t xml:space="preserve"> 1943</w:t>
            </w:r>
          </w:p>
        </w:tc>
      </w:tr>
      <w:tr w14:paraId="13A487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3055" w:type="dxa"/>
            <w:tcBorders>
              <w:tl2br w:val="nil"/>
              <w:tr2bl w:val="nil"/>
            </w:tcBorders>
            <w:noWrap w:val="0"/>
            <w:vAlign w:val="top"/>
          </w:tcPr>
          <w:p w14:paraId="6495A80E">
            <w:pPr>
              <w:keepNext w:val="0"/>
              <w:keepLines w:val="0"/>
              <w:pageBreakBefore w:val="0"/>
              <w:widowControl w:val="0"/>
              <w:wordWrap/>
              <w:overflowPunct/>
              <w:bidi w:val="0"/>
              <w:spacing w:before="98" w:line="224" w:lineRule="auto"/>
              <w:ind w:left="125"/>
              <w:rPr>
                <w:rFonts w:ascii="仿宋" w:hAnsi="仿宋" w:eastAsia="仿宋" w:cs="仿宋"/>
                <w:sz w:val="23"/>
                <w:szCs w:val="23"/>
              </w:rPr>
            </w:pPr>
            <w:r>
              <w:rPr>
                <w:rFonts w:ascii="仿宋" w:hAnsi="仿宋" w:eastAsia="仿宋" w:cs="仿宋"/>
                <w:spacing w:val="8"/>
                <w:sz w:val="23"/>
                <w:szCs w:val="23"/>
              </w:rPr>
              <w:t>物</w:t>
            </w:r>
            <w:r>
              <w:rPr>
                <w:rFonts w:ascii="仿宋" w:hAnsi="仿宋" w:eastAsia="仿宋" w:cs="仿宋"/>
                <w:spacing w:val="7"/>
                <w:sz w:val="23"/>
                <w:szCs w:val="23"/>
              </w:rPr>
              <w:t>流仓储用地</w:t>
            </w:r>
          </w:p>
        </w:tc>
        <w:tc>
          <w:tcPr>
            <w:tcW w:w="3377" w:type="dxa"/>
            <w:tcBorders>
              <w:tl2br w:val="nil"/>
              <w:tr2bl w:val="nil"/>
            </w:tcBorders>
            <w:noWrap w:val="0"/>
            <w:vAlign w:val="top"/>
          </w:tcPr>
          <w:p w14:paraId="21BA569F">
            <w:pPr>
              <w:keepNext w:val="0"/>
              <w:keepLines w:val="0"/>
              <w:pageBreakBefore w:val="0"/>
              <w:widowControl w:val="0"/>
              <w:wordWrap/>
              <w:overflowPunct/>
              <w:bidi w:val="0"/>
              <w:spacing w:before="128" w:line="203" w:lineRule="auto"/>
              <w:ind w:left="113"/>
              <w:rPr>
                <w:rFonts w:ascii="Arial" w:hAnsi="Arial" w:eastAsia="Arial" w:cs="Arial"/>
                <w:sz w:val="23"/>
                <w:szCs w:val="23"/>
              </w:rPr>
            </w:pPr>
            <w:r>
              <w:rPr>
                <w:rFonts w:ascii="Arial" w:hAnsi="Arial" w:eastAsia="Arial" w:cs="Arial"/>
                <w:spacing w:val="1"/>
                <w:sz w:val="23"/>
                <w:szCs w:val="23"/>
              </w:rPr>
              <w:t>3</w:t>
            </w:r>
            <w:r>
              <w:rPr>
                <w:rFonts w:ascii="Arial" w:hAnsi="Arial" w:eastAsia="Arial" w:cs="Arial"/>
                <w:sz w:val="23"/>
                <w:szCs w:val="23"/>
              </w:rPr>
              <w:t>0</w:t>
            </w:r>
          </w:p>
        </w:tc>
        <w:tc>
          <w:tcPr>
            <w:tcW w:w="2860" w:type="dxa"/>
            <w:tcBorders>
              <w:tl2br w:val="nil"/>
              <w:tr2bl w:val="nil"/>
            </w:tcBorders>
            <w:noWrap w:val="0"/>
            <w:vAlign w:val="top"/>
          </w:tcPr>
          <w:p w14:paraId="2C99680B">
            <w:pPr>
              <w:keepNext w:val="0"/>
              <w:keepLines w:val="0"/>
              <w:pageBreakBefore w:val="0"/>
              <w:widowControl w:val="0"/>
              <w:wordWrap/>
              <w:overflowPunct/>
              <w:bidi w:val="0"/>
              <w:spacing w:before="128" w:line="203" w:lineRule="auto"/>
              <w:ind w:left="131"/>
              <w:rPr>
                <w:rFonts w:ascii="Arial" w:hAnsi="Arial" w:eastAsia="Arial" w:cs="Arial"/>
                <w:sz w:val="23"/>
                <w:szCs w:val="23"/>
              </w:rPr>
            </w:pPr>
            <w:r>
              <w:rPr>
                <w:rFonts w:ascii="Arial" w:hAnsi="Arial" w:eastAsia="Arial" w:cs="Arial"/>
                <w:spacing w:val="-1"/>
                <w:sz w:val="23"/>
                <w:szCs w:val="23"/>
              </w:rPr>
              <w:t>1890</w:t>
            </w:r>
          </w:p>
        </w:tc>
      </w:tr>
      <w:tr w14:paraId="5D7A05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3055" w:type="dxa"/>
            <w:tcBorders>
              <w:tl2br w:val="nil"/>
              <w:tr2bl w:val="nil"/>
            </w:tcBorders>
            <w:noWrap w:val="0"/>
            <w:vAlign w:val="top"/>
          </w:tcPr>
          <w:p w14:paraId="427C9E3E">
            <w:pPr>
              <w:keepNext w:val="0"/>
              <w:keepLines w:val="0"/>
              <w:pageBreakBefore w:val="0"/>
              <w:widowControl w:val="0"/>
              <w:wordWrap/>
              <w:overflowPunct/>
              <w:bidi w:val="0"/>
              <w:spacing w:before="83" w:line="227" w:lineRule="auto"/>
              <w:ind w:left="117" w:leftChars="0"/>
              <w:rPr>
                <w:rFonts w:ascii="仿宋" w:hAnsi="仿宋" w:eastAsia="仿宋" w:cs="仿宋"/>
                <w:spacing w:val="8"/>
                <w:sz w:val="23"/>
                <w:szCs w:val="23"/>
              </w:rPr>
            </w:pPr>
            <w:r>
              <w:rPr>
                <w:rFonts w:ascii="仿宋" w:hAnsi="仿宋" w:eastAsia="仿宋" w:cs="仿宋"/>
                <w:spacing w:val="9"/>
                <w:sz w:val="23"/>
                <w:szCs w:val="23"/>
              </w:rPr>
              <w:t>用</w:t>
            </w:r>
            <w:r>
              <w:rPr>
                <w:rFonts w:ascii="仿宋" w:hAnsi="仿宋" w:eastAsia="仿宋" w:cs="仿宋"/>
                <w:spacing w:val="8"/>
                <w:sz w:val="23"/>
                <w:szCs w:val="23"/>
              </w:rPr>
              <w:t>地分类</w:t>
            </w:r>
          </w:p>
        </w:tc>
        <w:tc>
          <w:tcPr>
            <w:tcW w:w="3377" w:type="dxa"/>
            <w:tcBorders>
              <w:tl2br w:val="nil"/>
              <w:tr2bl w:val="nil"/>
            </w:tcBorders>
            <w:noWrap w:val="0"/>
            <w:vAlign w:val="top"/>
          </w:tcPr>
          <w:p w14:paraId="785AF569">
            <w:pPr>
              <w:keepNext w:val="0"/>
              <w:keepLines w:val="0"/>
              <w:pageBreakBefore w:val="0"/>
              <w:widowControl w:val="0"/>
              <w:wordWrap/>
              <w:overflowPunct/>
              <w:bidi w:val="0"/>
              <w:spacing w:before="45" w:line="334" w:lineRule="exact"/>
              <w:ind w:left="118" w:leftChars="0"/>
              <w:rPr>
                <w:rFonts w:ascii="Arial" w:hAnsi="Arial" w:eastAsia="Arial" w:cs="Arial"/>
                <w:spacing w:val="1"/>
                <w:sz w:val="23"/>
                <w:szCs w:val="23"/>
              </w:rPr>
            </w:pPr>
            <w:r>
              <w:rPr>
                <w:rFonts w:ascii="仿宋" w:hAnsi="仿宋" w:eastAsia="仿宋" w:cs="仿宋"/>
                <w:spacing w:val="11"/>
                <w:position w:val="2"/>
                <w:sz w:val="23"/>
                <w:szCs w:val="23"/>
              </w:rPr>
              <w:t>通</w:t>
            </w:r>
            <w:r>
              <w:rPr>
                <w:rFonts w:ascii="仿宋" w:hAnsi="仿宋" w:eastAsia="仿宋" w:cs="仿宋"/>
                <w:spacing w:val="8"/>
                <w:position w:val="2"/>
                <w:sz w:val="23"/>
                <w:szCs w:val="23"/>
              </w:rPr>
              <w:t>信需求指标(局号</w:t>
            </w:r>
            <w:r>
              <w:rPr>
                <w:rFonts w:ascii="Arial" w:hAnsi="Arial" w:eastAsia="Arial" w:cs="Arial"/>
                <w:b/>
                <w:bCs/>
                <w:spacing w:val="8"/>
                <w:position w:val="2"/>
                <w:sz w:val="23"/>
                <w:szCs w:val="23"/>
              </w:rPr>
              <w:t>/</w:t>
            </w:r>
            <w:r>
              <w:rPr>
                <w:rFonts w:ascii="仿宋" w:hAnsi="仿宋" w:eastAsia="仿宋" w:cs="仿宋"/>
                <w:spacing w:val="8"/>
                <w:position w:val="2"/>
                <w:sz w:val="23"/>
                <w:szCs w:val="23"/>
              </w:rPr>
              <w:t>公顷)</w:t>
            </w:r>
          </w:p>
        </w:tc>
        <w:tc>
          <w:tcPr>
            <w:tcW w:w="2860" w:type="dxa"/>
            <w:tcBorders>
              <w:tl2br w:val="nil"/>
              <w:tr2bl w:val="nil"/>
            </w:tcBorders>
            <w:noWrap w:val="0"/>
            <w:vAlign w:val="top"/>
          </w:tcPr>
          <w:p w14:paraId="36B20942">
            <w:pPr>
              <w:keepNext w:val="0"/>
              <w:keepLines w:val="0"/>
              <w:pageBreakBefore w:val="0"/>
              <w:widowControl w:val="0"/>
              <w:wordWrap/>
              <w:overflowPunct/>
              <w:bidi w:val="0"/>
              <w:spacing w:before="84" w:line="224" w:lineRule="auto"/>
              <w:ind w:left="120" w:leftChars="0"/>
              <w:rPr>
                <w:rFonts w:ascii="Arial" w:hAnsi="Arial" w:eastAsia="Arial" w:cs="Arial"/>
                <w:spacing w:val="-1"/>
                <w:sz w:val="23"/>
                <w:szCs w:val="23"/>
              </w:rPr>
            </w:pPr>
            <w:r>
              <w:rPr>
                <w:rFonts w:ascii="仿宋" w:hAnsi="仿宋" w:eastAsia="仿宋" w:cs="仿宋"/>
                <w:spacing w:val="14"/>
                <w:sz w:val="23"/>
                <w:szCs w:val="23"/>
              </w:rPr>
              <w:t>通</w:t>
            </w:r>
            <w:r>
              <w:rPr>
                <w:rFonts w:ascii="仿宋" w:hAnsi="仿宋" w:eastAsia="仿宋" w:cs="仿宋"/>
                <w:spacing w:val="7"/>
                <w:sz w:val="23"/>
                <w:szCs w:val="23"/>
              </w:rPr>
              <w:t>信需求量(局号)</w:t>
            </w:r>
          </w:p>
        </w:tc>
      </w:tr>
      <w:tr w14:paraId="181424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3055" w:type="dxa"/>
            <w:tcBorders>
              <w:tl2br w:val="nil"/>
              <w:tr2bl w:val="nil"/>
            </w:tcBorders>
            <w:noWrap w:val="0"/>
            <w:vAlign w:val="top"/>
          </w:tcPr>
          <w:p w14:paraId="6BB8133B">
            <w:pPr>
              <w:keepNext w:val="0"/>
              <w:keepLines w:val="0"/>
              <w:pageBreakBefore w:val="0"/>
              <w:widowControl w:val="0"/>
              <w:wordWrap/>
              <w:overflowPunct/>
              <w:bidi w:val="0"/>
              <w:spacing w:before="93" w:line="227" w:lineRule="auto"/>
              <w:ind w:left="116" w:leftChars="0"/>
              <w:rPr>
                <w:rFonts w:ascii="仿宋" w:hAnsi="仿宋" w:eastAsia="仿宋" w:cs="仿宋"/>
                <w:spacing w:val="8"/>
                <w:sz w:val="23"/>
                <w:szCs w:val="23"/>
              </w:rPr>
            </w:pPr>
            <w:r>
              <w:rPr>
                <w:rFonts w:ascii="仿宋" w:hAnsi="仿宋" w:eastAsia="仿宋" w:cs="仿宋"/>
                <w:spacing w:val="8"/>
                <w:sz w:val="23"/>
                <w:szCs w:val="23"/>
              </w:rPr>
              <w:t>公用设</w:t>
            </w:r>
            <w:r>
              <w:rPr>
                <w:rFonts w:ascii="仿宋" w:hAnsi="仿宋" w:eastAsia="仿宋" w:cs="仿宋"/>
                <w:spacing w:val="7"/>
                <w:sz w:val="23"/>
                <w:szCs w:val="23"/>
              </w:rPr>
              <w:t>施</w:t>
            </w:r>
          </w:p>
        </w:tc>
        <w:tc>
          <w:tcPr>
            <w:tcW w:w="3377" w:type="dxa"/>
            <w:tcBorders>
              <w:tl2br w:val="nil"/>
              <w:tr2bl w:val="nil"/>
            </w:tcBorders>
            <w:noWrap w:val="0"/>
            <w:vAlign w:val="top"/>
          </w:tcPr>
          <w:p w14:paraId="1BBDAC5D">
            <w:pPr>
              <w:keepNext w:val="0"/>
              <w:keepLines w:val="0"/>
              <w:pageBreakBefore w:val="0"/>
              <w:widowControl w:val="0"/>
              <w:wordWrap/>
              <w:overflowPunct/>
              <w:bidi w:val="0"/>
              <w:spacing w:before="126" w:line="203" w:lineRule="auto"/>
              <w:ind w:left="129" w:leftChars="0"/>
              <w:rPr>
                <w:rFonts w:ascii="Arial" w:hAnsi="Arial" w:eastAsia="Arial" w:cs="Arial"/>
                <w:spacing w:val="1"/>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2860" w:type="dxa"/>
            <w:tcBorders>
              <w:tl2br w:val="nil"/>
              <w:tr2bl w:val="nil"/>
            </w:tcBorders>
            <w:noWrap w:val="0"/>
            <w:vAlign w:val="top"/>
          </w:tcPr>
          <w:p w14:paraId="7CA709F6">
            <w:pPr>
              <w:keepNext w:val="0"/>
              <w:keepLines w:val="0"/>
              <w:pageBreakBefore w:val="0"/>
              <w:widowControl w:val="0"/>
              <w:wordWrap/>
              <w:overflowPunct/>
              <w:bidi w:val="0"/>
              <w:spacing w:before="126" w:line="203" w:lineRule="auto"/>
              <w:ind w:left="131" w:leftChars="0"/>
              <w:rPr>
                <w:rFonts w:ascii="Arial" w:hAnsi="Arial" w:eastAsia="Arial" w:cs="Arial"/>
                <w:spacing w:val="-1"/>
                <w:sz w:val="23"/>
                <w:szCs w:val="23"/>
              </w:rPr>
            </w:pPr>
            <w:r>
              <w:rPr>
                <w:rFonts w:ascii="Arial" w:hAnsi="Arial" w:eastAsia="Arial" w:cs="Arial"/>
                <w:spacing w:val="-18"/>
                <w:sz w:val="23"/>
                <w:szCs w:val="23"/>
              </w:rPr>
              <w:t>1 14</w:t>
            </w:r>
          </w:p>
        </w:tc>
      </w:tr>
      <w:tr w14:paraId="3D6FBF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3055" w:type="dxa"/>
            <w:tcBorders>
              <w:tl2br w:val="nil"/>
              <w:tr2bl w:val="nil"/>
            </w:tcBorders>
            <w:noWrap w:val="0"/>
            <w:vAlign w:val="top"/>
          </w:tcPr>
          <w:p w14:paraId="12706662">
            <w:pPr>
              <w:keepNext w:val="0"/>
              <w:keepLines w:val="0"/>
              <w:pageBreakBefore w:val="0"/>
              <w:widowControl w:val="0"/>
              <w:wordWrap/>
              <w:overflowPunct/>
              <w:bidi w:val="0"/>
              <w:spacing w:before="96" w:line="225" w:lineRule="auto"/>
              <w:ind w:left="120" w:leftChars="0"/>
              <w:rPr>
                <w:rFonts w:ascii="仿宋" w:hAnsi="仿宋" w:eastAsia="仿宋" w:cs="仿宋"/>
                <w:spacing w:val="8"/>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3377" w:type="dxa"/>
            <w:tcBorders>
              <w:tl2br w:val="nil"/>
              <w:tr2bl w:val="nil"/>
            </w:tcBorders>
            <w:noWrap w:val="0"/>
            <w:vAlign w:val="top"/>
          </w:tcPr>
          <w:p w14:paraId="409C7CA6">
            <w:pPr>
              <w:keepNext w:val="0"/>
              <w:keepLines w:val="0"/>
              <w:pageBreakBefore w:val="0"/>
              <w:widowControl w:val="0"/>
              <w:wordWrap/>
              <w:overflowPunct/>
              <w:bidi w:val="0"/>
              <w:rPr>
                <w:rFonts w:ascii="Arial" w:hAnsi="Arial" w:eastAsia="Arial" w:cs="Arial"/>
                <w:spacing w:val="1"/>
                <w:sz w:val="23"/>
                <w:szCs w:val="23"/>
              </w:rPr>
            </w:pPr>
          </w:p>
        </w:tc>
        <w:tc>
          <w:tcPr>
            <w:tcW w:w="2860" w:type="dxa"/>
            <w:tcBorders>
              <w:tl2br w:val="nil"/>
              <w:tr2bl w:val="nil"/>
            </w:tcBorders>
            <w:noWrap w:val="0"/>
            <w:vAlign w:val="top"/>
          </w:tcPr>
          <w:p w14:paraId="6FC73E2F">
            <w:pPr>
              <w:keepNext w:val="0"/>
              <w:keepLines w:val="0"/>
              <w:pageBreakBefore w:val="0"/>
              <w:widowControl w:val="0"/>
              <w:wordWrap/>
              <w:overflowPunct/>
              <w:bidi w:val="0"/>
              <w:spacing w:before="126" w:line="203" w:lineRule="auto"/>
              <w:ind w:left="115" w:leftChars="0"/>
              <w:rPr>
                <w:rFonts w:ascii="Arial" w:hAnsi="Arial" w:eastAsia="Arial" w:cs="Arial"/>
                <w:spacing w:val="-1"/>
                <w:sz w:val="23"/>
                <w:szCs w:val="23"/>
              </w:rPr>
            </w:pPr>
            <w:r>
              <w:rPr>
                <w:rFonts w:ascii="Arial" w:hAnsi="Arial" w:eastAsia="Arial" w:cs="Arial"/>
                <w:spacing w:val="6"/>
                <w:sz w:val="23"/>
                <w:szCs w:val="23"/>
              </w:rPr>
              <w:t>5</w:t>
            </w:r>
            <w:r>
              <w:rPr>
                <w:rFonts w:ascii="Arial" w:hAnsi="Arial" w:eastAsia="Arial" w:cs="Arial"/>
                <w:spacing w:val="3"/>
                <w:sz w:val="23"/>
                <w:szCs w:val="23"/>
              </w:rPr>
              <w:t>5456</w:t>
            </w:r>
          </w:p>
        </w:tc>
      </w:tr>
    </w:tbl>
    <w:p w14:paraId="28E2EB3E">
      <w:pPr>
        <w:keepNext w:val="0"/>
        <w:keepLines w:val="0"/>
        <w:pageBreakBefore w:val="0"/>
        <w:widowControl w:val="0"/>
        <w:wordWrap/>
        <w:overflowPunct/>
        <w:bidi w:val="0"/>
        <w:spacing w:before="74" w:line="225" w:lineRule="auto"/>
        <w:jc w:val="center"/>
        <w:rPr>
          <w:rFonts w:ascii="黑体" w:hAnsi="黑体" w:eastAsia="黑体" w:cs="黑体"/>
          <w:sz w:val="23"/>
          <w:szCs w:val="23"/>
        </w:rPr>
      </w:pPr>
      <w:r>
        <w:rPr>
          <w:rFonts w:ascii="黑体" w:hAnsi="黑体" w:eastAsia="黑体" w:cs="黑体"/>
          <w:spacing w:val="3"/>
          <w:sz w:val="23"/>
          <w:szCs w:val="23"/>
        </w:rPr>
        <w:t>表</w:t>
      </w:r>
      <w:r>
        <w:rPr>
          <w:rFonts w:ascii="Arial" w:hAnsi="Arial" w:eastAsia="Arial" w:cs="Arial"/>
          <w:b/>
          <w:bCs/>
          <w:spacing w:val="3"/>
          <w:sz w:val="23"/>
          <w:szCs w:val="23"/>
        </w:rPr>
        <w:t>11-7</w:t>
      </w:r>
      <w:r>
        <w:rPr>
          <w:rFonts w:ascii="黑体" w:hAnsi="黑体" w:eastAsia="黑体" w:cs="黑体"/>
          <w:spacing w:val="3"/>
          <w:sz w:val="23"/>
          <w:szCs w:val="23"/>
        </w:rPr>
        <w:t>园区宽带需求预测表</w:t>
      </w:r>
    </w:p>
    <w:p w14:paraId="7B5648BF">
      <w:pPr>
        <w:keepNext w:val="0"/>
        <w:keepLines w:val="0"/>
        <w:pageBreakBefore w:val="0"/>
        <w:widowControl w:val="0"/>
        <w:wordWrap/>
        <w:overflowPunct/>
        <w:bidi w:val="0"/>
        <w:spacing w:line="139" w:lineRule="exact"/>
      </w:pPr>
    </w:p>
    <w:tbl>
      <w:tblPr>
        <w:tblStyle w:val="9"/>
        <w:tblW w:w="87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35"/>
        <w:gridCol w:w="1317"/>
        <w:gridCol w:w="2940"/>
        <w:gridCol w:w="2703"/>
      </w:tblGrid>
      <w:tr w14:paraId="4C61F3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835" w:type="dxa"/>
            <w:tcBorders>
              <w:tl2br w:val="nil"/>
              <w:tr2bl w:val="nil"/>
            </w:tcBorders>
            <w:noWrap w:val="0"/>
            <w:vAlign w:val="top"/>
          </w:tcPr>
          <w:p w14:paraId="534C6B7D">
            <w:pPr>
              <w:keepNext w:val="0"/>
              <w:keepLines w:val="0"/>
              <w:pageBreakBefore w:val="0"/>
              <w:widowControl w:val="0"/>
              <w:wordWrap/>
              <w:overflowPunct/>
              <w:bidi w:val="0"/>
              <w:rPr>
                <w:rFonts w:ascii="Arial"/>
                <w:sz w:val="21"/>
              </w:rPr>
            </w:pPr>
          </w:p>
        </w:tc>
        <w:tc>
          <w:tcPr>
            <w:tcW w:w="1317" w:type="dxa"/>
            <w:tcBorders>
              <w:tl2br w:val="nil"/>
              <w:tr2bl w:val="nil"/>
            </w:tcBorders>
            <w:noWrap w:val="0"/>
            <w:vAlign w:val="top"/>
          </w:tcPr>
          <w:p w14:paraId="00A96545">
            <w:pPr>
              <w:keepNext w:val="0"/>
              <w:keepLines w:val="0"/>
              <w:pageBreakBefore w:val="0"/>
              <w:widowControl w:val="0"/>
              <w:wordWrap/>
              <w:overflowPunct/>
              <w:bidi w:val="0"/>
              <w:spacing w:before="81" w:line="224" w:lineRule="auto"/>
              <w:ind w:left="118"/>
              <w:rPr>
                <w:rFonts w:ascii="仿宋" w:hAnsi="仿宋" w:eastAsia="仿宋" w:cs="仿宋"/>
                <w:sz w:val="23"/>
                <w:szCs w:val="23"/>
              </w:rPr>
            </w:pPr>
            <w:r>
              <w:rPr>
                <w:rFonts w:ascii="仿宋" w:hAnsi="仿宋" w:eastAsia="仿宋" w:cs="仿宋"/>
                <w:spacing w:val="2"/>
                <w:sz w:val="23"/>
                <w:szCs w:val="23"/>
              </w:rPr>
              <w:t>单位</w:t>
            </w:r>
          </w:p>
        </w:tc>
        <w:tc>
          <w:tcPr>
            <w:tcW w:w="2940" w:type="dxa"/>
            <w:tcBorders>
              <w:tl2br w:val="nil"/>
              <w:tr2bl w:val="nil"/>
            </w:tcBorders>
            <w:noWrap w:val="0"/>
            <w:vAlign w:val="top"/>
          </w:tcPr>
          <w:p w14:paraId="560CC1D9">
            <w:pPr>
              <w:keepNext w:val="0"/>
              <w:keepLines w:val="0"/>
              <w:pageBreakBefore w:val="0"/>
              <w:widowControl w:val="0"/>
              <w:wordWrap/>
              <w:overflowPunct/>
              <w:bidi w:val="0"/>
              <w:spacing w:before="81" w:line="226" w:lineRule="auto"/>
              <w:ind w:left="119"/>
              <w:rPr>
                <w:rFonts w:ascii="仿宋" w:hAnsi="仿宋" w:eastAsia="仿宋" w:cs="仿宋"/>
                <w:sz w:val="23"/>
                <w:szCs w:val="23"/>
              </w:rPr>
            </w:pPr>
            <w:r>
              <w:rPr>
                <w:rFonts w:ascii="仿宋" w:hAnsi="仿宋" w:eastAsia="仿宋" w:cs="仿宋"/>
                <w:spacing w:val="2"/>
                <w:sz w:val="23"/>
                <w:szCs w:val="23"/>
              </w:rPr>
              <w:t>近期</w:t>
            </w:r>
          </w:p>
        </w:tc>
        <w:tc>
          <w:tcPr>
            <w:tcW w:w="2703" w:type="dxa"/>
            <w:tcBorders>
              <w:tl2br w:val="nil"/>
              <w:tr2bl w:val="nil"/>
            </w:tcBorders>
            <w:noWrap w:val="0"/>
            <w:vAlign w:val="top"/>
          </w:tcPr>
          <w:p w14:paraId="5395E985">
            <w:pPr>
              <w:keepNext w:val="0"/>
              <w:keepLines w:val="0"/>
              <w:pageBreakBefore w:val="0"/>
              <w:widowControl w:val="0"/>
              <w:wordWrap/>
              <w:overflowPunct/>
              <w:bidi w:val="0"/>
              <w:spacing w:before="81" w:line="226" w:lineRule="auto"/>
              <w:ind w:left="123"/>
              <w:rPr>
                <w:rFonts w:ascii="仿宋" w:hAnsi="仿宋" w:eastAsia="仿宋" w:cs="仿宋"/>
                <w:sz w:val="23"/>
                <w:szCs w:val="23"/>
              </w:rPr>
            </w:pPr>
            <w:r>
              <w:rPr>
                <w:rFonts w:ascii="仿宋" w:hAnsi="仿宋" w:eastAsia="仿宋" w:cs="仿宋"/>
                <w:spacing w:val="2"/>
                <w:sz w:val="23"/>
                <w:szCs w:val="23"/>
              </w:rPr>
              <w:t>远</w:t>
            </w:r>
            <w:r>
              <w:rPr>
                <w:rFonts w:ascii="仿宋" w:hAnsi="仿宋" w:eastAsia="仿宋" w:cs="仿宋"/>
                <w:spacing w:val="1"/>
                <w:sz w:val="23"/>
                <w:szCs w:val="23"/>
              </w:rPr>
              <w:t>期</w:t>
            </w:r>
          </w:p>
        </w:tc>
      </w:tr>
      <w:tr w14:paraId="7BA58F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835" w:type="dxa"/>
            <w:tcBorders>
              <w:tl2br w:val="nil"/>
              <w:tr2bl w:val="nil"/>
            </w:tcBorders>
            <w:noWrap w:val="0"/>
            <w:vAlign w:val="top"/>
          </w:tcPr>
          <w:p w14:paraId="55549D1F">
            <w:pPr>
              <w:keepNext w:val="0"/>
              <w:keepLines w:val="0"/>
              <w:pageBreakBefore w:val="0"/>
              <w:widowControl w:val="0"/>
              <w:wordWrap/>
              <w:overflowPunct/>
              <w:bidi w:val="0"/>
              <w:spacing w:before="77" w:line="223" w:lineRule="auto"/>
              <w:ind w:left="125"/>
              <w:rPr>
                <w:rFonts w:ascii="仿宋" w:hAnsi="仿宋" w:eastAsia="仿宋" w:cs="仿宋"/>
                <w:sz w:val="23"/>
                <w:szCs w:val="23"/>
              </w:rPr>
            </w:pPr>
            <w:r>
              <w:rPr>
                <w:rFonts w:ascii="仿宋" w:hAnsi="仿宋" w:eastAsia="仿宋" w:cs="仿宋"/>
                <w:spacing w:val="8"/>
                <w:sz w:val="23"/>
                <w:szCs w:val="23"/>
              </w:rPr>
              <w:t>宽</w:t>
            </w:r>
            <w:r>
              <w:rPr>
                <w:rFonts w:ascii="仿宋" w:hAnsi="仿宋" w:eastAsia="仿宋" w:cs="仿宋"/>
                <w:spacing w:val="6"/>
                <w:sz w:val="23"/>
                <w:szCs w:val="23"/>
              </w:rPr>
              <w:t>带普及率</w:t>
            </w:r>
          </w:p>
        </w:tc>
        <w:tc>
          <w:tcPr>
            <w:tcW w:w="1317" w:type="dxa"/>
            <w:tcBorders>
              <w:tl2br w:val="nil"/>
              <w:tr2bl w:val="nil"/>
            </w:tcBorders>
            <w:noWrap w:val="0"/>
            <w:vAlign w:val="top"/>
          </w:tcPr>
          <w:p w14:paraId="40559803">
            <w:pPr>
              <w:keepNext w:val="0"/>
              <w:keepLines w:val="0"/>
              <w:pageBreakBefore w:val="0"/>
              <w:widowControl w:val="0"/>
              <w:wordWrap/>
              <w:overflowPunct/>
              <w:bidi w:val="0"/>
              <w:spacing w:before="24" w:line="319" w:lineRule="exact"/>
              <w:ind w:left="117"/>
              <w:rPr>
                <w:rFonts w:ascii="Arial" w:hAnsi="Arial" w:eastAsia="Arial" w:cs="Arial"/>
                <w:sz w:val="23"/>
                <w:szCs w:val="23"/>
              </w:rPr>
            </w:pPr>
            <w:r>
              <w:rPr>
                <w:rFonts w:ascii="Arial" w:hAnsi="Arial" w:eastAsia="Arial" w:cs="Arial"/>
                <w:position w:val="1"/>
                <w:sz w:val="23"/>
                <w:szCs w:val="23"/>
              </w:rPr>
              <w:t>%</w:t>
            </w:r>
          </w:p>
        </w:tc>
        <w:tc>
          <w:tcPr>
            <w:tcW w:w="2940" w:type="dxa"/>
            <w:tcBorders>
              <w:tl2br w:val="nil"/>
              <w:tr2bl w:val="nil"/>
            </w:tcBorders>
            <w:noWrap w:val="0"/>
            <w:vAlign w:val="top"/>
          </w:tcPr>
          <w:p w14:paraId="55907D76">
            <w:pPr>
              <w:keepNext w:val="0"/>
              <w:keepLines w:val="0"/>
              <w:pageBreakBefore w:val="0"/>
              <w:widowControl w:val="0"/>
              <w:wordWrap/>
              <w:overflowPunct/>
              <w:bidi w:val="0"/>
              <w:spacing w:before="90" w:line="203" w:lineRule="auto"/>
              <w:ind w:left="114"/>
              <w:rPr>
                <w:rFonts w:ascii="Arial" w:hAnsi="Arial" w:eastAsia="Arial" w:cs="Arial"/>
                <w:sz w:val="23"/>
                <w:szCs w:val="23"/>
              </w:rPr>
            </w:pPr>
            <w:r>
              <w:rPr>
                <w:rFonts w:ascii="Arial" w:hAnsi="Arial" w:eastAsia="Arial" w:cs="Arial"/>
                <w:spacing w:val="1"/>
                <w:sz w:val="23"/>
                <w:szCs w:val="23"/>
              </w:rPr>
              <w:t>5</w:t>
            </w:r>
            <w:r>
              <w:rPr>
                <w:rFonts w:ascii="Arial" w:hAnsi="Arial" w:eastAsia="Arial" w:cs="Arial"/>
                <w:sz w:val="23"/>
                <w:szCs w:val="23"/>
              </w:rPr>
              <w:t>0</w:t>
            </w:r>
          </w:p>
        </w:tc>
        <w:tc>
          <w:tcPr>
            <w:tcW w:w="2703" w:type="dxa"/>
            <w:tcBorders>
              <w:tl2br w:val="nil"/>
              <w:tr2bl w:val="nil"/>
            </w:tcBorders>
            <w:noWrap w:val="0"/>
            <w:vAlign w:val="top"/>
          </w:tcPr>
          <w:p w14:paraId="0D39BA36">
            <w:pPr>
              <w:keepNext w:val="0"/>
              <w:keepLines w:val="0"/>
              <w:pageBreakBefore w:val="0"/>
              <w:widowControl w:val="0"/>
              <w:wordWrap/>
              <w:overflowPunct/>
              <w:bidi w:val="0"/>
              <w:spacing w:before="90" w:line="203" w:lineRule="auto"/>
              <w:ind w:left="116"/>
              <w:rPr>
                <w:rFonts w:ascii="Arial" w:hAnsi="Arial" w:eastAsia="Arial" w:cs="Arial"/>
                <w:sz w:val="23"/>
                <w:szCs w:val="23"/>
              </w:rPr>
            </w:pPr>
            <w:r>
              <w:rPr>
                <w:rFonts w:ascii="Arial" w:hAnsi="Arial" w:eastAsia="Arial" w:cs="Arial"/>
                <w:spacing w:val="-1"/>
                <w:sz w:val="23"/>
                <w:szCs w:val="23"/>
              </w:rPr>
              <w:t>8</w:t>
            </w:r>
            <w:r>
              <w:rPr>
                <w:rFonts w:ascii="Arial" w:hAnsi="Arial" w:eastAsia="Arial" w:cs="Arial"/>
                <w:sz w:val="23"/>
                <w:szCs w:val="23"/>
              </w:rPr>
              <w:t>0</w:t>
            </w:r>
          </w:p>
        </w:tc>
      </w:tr>
      <w:tr w14:paraId="2C1C07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835" w:type="dxa"/>
            <w:tcBorders>
              <w:tl2br w:val="nil"/>
              <w:tr2bl w:val="nil"/>
            </w:tcBorders>
            <w:noWrap w:val="0"/>
            <w:vAlign w:val="top"/>
          </w:tcPr>
          <w:p w14:paraId="2A982506">
            <w:pPr>
              <w:keepNext w:val="0"/>
              <w:keepLines w:val="0"/>
              <w:pageBreakBefore w:val="0"/>
              <w:widowControl w:val="0"/>
              <w:wordWrap/>
              <w:overflowPunct/>
              <w:bidi w:val="0"/>
              <w:spacing w:before="78" w:line="223" w:lineRule="auto"/>
              <w:ind w:left="125"/>
              <w:rPr>
                <w:rFonts w:ascii="仿宋" w:hAnsi="仿宋" w:eastAsia="仿宋" w:cs="仿宋"/>
                <w:sz w:val="23"/>
                <w:szCs w:val="23"/>
              </w:rPr>
            </w:pPr>
            <w:r>
              <w:rPr>
                <w:rFonts w:ascii="仿宋" w:hAnsi="仿宋" w:eastAsia="仿宋" w:cs="仿宋"/>
                <w:spacing w:val="8"/>
                <w:sz w:val="23"/>
                <w:szCs w:val="23"/>
              </w:rPr>
              <w:t>宽</w:t>
            </w:r>
            <w:r>
              <w:rPr>
                <w:rFonts w:ascii="仿宋" w:hAnsi="仿宋" w:eastAsia="仿宋" w:cs="仿宋"/>
                <w:spacing w:val="6"/>
                <w:sz w:val="23"/>
                <w:szCs w:val="23"/>
              </w:rPr>
              <w:t>带用户数</w:t>
            </w:r>
          </w:p>
        </w:tc>
        <w:tc>
          <w:tcPr>
            <w:tcW w:w="1317" w:type="dxa"/>
            <w:tcBorders>
              <w:tl2br w:val="nil"/>
              <w:tr2bl w:val="nil"/>
            </w:tcBorders>
            <w:noWrap w:val="0"/>
            <w:vAlign w:val="top"/>
          </w:tcPr>
          <w:p w14:paraId="2ACB6C51">
            <w:pPr>
              <w:keepNext w:val="0"/>
              <w:keepLines w:val="0"/>
              <w:pageBreakBefore w:val="0"/>
              <w:widowControl w:val="0"/>
              <w:wordWrap/>
              <w:overflowPunct/>
              <w:bidi w:val="0"/>
              <w:spacing w:before="78" w:line="226" w:lineRule="auto"/>
              <w:ind w:left="114"/>
              <w:rPr>
                <w:rFonts w:ascii="仿宋" w:hAnsi="仿宋" w:eastAsia="仿宋" w:cs="仿宋"/>
                <w:sz w:val="23"/>
                <w:szCs w:val="23"/>
              </w:rPr>
            </w:pPr>
            <w:r>
              <w:rPr>
                <w:rFonts w:ascii="仿宋" w:hAnsi="仿宋" w:eastAsia="仿宋" w:cs="仿宋"/>
                <w:sz w:val="23"/>
                <w:szCs w:val="23"/>
              </w:rPr>
              <w:t>个</w:t>
            </w:r>
          </w:p>
        </w:tc>
        <w:tc>
          <w:tcPr>
            <w:tcW w:w="2940" w:type="dxa"/>
            <w:tcBorders>
              <w:tl2br w:val="nil"/>
              <w:tr2bl w:val="nil"/>
            </w:tcBorders>
            <w:noWrap w:val="0"/>
            <w:vAlign w:val="top"/>
          </w:tcPr>
          <w:p w14:paraId="2BE32943">
            <w:pPr>
              <w:keepNext w:val="0"/>
              <w:keepLines w:val="0"/>
              <w:pageBreakBefore w:val="0"/>
              <w:widowControl w:val="0"/>
              <w:wordWrap/>
              <w:overflowPunct/>
              <w:bidi w:val="0"/>
              <w:spacing w:before="92" w:line="203" w:lineRule="auto"/>
              <w:ind w:left="114"/>
              <w:rPr>
                <w:rFonts w:ascii="Arial" w:hAnsi="Arial" w:eastAsia="Arial" w:cs="Arial"/>
                <w:sz w:val="23"/>
                <w:szCs w:val="23"/>
              </w:rPr>
            </w:pPr>
            <w:r>
              <w:rPr>
                <w:rFonts w:ascii="Arial" w:hAnsi="Arial" w:eastAsia="Arial" w:cs="Arial"/>
                <w:spacing w:val="6"/>
                <w:sz w:val="23"/>
                <w:szCs w:val="23"/>
              </w:rPr>
              <w:t>3</w:t>
            </w:r>
            <w:r>
              <w:rPr>
                <w:rFonts w:ascii="Arial" w:hAnsi="Arial" w:eastAsia="Arial" w:cs="Arial"/>
                <w:spacing w:val="3"/>
                <w:sz w:val="23"/>
                <w:szCs w:val="23"/>
              </w:rPr>
              <w:t>0000</w:t>
            </w:r>
          </w:p>
        </w:tc>
        <w:tc>
          <w:tcPr>
            <w:tcW w:w="2703" w:type="dxa"/>
            <w:tcBorders>
              <w:tl2br w:val="nil"/>
              <w:tr2bl w:val="nil"/>
            </w:tcBorders>
            <w:noWrap w:val="0"/>
            <w:vAlign w:val="top"/>
          </w:tcPr>
          <w:p w14:paraId="59C20852">
            <w:pPr>
              <w:keepNext w:val="0"/>
              <w:keepLines w:val="0"/>
              <w:pageBreakBefore w:val="0"/>
              <w:widowControl w:val="0"/>
              <w:wordWrap/>
              <w:overflowPunct/>
              <w:bidi w:val="0"/>
              <w:spacing w:before="92" w:line="203" w:lineRule="auto"/>
              <w:ind w:left="116"/>
              <w:rPr>
                <w:rFonts w:ascii="Arial" w:hAnsi="Arial" w:eastAsia="Arial" w:cs="Arial"/>
                <w:sz w:val="23"/>
                <w:szCs w:val="23"/>
              </w:rPr>
            </w:pPr>
            <w:r>
              <w:rPr>
                <w:rFonts w:ascii="Arial" w:hAnsi="Arial" w:eastAsia="Arial" w:cs="Arial"/>
                <w:spacing w:val="6"/>
                <w:sz w:val="23"/>
                <w:szCs w:val="23"/>
              </w:rPr>
              <w:t>5</w:t>
            </w:r>
            <w:r>
              <w:rPr>
                <w:rFonts w:ascii="Arial" w:hAnsi="Arial" w:eastAsia="Arial" w:cs="Arial"/>
                <w:spacing w:val="3"/>
                <w:sz w:val="23"/>
                <w:szCs w:val="23"/>
              </w:rPr>
              <w:t>0000</w:t>
            </w:r>
          </w:p>
        </w:tc>
      </w:tr>
      <w:tr w14:paraId="62832D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835" w:type="dxa"/>
            <w:tcBorders>
              <w:tl2br w:val="nil"/>
              <w:tr2bl w:val="nil"/>
            </w:tcBorders>
            <w:noWrap w:val="0"/>
            <w:vAlign w:val="top"/>
          </w:tcPr>
          <w:p w14:paraId="74ABFB30">
            <w:pPr>
              <w:keepNext w:val="0"/>
              <w:keepLines w:val="0"/>
              <w:pageBreakBefore w:val="0"/>
              <w:widowControl w:val="0"/>
              <w:wordWrap/>
              <w:overflowPunct/>
              <w:bidi w:val="0"/>
              <w:spacing w:before="78" w:line="223" w:lineRule="auto"/>
              <w:ind w:left="125"/>
              <w:rPr>
                <w:rFonts w:ascii="仿宋" w:hAnsi="仿宋" w:eastAsia="仿宋" w:cs="仿宋"/>
                <w:sz w:val="23"/>
                <w:szCs w:val="23"/>
              </w:rPr>
            </w:pPr>
            <w:r>
              <w:rPr>
                <w:rFonts w:ascii="仿宋" w:hAnsi="仿宋" w:eastAsia="仿宋" w:cs="仿宋"/>
                <w:spacing w:val="8"/>
                <w:sz w:val="23"/>
                <w:szCs w:val="23"/>
              </w:rPr>
              <w:t>宽</w:t>
            </w:r>
            <w:r>
              <w:rPr>
                <w:rFonts w:ascii="仿宋" w:hAnsi="仿宋" w:eastAsia="仿宋" w:cs="仿宋"/>
                <w:spacing w:val="6"/>
                <w:sz w:val="23"/>
                <w:szCs w:val="23"/>
              </w:rPr>
              <w:t>带账户数</w:t>
            </w:r>
          </w:p>
        </w:tc>
        <w:tc>
          <w:tcPr>
            <w:tcW w:w="1317" w:type="dxa"/>
            <w:tcBorders>
              <w:tl2br w:val="nil"/>
              <w:tr2bl w:val="nil"/>
            </w:tcBorders>
            <w:noWrap w:val="0"/>
            <w:vAlign w:val="top"/>
          </w:tcPr>
          <w:p w14:paraId="2549FD31">
            <w:pPr>
              <w:keepNext w:val="0"/>
              <w:keepLines w:val="0"/>
              <w:pageBreakBefore w:val="0"/>
              <w:widowControl w:val="0"/>
              <w:wordWrap/>
              <w:overflowPunct/>
              <w:bidi w:val="0"/>
              <w:spacing w:before="78" w:line="226" w:lineRule="auto"/>
              <w:ind w:left="114"/>
              <w:rPr>
                <w:rFonts w:ascii="仿宋" w:hAnsi="仿宋" w:eastAsia="仿宋" w:cs="仿宋"/>
                <w:sz w:val="23"/>
                <w:szCs w:val="23"/>
              </w:rPr>
            </w:pPr>
            <w:r>
              <w:rPr>
                <w:rFonts w:ascii="仿宋" w:hAnsi="仿宋" w:eastAsia="仿宋" w:cs="仿宋"/>
                <w:sz w:val="23"/>
                <w:szCs w:val="23"/>
              </w:rPr>
              <w:t>个</w:t>
            </w:r>
          </w:p>
        </w:tc>
        <w:tc>
          <w:tcPr>
            <w:tcW w:w="2940" w:type="dxa"/>
            <w:tcBorders>
              <w:tl2br w:val="nil"/>
              <w:tr2bl w:val="nil"/>
            </w:tcBorders>
            <w:noWrap w:val="0"/>
            <w:vAlign w:val="top"/>
          </w:tcPr>
          <w:p w14:paraId="5D1D67EB">
            <w:pPr>
              <w:keepNext w:val="0"/>
              <w:keepLines w:val="0"/>
              <w:pageBreakBefore w:val="0"/>
              <w:widowControl w:val="0"/>
              <w:wordWrap/>
              <w:overflowPunct/>
              <w:bidi w:val="0"/>
              <w:spacing w:before="92" w:line="203" w:lineRule="auto"/>
              <w:ind w:left="114"/>
              <w:rPr>
                <w:rFonts w:ascii="Arial" w:hAnsi="Arial" w:eastAsia="Arial" w:cs="Arial"/>
                <w:sz w:val="23"/>
                <w:szCs w:val="23"/>
              </w:rPr>
            </w:pPr>
            <w:r>
              <w:rPr>
                <w:rFonts w:ascii="Arial" w:hAnsi="Arial" w:eastAsia="Arial" w:cs="Arial"/>
                <w:spacing w:val="3"/>
                <w:sz w:val="23"/>
                <w:szCs w:val="23"/>
              </w:rPr>
              <w:t>9000</w:t>
            </w:r>
          </w:p>
        </w:tc>
        <w:tc>
          <w:tcPr>
            <w:tcW w:w="2703" w:type="dxa"/>
            <w:tcBorders>
              <w:tl2br w:val="nil"/>
              <w:tr2bl w:val="nil"/>
            </w:tcBorders>
            <w:noWrap w:val="0"/>
            <w:vAlign w:val="top"/>
          </w:tcPr>
          <w:p w14:paraId="7DFA0CBE">
            <w:pPr>
              <w:keepNext w:val="0"/>
              <w:keepLines w:val="0"/>
              <w:pageBreakBefore w:val="0"/>
              <w:widowControl w:val="0"/>
              <w:wordWrap/>
              <w:overflowPunct/>
              <w:bidi w:val="0"/>
              <w:spacing w:before="92" w:line="203" w:lineRule="auto"/>
              <w:ind w:left="132"/>
              <w:rPr>
                <w:rFonts w:ascii="Arial" w:hAnsi="Arial" w:eastAsia="Arial" w:cs="Arial"/>
                <w:sz w:val="23"/>
                <w:szCs w:val="23"/>
              </w:rPr>
            </w:pPr>
            <w:r>
              <w:rPr>
                <w:rFonts w:ascii="Arial" w:hAnsi="Arial" w:eastAsia="Arial" w:cs="Arial"/>
                <w:spacing w:val="1"/>
                <w:sz w:val="23"/>
                <w:szCs w:val="23"/>
              </w:rPr>
              <w:t>15</w:t>
            </w:r>
            <w:r>
              <w:rPr>
                <w:rFonts w:ascii="Arial" w:hAnsi="Arial" w:eastAsia="Arial" w:cs="Arial"/>
                <w:sz w:val="23"/>
                <w:szCs w:val="23"/>
              </w:rPr>
              <w:t>000</w:t>
            </w:r>
          </w:p>
        </w:tc>
      </w:tr>
    </w:tbl>
    <w:p w14:paraId="46205723">
      <w:pPr>
        <w:pStyle w:val="2"/>
        <w:keepNext w:val="0"/>
        <w:keepLines w:val="0"/>
        <w:pageBreakBefore w:val="0"/>
        <w:widowControl w:val="0"/>
        <w:kinsoku/>
        <w:wordWrap/>
        <w:overflowPunct/>
        <w:topLinePunct/>
        <w:autoSpaceDE/>
        <w:autoSpaceDN/>
        <w:bidi w:val="0"/>
        <w:adjustRightInd/>
        <w:snapToGrid/>
        <w:spacing w:before="157" w:beforeLines="5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根据《泉州市泉港石化港口新城总体规划(调整)》和《泉港区市政工程专项规划》，以及人民今后对电话需求发展趋势，按人口规划远景为4.8万人计，则园区所需电话总数约为3.4万部。</w:t>
      </w:r>
    </w:p>
    <w:p w14:paraId="6BFBCC4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10.5.4通信设施规划</w:t>
      </w:r>
    </w:p>
    <w:p w14:paraId="25463071">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(1)电信设施规划</w:t>
      </w:r>
    </w:p>
    <w:p w14:paraId="58F49A6F">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规划区内现状有一座前黄邮电支局(10万门)，按照上述预测结果，规划区内不再新规划邮电设施，由前黄支局提供服务。</w:t>
      </w:r>
    </w:p>
    <w:p w14:paraId="1363A678">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电信电缆进入各地块内每800-1000门电话用户设电信交接机房一处，每处约15-30平方米(30平方米为与有线电视综合机房合建的面积)，交接机房可设于建筑的一层。</w:t>
      </w:r>
    </w:p>
    <w:p w14:paraId="1DCE0704">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(2)邮政设施</w:t>
      </w:r>
    </w:p>
    <w:p w14:paraId="7EE310A8">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本规划区按照居住区邮政所服务半径为0.6</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0.7公里，工业区的服务半径为1.1</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1.5公里布置，按照此原则，规划区布置4所邮政所，每座邮政所的占地面积按150平方米，建议附设于建筑物的一层。</w:t>
      </w:r>
    </w:p>
    <w:p w14:paraId="73867B18">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(3)有线电视设施</w:t>
      </w:r>
    </w:p>
    <w:p w14:paraId="23413762">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闭路电视系统引自泉港区闭路电视网，按1</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1.2万户设置一个有线电视光缆交接管理站，则规划区需有线电视管理站5座，建筑面积为30平方米，对电视信号进行处理与放大，以保证电视系统的规范化管理和电视信号的质量。</w:t>
      </w:r>
    </w:p>
    <w:p w14:paraId="47F04D58">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规划区内闭路电视线路沿电信排管的独立眼孔敷设，干线上信号每隔200-300处放大一次，确保用户的电视信号质量。</w:t>
      </w:r>
    </w:p>
    <w:p w14:paraId="5BEBD96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10.5.5数字网络规划</w:t>
      </w:r>
    </w:p>
    <w:p w14:paraId="7692C46B">
      <w:pPr>
        <w:pStyle w:val="2"/>
        <w:keepNext w:val="0"/>
        <w:keepLines w:val="0"/>
        <w:pageBreakBefore w:val="0"/>
        <w:widowControl w:val="0"/>
        <w:kinsoku/>
        <w:wordWrap/>
        <w:overflowPunct/>
        <w:topLinePunct/>
        <w:autoSpaceDE/>
        <w:autoSpaceDN/>
        <w:bidi w:val="0"/>
        <w:adjustRightInd/>
        <w:snapToGrid/>
        <w:spacing w:before="0" w:beforeAutospacing="0" w:line="44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构建宽带网，敷设主干光纤，各用户可将其局域网或单个用户端通过光纤与主干网互联，实现图文数字传输和处理，做到资源共享、通信快捷。固定业务实现“三网合一”，提供语音、数据、视频业务的统一IP化承载。</w:t>
      </w:r>
    </w:p>
    <w:p w14:paraId="28E0ACF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10.5.6通信线路规划</w:t>
      </w:r>
    </w:p>
    <w:p w14:paraId="552BD884">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规划区实现光缆到路边的宽带接入，以适应用户对多媒体通信的需要，并要求各用户积极接入，建设统一、高效的信息高速公路。</w:t>
      </w:r>
    </w:p>
    <w:p w14:paraId="05BE80B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规划区内电话线路一律采用地下管道敷设，主干线路沿区域内干道敷设。规划有线电视线路与电话线路同沟敷设，占用电话管道中的一孔。通信光缆以道路网为骨架，铺设光缆排管，规划的通信主干管为(12</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24)孔，通信次干管为(8</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12)孔，沿区内道路敷设。</w:t>
      </w:r>
    </w:p>
    <w:p w14:paraId="2801075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电信线路均采用穿PVC电信管方式沿规划道路埋地敷设。因现在多个电信营运商对电信管道均有需求，为节省投资及节省管线通道，区内要求建设综合的弱电管道，所有弱电线路综合一起埋地布置(含有线电</w:t>
      </w:r>
      <w:r>
        <w:rPr>
          <w:rFonts w:hint="default" w:ascii="仿宋_GB2312" w:hAnsi="仿宋_GB2312" w:eastAsia="仿宋_GB2312" w:cs="仿宋_GB2312"/>
          <w:spacing w:val="6"/>
          <w:sz w:val="28"/>
          <w:szCs w:val="28"/>
          <w:lang w:val="en-US" w:eastAsia="zh-CN"/>
        </w:rPr>
        <w:t>视线路)，并在道路施工时一次性建成。弱电线路以在道路东、南侧敷设为主。</w:t>
      </w:r>
    </w:p>
    <w:p w14:paraId="685E20B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10.5.7有线电视系统</w:t>
      </w:r>
    </w:p>
    <w:p w14:paraId="597DE08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规划区内有线电视覆盖率达100%，各企业和单位的有线电视综合业务全部实现光纤化。根据入网要求选用同轴电缆或光纤，由当地有线电视台埋地引至区内各地块，有线电视网络成为泉港有线电视网的一部分。</w:t>
      </w:r>
    </w:p>
    <w:p w14:paraId="7F72E9A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10.6供热规划</w:t>
      </w:r>
    </w:p>
    <w:p w14:paraId="670B5B1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10.6.1现状概况</w:t>
      </w:r>
    </w:p>
    <w:p w14:paraId="127D89B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目前规划区范围内无集中供热设施。</w:t>
      </w:r>
    </w:p>
    <w:p w14:paraId="337DEB9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10.6.2规划原则</w:t>
      </w:r>
    </w:p>
    <w:p w14:paraId="0B4BBF4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(1)锅炉烟气按照“清洁排放”原则，通过先进的烟气综合治理技术，使污染物排放达到燃气发电的排放水平；</w:t>
      </w:r>
    </w:p>
    <w:p w14:paraId="3E843B2E">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(2)力求近期和远期相结合，工业与民用相结合，大、中、小型相结合；</w:t>
      </w:r>
    </w:p>
    <w:p w14:paraId="424F9C11">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(3)规划建设的供热项目要因地制宜，统筹安排，节约能源、减低投资、远近结合、分期实施，逐步形成适应市场经济发展的新型供热管理体制。</w:t>
      </w:r>
    </w:p>
    <w:p w14:paraId="6AEDB293">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(4)规划供热设施采用清洁燃料，园区实现无煤化。</w:t>
      </w:r>
    </w:p>
    <w:p w14:paraId="36D00EB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10.6.3热负荷预测</w:t>
      </w:r>
    </w:p>
    <w:p w14:paraId="56004F6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园区内工业热负荷主要集中在高新产业区，考虑到相关产业生产过程特点和产业规划项目的实际需要，采用单耗法预测园区热负荷。热负荷预测值见下表：</w:t>
      </w:r>
    </w:p>
    <w:p w14:paraId="4689CFF0">
      <w:pPr>
        <w:keepNext w:val="0"/>
        <w:keepLines w:val="0"/>
        <w:pageBreakBefore w:val="0"/>
        <w:widowControl w:val="0"/>
        <w:wordWrap/>
        <w:overflowPunct/>
        <w:bidi w:val="0"/>
        <w:spacing w:before="76" w:line="225" w:lineRule="auto"/>
        <w:ind w:left="3139"/>
      </w:pPr>
      <w:r>
        <w:rPr>
          <w:rFonts w:ascii="黑体" w:hAnsi="黑体" w:eastAsia="黑体" w:cs="黑体"/>
          <w:spacing w:val="4"/>
          <w:sz w:val="23"/>
          <w:szCs w:val="23"/>
        </w:rPr>
        <w:t>表</w:t>
      </w:r>
      <w:r>
        <w:rPr>
          <w:rFonts w:ascii="Arial" w:hAnsi="Arial" w:eastAsia="Arial" w:cs="Arial"/>
          <w:b/>
          <w:bCs/>
          <w:spacing w:val="4"/>
          <w:sz w:val="23"/>
          <w:szCs w:val="23"/>
        </w:rPr>
        <w:t>11</w:t>
      </w:r>
      <w:r>
        <w:rPr>
          <w:rFonts w:ascii="Arial" w:hAnsi="Arial" w:eastAsia="Arial" w:cs="Arial"/>
          <w:b/>
          <w:bCs/>
          <w:spacing w:val="3"/>
          <w:sz w:val="23"/>
          <w:szCs w:val="23"/>
        </w:rPr>
        <w:t>-</w:t>
      </w:r>
      <w:r>
        <w:rPr>
          <w:rFonts w:ascii="Arial" w:hAnsi="Arial" w:eastAsia="Arial" w:cs="Arial"/>
          <w:b/>
          <w:bCs/>
          <w:spacing w:val="2"/>
          <w:sz w:val="23"/>
          <w:szCs w:val="23"/>
        </w:rPr>
        <w:t>8</w:t>
      </w:r>
      <w:r>
        <w:rPr>
          <w:rFonts w:ascii="黑体" w:hAnsi="黑体" w:eastAsia="黑体" w:cs="黑体"/>
          <w:spacing w:val="2"/>
          <w:sz w:val="23"/>
          <w:szCs w:val="23"/>
        </w:rPr>
        <w:t>工业热负荷预测值</w:t>
      </w:r>
    </w:p>
    <w:tbl>
      <w:tblPr>
        <w:tblStyle w:val="9"/>
        <w:tblW w:w="69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94"/>
        <w:gridCol w:w="3264"/>
      </w:tblGrid>
      <w:tr w14:paraId="76E27E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3694" w:type="dxa"/>
            <w:tcBorders>
              <w:tl2br w:val="nil"/>
              <w:tr2bl w:val="nil"/>
            </w:tcBorders>
            <w:noWrap w:val="0"/>
            <w:vAlign w:val="top"/>
          </w:tcPr>
          <w:p w14:paraId="054B7514">
            <w:pPr>
              <w:keepNext w:val="0"/>
              <w:keepLines w:val="0"/>
              <w:pageBreakBefore w:val="0"/>
              <w:widowControl w:val="0"/>
              <w:wordWrap/>
              <w:overflowPunct/>
              <w:bidi w:val="0"/>
              <w:spacing w:before="103" w:line="226" w:lineRule="auto"/>
              <w:ind w:left="119"/>
              <w:rPr>
                <w:rFonts w:ascii="仿宋" w:hAnsi="仿宋" w:eastAsia="仿宋" w:cs="仿宋"/>
                <w:sz w:val="23"/>
                <w:szCs w:val="23"/>
              </w:rPr>
            </w:pPr>
            <w:r>
              <w:rPr>
                <w:rFonts w:ascii="仿宋" w:hAnsi="仿宋" w:eastAsia="仿宋" w:cs="仿宋"/>
                <w:spacing w:val="5"/>
                <w:sz w:val="23"/>
                <w:szCs w:val="23"/>
              </w:rPr>
              <w:t>规划期</w:t>
            </w:r>
          </w:p>
        </w:tc>
        <w:tc>
          <w:tcPr>
            <w:tcW w:w="3264" w:type="dxa"/>
            <w:tcBorders>
              <w:tl2br w:val="nil"/>
              <w:tr2bl w:val="nil"/>
            </w:tcBorders>
            <w:noWrap w:val="0"/>
            <w:vAlign w:val="top"/>
          </w:tcPr>
          <w:p w14:paraId="3F39668D">
            <w:pPr>
              <w:keepNext w:val="0"/>
              <w:keepLines w:val="0"/>
              <w:pageBreakBefore w:val="0"/>
              <w:widowControl w:val="0"/>
              <w:wordWrap/>
              <w:overflowPunct/>
              <w:bidi w:val="0"/>
              <w:spacing w:before="81" w:line="334" w:lineRule="exact"/>
              <w:ind w:left="119"/>
              <w:rPr>
                <w:rFonts w:ascii="仿宋" w:hAnsi="仿宋" w:eastAsia="仿宋" w:cs="仿宋"/>
                <w:sz w:val="23"/>
                <w:szCs w:val="23"/>
              </w:rPr>
            </w:pPr>
            <w:r>
              <w:rPr>
                <w:rFonts w:ascii="仿宋" w:hAnsi="仿宋" w:eastAsia="仿宋" w:cs="仿宋"/>
                <w:spacing w:val="1"/>
                <w:position w:val="2"/>
                <w:sz w:val="23"/>
                <w:szCs w:val="23"/>
              </w:rPr>
              <w:t>热负荷，</w:t>
            </w:r>
            <w:r>
              <w:rPr>
                <w:rFonts w:ascii="Arial" w:hAnsi="Arial" w:eastAsia="Arial" w:cs="Arial"/>
                <w:b/>
                <w:bCs/>
                <w:spacing w:val="1"/>
                <w:position w:val="2"/>
                <w:sz w:val="23"/>
                <w:szCs w:val="23"/>
              </w:rPr>
              <w:t>1.0-3.8</w:t>
            </w:r>
            <w:r>
              <w:rPr>
                <w:rFonts w:ascii="Arial" w:hAnsi="Arial" w:eastAsia="Arial" w:cs="Arial"/>
                <w:b/>
                <w:bCs/>
                <w:position w:val="2"/>
                <w:sz w:val="23"/>
                <w:szCs w:val="23"/>
              </w:rPr>
              <w:t>2MPa</w:t>
            </w:r>
            <w:r>
              <w:rPr>
                <w:rFonts w:ascii="仿宋" w:hAnsi="仿宋" w:eastAsia="仿宋" w:cs="仿宋"/>
                <w:position w:val="2"/>
                <w:sz w:val="23"/>
                <w:szCs w:val="23"/>
              </w:rPr>
              <w:t>(</w:t>
            </w:r>
            <w:r>
              <w:rPr>
                <w:rFonts w:ascii="Arial" w:hAnsi="Arial" w:eastAsia="Arial" w:cs="Arial"/>
                <w:b/>
                <w:bCs/>
                <w:position w:val="2"/>
                <w:sz w:val="23"/>
                <w:szCs w:val="23"/>
              </w:rPr>
              <w:t>t/h</w:t>
            </w:r>
            <w:r>
              <w:rPr>
                <w:rFonts w:ascii="仿宋" w:hAnsi="仿宋" w:eastAsia="仿宋" w:cs="仿宋"/>
                <w:position w:val="2"/>
                <w:sz w:val="23"/>
                <w:szCs w:val="23"/>
              </w:rPr>
              <w:t>)</w:t>
            </w:r>
          </w:p>
        </w:tc>
      </w:tr>
      <w:tr w14:paraId="5A98A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3694" w:type="dxa"/>
            <w:tcBorders>
              <w:tl2br w:val="nil"/>
              <w:tr2bl w:val="nil"/>
            </w:tcBorders>
            <w:noWrap w:val="0"/>
            <w:vAlign w:val="top"/>
          </w:tcPr>
          <w:p w14:paraId="50DE06E7">
            <w:pPr>
              <w:keepNext w:val="0"/>
              <w:keepLines w:val="0"/>
              <w:pageBreakBefore w:val="0"/>
              <w:widowControl w:val="0"/>
              <w:wordWrap/>
              <w:overflowPunct/>
              <w:bidi w:val="0"/>
              <w:spacing w:before="113" w:line="226" w:lineRule="auto"/>
              <w:ind w:left="117"/>
              <w:rPr>
                <w:rFonts w:ascii="仿宋" w:hAnsi="仿宋" w:eastAsia="仿宋" w:cs="仿宋"/>
                <w:sz w:val="23"/>
                <w:szCs w:val="23"/>
              </w:rPr>
            </w:pPr>
            <w:r>
              <w:rPr>
                <w:rFonts w:ascii="仿宋" w:hAnsi="仿宋" w:eastAsia="仿宋" w:cs="仿宋"/>
                <w:spacing w:val="2"/>
                <w:sz w:val="23"/>
                <w:szCs w:val="23"/>
              </w:rPr>
              <w:t>近期</w:t>
            </w:r>
          </w:p>
        </w:tc>
        <w:tc>
          <w:tcPr>
            <w:tcW w:w="3264" w:type="dxa"/>
            <w:tcBorders>
              <w:tl2br w:val="nil"/>
              <w:tr2bl w:val="nil"/>
            </w:tcBorders>
            <w:noWrap w:val="0"/>
            <w:vAlign w:val="top"/>
          </w:tcPr>
          <w:p w14:paraId="72F2ED97">
            <w:pPr>
              <w:keepNext w:val="0"/>
              <w:keepLines w:val="0"/>
              <w:pageBreakBefore w:val="0"/>
              <w:widowControl w:val="0"/>
              <w:wordWrap/>
              <w:overflowPunct/>
              <w:bidi w:val="0"/>
              <w:spacing w:before="145" w:line="203" w:lineRule="auto"/>
              <w:ind w:left="109"/>
              <w:rPr>
                <w:rFonts w:ascii="Arial" w:hAnsi="Arial" w:eastAsia="Arial" w:cs="Arial"/>
                <w:sz w:val="23"/>
                <w:szCs w:val="23"/>
              </w:rPr>
            </w:pPr>
            <w:r>
              <w:rPr>
                <w:rFonts w:ascii="Arial" w:hAnsi="Arial" w:eastAsia="Arial" w:cs="Arial"/>
                <w:spacing w:val="1"/>
                <w:sz w:val="23"/>
                <w:szCs w:val="23"/>
              </w:rPr>
              <w:t>3</w:t>
            </w:r>
            <w:r>
              <w:rPr>
                <w:rFonts w:ascii="Arial" w:hAnsi="Arial" w:eastAsia="Arial" w:cs="Arial"/>
                <w:sz w:val="23"/>
                <w:szCs w:val="23"/>
              </w:rPr>
              <w:t>0</w:t>
            </w:r>
          </w:p>
        </w:tc>
      </w:tr>
      <w:tr w14:paraId="4B237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3694" w:type="dxa"/>
            <w:tcBorders>
              <w:tl2br w:val="nil"/>
              <w:tr2bl w:val="nil"/>
            </w:tcBorders>
            <w:noWrap w:val="0"/>
            <w:vAlign w:val="top"/>
          </w:tcPr>
          <w:p w14:paraId="738406B0">
            <w:pPr>
              <w:keepNext w:val="0"/>
              <w:keepLines w:val="0"/>
              <w:pageBreakBefore w:val="0"/>
              <w:widowControl w:val="0"/>
              <w:wordWrap/>
              <w:overflowPunct/>
              <w:bidi w:val="0"/>
              <w:spacing w:before="115" w:line="226" w:lineRule="auto"/>
              <w:ind w:left="119"/>
              <w:rPr>
                <w:rFonts w:ascii="仿宋" w:hAnsi="仿宋" w:eastAsia="仿宋" w:cs="仿宋"/>
                <w:sz w:val="23"/>
                <w:szCs w:val="23"/>
              </w:rPr>
            </w:pPr>
            <w:r>
              <w:rPr>
                <w:rFonts w:ascii="仿宋" w:hAnsi="仿宋" w:eastAsia="仿宋" w:cs="仿宋"/>
                <w:spacing w:val="2"/>
                <w:sz w:val="23"/>
                <w:szCs w:val="23"/>
              </w:rPr>
              <w:t>远</w:t>
            </w:r>
            <w:r>
              <w:rPr>
                <w:rFonts w:ascii="仿宋" w:hAnsi="仿宋" w:eastAsia="仿宋" w:cs="仿宋"/>
                <w:spacing w:val="1"/>
                <w:sz w:val="23"/>
                <w:szCs w:val="23"/>
              </w:rPr>
              <w:t>期</w:t>
            </w:r>
          </w:p>
        </w:tc>
        <w:tc>
          <w:tcPr>
            <w:tcW w:w="3264" w:type="dxa"/>
            <w:tcBorders>
              <w:tl2br w:val="nil"/>
              <w:tr2bl w:val="nil"/>
            </w:tcBorders>
            <w:noWrap w:val="0"/>
            <w:vAlign w:val="top"/>
          </w:tcPr>
          <w:p w14:paraId="272C3F90">
            <w:pPr>
              <w:keepNext w:val="0"/>
              <w:keepLines w:val="0"/>
              <w:pageBreakBefore w:val="0"/>
              <w:widowControl w:val="0"/>
              <w:wordWrap/>
              <w:overflowPunct/>
              <w:bidi w:val="0"/>
              <w:spacing w:before="147" w:line="203" w:lineRule="auto"/>
              <w:ind w:left="109"/>
              <w:rPr>
                <w:rFonts w:ascii="Arial" w:hAnsi="Arial" w:eastAsia="Arial" w:cs="Arial"/>
                <w:sz w:val="23"/>
                <w:szCs w:val="23"/>
              </w:rPr>
            </w:pPr>
            <w:r>
              <w:rPr>
                <w:rFonts w:ascii="Arial" w:hAnsi="Arial" w:eastAsia="Arial" w:cs="Arial"/>
                <w:spacing w:val="1"/>
                <w:sz w:val="23"/>
                <w:szCs w:val="23"/>
              </w:rPr>
              <w:t>80</w:t>
            </w:r>
          </w:p>
        </w:tc>
      </w:tr>
    </w:tbl>
    <w:p w14:paraId="100E00A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10.6.4总体供热方案</w:t>
      </w:r>
    </w:p>
    <w:p w14:paraId="2B4DD96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根据园区热负荷的需要，为提高整个园区的供热效率及经济效益出发，在产业区内相对集中设置四至五座燃气动力中心，中心内分期建设两至三台35t/h燃气锅炉。动力中心为工业项目提供相应等级的蒸汽。</w:t>
      </w:r>
    </w:p>
    <w:p w14:paraId="2A01C63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动力中心供应中、低压等级的蒸汽，各热用户可根据自身的实际需要自行减温、减压供汽。锅炉烟气排放满足《锅炉大气污染物排放标准》(GB13271-2014)的要求。</w:t>
      </w:r>
    </w:p>
    <w:p w14:paraId="6B682CF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10.7燃气工程规划</w:t>
      </w:r>
    </w:p>
    <w:p w14:paraId="5680851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10.7.1现状概况</w:t>
      </w:r>
    </w:p>
    <w:p w14:paraId="08F9599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根据《泉港区燃气专项规划》(2018-2030)，泉港区管道天然气气源为两路气源供应：一路为现状中海油福建LNG输气管线；另一路为规划新增的中石油西气东输三线泉州管线。</w:t>
      </w:r>
    </w:p>
    <w:p w14:paraId="7621C545">
      <w:pPr>
        <w:keepNext w:val="0"/>
        <w:keepLines w:val="0"/>
        <w:pageBreakBefore w:val="0"/>
        <w:widowControl w:val="0"/>
        <w:wordWrap/>
        <w:overflowPunct/>
        <w:bidi w:val="0"/>
        <w:spacing w:before="75" w:line="225" w:lineRule="auto"/>
        <w:ind w:left="3139"/>
      </w:pPr>
      <w:r>
        <w:rPr>
          <w:rFonts w:ascii="黑体" w:hAnsi="黑体" w:eastAsia="黑体" w:cs="黑体"/>
          <w:spacing w:val="4"/>
          <w:sz w:val="23"/>
          <w:szCs w:val="23"/>
        </w:rPr>
        <w:t>表</w:t>
      </w:r>
      <w:r>
        <w:rPr>
          <w:rFonts w:ascii="Arial" w:hAnsi="Arial" w:eastAsia="Arial" w:cs="Arial"/>
          <w:b/>
          <w:bCs/>
          <w:spacing w:val="4"/>
          <w:sz w:val="23"/>
          <w:szCs w:val="23"/>
        </w:rPr>
        <w:t>11</w:t>
      </w:r>
      <w:r>
        <w:rPr>
          <w:rFonts w:ascii="Arial" w:hAnsi="Arial" w:eastAsia="Arial" w:cs="Arial"/>
          <w:b/>
          <w:bCs/>
          <w:spacing w:val="3"/>
          <w:sz w:val="23"/>
          <w:szCs w:val="23"/>
        </w:rPr>
        <w:t>-</w:t>
      </w:r>
      <w:r>
        <w:rPr>
          <w:rFonts w:ascii="Arial" w:hAnsi="Arial" w:eastAsia="Arial" w:cs="Arial"/>
          <w:b/>
          <w:bCs/>
          <w:spacing w:val="2"/>
          <w:sz w:val="23"/>
          <w:szCs w:val="23"/>
        </w:rPr>
        <w:t>9</w:t>
      </w:r>
      <w:r>
        <w:rPr>
          <w:rFonts w:ascii="黑体" w:hAnsi="黑体" w:eastAsia="黑体" w:cs="黑体"/>
          <w:spacing w:val="2"/>
          <w:sz w:val="23"/>
          <w:szCs w:val="23"/>
        </w:rPr>
        <w:t>泉港区气源点分布</w:t>
      </w:r>
    </w:p>
    <w:tbl>
      <w:tblPr>
        <w:tblStyle w:val="9"/>
        <w:tblW w:w="6912" w:type="dxa"/>
        <w:tblInd w:w="107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18"/>
        <w:gridCol w:w="3294"/>
      </w:tblGrid>
      <w:tr w14:paraId="264770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618" w:type="dxa"/>
            <w:tcBorders>
              <w:tl2br w:val="nil"/>
              <w:tr2bl w:val="nil"/>
            </w:tcBorders>
            <w:noWrap w:val="0"/>
            <w:vAlign w:val="top"/>
          </w:tcPr>
          <w:p w14:paraId="7EAB94CD">
            <w:pPr>
              <w:keepNext w:val="0"/>
              <w:keepLines w:val="0"/>
              <w:pageBreakBefore w:val="0"/>
              <w:widowControl w:val="0"/>
              <w:wordWrap/>
              <w:overflowPunct/>
              <w:bidi w:val="0"/>
              <w:spacing w:before="82" w:line="227" w:lineRule="auto"/>
              <w:ind w:left="128"/>
              <w:rPr>
                <w:rFonts w:ascii="仿宋" w:hAnsi="仿宋" w:eastAsia="仿宋" w:cs="仿宋"/>
                <w:sz w:val="23"/>
                <w:szCs w:val="23"/>
              </w:rPr>
            </w:pPr>
            <w:r>
              <w:rPr>
                <w:rFonts w:ascii="仿宋" w:hAnsi="仿宋" w:eastAsia="仿宋" w:cs="仿宋"/>
                <w:sz w:val="23"/>
                <w:szCs w:val="23"/>
              </w:rPr>
              <w:t>气源</w:t>
            </w:r>
          </w:p>
        </w:tc>
        <w:tc>
          <w:tcPr>
            <w:tcW w:w="3294" w:type="dxa"/>
            <w:tcBorders>
              <w:tl2br w:val="nil"/>
              <w:tr2bl w:val="nil"/>
            </w:tcBorders>
            <w:noWrap w:val="0"/>
            <w:vAlign w:val="top"/>
          </w:tcPr>
          <w:p w14:paraId="2A2375C8">
            <w:pPr>
              <w:keepNext w:val="0"/>
              <w:keepLines w:val="0"/>
              <w:pageBreakBefore w:val="0"/>
              <w:widowControl w:val="0"/>
              <w:wordWrap/>
              <w:overflowPunct/>
              <w:bidi w:val="0"/>
              <w:spacing w:before="42" w:line="335" w:lineRule="exact"/>
              <w:ind w:left="109"/>
              <w:rPr>
                <w:rFonts w:ascii="仿宋" w:hAnsi="仿宋" w:eastAsia="仿宋" w:cs="仿宋"/>
                <w:sz w:val="23"/>
                <w:szCs w:val="23"/>
              </w:rPr>
            </w:pPr>
            <w:r>
              <w:rPr>
                <w:rFonts w:ascii="仿宋" w:hAnsi="仿宋" w:eastAsia="仿宋" w:cs="仿宋"/>
                <w:spacing w:val="-7"/>
                <w:position w:val="2"/>
                <w:sz w:val="23"/>
                <w:szCs w:val="23"/>
              </w:rPr>
              <w:t>供</w:t>
            </w:r>
            <w:r>
              <w:rPr>
                <w:rFonts w:ascii="仿宋" w:hAnsi="仿宋" w:eastAsia="仿宋" w:cs="仿宋"/>
                <w:spacing w:val="-5"/>
                <w:position w:val="2"/>
                <w:sz w:val="23"/>
                <w:szCs w:val="23"/>
              </w:rPr>
              <w:t>气规模(万</w:t>
            </w:r>
            <w:r>
              <w:rPr>
                <w:rFonts w:ascii="Arial" w:hAnsi="Arial" w:eastAsia="Arial" w:cs="Arial"/>
                <w:b/>
                <w:bCs/>
                <w:spacing w:val="-5"/>
                <w:position w:val="2"/>
                <w:sz w:val="23"/>
                <w:szCs w:val="23"/>
              </w:rPr>
              <w:t>Nm</w:t>
            </w:r>
            <w:r>
              <w:rPr>
                <w:rFonts w:ascii="Arial" w:hAnsi="Arial" w:eastAsia="Arial" w:cs="Arial"/>
                <w:b/>
                <w:bCs/>
                <w:spacing w:val="-5"/>
                <w:position w:val="10"/>
                <w:sz w:val="15"/>
                <w:szCs w:val="15"/>
              </w:rPr>
              <w:t>3</w:t>
            </w:r>
            <w:r>
              <w:rPr>
                <w:rFonts w:ascii="Arial" w:hAnsi="Arial" w:eastAsia="Arial" w:cs="Arial"/>
                <w:b/>
                <w:bCs/>
                <w:spacing w:val="-5"/>
                <w:position w:val="2"/>
                <w:sz w:val="23"/>
                <w:szCs w:val="23"/>
              </w:rPr>
              <w:t>/a</w:t>
            </w:r>
            <w:r>
              <w:rPr>
                <w:rFonts w:ascii="仿宋" w:hAnsi="仿宋" w:eastAsia="仿宋" w:cs="仿宋"/>
                <w:spacing w:val="-5"/>
                <w:position w:val="2"/>
                <w:sz w:val="23"/>
                <w:szCs w:val="23"/>
              </w:rPr>
              <w:t>)</w:t>
            </w:r>
          </w:p>
        </w:tc>
      </w:tr>
      <w:tr w14:paraId="087349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3618" w:type="dxa"/>
            <w:tcBorders>
              <w:tl2br w:val="nil"/>
              <w:tr2bl w:val="nil"/>
            </w:tcBorders>
            <w:noWrap w:val="0"/>
            <w:vAlign w:val="top"/>
          </w:tcPr>
          <w:p w14:paraId="1CCA7F3D">
            <w:pPr>
              <w:keepNext w:val="0"/>
              <w:keepLines w:val="0"/>
              <w:pageBreakBefore w:val="0"/>
              <w:widowControl w:val="0"/>
              <w:wordWrap/>
              <w:overflowPunct/>
              <w:bidi w:val="0"/>
              <w:spacing w:before="77" w:line="225" w:lineRule="auto"/>
              <w:ind w:left="146"/>
              <w:rPr>
                <w:rFonts w:ascii="Arial" w:hAnsi="Arial" w:eastAsia="Arial" w:cs="Arial"/>
                <w:sz w:val="23"/>
                <w:szCs w:val="23"/>
              </w:rPr>
            </w:pPr>
            <w:r>
              <w:rPr>
                <w:rFonts w:ascii="仿宋" w:hAnsi="仿宋" w:eastAsia="仿宋" w:cs="仿宋"/>
                <w:spacing w:val="8"/>
                <w:sz w:val="23"/>
                <w:szCs w:val="23"/>
              </w:rPr>
              <w:t>中</w:t>
            </w:r>
            <w:r>
              <w:rPr>
                <w:rFonts w:ascii="仿宋" w:hAnsi="仿宋" w:eastAsia="仿宋" w:cs="仿宋"/>
                <w:spacing w:val="6"/>
                <w:sz w:val="23"/>
                <w:szCs w:val="23"/>
              </w:rPr>
              <w:t>海油福建</w:t>
            </w:r>
            <w:r>
              <w:rPr>
                <w:rFonts w:ascii="Arial" w:hAnsi="Arial" w:eastAsia="Arial" w:cs="Arial"/>
                <w:sz w:val="23"/>
                <w:szCs w:val="23"/>
              </w:rPr>
              <w:t>LNG</w:t>
            </w:r>
          </w:p>
        </w:tc>
        <w:tc>
          <w:tcPr>
            <w:tcW w:w="3294" w:type="dxa"/>
            <w:tcBorders>
              <w:tl2br w:val="nil"/>
              <w:tr2bl w:val="nil"/>
            </w:tcBorders>
            <w:noWrap w:val="0"/>
            <w:vAlign w:val="top"/>
          </w:tcPr>
          <w:p w14:paraId="1791F13D">
            <w:pPr>
              <w:keepNext w:val="0"/>
              <w:keepLines w:val="0"/>
              <w:pageBreakBefore w:val="0"/>
              <w:widowControl w:val="0"/>
              <w:wordWrap/>
              <w:overflowPunct/>
              <w:bidi w:val="0"/>
              <w:spacing w:before="91" w:line="203" w:lineRule="auto"/>
              <w:ind w:left="114"/>
              <w:rPr>
                <w:rFonts w:ascii="Arial" w:hAnsi="Arial" w:eastAsia="Arial" w:cs="Arial"/>
                <w:sz w:val="23"/>
                <w:szCs w:val="23"/>
              </w:rPr>
            </w:pPr>
            <w:r>
              <w:rPr>
                <w:rFonts w:ascii="Arial" w:hAnsi="Arial" w:eastAsia="Arial" w:cs="Arial"/>
                <w:spacing w:val="4"/>
                <w:sz w:val="23"/>
                <w:szCs w:val="23"/>
              </w:rPr>
              <w:t>6300</w:t>
            </w:r>
            <w:r>
              <w:rPr>
                <w:rFonts w:ascii="Arial" w:hAnsi="Arial" w:eastAsia="Arial" w:cs="Arial"/>
                <w:spacing w:val="3"/>
                <w:sz w:val="23"/>
                <w:szCs w:val="23"/>
              </w:rPr>
              <w:t>0</w:t>
            </w:r>
          </w:p>
        </w:tc>
      </w:tr>
      <w:tr w14:paraId="250BE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618" w:type="dxa"/>
            <w:tcBorders>
              <w:tl2br w:val="nil"/>
              <w:tr2bl w:val="nil"/>
            </w:tcBorders>
            <w:noWrap w:val="0"/>
            <w:vAlign w:val="top"/>
          </w:tcPr>
          <w:p w14:paraId="38432E1C">
            <w:pPr>
              <w:keepNext w:val="0"/>
              <w:keepLines w:val="0"/>
              <w:pageBreakBefore w:val="0"/>
              <w:widowControl w:val="0"/>
              <w:wordWrap/>
              <w:overflowPunct/>
              <w:bidi w:val="0"/>
              <w:spacing w:before="79" w:line="225" w:lineRule="auto"/>
              <w:ind w:left="146"/>
              <w:rPr>
                <w:rFonts w:ascii="仿宋" w:hAnsi="仿宋" w:eastAsia="仿宋" w:cs="仿宋"/>
                <w:sz w:val="23"/>
                <w:szCs w:val="23"/>
              </w:rPr>
            </w:pPr>
            <w:r>
              <w:rPr>
                <w:rFonts w:ascii="仿宋" w:hAnsi="仿宋" w:eastAsia="仿宋" w:cs="仿宋"/>
                <w:spacing w:val="6"/>
                <w:sz w:val="23"/>
                <w:szCs w:val="23"/>
              </w:rPr>
              <w:t>中石油西气东输三</w:t>
            </w:r>
            <w:r>
              <w:rPr>
                <w:rFonts w:ascii="仿宋" w:hAnsi="仿宋" w:eastAsia="仿宋" w:cs="仿宋"/>
                <w:spacing w:val="4"/>
                <w:sz w:val="23"/>
                <w:szCs w:val="23"/>
              </w:rPr>
              <w:t>线</w:t>
            </w:r>
          </w:p>
        </w:tc>
        <w:tc>
          <w:tcPr>
            <w:tcW w:w="3294" w:type="dxa"/>
            <w:tcBorders>
              <w:tl2br w:val="nil"/>
              <w:tr2bl w:val="nil"/>
            </w:tcBorders>
            <w:noWrap w:val="0"/>
            <w:vAlign w:val="top"/>
          </w:tcPr>
          <w:p w14:paraId="79687EAA">
            <w:pPr>
              <w:keepNext w:val="0"/>
              <w:keepLines w:val="0"/>
              <w:pageBreakBefore w:val="0"/>
              <w:widowControl w:val="0"/>
              <w:wordWrap/>
              <w:overflowPunct/>
              <w:bidi w:val="0"/>
              <w:spacing w:before="92" w:line="203" w:lineRule="auto"/>
              <w:ind w:left="131"/>
              <w:rPr>
                <w:rFonts w:ascii="Arial" w:hAnsi="Arial" w:eastAsia="Arial" w:cs="Arial"/>
                <w:sz w:val="23"/>
                <w:szCs w:val="23"/>
              </w:rPr>
            </w:pPr>
            <w:r>
              <w:rPr>
                <w:rFonts w:ascii="Arial" w:hAnsi="Arial" w:eastAsia="Arial" w:cs="Arial"/>
                <w:spacing w:val="2"/>
                <w:sz w:val="23"/>
                <w:szCs w:val="23"/>
              </w:rPr>
              <w:t>105</w:t>
            </w:r>
            <w:r>
              <w:rPr>
                <w:rFonts w:ascii="Arial" w:hAnsi="Arial" w:eastAsia="Arial" w:cs="Arial"/>
                <w:spacing w:val="1"/>
                <w:sz w:val="23"/>
                <w:szCs w:val="23"/>
              </w:rPr>
              <w:t>000</w:t>
            </w:r>
          </w:p>
        </w:tc>
      </w:tr>
      <w:tr w14:paraId="13DCAB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618" w:type="dxa"/>
            <w:tcBorders>
              <w:tl2br w:val="nil"/>
              <w:tr2bl w:val="nil"/>
            </w:tcBorders>
            <w:noWrap w:val="0"/>
            <w:vAlign w:val="top"/>
          </w:tcPr>
          <w:p w14:paraId="4EDF557E">
            <w:pPr>
              <w:keepNext w:val="0"/>
              <w:keepLines w:val="0"/>
              <w:pageBreakBefore w:val="0"/>
              <w:widowControl w:val="0"/>
              <w:wordWrap/>
              <w:overflowPunct/>
              <w:bidi w:val="0"/>
              <w:spacing w:before="79" w:line="225" w:lineRule="auto"/>
              <w:ind w:left="120"/>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3294" w:type="dxa"/>
            <w:tcBorders>
              <w:tl2br w:val="nil"/>
              <w:tr2bl w:val="nil"/>
            </w:tcBorders>
            <w:noWrap w:val="0"/>
            <w:vAlign w:val="top"/>
          </w:tcPr>
          <w:p w14:paraId="036A625D">
            <w:pPr>
              <w:keepNext w:val="0"/>
              <w:keepLines w:val="0"/>
              <w:pageBreakBefore w:val="0"/>
              <w:widowControl w:val="0"/>
              <w:wordWrap/>
              <w:overflowPunct/>
              <w:bidi w:val="0"/>
              <w:spacing w:before="92" w:line="203" w:lineRule="auto"/>
              <w:ind w:left="131"/>
              <w:rPr>
                <w:rFonts w:ascii="Arial" w:hAnsi="Arial" w:eastAsia="Arial" w:cs="Arial"/>
                <w:sz w:val="23"/>
                <w:szCs w:val="23"/>
              </w:rPr>
            </w:pPr>
            <w:r>
              <w:rPr>
                <w:rFonts w:ascii="Arial" w:hAnsi="Arial" w:eastAsia="Arial" w:cs="Arial"/>
                <w:spacing w:val="2"/>
                <w:sz w:val="23"/>
                <w:szCs w:val="23"/>
              </w:rPr>
              <w:t>168</w:t>
            </w:r>
            <w:r>
              <w:rPr>
                <w:rFonts w:ascii="Arial" w:hAnsi="Arial" w:eastAsia="Arial" w:cs="Arial"/>
                <w:spacing w:val="1"/>
                <w:sz w:val="23"/>
                <w:szCs w:val="23"/>
              </w:rPr>
              <w:t>000</w:t>
            </w:r>
          </w:p>
        </w:tc>
      </w:tr>
    </w:tbl>
    <w:p w14:paraId="255A50FC">
      <w:pPr>
        <w:pStyle w:val="2"/>
        <w:keepNext w:val="0"/>
        <w:keepLines w:val="0"/>
        <w:pageBreakBefore w:val="0"/>
        <w:widowControl w:val="0"/>
        <w:kinsoku/>
        <w:wordWrap/>
        <w:overflowPunct/>
        <w:topLinePunct/>
        <w:autoSpaceDE/>
        <w:autoSpaceDN/>
        <w:bidi w:val="0"/>
        <w:adjustRightInd/>
        <w:snapToGrid/>
        <w:spacing w:before="157" w:beforeLines="5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园区的天然气立足于管道天然气，泉港区已建设天然气门站一座、调压站一座，位于高新园区西北部，占地1公顷。规划再建设天然气接收门站2座。</w:t>
      </w:r>
    </w:p>
    <w:p w14:paraId="34C3251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泉港天然气门站中期至2025年管道天然气供气量约26800万标准立方米/年，远期至2035年管道天然气供气量约36400万标准立方米/年。</w:t>
      </w:r>
    </w:p>
    <w:p w14:paraId="69427B35">
      <w:pPr>
        <w:keepNext w:val="0"/>
        <w:keepLines w:val="0"/>
        <w:pageBreakBefore w:val="0"/>
        <w:widowControl w:val="0"/>
        <w:wordWrap/>
        <w:overflowPunct/>
        <w:bidi w:val="0"/>
        <w:spacing w:before="75" w:line="225" w:lineRule="auto"/>
        <w:ind w:left="2952"/>
      </w:pPr>
      <w:r>
        <w:rPr>
          <w:rFonts w:ascii="黑体" w:hAnsi="黑体" w:eastAsia="黑体" w:cs="黑体"/>
          <w:spacing w:val="6"/>
          <w:sz w:val="23"/>
          <w:szCs w:val="23"/>
        </w:rPr>
        <w:t>表</w:t>
      </w:r>
      <w:r>
        <w:rPr>
          <w:rFonts w:ascii="Arial" w:hAnsi="Arial" w:eastAsia="Arial" w:cs="Arial"/>
          <w:b/>
          <w:bCs/>
          <w:spacing w:val="3"/>
          <w:sz w:val="23"/>
          <w:szCs w:val="23"/>
        </w:rPr>
        <w:t>11-10</w:t>
      </w:r>
      <w:r>
        <w:rPr>
          <w:rFonts w:ascii="黑体" w:hAnsi="黑体" w:eastAsia="黑体" w:cs="黑体"/>
          <w:spacing w:val="3"/>
          <w:sz w:val="23"/>
          <w:szCs w:val="23"/>
        </w:rPr>
        <w:t>泉港区用气量统计表</w:t>
      </w:r>
    </w:p>
    <w:tbl>
      <w:tblPr>
        <w:tblStyle w:val="9"/>
        <w:tblW w:w="6928" w:type="dxa"/>
        <w:tblInd w:w="107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626"/>
        <w:gridCol w:w="3302"/>
      </w:tblGrid>
      <w:tr w14:paraId="0C0A1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626" w:type="dxa"/>
            <w:tcBorders>
              <w:tl2br w:val="nil"/>
              <w:tr2bl w:val="nil"/>
            </w:tcBorders>
            <w:noWrap w:val="0"/>
            <w:vAlign w:val="top"/>
          </w:tcPr>
          <w:p w14:paraId="52EF7A33">
            <w:pPr>
              <w:keepNext w:val="0"/>
              <w:keepLines w:val="0"/>
              <w:pageBreakBefore w:val="0"/>
              <w:widowControl w:val="0"/>
              <w:wordWrap/>
              <w:overflowPunct/>
              <w:bidi w:val="0"/>
              <w:spacing w:before="81" w:line="225" w:lineRule="auto"/>
              <w:ind w:left="119"/>
              <w:rPr>
                <w:rFonts w:ascii="仿宋" w:hAnsi="仿宋" w:eastAsia="仿宋" w:cs="仿宋"/>
                <w:sz w:val="23"/>
                <w:szCs w:val="23"/>
              </w:rPr>
            </w:pPr>
            <w:r>
              <w:rPr>
                <w:rFonts w:ascii="仿宋" w:hAnsi="仿宋" w:eastAsia="仿宋" w:cs="仿宋"/>
                <w:spacing w:val="9"/>
                <w:sz w:val="23"/>
                <w:szCs w:val="23"/>
              </w:rPr>
              <w:t>泉港区年用气</w:t>
            </w:r>
            <w:r>
              <w:rPr>
                <w:rFonts w:ascii="仿宋" w:hAnsi="仿宋" w:eastAsia="仿宋" w:cs="仿宋"/>
                <w:spacing w:val="8"/>
                <w:sz w:val="23"/>
                <w:szCs w:val="23"/>
              </w:rPr>
              <w:t>量</w:t>
            </w:r>
          </w:p>
        </w:tc>
        <w:tc>
          <w:tcPr>
            <w:tcW w:w="3302" w:type="dxa"/>
            <w:tcBorders>
              <w:tl2br w:val="nil"/>
              <w:tr2bl w:val="nil"/>
            </w:tcBorders>
            <w:noWrap w:val="0"/>
            <w:vAlign w:val="top"/>
          </w:tcPr>
          <w:p w14:paraId="6BED0D8D">
            <w:pPr>
              <w:keepNext w:val="0"/>
              <w:keepLines w:val="0"/>
              <w:pageBreakBefore w:val="0"/>
              <w:widowControl w:val="0"/>
              <w:wordWrap/>
              <w:overflowPunct/>
              <w:bidi w:val="0"/>
              <w:spacing w:before="42" w:line="334" w:lineRule="exact"/>
              <w:ind w:left="114"/>
              <w:rPr>
                <w:rFonts w:ascii="仿宋" w:hAnsi="仿宋" w:eastAsia="仿宋" w:cs="仿宋"/>
                <w:sz w:val="23"/>
                <w:szCs w:val="23"/>
              </w:rPr>
            </w:pPr>
            <w:r>
              <w:rPr>
                <w:rFonts w:ascii="仿宋" w:hAnsi="仿宋" w:eastAsia="仿宋" w:cs="仿宋"/>
                <w:spacing w:val="-12"/>
                <w:position w:val="2"/>
                <w:sz w:val="23"/>
                <w:szCs w:val="23"/>
              </w:rPr>
              <w:t>用</w:t>
            </w:r>
            <w:r>
              <w:rPr>
                <w:rFonts w:ascii="仿宋" w:hAnsi="仿宋" w:eastAsia="仿宋" w:cs="仿宋"/>
                <w:spacing w:val="-6"/>
                <w:position w:val="2"/>
                <w:sz w:val="23"/>
                <w:szCs w:val="23"/>
              </w:rPr>
              <w:t>气量(万</w:t>
            </w:r>
            <w:r>
              <w:rPr>
                <w:rFonts w:ascii="Arial" w:hAnsi="Arial" w:eastAsia="Arial" w:cs="Arial"/>
                <w:b/>
                <w:bCs/>
                <w:spacing w:val="-6"/>
                <w:position w:val="2"/>
                <w:sz w:val="23"/>
                <w:szCs w:val="23"/>
              </w:rPr>
              <w:t>Nm3/a</w:t>
            </w:r>
            <w:r>
              <w:rPr>
                <w:rFonts w:ascii="仿宋" w:hAnsi="仿宋" w:eastAsia="仿宋" w:cs="仿宋"/>
                <w:spacing w:val="-6"/>
                <w:position w:val="2"/>
                <w:sz w:val="23"/>
                <w:szCs w:val="23"/>
              </w:rPr>
              <w:t>)</w:t>
            </w:r>
          </w:p>
        </w:tc>
      </w:tr>
      <w:tr w14:paraId="01563E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626" w:type="dxa"/>
            <w:tcBorders>
              <w:tl2br w:val="nil"/>
              <w:tr2bl w:val="nil"/>
            </w:tcBorders>
            <w:noWrap w:val="0"/>
            <w:vAlign w:val="top"/>
          </w:tcPr>
          <w:p w14:paraId="2A2C9670">
            <w:pPr>
              <w:keepNext w:val="0"/>
              <w:keepLines w:val="0"/>
              <w:pageBreakBefore w:val="0"/>
              <w:widowControl w:val="0"/>
              <w:wordWrap/>
              <w:overflowPunct/>
              <w:bidi w:val="0"/>
              <w:spacing w:before="79" w:line="225" w:lineRule="auto"/>
              <w:ind w:left="144"/>
              <w:rPr>
                <w:rFonts w:ascii="仿宋" w:hAnsi="仿宋" w:eastAsia="仿宋" w:cs="仿宋"/>
                <w:sz w:val="23"/>
                <w:szCs w:val="23"/>
              </w:rPr>
            </w:pPr>
            <w:r>
              <w:rPr>
                <w:rFonts w:ascii="仿宋" w:hAnsi="仿宋" w:eastAsia="仿宋" w:cs="仿宋"/>
                <w:spacing w:val="-4"/>
                <w:sz w:val="23"/>
                <w:szCs w:val="23"/>
              </w:rPr>
              <w:t>中期</w:t>
            </w:r>
            <w:r>
              <w:rPr>
                <w:rFonts w:ascii="仿宋" w:hAnsi="仿宋" w:eastAsia="仿宋" w:cs="仿宋"/>
                <w:spacing w:val="-2"/>
                <w:sz w:val="23"/>
                <w:szCs w:val="23"/>
              </w:rPr>
              <w:t>(</w:t>
            </w:r>
            <w:r>
              <w:rPr>
                <w:rFonts w:ascii="Arial" w:hAnsi="Arial" w:eastAsia="Arial" w:cs="Arial"/>
                <w:spacing w:val="-2"/>
                <w:sz w:val="23"/>
                <w:szCs w:val="23"/>
              </w:rPr>
              <w:t>2020</w:t>
            </w:r>
            <w:r>
              <w:rPr>
                <w:rFonts w:ascii="仿宋" w:hAnsi="仿宋" w:eastAsia="仿宋" w:cs="仿宋"/>
                <w:spacing w:val="-2"/>
                <w:sz w:val="23"/>
                <w:szCs w:val="23"/>
              </w:rPr>
              <w:t>年)</w:t>
            </w:r>
          </w:p>
        </w:tc>
        <w:tc>
          <w:tcPr>
            <w:tcW w:w="3302" w:type="dxa"/>
            <w:tcBorders>
              <w:tl2br w:val="nil"/>
              <w:tr2bl w:val="nil"/>
            </w:tcBorders>
            <w:noWrap w:val="0"/>
            <w:vAlign w:val="top"/>
          </w:tcPr>
          <w:p w14:paraId="229301E4">
            <w:pPr>
              <w:keepNext w:val="0"/>
              <w:keepLines w:val="0"/>
              <w:pageBreakBefore w:val="0"/>
              <w:widowControl w:val="0"/>
              <w:wordWrap/>
              <w:overflowPunct/>
              <w:bidi w:val="0"/>
              <w:spacing w:before="92" w:line="203" w:lineRule="auto"/>
              <w:ind w:left="111"/>
              <w:rPr>
                <w:rFonts w:ascii="Arial" w:hAnsi="Arial" w:eastAsia="Arial" w:cs="Arial"/>
                <w:sz w:val="23"/>
                <w:szCs w:val="23"/>
              </w:rPr>
            </w:pPr>
            <w:r>
              <w:rPr>
                <w:rFonts w:ascii="Arial" w:hAnsi="Arial" w:eastAsia="Arial" w:cs="Arial"/>
                <w:spacing w:val="6"/>
                <w:sz w:val="23"/>
                <w:szCs w:val="23"/>
              </w:rPr>
              <w:t>2</w:t>
            </w:r>
            <w:r>
              <w:rPr>
                <w:rFonts w:ascii="Arial" w:hAnsi="Arial" w:eastAsia="Arial" w:cs="Arial"/>
                <w:spacing w:val="4"/>
                <w:sz w:val="23"/>
                <w:szCs w:val="23"/>
              </w:rPr>
              <w:t>6800</w:t>
            </w:r>
          </w:p>
        </w:tc>
      </w:tr>
      <w:tr w14:paraId="017B9D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626" w:type="dxa"/>
            <w:tcBorders>
              <w:tl2br w:val="nil"/>
              <w:tr2bl w:val="nil"/>
            </w:tcBorders>
            <w:noWrap w:val="0"/>
            <w:vAlign w:val="top"/>
          </w:tcPr>
          <w:p w14:paraId="67A9065D">
            <w:pPr>
              <w:keepNext w:val="0"/>
              <w:keepLines w:val="0"/>
              <w:pageBreakBefore w:val="0"/>
              <w:widowControl w:val="0"/>
              <w:wordWrap/>
              <w:overflowPunct/>
              <w:bidi w:val="0"/>
              <w:spacing w:before="79" w:line="225" w:lineRule="auto"/>
              <w:ind w:left="123"/>
              <w:rPr>
                <w:rFonts w:ascii="仿宋" w:hAnsi="仿宋" w:eastAsia="仿宋" w:cs="仿宋"/>
                <w:sz w:val="23"/>
                <w:szCs w:val="23"/>
              </w:rPr>
            </w:pPr>
            <w:r>
              <w:rPr>
                <w:rFonts w:ascii="仿宋" w:hAnsi="仿宋" w:eastAsia="仿宋" w:cs="仿宋"/>
                <w:spacing w:val="-1"/>
                <w:sz w:val="23"/>
                <w:szCs w:val="23"/>
              </w:rPr>
              <w:t>远期(</w:t>
            </w:r>
            <w:r>
              <w:rPr>
                <w:rFonts w:ascii="Arial" w:hAnsi="Arial" w:eastAsia="Arial" w:cs="Arial"/>
                <w:spacing w:val="-1"/>
                <w:sz w:val="23"/>
                <w:szCs w:val="23"/>
              </w:rPr>
              <w:t>2030</w:t>
            </w:r>
            <w:r>
              <w:rPr>
                <w:rFonts w:ascii="仿宋" w:hAnsi="仿宋" w:eastAsia="仿宋" w:cs="仿宋"/>
                <w:spacing w:val="-1"/>
                <w:sz w:val="23"/>
                <w:szCs w:val="23"/>
              </w:rPr>
              <w:t>年</w:t>
            </w:r>
            <w:r>
              <w:rPr>
                <w:rFonts w:ascii="仿宋" w:hAnsi="仿宋" w:eastAsia="仿宋" w:cs="仿宋"/>
                <w:sz w:val="23"/>
                <w:szCs w:val="23"/>
              </w:rPr>
              <w:t>)</w:t>
            </w:r>
          </w:p>
        </w:tc>
        <w:tc>
          <w:tcPr>
            <w:tcW w:w="3302" w:type="dxa"/>
            <w:tcBorders>
              <w:tl2br w:val="nil"/>
              <w:tr2bl w:val="nil"/>
            </w:tcBorders>
            <w:noWrap w:val="0"/>
            <w:vAlign w:val="top"/>
          </w:tcPr>
          <w:p w14:paraId="1ADDC332">
            <w:pPr>
              <w:keepNext w:val="0"/>
              <w:keepLines w:val="0"/>
              <w:pageBreakBefore w:val="0"/>
              <w:widowControl w:val="0"/>
              <w:wordWrap/>
              <w:overflowPunct/>
              <w:bidi w:val="0"/>
              <w:spacing w:before="92" w:line="203" w:lineRule="auto"/>
              <w:ind w:left="115"/>
              <w:rPr>
                <w:rFonts w:ascii="Arial" w:hAnsi="Arial" w:eastAsia="Arial" w:cs="Arial"/>
                <w:sz w:val="23"/>
                <w:szCs w:val="23"/>
              </w:rPr>
            </w:pPr>
            <w:r>
              <w:rPr>
                <w:rFonts w:ascii="Arial" w:hAnsi="Arial" w:eastAsia="Arial" w:cs="Arial"/>
                <w:spacing w:val="6"/>
                <w:sz w:val="23"/>
                <w:szCs w:val="23"/>
              </w:rPr>
              <w:t>3</w:t>
            </w:r>
            <w:r>
              <w:rPr>
                <w:rFonts w:ascii="Arial" w:hAnsi="Arial" w:eastAsia="Arial" w:cs="Arial"/>
                <w:spacing w:val="3"/>
                <w:sz w:val="23"/>
                <w:szCs w:val="23"/>
              </w:rPr>
              <w:t>6400</w:t>
            </w:r>
          </w:p>
        </w:tc>
      </w:tr>
    </w:tbl>
    <w:p w14:paraId="5DB2919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10.7.2规划原则</w:t>
      </w:r>
    </w:p>
    <w:p w14:paraId="44C4B494">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(1)统筹兼顾，合理安排，分期实施，逐步完善，从实际出发正确处理需要与可能，近期与远期的关系，做到远近结合，量力而行，留有余地。</w:t>
      </w:r>
    </w:p>
    <w:p w14:paraId="7938FD1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(2)贯彻节能方针，做好能源的综合利用与合理利用，提高效益，力求取得好的经济效益、社会效益，促进城市燃气事业的发展。</w:t>
      </w:r>
    </w:p>
    <w:p w14:paraId="7890E83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(3)贯彻城市燃气为人民生活服务，为发展生产服务，确定合理的供气比例及燃气价格。</w:t>
      </w:r>
    </w:p>
    <w:p w14:paraId="50A7E67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(4)坚持科学态度，在工艺和设备上，要体现技术先进、经济合理、安全可靠。</w:t>
      </w:r>
    </w:p>
    <w:p w14:paraId="36CB7B3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10.7.3用气量预测</w:t>
      </w:r>
    </w:p>
    <w:p w14:paraId="6C146D0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根据行业用气量指标分析计算，初步估算远期天然气总用气量为4316万Nm3/年。</w:t>
      </w:r>
    </w:p>
    <w:p w14:paraId="3F64B39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(1)居民耗气量</w:t>
      </w:r>
    </w:p>
    <w:p w14:paraId="40A608F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根据园区人口预测及耗气定额，规划期末园区总人口4.8万人，气化率为98%，居民用户年耗气指标为2300MJ/(人﹒年)。</w:t>
      </w:r>
    </w:p>
    <w:p w14:paraId="4FA374F3">
      <w:pPr>
        <w:keepNext w:val="0"/>
        <w:keepLines w:val="0"/>
        <w:pageBreakBefore w:val="0"/>
        <w:widowControl w:val="0"/>
        <w:wordWrap/>
        <w:overflowPunct/>
        <w:bidi w:val="0"/>
        <w:spacing w:before="75" w:line="334" w:lineRule="exact"/>
        <w:ind w:left="1867"/>
        <w:rPr>
          <w:rFonts w:ascii="黑体" w:hAnsi="黑体" w:eastAsia="黑体" w:cs="黑体"/>
          <w:sz w:val="23"/>
          <w:szCs w:val="23"/>
        </w:rPr>
      </w:pPr>
      <w:r>
        <w:rPr>
          <w:rFonts w:ascii="黑体" w:hAnsi="黑体" w:eastAsia="黑体" w:cs="黑体"/>
          <w:spacing w:val="4"/>
          <w:position w:val="2"/>
          <w:sz w:val="23"/>
          <w:szCs w:val="23"/>
        </w:rPr>
        <w:t>表</w:t>
      </w:r>
      <w:r>
        <w:rPr>
          <w:rFonts w:ascii="Arial" w:hAnsi="Arial" w:eastAsia="Arial" w:cs="Arial"/>
          <w:b/>
          <w:bCs/>
          <w:spacing w:val="3"/>
          <w:position w:val="2"/>
          <w:sz w:val="23"/>
          <w:szCs w:val="23"/>
        </w:rPr>
        <w:t>11-11</w:t>
      </w:r>
      <w:r>
        <w:rPr>
          <w:rFonts w:ascii="黑体" w:hAnsi="黑体" w:eastAsia="黑体" w:cs="黑体"/>
          <w:spacing w:val="3"/>
          <w:position w:val="2"/>
          <w:sz w:val="23"/>
          <w:szCs w:val="23"/>
        </w:rPr>
        <w:t>居民用户天然气用量预测表(万</w:t>
      </w:r>
      <w:r>
        <w:rPr>
          <w:rFonts w:ascii="Arial" w:hAnsi="Arial" w:eastAsia="Arial" w:cs="Arial"/>
          <w:b/>
          <w:bCs/>
          <w:position w:val="2"/>
          <w:sz w:val="23"/>
          <w:szCs w:val="23"/>
        </w:rPr>
        <w:t>Nm</w:t>
      </w:r>
      <w:r>
        <w:rPr>
          <w:rFonts w:ascii="Arial" w:hAnsi="Arial" w:eastAsia="Arial" w:cs="Arial"/>
          <w:b/>
          <w:bCs/>
          <w:spacing w:val="3"/>
          <w:position w:val="9"/>
          <w:sz w:val="15"/>
          <w:szCs w:val="15"/>
        </w:rPr>
        <w:t>3</w:t>
      </w:r>
      <w:r>
        <w:rPr>
          <w:rFonts w:ascii="Arial" w:hAnsi="Arial" w:eastAsia="Arial" w:cs="Arial"/>
          <w:b/>
          <w:bCs/>
          <w:spacing w:val="3"/>
          <w:position w:val="2"/>
          <w:sz w:val="23"/>
          <w:szCs w:val="23"/>
        </w:rPr>
        <w:t>/</w:t>
      </w:r>
      <w:r>
        <w:rPr>
          <w:rFonts w:ascii="Arial" w:hAnsi="Arial" w:eastAsia="Arial" w:cs="Arial"/>
          <w:b/>
          <w:bCs/>
          <w:position w:val="2"/>
          <w:sz w:val="23"/>
          <w:szCs w:val="23"/>
        </w:rPr>
        <w:t>a</w:t>
      </w:r>
      <w:r>
        <w:rPr>
          <w:rFonts w:ascii="黑体" w:hAnsi="黑体" w:eastAsia="黑体" w:cs="黑体"/>
          <w:spacing w:val="3"/>
          <w:position w:val="2"/>
          <w:sz w:val="23"/>
          <w:szCs w:val="23"/>
        </w:rPr>
        <w:t>)</w:t>
      </w:r>
    </w:p>
    <w:tbl>
      <w:tblPr>
        <w:tblStyle w:val="9"/>
        <w:tblW w:w="6839" w:type="dxa"/>
        <w:tblInd w:w="11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177"/>
        <w:gridCol w:w="3662"/>
      </w:tblGrid>
      <w:tr w14:paraId="00F2CE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177" w:type="dxa"/>
            <w:tcBorders>
              <w:tl2br w:val="nil"/>
              <w:tr2bl w:val="nil"/>
            </w:tcBorders>
            <w:noWrap w:val="0"/>
            <w:vAlign w:val="top"/>
          </w:tcPr>
          <w:p w14:paraId="782CD5AB">
            <w:pPr>
              <w:keepNext w:val="0"/>
              <w:keepLines w:val="0"/>
              <w:pageBreakBefore w:val="0"/>
              <w:widowControl w:val="0"/>
              <w:wordWrap/>
              <w:overflowPunct/>
              <w:bidi w:val="0"/>
              <w:spacing w:before="81" w:line="225" w:lineRule="auto"/>
              <w:ind w:left="121"/>
              <w:rPr>
                <w:rFonts w:ascii="仿宋" w:hAnsi="仿宋" w:eastAsia="仿宋" w:cs="仿宋"/>
                <w:sz w:val="23"/>
                <w:szCs w:val="23"/>
              </w:rPr>
            </w:pPr>
            <w:r>
              <w:rPr>
                <w:rFonts w:ascii="仿宋" w:hAnsi="仿宋" w:eastAsia="仿宋" w:cs="仿宋"/>
                <w:spacing w:val="3"/>
                <w:sz w:val="23"/>
                <w:szCs w:val="23"/>
              </w:rPr>
              <w:t>期限</w:t>
            </w:r>
          </w:p>
        </w:tc>
        <w:tc>
          <w:tcPr>
            <w:tcW w:w="3662" w:type="dxa"/>
            <w:tcBorders>
              <w:tl2br w:val="nil"/>
              <w:tr2bl w:val="nil"/>
            </w:tcBorders>
            <w:noWrap w:val="0"/>
            <w:vAlign w:val="top"/>
          </w:tcPr>
          <w:p w14:paraId="6FA9A158">
            <w:pPr>
              <w:keepNext w:val="0"/>
              <w:keepLines w:val="0"/>
              <w:pageBreakBefore w:val="0"/>
              <w:widowControl w:val="0"/>
              <w:wordWrap/>
              <w:overflowPunct/>
              <w:bidi w:val="0"/>
              <w:spacing w:before="81" w:line="227" w:lineRule="auto"/>
              <w:ind w:left="116"/>
              <w:rPr>
                <w:rFonts w:ascii="仿宋" w:hAnsi="仿宋" w:eastAsia="仿宋" w:cs="仿宋"/>
                <w:sz w:val="23"/>
                <w:szCs w:val="23"/>
              </w:rPr>
            </w:pPr>
            <w:r>
              <w:rPr>
                <w:rFonts w:ascii="仿宋" w:hAnsi="仿宋" w:eastAsia="仿宋" w:cs="仿宋"/>
                <w:spacing w:val="-11"/>
                <w:sz w:val="23"/>
                <w:szCs w:val="23"/>
              </w:rPr>
              <w:t>用气量(日常)</w:t>
            </w:r>
          </w:p>
        </w:tc>
      </w:tr>
      <w:tr w14:paraId="79169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177" w:type="dxa"/>
            <w:tcBorders>
              <w:tl2br w:val="nil"/>
              <w:tr2bl w:val="nil"/>
            </w:tcBorders>
            <w:noWrap w:val="0"/>
            <w:vAlign w:val="top"/>
          </w:tcPr>
          <w:p w14:paraId="33EF19CB">
            <w:pPr>
              <w:keepNext w:val="0"/>
              <w:keepLines w:val="0"/>
              <w:pageBreakBefore w:val="0"/>
              <w:widowControl w:val="0"/>
              <w:wordWrap/>
              <w:overflowPunct/>
              <w:bidi w:val="0"/>
              <w:spacing w:before="78" w:line="226" w:lineRule="auto"/>
              <w:ind w:left="125"/>
              <w:rPr>
                <w:rFonts w:ascii="仿宋" w:hAnsi="仿宋" w:eastAsia="仿宋" w:cs="仿宋"/>
                <w:sz w:val="23"/>
                <w:szCs w:val="23"/>
              </w:rPr>
            </w:pPr>
            <w:r>
              <w:rPr>
                <w:rFonts w:ascii="仿宋" w:hAnsi="仿宋" w:eastAsia="仿宋" w:cs="仿宋"/>
                <w:spacing w:val="2"/>
                <w:sz w:val="23"/>
                <w:szCs w:val="23"/>
              </w:rPr>
              <w:t>远</w:t>
            </w:r>
            <w:r>
              <w:rPr>
                <w:rFonts w:ascii="仿宋" w:hAnsi="仿宋" w:eastAsia="仿宋" w:cs="仿宋"/>
                <w:spacing w:val="1"/>
                <w:sz w:val="23"/>
                <w:szCs w:val="23"/>
              </w:rPr>
              <w:t>期</w:t>
            </w:r>
          </w:p>
        </w:tc>
        <w:tc>
          <w:tcPr>
            <w:tcW w:w="3662" w:type="dxa"/>
            <w:tcBorders>
              <w:tl2br w:val="nil"/>
              <w:tr2bl w:val="nil"/>
            </w:tcBorders>
            <w:noWrap w:val="0"/>
            <w:vAlign w:val="top"/>
          </w:tcPr>
          <w:p w14:paraId="4F23120B">
            <w:pPr>
              <w:keepNext w:val="0"/>
              <w:keepLines w:val="0"/>
              <w:pageBreakBefore w:val="0"/>
              <w:widowControl w:val="0"/>
              <w:wordWrap/>
              <w:overflowPunct/>
              <w:bidi w:val="0"/>
              <w:spacing w:before="108" w:line="203" w:lineRule="auto"/>
              <w:ind w:left="113"/>
              <w:rPr>
                <w:rFonts w:ascii="Arial" w:hAnsi="Arial" w:eastAsia="Arial" w:cs="Arial"/>
                <w:sz w:val="23"/>
                <w:szCs w:val="23"/>
              </w:rPr>
            </w:pPr>
            <w:r>
              <w:rPr>
                <w:rFonts w:ascii="Arial" w:hAnsi="Arial" w:eastAsia="Arial" w:cs="Arial"/>
                <w:spacing w:val="3"/>
                <w:sz w:val="23"/>
                <w:szCs w:val="23"/>
              </w:rPr>
              <w:t>270</w:t>
            </w:r>
          </w:p>
        </w:tc>
      </w:tr>
    </w:tbl>
    <w:p w14:paraId="247E1A34">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(2)商业耗气量</w:t>
      </w:r>
    </w:p>
    <w:p w14:paraId="23584D1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商业耗气量与居民、未预见耗气量的比例按照15：80：5来考虑。</w:t>
      </w:r>
    </w:p>
    <w:p w14:paraId="372CC24D">
      <w:pPr>
        <w:keepNext w:val="0"/>
        <w:keepLines w:val="0"/>
        <w:pageBreakBefore w:val="0"/>
        <w:widowControl w:val="0"/>
        <w:wordWrap/>
        <w:overflowPunct/>
        <w:bidi w:val="0"/>
        <w:spacing w:before="75" w:line="335" w:lineRule="exact"/>
        <w:ind w:left="2107"/>
      </w:pPr>
      <w:r>
        <w:rPr>
          <w:rFonts w:ascii="黑体" w:hAnsi="黑体" w:eastAsia="黑体" w:cs="黑体"/>
          <w:spacing w:val="4"/>
          <w:position w:val="2"/>
          <w:sz w:val="23"/>
          <w:szCs w:val="23"/>
        </w:rPr>
        <w:t>表</w:t>
      </w:r>
      <w:r>
        <w:rPr>
          <w:rFonts w:ascii="Arial" w:hAnsi="Arial" w:eastAsia="Arial" w:cs="Arial"/>
          <w:b/>
          <w:bCs/>
          <w:spacing w:val="4"/>
          <w:position w:val="2"/>
          <w:sz w:val="23"/>
          <w:szCs w:val="23"/>
        </w:rPr>
        <w:t>11-</w:t>
      </w:r>
      <w:r>
        <w:rPr>
          <w:rFonts w:ascii="Arial" w:hAnsi="Arial" w:eastAsia="Arial" w:cs="Arial"/>
          <w:b/>
          <w:bCs/>
          <w:spacing w:val="3"/>
          <w:position w:val="2"/>
          <w:sz w:val="23"/>
          <w:szCs w:val="23"/>
        </w:rPr>
        <w:t>1</w:t>
      </w:r>
      <w:r>
        <w:rPr>
          <w:rFonts w:ascii="Arial" w:hAnsi="Arial" w:eastAsia="Arial" w:cs="Arial"/>
          <w:b/>
          <w:bCs/>
          <w:spacing w:val="2"/>
          <w:position w:val="2"/>
          <w:sz w:val="23"/>
          <w:szCs w:val="23"/>
        </w:rPr>
        <w:t>2</w:t>
      </w:r>
      <w:r>
        <w:rPr>
          <w:rFonts w:ascii="黑体" w:hAnsi="黑体" w:eastAsia="黑体" w:cs="黑体"/>
          <w:spacing w:val="2"/>
          <w:position w:val="2"/>
          <w:sz w:val="23"/>
          <w:szCs w:val="23"/>
        </w:rPr>
        <w:t>商业天然气用量预测表(万</w:t>
      </w:r>
      <w:r>
        <w:rPr>
          <w:rFonts w:ascii="Arial" w:hAnsi="Arial" w:eastAsia="Arial" w:cs="Arial"/>
          <w:b/>
          <w:bCs/>
          <w:position w:val="2"/>
          <w:sz w:val="23"/>
          <w:szCs w:val="23"/>
        </w:rPr>
        <w:t>Nm</w:t>
      </w:r>
      <w:r>
        <w:rPr>
          <w:rFonts w:ascii="Arial" w:hAnsi="Arial" w:eastAsia="Arial" w:cs="Arial"/>
          <w:b/>
          <w:bCs/>
          <w:spacing w:val="2"/>
          <w:position w:val="9"/>
          <w:sz w:val="15"/>
          <w:szCs w:val="15"/>
        </w:rPr>
        <w:t>3</w:t>
      </w:r>
      <w:r>
        <w:rPr>
          <w:rFonts w:ascii="Arial" w:hAnsi="Arial" w:eastAsia="Arial" w:cs="Arial"/>
          <w:b/>
          <w:bCs/>
          <w:spacing w:val="2"/>
          <w:position w:val="2"/>
          <w:sz w:val="23"/>
          <w:szCs w:val="23"/>
        </w:rPr>
        <w:t>/</w:t>
      </w:r>
      <w:r>
        <w:rPr>
          <w:rFonts w:ascii="Arial" w:hAnsi="Arial" w:eastAsia="Arial" w:cs="Arial"/>
          <w:b/>
          <w:bCs/>
          <w:position w:val="2"/>
          <w:sz w:val="23"/>
          <w:szCs w:val="23"/>
        </w:rPr>
        <w:t>a</w:t>
      </w:r>
      <w:r>
        <w:rPr>
          <w:rFonts w:ascii="黑体" w:hAnsi="黑体" w:eastAsia="黑体" w:cs="黑体"/>
          <w:spacing w:val="2"/>
          <w:position w:val="2"/>
          <w:sz w:val="23"/>
          <w:szCs w:val="23"/>
        </w:rPr>
        <w:t>)</w:t>
      </w:r>
    </w:p>
    <w:tbl>
      <w:tblPr>
        <w:tblStyle w:val="9"/>
        <w:tblW w:w="6890" w:type="dxa"/>
        <w:tblInd w:w="109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200"/>
        <w:gridCol w:w="3690"/>
      </w:tblGrid>
      <w:tr w14:paraId="04E84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200" w:type="dxa"/>
            <w:tcBorders>
              <w:tl2br w:val="nil"/>
              <w:tr2bl w:val="nil"/>
            </w:tcBorders>
            <w:noWrap w:val="0"/>
            <w:vAlign w:val="top"/>
          </w:tcPr>
          <w:p w14:paraId="07F3A36B">
            <w:pPr>
              <w:keepNext w:val="0"/>
              <w:keepLines w:val="0"/>
              <w:pageBreakBefore w:val="0"/>
              <w:widowControl w:val="0"/>
              <w:wordWrap/>
              <w:overflowPunct/>
              <w:bidi w:val="0"/>
              <w:spacing w:before="80" w:line="225" w:lineRule="auto"/>
              <w:ind w:left="120"/>
              <w:rPr>
                <w:rFonts w:ascii="仿宋" w:hAnsi="仿宋" w:eastAsia="仿宋" w:cs="仿宋"/>
                <w:sz w:val="23"/>
                <w:szCs w:val="23"/>
              </w:rPr>
            </w:pPr>
            <w:r>
              <w:rPr>
                <w:rFonts w:ascii="仿宋" w:hAnsi="仿宋" w:eastAsia="仿宋" w:cs="仿宋"/>
                <w:spacing w:val="3"/>
                <w:sz w:val="23"/>
                <w:szCs w:val="23"/>
              </w:rPr>
              <w:t>期限</w:t>
            </w:r>
          </w:p>
        </w:tc>
        <w:tc>
          <w:tcPr>
            <w:tcW w:w="3690" w:type="dxa"/>
            <w:tcBorders>
              <w:tl2br w:val="nil"/>
              <w:tr2bl w:val="nil"/>
            </w:tcBorders>
            <w:noWrap w:val="0"/>
            <w:vAlign w:val="top"/>
          </w:tcPr>
          <w:p w14:paraId="262FEF2B">
            <w:pPr>
              <w:keepNext w:val="0"/>
              <w:keepLines w:val="0"/>
              <w:pageBreakBefore w:val="0"/>
              <w:widowControl w:val="0"/>
              <w:wordWrap/>
              <w:overflowPunct/>
              <w:bidi w:val="0"/>
              <w:spacing w:before="80" w:line="227" w:lineRule="auto"/>
              <w:ind w:left="115"/>
              <w:rPr>
                <w:rFonts w:ascii="仿宋" w:hAnsi="仿宋" w:eastAsia="仿宋" w:cs="仿宋"/>
                <w:sz w:val="23"/>
                <w:szCs w:val="23"/>
              </w:rPr>
            </w:pPr>
            <w:r>
              <w:rPr>
                <w:rFonts w:ascii="仿宋" w:hAnsi="仿宋" w:eastAsia="仿宋" w:cs="仿宋"/>
                <w:spacing w:val="-11"/>
                <w:sz w:val="23"/>
                <w:szCs w:val="23"/>
              </w:rPr>
              <w:t>用气量(日常)</w:t>
            </w:r>
          </w:p>
        </w:tc>
      </w:tr>
      <w:tr w14:paraId="77947C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3200" w:type="dxa"/>
            <w:tcBorders>
              <w:tl2br w:val="nil"/>
              <w:tr2bl w:val="nil"/>
            </w:tcBorders>
            <w:noWrap w:val="0"/>
            <w:vAlign w:val="top"/>
          </w:tcPr>
          <w:p w14:paraId="6E58188F">
            <w:pPr>
              <w:keepNext w:val="0"/>
              <w:keepLines w:val="0"/>
              <w:pageBreakBefore w:val="0"/>
              <w:widowControl w:val="0"/>
              <w:wordWrap/>
              <w:overflowPunct/>
              <w:bidi w:val="0"/>
              <w:spacing w:before="77" w:line="226" w:lineRule="auto"/>
              <w:ind w:left="123"/>
              <w:rPr>
                <w:rFonts w:ascii="仿宋" w:hAnsi="仿宋" w:eastAsia="仿宋" w:cs="仿宋"/>
                <w:sz w:val="23"/>
                <w:szCs w:val="23"/>
              </w:rPr>
            </w:pPr>
            <w:r>
              <w:rPr>
                <w:rFonts w:ascii="仿宋" w:hAnsi="仿宋" w:eastAsia="仿宋" w:cs="仿宋"/>
                <w:spacing w:val="2"/>
                <w:sz w:val="23"/>
                <w:szCs w:val="23"/>
              </w:rPr>
              <w:t>远</w:t>
            </w:r>
            <w:r>
              <w:rPr>
                <w:rFonts w:ascii="仿宋" w:hAnsi="仿宋" w:eastAsia="仿宋" w:cs="仿宋"/>
                <w:spacing w:val="1"/>
                <w:sz w:val="23"/>
                <w:szCs w:val="23"/>
              </w:rPr>
              <w:t>期</w:t>
            </w:r>
          </w:p>
        </w:tc>
        <w:tc>
          <w:tcPr>
            <w:tcW w:w="3690" w:type="dxa"/>
            <w:tcBorders>
              <w:tl2br w:val="nil"/>
              <w:tr2bl w:val="nil"/>
            </w:tcBorders>
            <w:noWrap w:val="0"/>
            <w:vAlign w:val="top"/>
          </w:tcPr>
          <w:p w14:paraId="054B643B">
            <w:pPr>
              <w:keepNext w:val="0"/>
              <w:keepLines w:val="0"/>
              <w:pageBreakBefore w:val="0"/>
              <w:widowControl w:val="0"/>
              <w:wordWrap/>
              <w:overflowPunct/>
              <w:bidi w:val="0"/>
              <w:spacing w:before="107" w:line="203" w:lineRule="auto"/>
              <w:ind w:left="116"/>
              <w:rPr>
                <w:rFonts w:ascii="Arial" w:hAnsi="Arial" w:eastAsia="Arial" w:cs="Arial"/>
                <w:sz w:val="23"/>
                <w:szCs w:val="23"/>
              </w:rPr>
            </w:pPr>
            <w:r>
              <w:rPr>
                <w:rFonts w:ascii="Arial" w:hAnsi="Arial" w:eastAsia="Arial" w:cs="Arial"/>
                <w:spacing w:val="1"/>
                <w:sz w:val="23"/>
                <w:szCs w:val="23"/>
              </w:rPr>
              <w:t>3</w:t>
            </w:r>
            <w:r>
              <w:rPr>
                <w:rFonts w:ascii="Arial" w:hAnsi="Arial" w:eastAsia="Arial" w:cs="Arial"/>
                <w:sz w:val="23"/>
                <w:szCs w:val="23"/>
              </w:rPr>
              <w:t>4</w:t>
            </w:r>
          </w:p>
        </w:tc>
      </w:tr>
    </w:tbl>
    <w:p w14:paraId="193BF6D2">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(3)未预见耗气量</w:t>
      </w:r>
    </w:p>
    <w:p w14:paraId="3906B33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未预见耗气量为12万立方米/年。</w:t>
      </w:r>
    </w:p>
    <w:p w14:paraId="1622E8E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(4)工业用气量</w:t>
      </w:r>
    </w:p>
    <w:p w14:paraId="7D657CFF">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根据规划产业项目供热需求，分期建设两至三台35吨/时燃气供热锅炉，规划期末燃气用量约4316万立方米/年。</w:t>
      </w:r>
    </w:p>
    <w:p w14:paraId="47B738B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10.7.4燃气设施规划</w:t>
      </w:r>
    </w:p>
    <w:p w14:paraId="3737B500">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燃气门站经过调压后通过中压管向园区输配气。输配管道可分为输气干管、输气支管及配气管网。其中设计压力分为高压管道、中压管道和低压管道。工业用户采用中压进户，户内调压方式。针对园区中的高压用户，建设高压专用输气线路。</w:t>
      </w:r>
    </w:p>
    <w:p w14:paraId="05A2DDF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管道敷设应尽量减少穿越工程。为了提高供气安全和可靠性，管网以环网为主，辅以枝状管伸向街坊内部。各类燃气管道宜采用直埋方式敷设，沿道路敷设。燃气管道最小覆土厚度：埋设在车行道下应不小于0.9米；埋设在非机动车道(含人行道)下时，不得小于0.6米；埋设在机动车不可能到达的地方时，不得小于0.3米。</w:t>
      </w:r>
    </w:p>
    <w:p w14:paraId="790BADC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10.7.5燃气管网规划</w:t>
      </w:r>
    </w:p>
    <w:p w14:paraId="0F1145F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10.7.5.1压力级制</w:t>
      </w:r>
    </w:p>
    <w:p w14:paraId="4F30B61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压力级制的确定是城市燃气输气系统规划中的重要问题，它关系到整个输配系统是否实用，能否满足安全和环境保护的要求，同时也影响天然气工程的总投资、初期投资和经营费用。</w:t>
      </w:r>
    </w:p>
    <w:p w14:paraId="70ABF944">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输配系统主要运行压力(均指表压)为：</w:t>
      </w:r>
    </w:p>
    <w:p w14:paraId="5922F601">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高压燃气管道(A级)：2.5-4.0MPa</w:t>
      </w:r>
    </w:p>
    <w:p w14:paraId="6A7450C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中压燃气管道(A级)：0.2-0.4MPa</w:t>
      </w:r>
    </w:p>
    <w:p w14:paraId="760FEDBD">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低压燃气管道：0.01MPa</w:t>
      </w:r>
    </w:p>
    <w:p w14:paraId="4E2BAA3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管网末端、调压器(箱、柜)进口压力：＞0.15Mpa；</w:t>
      </w:r>
    </w:p>
    <w:p w14:paraId="48243FF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商业公建、工业用户设备前压力：根据设备要求设定。</w:t>
      </w:r>
    </w:p>
    <w:p w14:paraId="48C9D46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中压管网完全满足调压箱所需最低启动压力，且有较大压力储备，因此，本规划设计的压力级制确定为中压A级。</w:t>
      </w:r>
    </w:p>
    <w:p w14:paraId="785980F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10.7.5.2管网布置</w:t>
      </w:r>
    </w:p>
    <w:p w14:paraId="09E3FE4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1.管网布置原则</w:t>
      </w:r>
    </w:p>
    <w:p w14:paraId="326A7633">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(1)服从《泉港区市政工程专项规划》，做到远、近期相结合，并易于分期实施。</w:t>
      </w:r>
    </w:p>
    <w:p w14:paraId="0A40972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(2)接近用户，管网既保证安全供气，又要减少管材耗量，节约投资。</w:t>
      </w:r>
    </w:p>
    <w:p w14:paraId="65A3743D">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(3)燃气管线规划尽量布置在人行道，如受到资金、空间的限制，应遵循先人行道、再慢车道、后快车道的原则布置管道。</w:t>
      </w:r>
    </w:p>
    <w:p w14:paraId="534C0AD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(4)在安全供气、布局合理的原则下，尽量减少穿跨越工程，以降低工程投资。</w:t>
      </w:r>
    </w:p>
    <w:p w14:paraId="45FAAA4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(5)中压管网输气干线环状敷设，尽量减少环密度，环内管网可采用支状管网敷设，环枝结合敷设保证安全供气条件下，方便维修及发展新用户。</w:t>
      </w:r>
    </w:p>
    <w:p w14:paraId="0E0E0A0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(6)严格执行《城镇燃气设计规范》所规定的各种安全间距的要求。</w:t>
      </w:r>
    </w:p>
    <w:p w14:paraId="73B1EFA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2.管网布置</w:t>
      </w:r>
    </w:p>
    <w:p w14:paraId="645B7F8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为了保证供气的可靠性和用气的安全性，中压天然气管网大部分敷设为环状，部分管段为支状。管网按最大小时流量来计算，管段最小压力为0.15Mpa，满足了各种用户的用气需求。</w:t>
      </w:r>
    </w:p>
    <w:p w14:paraId="40FDBFF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(1)高压天然气管规划</w:t>
      </w:r>
    </w:p>
    <w:p w14:paraId="373A9C8F">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沿园区边界敷设高压天然气管道，满足周边区域的天然气需求，预计高压天然气管道的管径DN300-DN400，预留道路地下管道空间和管位。</w:t>
      </w:r>
    </w:p>
    <w:p w14:paraId="55727A4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(2)中压天然气管规划</w:t>
      </w:r>
    </w:p>
    <w:p w14:paraId="01F67F53">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园区设环状中压天然气管道，管径规格为DN150-DN200。</w:t>
      </w:r>
    </w:p>
    <w:p w14:paraId="1ACD8BC7">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(3)天然气高中压调压站规划</w:t>
      </w:r>
    </w:p>
    <w:p w14:paraId="226E5C31">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园区设高中压天然气调压站，由高压天然气管道经过高中压天然气调压站，向中压天然气管道输送天然气。中压天然气管道实现联网供气。</w:t>
      </w:r>
    </w:p>
    <w:p w14:paraId="598139E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10.8环卫设施规划</w:t>
      </w:r>
    </w:p>
    <w:p w14:paraId="74E2835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10.8.1现状概况</w:t>
      </w:r>
    </w:p>
    <w:p w14:paraId="5F25A9F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泉港区生活垃圾转运至莆田进行统一焚烧处理。现有泉港区城市生活垃圾卫生填埋场(文革水库处)于2005年建成投产，设计总库容213.6万立方米，由于生活垃圾全部运走，泉港区城市生活垃圾卫生填埋场已封场、停用。</w:t>
      </w:r>
    </w:p>
    <w:p w14:paraId="594DC15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泉港区全区现有乡镇生活垃圾转运站9座，其中地埋式2座，移动压缩厢式5座，兼有地埋式、移动压缩厢式2座。</w:t>
      </w:r>
    </w:p>
    <w:p w14:paraId="1BB68B5E">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10.8.2规划原则</w:t>
      </w:r>
    </w:p>
    <w:p w14:paraId="6AB05E4E">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(1)节约用地，科学布局的原则。结合园区人口发展规模和人口分布，以建设用地及城市道路网布局为基础，合理设置环卫设施。</w:t>
      </w:r>
    </w:p>
    <w:p w14:paraId="11338DD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(2)坚持可持续发展原则。城市固体废弃物处理坚持“减量化、资源化和再利用”原则，减少资源消耗，保护环境。</w:t>
      </w:r>
    </w:p>
    <w:p w14:paraId="68EA5BB5">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(3)坚持规划的一致性原则。环卫事业发展应与城市总体规划和国民经济发展相一致。</w:t>
      </w:r>
    </w:p>
    <w:p w14:paraId="1A41A232">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(4)坚持远近结合原则。需要与现状相结合，以近期为重点，以远期为控制目标，统一规划，分步实施。</w:t>
      </w:r>
    </w:p>
    <w:p w14:paraId="2865879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10.8.3生活垃圾产生量预测</w:t>
      </w:r>
    </w:p>
    <w:p w14:paraId="35E2584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根据《泉港区环境卫生专项规划(2015-2020)》，2011</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2015年福建省城镇人均生活垃圾日产量为0.95-1.25千克/人·日，综合考虑泉港区城市发展实际，预测泉港区城镇近期人均生活垃圾产量为0.95千克/人·日，远期为1.10千克/人·日。</w:t>
      </w:r>
    </w:p>
    <w:p w14:paraId="4A7DA09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按照规划人口预测数量，规划期末生活垃圾产生总量为110吨/日。</w:t>
      </w:r>
    </w:p>
    <w:p w14:paraId="00CAAC68">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10.8.4环卫设施规划</w:t>
      </w:r>
    </w:p>
    <w:p w14:paraId="4DA4712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10.8.4.1生活垃圾收运系统规划</w:t>
      </w:r>
    </w:p>
    <w:p w14:paraId="3F4B5F6C">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规划建立以小型压缩式转运站为主的垃圾收运体系。转运站的选址应可能靠近服务区域中心或垃圾产量最多的地方，周围交通应比较便利。</w:t>
      </w:r>
    </w:p>
    <w:p w14:paraId="5B5FA15E">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结合《泉港区环境卫生专项规划(2015-2020)》，至规划期末，规划区内建设生活垃圾转运站4座，车辆清洗站一座。每座转运站占地面积约500平方米(含绿化隔离带用地)，与相邻建筑间距不应小于8米，转运站宜与绿地结合布置，结合管理手段落实用地。</w:t>
      </w:r>
    </w:p>
    <w:p w14:paraId="50851D5B">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10.8.4.2生活垃圾处理处置规划</w:t>
      </w:r>
    </w:p>
    <w:p w14:paraId="0FC2A466">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生活垃圾处置的基本原则出发，减量化、资源化、无害化是生活垃圾处理的方向。泉港区现状生活垃圾送莆田县焚烧处置，原建设的生活垃圾填埋场已停用，本次规划延续这一处理思路，区内产生的生活垃圾收集后送焚烧处置，实现生活垃圾的减量化、无害化。</w:t>
      </w:r>
    </w:p>
    <w:p w14:paraId="08E17C68">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10.8.4.3垃圾收集运输</w:t>
      </w:r>
    </w:p>
    <w:p w14:paraId="4573FCE9">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建立完善的垃圾收集运输系统，规划垃圾收集系统的设施主要由垃圾桶、垃圾收集点、转运站、垃圾车构成，采用集中混合收集，密封运转，集装箱运输，多元消纳处理的收运处理系统，实现垃圾无害化处理。</w:t>
      </w:r>
    </w:p>
    <w:p w14:paraId="55E749B5">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10.8.4.4公厕设置</w:t>
      </w:r>
    </w:p>
    <w:p w14:paraId="6D5A5DAA">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主要繁华街道公厕服务距离300</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500米，一般街道公厕服务距离800米，居民区公厕每平方公里不小于2座，每个公厕占地60120平方米。</w:t>
      </w:r>
    </w:p>
    <w:p w14:paraId="62DFD84F">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10.8.4.5废物箱</w:t>
      </w:r>
    </w:p>
    <w:p w14:paraId="511E4CF7">
      <w:pPr>
        <w:pStyle w:val="2"/>
        <w:keepNext w:val="0"/>
        <w:keepLines w:val="0"/>
        <w:pageBreakBefore w:val="0"/>
        <w:widowControl w:val="0"/>
        <w:kinsoku/>
        <w:wordWrap/>
        <w:overflowPunct/>
        <w:topLinePunct/>
        <w:autoSpaceDE/>
        <w:autoSpaceDN/>
        <w:bidi w:val="0"/>
        <w:adjustRightInd/>
        <w:snapToGrid/>
        <w:spacing w:before="0" w:beforeAutospacing="0" w:line="45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废物箱按以下标准设置：主要商业道路设置间隔25</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50米，交通干道设置间隔50</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80米，一般道路设置间隔80</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100米。</w:t>
      </w:r>
    </w:p>
    <w:p w14:paraId="21D7B1A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eastAsia" w:ascii="方正小标宋_GBK" w:hAnsi="方正小标宋_GBK" w:eastAsia="方正小标宋_GBK" w:cs="方正小标宋_GBK"/>
          <w:spacing w:val="0"/>
          <w:sz w:val="36"/>
          <w:szCs w:val="36"/>
          <w:lang w:val="en-US" w:eastAsia="zh-CN"/>
        </w:rPr>
      </w:pPr>
    </w:p>
    <w:p w14:paraId="5C671FB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r>
        <w:rPr>
          <w:rFonts w:hint="eastAsia" w:ascii="方正小标宋_GBK" w:hAnsi="方正小标宋_GBK" w:eastAsia="方正小标宋_GBK" w:cs="方正小标宋_GBK"/>
          <w:spacing w:val="0"/>
          <w:sz w:val="36"/>
          <w:szCs w:val="36"/>
          <w:lang w:val="en-US" w:eastAsia="zh-CN"/>
        </w:rPr>
        <w:t>11生态环境建设</w:t>
      </w:r>
    </w:p>
    <w:p w14:paraId="239B6DD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657D2D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11.1规划原则</w:t>
      </w:r>
    </w:p>
    <w:p w14:paraId="3C249A6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(1)贯彻“绿水青山就是金山银山”的发展理念，全面推进可持续发展战略在区域内落地。</w:t>
      </w:r>
    </w:p>
    <w:p w14:paraId="1738640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(2)严格环境治理，强化环境准入，以实现区域环境质量改善为目标制定各项产业政策及引进建设项目。</w:t>
      </w:r>
    </w:p>
    <w:p w14:paraId="475F95F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(3)以生态建设为纲，通过区域内自然的山体、河道的整理与修复，提升区域生态建设水平。</w:t>
      </w:r>
    </w:p>
    <w:p w14:paraId="20B5406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11.2环境保护策略</w:t>
      </w:r>
    </w:p>
    <w:p w14:paraId="2EEF167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11.2.1环境功能区划</w:t>
      </w:r>
    </w:p>
    <w:p w14:paraId="0043ADE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大气环境执行《环境空气质量标准》(GB3095-2012)二级标准；水环境执行《地表水环境质量标准》(GB3838—2002)Ⅲ类标准；</w:t>
      </w:r>
    </w:p>
    <w:p w14:paraId="34B7CD3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依据《声环境质量标准》(GB3096-2008)，以商业金融、集市贸易为主要功能，或者居住、商业、工业混杂，需要维护住宅安静的区域执行2类声环境功能区标准；以工业生产、仓储物流为主要功能，需要防止工业噪声对周围环境产生严重影响的区域执行3类声环境功能区标准；交通干线两侧一定距离之内，需要防止交通噪声对周围环境产生严重影响的区域，包括4a类和4b类两种类型，其中4a类为高速公路、城市主干路、城市次干路两侧区域，4b类为铁路干线两侧区域执行4类声环境功能区标准。</w:t>
      </w:r>
    </w:p>
    <w:p w14:paraId="656E165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11.2.2污染控制</w:t>
      </w:r>
    </w:p>
    <w:p w14:paraId="114A02D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11.2.2.1大气环境保护规划</w:t>
      </w:r>
    </w:p>
    <w:p w14:paraId="15563DF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(1)积极推广洁净能源，优化能源结构；</w:t>
      </w:r>
    </w:p>
    <w:p w14:paraId="4951CE6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(2)依靠科技进步，推广清洁生产工艺；</w:t>
      </w:r>
    </w:p>
    <w:p w14:paraId="3944562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(3)强化工业企业环保燃烧新技术，工业企业废气达标率100%；</w:t>
      </w:r>
    </w:p>
    <w:p w14:paraId="39D05C3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(4)加强绿化建设，降低颗粒物污染；</w:t>
      </w:r>
    </w:p>
    <w:p w14:paraId="330F130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(5)从生态效应角度而言，通过增加楔形绿地、绿化林带，改进街道设计、建筑布局等方法对空气流动做适当调控，促进区域性的气体交换。</w:t>
      </w:r>
    </w:p>
    <w:p w14:paraId="037ED825">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11.2.2.2水环境保护规划</w:t>
      </w:r>
    </w:p>
    <w:p w14:paraId="0F03F9D0">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(1)从保护水源和节约用水入手，采用全过程管理的理念综合整治水源和水质；</w:t>
      </w:r>
    </w:p>
    <w:p w14:paraId="5A573F5A">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(2)限制采用地下水，严格限制高耗水产业和高耗水项目的进入；</w:t>
      </w:r>
    </w:p>
    <w:p w14:paraId="69DFEEE4">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(3)根据总体规划，完善污水收集和治理系统，提高污水治理率；</w:t>
      </w:r>
    </w:p>
    <w:p w14:paraId="31398843">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(4)依靠科技进步，发展再生水回用，提高工业用水的重复利用率，减少产污量，降低末端治理负担。</w:t>
      </w:r>
    </w:p>
    <w:p w14:paraId="4C0B9F87">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11.2.2.3固体废物处理规划</w:t>
      </w:r>
    </w:p>
    <w:p w14:paraId="267B54C1">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(1)建立固废综合利用系统，一般工业固废综合利用率不低于90%；</w:t>
      </w:r>
    </w:p>
    <w:p w14:paraId="53EA8345">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(2)加强工业废弃物的无害化、减量化、资源化处理，采取源头管理的方法增加回收利用；</w:t>
      </w:r>
    </w:p>
    <w:p w14:paraId="19EC0AFE">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(3)建立生活垃圾处理系统，高新园区设立垃圾中转站，实行垃圾分类包装、分类存放、统一回收，实现生活垃圾无害化处理；</w:t>
      </w:r>
    </w:p>
    <w:p w14:paraId="4946B2E1">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(4)危险固体应遵循全过程管理、分类收集、强制处置和集中处理的原则，对危险固体废物应尽量通过焚烧或化学处理方法无害化后再处置。</w:t>
      </w:r>
    </w:p>
    <w:p w14:paraId="7CD69B0B">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11.2.2.4污染土地的土壤修复</w:t>
      </w:r>
    </w:p>
    <w:p w14:paraId="0B8809B0">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(1)全面调查园区内疑似污染土地，作为二次开发利用的基础；</w:t>
      </w:r>
    </w:p>
    <w:p w14:paraId="45A28ECD">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(2)重点在皮革产业区、拟二次开发的原化工用地开展土壤调查，避免二次污染；</w:t>
      </w:r>
    </w:p>
    <w:p w14:paraId="0E86F556">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(3)严格污染土地的用途管制，污染土地二次开发以工业为主，禁止用于居民居住及兴办教育、医院等公共服务设施。</w:t>
      </w:r>
    </w:p>
    <w:p w14:paraId="0EB88D3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11.2.3环境准入控制</w:t>
      </w:r>
    </w:p>
    <w:p w14:paraId="1C7A8C5C">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11.2.3.1投资强度要求</w:t>
      </w:r>
    </w:p>
    <w:p w14:paraId="3E031CA5">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国家对高新区相关政策入手，对园区企业规模进行适度引导，应符合国家产业政策的最小经济规模要求，限制投资额小但用地面积大的项目。优先引进全球性知名品牌、全省和全市的百强企业、销售额大和税收高的高新技术企业。</w:t>
      </w:r>
    </w:p>
    <w:p w14:paraId="558D3EB6">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11.2.3.2清洁生产要求</w:t>
      </w:r>
    </w:p>
    <w:p w14:paraId="3616BE4A">
      <w:pPr>
        <w:pStyle w:val="2"/>
        <w:keepNext w:val="0"/>
        <w:keepLines w:val="0"/>
        <w:pageBreakBefore w:val="0"/>
        <w:widowControl w:val="0"/>
        <w:kinsoku/>
        <w:wordWrap/>
        <w:overflowPunct/>
        <w:topLinePunct/>
        <w:autoSpaceDE/>
        <w:autoSpaceDN/>
        <w:bidi w:val="0"/>
        <w:adjustRightInd/>
        <w:snapToGrid/>
        <w:spacing w:before="0" w:beforeAutospacing="0" w:line="464"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园区坚持“开源与节约并举、节约优先”的方针，入区企业能耗和水耗大幅低于泉港区社会平均水平；</w:t>
      </w:r>
    </w:p>
    <w:p w14:paraId="1A8CB61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高新园区项目应符合国家和行业清洁生产标准要求，入区企业清洁生产水平必须达到国内或国际先进水平要求；在工艺技术水平上，要求入区项目达到国内同行业领先水平、或具备国际先进水平。</w:t>
      </w:r>
    </w:p>
    <w:p w14:paraId="7A6F31F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11.2.3.3污染物排放要求</w:t>
      </w:r>
    </w:p>
    <w:p w14:paraId="3562EE5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高新园区以污染物减量化、资源化、再利用为原则，严格执行环保法规和标准，强化企业环保管理。新入区项目的大气和水污染物排放指标严于国家级高新园区相关指标要求。</w:t>
      </w:r>
    </w:p>
    <w:p w14:paraId="710E4CB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11.3生态建设策略</w:t>
      </w:r>
    </w:p>
    <w:p w14:paraId="7D536D2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通过构建结构清晰、体系完善、特色鲜明的山体水系、道路骨架和绿化景观系统，塑造与区域自然环境协调统一的生态框架。</w:t>
      </w:r>
    </w:p>
    <w:p w14:paraId="0B2E839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按照土地集约利用和景观独特性的原则，对现状水系进行整治。</w:t>
      </w:r>
    </w:p>
    <w:p w14:paraId="36010AB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(1)水系梳理</w:t>
      </w:r>
    </w:p>
    <w:p w14:paraId="65A863D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基于现有河流水系布局及走向现状，对现有水系进行合理梳理，用以保证良好的水系景观效果。</w:t>
      </w:r>
    </w:p>
    <w:p w14:paraId="07AC40A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(2)落实生态保护红线要求</w:t>
      </w:r>
    </w:p>
    <w:p w14:paraId="4CEE02F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定位为生态保护红线的山体应作为区域生态系统的重要组成部分予以优先保护，禁止破坏性的开发活动。</w:t>
      </w:r>
    </w:p>
    <w:p w14:paraId="42B0D2F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(3)再生水回用</w:t>
      </w:r>
    </w:p>
    <w:p w14:paraId="28F62F8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高新区所处的地理位置决定了必须高效地利用再生水(处理后污水)，合理的再生水系统是保持区域水体景观的必要条件。</w:t>
      </w:r>
    </w:p>
    <w:p w14:paraId="5F1EB3F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4AF6C6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BBB9D4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E4529A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631EAC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8B0372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3320DD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F1BA2F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C8B246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EB4BA0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AA2C30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12绿地与景观系统</w:t>
      </w:r>
    </w:p>
    <w:p w14:paraId="6976882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9ED2CD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12.1规划策略</w:t>
      </w:r>
    </w:p>
    <w:p w14:paraId="015A834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全面改善区域的环境景观，通过环境综合整治，做好规划区的形象工程策划；利用园区的良好自然环境，改善规划区的整体面貌，提升整个规划区宏观的生态环境质量。同时也要突出重点，在彰显大气的总体氛围的同时，在可见的重要景观地带，如主要景观道路两侧、规划区门户节点、园区商业服务中心周围，适当增加绿地规模与质量，塑造出经典与亮点。</w:t>
      </w:r>
    </w:p>
    <w:p w14:paraId="6C1D33A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12.2绿地景观系统结构</w:t>
      </w:r>
    </w:p>
    <w:p w14:paraId="67E5EC6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规划区北依虎岩山、东临坝头溪，区内有前烧水库、昆山水库、后郭山、菱溪等，山水景观丰富，为规划区景观提供了良好的自然条件。规划形成“多带、多节点”的绿地景观系统。</w:t>
      </w:r>
    </w:p>
    <w:p w14:paraId="686C5A7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“多带”：主要是由驿峰路、前烧路、第二疏港大道，以及高速、高铁交通廊道所组成的道路景观带，以及沿菱溪和坝头溪的临河景观带。</w:t>
      </w:r>
    </w:p>
    <w:p w14:paraId="71141FF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“多节点”：园区内重要的景观绿化节点，包括公园、广场、主要道路交叉口入口景观等。</w:t>
      </w:r>
    </w:p>
    <w:p w14:paraId="2ACE56F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12.3绿地分类指导</w:t>
      </w:r>
    </w:p>
    <w:p w14:paraId="470A70C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(1)公园绿地规划</w:t>
      </w:r>
    </w:p>
    <w:p w14:paraId="27195E5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规划公园绿地17.81公顷。</w:t>
      </w:r>
    </w:p>
    <w:p w14:paraId="28BA46D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(2)防护绿地规划</w:t>
      </w:r>
    </w:p>
    <w:p w14:paraId="652B5D2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主要为沿道路、铁路、河道、排洪沟(渠)及高压走廊设置的防护绿地，起安全防护和隔离的作用，共计172.51公顷。</w:t>
      </w:r>
    </w:p>
    <w:p w14:paraId="7D4B6BF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(3)广场用地</w:t>
      </w:r>
    </w:p>
    <w:p w14:paraId="314E5A7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规划广场用地1.6公顷。</w:t>
      </w:r>
    </w:p>
    <w:p w14:paraId="0129F10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9A3990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04B761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4E344E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F61F31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13C516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13综合防灾规划</w:t>
      </w:r>
    </w:p>
    <w:p w14:paraId="133E3D1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EADD85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13.1防洪排涝规划</w:t>
      </w:r>
    </w:p>
    <w:p w14:paraId="43A9350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13.1.1规划原则</w:t>
      </w:r>
    </w:p>
    <w:p w14:paraId="1C443B2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(1)确保重点，兼顾一般，合理制定防洪标准。</w:t>
      </w:r>
    </w:p>
    <w:p w14:paraId="60DC17D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(2)全面规划，分期实施，正确处理近期与远期的关系。</w:t>
      </w:r>
    </w:p>
    <w:p w14:paraId="0A0C0C4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(3)统筹区域排涝工程布局，采取因地制宜的排涝方式。</w:t>
      </w:r>
    </w:p>
    <w:p w14:paraId="772AE29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(4)注重工程措施与非工程措施的结合，确保城市防洪安全。</w:t>
      </w:r>
    </w:p>
    <w:p w14:paraId="54C6BB3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13.1.2防洪标准</w:t>
      </w:r>
    </w:p>
    <w:p w14:paraId="0EAE9A7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防洪标准》(GB50201—2014)，参考《泉港区人民政府关于泉港区普安片区、环大学周边片区、锦川片区防洪排涝及水系治理专项规划的批复》(泉港政综〔2017〕172号)，确定泉港高新区防洪标准为：近期20年一遇，远期50年一遇；排涝标准20年一遇。</w:t>
      </w:r>
    </w:p>
    <w:p w14:paraId="2363D46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13.1.3防洪工程措施</w:t>
      </w:r>
    </w:p>
    <w:p w14:paraId="4743606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流经高新园区的河流主要为西侧的菱溪与东侧的坝头溪，河道宽度严格保护，禁止开展不利于行洪的开发建设。具体要求如下：</w:t>
      </w:r>
    </w:p>
    <w:p w14:paraId="2014CC6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根据《泉港区人民政府关于进一步加强重要流域保护管理切实保障水安全的若干意见》(泉港政综〔2015〕20号)文件要求，河岸两侧的开发建设应划定一定区域作为河流生态空间管制界限，对区域穿越城区及重要镇(街道、场)、开发区河段预留不少于30米的区域；其他河流预留不少于15米的区域。</w:t>
      </w:r>
    </w:p>
    <w:p w14:paraId="2D5A724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根据《泉港区人民政府关于泉港区河道岸线及河道生态保护蓝线规划的批复》(泉港政综〔2018〕3号)，菱溪和坝头溪生态保护蓝线内不得擅自建设与防洪、水文、交通、园林景观、取水、造林绿化、排水、排污管网无关的设施。对河道生态保护范围内已有现状建筑，采取“保留现状，控制开发”的原则，不得改扩建。</w:t>
      </w:r>
    </w:p>
    <w:p w14:paraId="1BDA40C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河道两侧近期按10~20年一遇防洪标准修筑防洪堤，远期达到50年一遇防洪标准。防洪堤顶修建防洪抢险道路，同时进行清除行洪障碍、河道清淤等综合治理措施。充分利用河流上游水库等水利工程设施，通过流域统一调度，减轻洪水威胁，提高抵抗超标洪水的能力。</w:t>
      </w:r>
    </w:p>
    <w:p w14:paraId="200F8CC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目前逄短时强降雨且海水涨潮时容易造成内涝，主要原因为园区内部分水系行洪受自身行洪过水断面及排海口海水顶托影响。建议按照《泉港区人民政府关于泉港区普安片区、环大学周边片区、锦川片区防洪排涝及水系治理专项规划的批复》(泉港政综〔2017〕172号)，结合园区实际情况，在昆山等水系排海口增设水闸及强排设施。</w:t>
      </w:r>
    </w:p>
    <w:p w14:paraId="4280076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13.2消防规划</w:t>
      </w:r>
    </w:p>
    <w:p w14:paraId="787D526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13.2.1规划原则</w:t>
      </w:r>
    </w:p>
    <w:p w14:paraId="43C323C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(1)贯彻“预防为主、防消结合”方针，做好城市防火和灭火设施规划建设。</w:t>
      </w:r>
    </w:p>
    <w:p w14:paraId="5E1E170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(2)立足现状，“高起点、高标准”规划，形成城市消防体系。</w:t>
      </w:r>
    </w:p>
    <w:p w14:paraId="34E5D2D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(3)积极推进消防设施规划建设的公众参与和消防工作的社会化。</w:t>
      </w:r>
    </w:p>
    <w:p w14:paraId="71A2E38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(4)近远期结合，分阶段实施，提高规划的可操作性。</w:t>
      </w:r>
    </w:p>
    <w:p w14:paraId="2E2A318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13.2.2消防规划</w:t>
      </w:r>
    </w:p>
    <w:p w14:paraId="0D4506D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根据消防站的设置标准：位于责任区中心，交通便利，与医院、学校等人流集中单位保持一定距离，消防站设置在高速连接线路口，周边设置防护隔离带与周边居住相隔离。</w:t>
      </w:r>
    </w:p>
    <w:p w14:paraId="556C5A3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为加强消防救灾的综合能力，消防安全布局和消防站、消防给水、消防通道、消防通信等公共消防设施，应与其他基础设施统一规划，统一设计，同步建设。</w:t>
      </w:r>
    </w:p>
    <w:p w14:paraId="3362A18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区内规划2座消防站，级别为一级普通消防站。</w:t>
      </w:r>
    </w:p>
    <w:p w14:paraId="7082C88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13.2.3消防设施规划</w:t>
      </w:r>
    </w:p>
    <w:p w14:paraId="4A74E84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(1)消防车通道系统依托规划区道路系统，道路建设标准应满足消防通道的要求。</w:t>
      </w:r>
    </w:p>
    <w:p w14:paraId="2885CBF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(2)消防供水依托城市供水系统，消防水源除城市水厂提供水源保障外，还包括城市的景观水体和天然水体等备用水源。</w:t>
      </w:r>
    </w:p>
    <w:p w14:paraId="43849D9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(3)增加及完善消防设备的种类与数量，做到性能优良、功能齐全，并逐步使用先进的通信工具。</w:t>
      </w:r>
    </w:p>
    <w:p w14:paraId="565F36D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(4)建立由消防调度指挥中心，消防有线、无线通信系统，火场指挥系统，消防信息综合管理系统和指挥训练模拟系统等组成的消防通信系统。</w:t>
      </w:r>
    </w:p>
    <w:p w14:paraId="6D27B93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13.3抗震规划</w:t>
      </w:r>
    </w:p>
    <w:p w14:paraId="3608A31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13.3.1现状分析</w:t>
      </w:r>
    </w:p>
    <w:p w14:paraId="44530E5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处于泉州--汕头地震带的北段西缘，该地震带是我国华南沿海地震活动带的重要组成部分，历史上曾发生破坏性地震36次，其中4¾~4.9级地震8次，5.0~5.9级地震19次，6.0~6.9级地震6次，7级以上地震3次，可以看出该地震带地震活动的强度和频度是很高的，而且有7级地震在南澳地区重复发生的先例。</w:t>
      </w:r>
    </w:p>
    <w:p w14:paraId="32D8C19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spacing w:val="0"/>
          <w:sz w:val="28"/>
          <w:szCs w:val="28"/>
          <w:lang w:val="en-US" w:eastAsia="zh-CN"/>
        </w:rPr>
      </w:pPr>
      <w:r>
        <w:rPr>
          <w:rFonts w:hint="default" w:ascii="楷体_GB2312" w:hAnsi="楷体_GB2312" w:eastAsia="楷体_GB2312" w:cs="楷体_GB2312"/>
          <w:b/>
          <w:bCs/>
          <w:spacing w:val="0"/>
          <w:sz w:val="28"/>
          <w:szCs w:val="28"/>
          <w:lang w:val="en-US" w:eastAsia="zh-CN"/>
        </w:rPr>
        <w:t>13.3.2规划原则</w:t>
      </w:r>
    </w:p>
    <w:p w14:paraId="740F19A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(1)坚持以“预防为主，防、抗、救相结合”的基本原则，做好震前防灾工作，提高城市的综合抗震能力。</w:t>
      </w:r>
    </w:p>
    <w:p w14:paraId="27CA509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(2)在基本烈度7度地震影响时，要求日常生活和工作正常进行；在基本烈度7度地震影响时，要害系统不致受到严重破坏，运行机制不致瘫痪，能够较快恢复正常的生活和生产秩序。</w:t>
      </w:r>
    </w:p>
    <w:p w14:paraId="3B352F8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(3)防止地震造成的次生灾害发生。</w:t>
      </w:r>
    </w:p>
    <w:p w14:paraId="0CDDF4C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13.3.3抗震设防标准</w:t>
      </w:r>
    </w:p>
    <w:p w14:paraId="2BF2AE2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根据《中国地震动峰值加速度区划图》福建省区划一览表，当地的地震动峰值加速度分别为0.10g，分属抗震设防烈度7度区，本次规划范围属于7度区。规划区建设工程抗震设防等级为7度，动峰值加速度0.10g。</w:t>
      </w:r>
    </w:p>
    <w:p w14:paraId="6D59735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医院、学校及生命线工程提高相应抗震设防标准；9层以上建筑和城市医疗卫生、交通、通信、给水、消防、电力、粮油物资等生命线系统设计必须严格按照国家有关规范开展建筑抗震安全评价工作。</w:t>
      </w:r>
    </w:p>
    <w:p w14:paraId="78BB799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13.3.4地震应急避难场所</w:t>
      </w:r>
    </w:p>
    <w:p w14:paraId="43F06B0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地震应急避难场所设置的基本标准为：化整为零，分组团、分片区设置避难场所，实现居民就地疏散，保证人员在10分钟内可步行到达，人均有效避难面积不小于1平方米，占地面积不宜小于0.1公顷；固定避难场所的服务半径宜为2-3公里，保证人员在1小时内可步行到达，人均有效避难面积不小于2平方米，占地面积不宜小于1公顷。</w:t>
      </w:r>
    </w:p>
    <w:p w14:paraId="1390A47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规划利用较大的公园绿地为固定式避震避难场所，各避难场所应根据《地震应急避难场所场址及配套设施》(GB21734-2008)的要求配置相应的应急设施和标志。</w:t>
      </w:r>
    </w:p>
    <w:p w14:paraId="10B0BBD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13.4人防规划</w:t>
      </w:r>
    </w:p>
    <w:p w14:paraId="0B4E298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13.4.1规划目标</w:t>
      </w:r>
    </w:p>
    <w:p w14:paraId="5F82A3C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贯彻“长期准备、重点建设、平战结合”的方针，结合地下空间资源的综合开发，建设结构合理、技术先进、稳定可靠的防空设施。</w:t>
      </w:r>
    </w:p>
    <w:p w14:paraId="08535FE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13.4.2人防标准</w:t>
      </w:r>
    </w:p>
    <w:p w14:paraId="46CD555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建设与区域对接的信息化防空预警系统，报警覆盖率达到100%。</w:t>
      </w:r>
    </w:p>
    <w:p w14:paraId="493B57B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各类建筑应按规定建设地下人防设施，人防工程掩蔽面积不低于人均0.8平方米；地下空间基本满足人均应急避难面积大于1.0平方米的要求。</w:t>
      </w:r>
    </w:p>
    <w:p w14:paraId="516E426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13.4.3人防设施</w:t>
      </w:r>
    </w:p>
    <w:p w14:paraId="75569E0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按相应标准进行人防设施建设，并加强人防隐蔽工程、疏散手段和后方基地的建设；完善人防工程配套设施和防空防灾一体化指挥、管理系统。</w:t>
      </w:r>
    </w:p>
    <w:p w14:paraId="1BEA563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E3DF7D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D843A5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D01A72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2D1821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794E8B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5DFB35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753E6E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D89B3B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AFCA2F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1AA81B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E4EB16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6F4644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DCD4A6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E9A067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E4F587F">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48567D97">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4555D4B6">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1905FAEF">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29B2D5D5">
      <w:pPr>
        <w:keepNext w:val="0"/>
        <w:keepLines w:val="0"/>
        <w:pageBreakBefore w:val="0"/>
        <w:widowControl w:val="0"/>
        <w:wordWrap/>
        <w:overflowPunct/>
        <w:bidi w:val="0"/>
        <w:spacing w:before="113" w:line="222" w:lineRule="auto"/>
        <w:jc w:val="center"/>
        <w:outlineLvl w:val="0"/>
        <w:rPr>
          <w:rFonts w:ascii="仿宋" w:hAnsi="仿宋" w:eastAsia="仿宋" w:cs="仿宋"/>
          <w:spacing w:val="3"/>
          <w:sz w:val="35"/>
          <w:szCs w:val="35"/>
        </w:rPr>
      </w:pPr>
    </w:p>
    <w:p w14:paraId="5FC1B398">
      <w:pPr>
        <w:keepNext w:val="0"/>
        <w:keepLines w:val="0"/>
        <w:pageBreakBefore w:val="0"/>
        <w:widowControl w:val="0"/>
        <w:wordWrap/>
        <w:overflowPunct/>
        <w:bidi w:val="0"/>
        <w:spacing w:before="113" w:line="222" w:lineRule="auto"/>
        <w:jc w:val="center"/>
        <w:outlineLvl w:val="0"/>
        <w:rPr>
          <w:rFonts w:ascii="仿宋" w:hAnsi="仿宋" w:eastAsia="仿宋" w:cs="仿宋"/>
          <w:sz w:val="35"/>
          <w:szCs w:val="35"/>
        </w:rPr>
      </w:pPr>
      <w:r>
        <w:rPr>
          <w:rFonts w:ascii="仿宋" w:hAnsi="仿宋" w:eastAsia="仿宋" w:cs="仿宋"/>
          <w:spacing w:val="3"/>
          <w:sz w:val="35"/>
          <w:szCs w:val="35"/>
        </w:rPr>
        <w:t>第四部分</w:t>
      </w:r>
    </w:p>
    <w:p w14:paraId="2E8FFD47">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r>
        <w:rPr>
          <w:rFonts w:ascii="仿宋" w:hAnsi="仿宋" w:eastAsia="仿宋" w:cs="仿宋"/>
          <w:spacing w:val="6"/>
          <w:sz w:val="43"/>
          <w:szCs w:val="43"/>
        </w:rPr>
        <w:t>规划实施保障</w:t>
      </w:r>
    </w:p>
    <w:p w14:paraId="6D15BAAE">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3D5C6508">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3967E441">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5D33DEEF">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2FF859D9">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147CAA4A">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10A7A133">
      <w:pPr>
        <w:pStyle w:val="2"/>
        <w:keepNext w:val="0"/>
        <w:keepLines w:val="0"/>
        <w:pageBreakBefore w:val="0"/>
        <w:widowControl w:val="0"/>
        <w:wordWrap/>
        <w:overflowPunct/>
        <w:bidi w:val="0"/>
        <w:ind w:left="0" w:leftChars="0" w:firstLine="0" w:firstLineChars="0"/>
        <w:jc w:val="center"/>
        <w:rPr>
          <w:rFonts w:ascii="仿宋" w:hAnsi="仿宋" w:eastAsia="仿宋" w:cs="仿宋"/>
          <w:spacing w:val="3"/>
          <w:sz w:val="43"/>
          <w:szCs w:val="43"/>
        </w:rPr>
      </w:pPr>
    </w:p>
    <w:p w14:paraId="7838F116">
      <w:pPr>
        <w:pStyle w:val="2"/>
        <w:keepNext w:val="0"/>
        <w:keepLines w:val="0"/>
        <w:pageBreakBefore w:val="0"/>
        <w:widowControl w:val="0"/>
        <w:wordWrap/>
        <w:overflowPunct/>
        <w:bidi w:val="0"/>
        <w:ind w:left="0" w:leftChars="0" w:firstLine="0" w:firstLineChars="0"/>
        <w:jc w:val="center"/>
        <w:rPr>
          <w:rFonts w:hint="eastAsia" w:ascii="仿宋" w:hAnsi="仿宋" w:eastAsia="仿宋" w:cs="仿宋"/>
          <w:spacing w:val="3"/>
          <w:sz w:val="43"/>
          <w:szCs w:val="43"/>
          <w:lang w:val="en-US" w:eastAsia="zh-CN"/>
        </w:rPr>
      </w:pPr>
    </w:p>
    <w:p w14:paraId="08420099">
      <w:pPr>
        <w:pStyle w:val="2"/>
        <w:keepNext w:val="0"/>
        <w:keepLines w:val="0"/>
        <w:pageBreakBefore w:val="0"/>
        <w:widowControl w:val="0"/>
        <w:wordWrap/>
        <w:overflowPunct/>
        <w:bidi w:val="0"/>
        <w:ind w:left="0" w:leftChars="0" w:firstLine="0" w:firstLineChars="0"/>
        <w:jc w:val="center"/>
        <w:rPr>
          <w:rFonts w:hint="eastAsia" w:ascii="仿宋" w:hAnsi="仿宋" w:eastAsia="仿宋" w:cs="仿宋"/>
          <w:spacing w:val="3"/>
          <w:sz w:val="43"/>
          <w:szCs w:val="43"/>
          <w:lang w:val="en-US" w:eastAsia="zh-CN"/>
        </w:rPr>
      </w:pPr>
    </w:p>
    <w:p w14:paraId="34D4093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p>
    <w:p w14:paraId="20D7F85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14规划效果分析</w:t>
      </w:r>
    </w:p>
    <w:p w14:paraId="28C9980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96A3C1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14.1经济效益</w:t>
      </w:r>
    </w:p>
    <w:p w14:paraId="73CC9AF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对规划重点产业项目的预测，规划项目实施后，到2025年，泉港高新区产业项目新增总投资将达到53亿元，年新增产值将达到131亿元，年新增利税额约16亿元，年利润额11亿元左右；到2030年，泉港高新区产业项目新增总投资将达到89亿元，年产值将达到约219亿元，年利税额约27亿元，年利润额约18亿元；到规划期末(2035年)，泉港高新区实现新增总投资181亿元，年产值462亿元，年利税额57亿元，年利润额39亿元。</w:t>
      </w:r>
    </w:p>
    <w:p w14:paraId="606B44E0">
      <w:pPr>
        <w:keepNext w:val="0"/>
        <w:keepLines w:val="0"/>
        <w:pageBreakBefore w:val="0"/>
        <w:widowControl w:val="0"/>
        <w:wordWrap/>
        <w:overflowPunct/>
        <w:bidi w:val="0"/>
        <w:spacing w:before="75" w:line="225" w:lineRule="auto"/>
        <w:ind w:left="2196"/>
        <w:rPr>
          <w:rFonts w:ascii="黑体" w:hAnsi="黑体" w:eastAsia="黑体" w:cs="黑体"/>
          <w:sz w:val="23"/>
          <w:szCs w:val="23"/>
        </w:rPr>
      </w:pPr>
      <w:r>
        <w:rPr>
          <w:rFonts w:ascii="黑体" w:hAnsi="黑体" w:eastAsia="黑体" w:cs="黑体"/>
          <w:spacing w:val="10"/>
          <w:sz w:val="23"/>
          <w:szCs w:val="23"/>
        </w:rPr>
        <w:t>表</w:t>
      </w:r>
      <w:r>
        <w:rPr>
          <w:rFonts w:ascii="Arial" w:hAnsi="Arial" w:eastAsia="Arial" w:cs="Arial"/>
          <w:b/>
          <w:bCs/>
          <w:spacing w:val="5"/>
          <w:sz w:val="23"/>
          <w:szCs w:val="23"/>
        </w:rPr>
        <w:t>15-1</w:t>
      </w:r>
      <w:r>
        <w:rPr>
          <w:rFonts w:ascii="黑体" w:hAnsi="黑体" w:eastAsia="黑体" w:cs="黑体"/>
          <w:spacing w:val="5"/>
          <w:sz w:val="23"/>
          <w:szCs w:val="23"/>
        </w:rPr>
        <w:t>泉港高新区产业规划经济效益指标表</w:t>
      </w:r>
    </w:p>
    <w:p w14:paraId="5488F8F9">
      <w:pPr>
        <w:keepNext w:val="0"/>
        <w:keepLines w:val="0"/>
        <w:pageBreakBefore w:val="0"/>
        <w:widowControl w:val="0"/>
        <w:wordWrap/>
        <w:overflowPunct/>
        <w:bidi w:val="0"/>
        <w:spacing w:line="139" w:lineRule="exact"/>
      </w:pPr>
    </w:p>
    <w:tbl>
      <w:tblPr>
        <w:tblStyle w:val="9"/>
        <w:tblW w:w="89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2897"/>
        <w:gridCol w:w="1329"/>
        <w:gridCol w:w="1330"/>
        <w:gridCol w:w="1330"/>
        <w:gridCol w:w="1335"/>
      </w:tblGrid>
      <w:tr w14:paraId="79D39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jc w:val="center"/>
        </w:trPr>
        <w:tc>
          <w:tcPr>
            <w:tcW w:w="726" w:type="dxa"/>
            <w:shd w:val="clear" w:color="auto" w:fill="E7E6E6"/>
            <w:noWrap w:val="0"/>
            <w:vAlign w:val="top"/>
          </w:tcPr>
          <w:p w14:paraId="597E2D32">
            <w:pPr>
              <w:keepNext w:val="0"/>
              <w:keepLines w:val="0"/>
              <w:pageBreakBefore w:val="0"/>
              <w:widowControl w:val="0"/>
              <w:kinsoku/>
              <w:wordWrap/>
              <w:overflowPunct/>
              <w:topLinePunct w:val="0"/>
              <w:autoSpaceDE/>
              <w:autoSpaceDN/>
              <w:bidi w:val="0"/>
              <w:adjustRightInd/>
              <w:snapToGrid/>
              <w:spacing w:before="242" w:line="240" w:lineRule="exact"/>
              <w:ind w:left="155"/>
              <w:textAlignment w:val="auto"/>
              <w:rPr>
                <w:rFonts w:ascii="仿宋" w:hAnsi="仿宋" w:eastAsia="仿宋" w:cs="仿宋"/>
                <w:sz w:val="20"/>
                <w:szCs w:val="20"/>
              </w:rPr>
            </w:pPr>
            <w:r>
              <w:rPr>
                <w:rFonts w:ascii="仿宋" w:hAnsi="仿宋" w:eastAsia="仿宋" w:cs="仿宋"/>
                <w:spacing w:val="7"/>
                <w:sz w:val="20"/>
                <w:szCs w:val="20"/>
              </w:rPr>
              <w:t>序</w:t>
            </w:r>
            <w:r>
              <w:rPr>
                <w:rFonts w:ascii="仿宋" w:hAnsi="仿宋" w:eastAsia="仿宋" w:cs="仿宋"/>
                <w:spacing w:val="6"/>
                <w:sz w:val="20"/>
                <w:szCs w:val="20"/>
              </w:rPr>
              <w:t>号</w:t>
            </w:r>
          </w:p>
        </w:tc>
        <w:tc>
          <w:tcPr>
            <w:tcW w:w="2897" w:type="dxa"/>
            <w:shd w:val="clear" w:color="auto" w:fill="E7E6E6"/>
            <w:noWrap w:val="0"/>
            <w:vAlign w:val="top"/>
          </w:tcPr>
          <w:p w14:paraId="5378522E">
            <w:pPr>
              <w:keepNext w:val="0"/>
              <w:keepLines w:val="0"/>
              <w:pageBreakBefore w:val="0"/>
              <w:widowControl w:val="0"/>
              <w:kinsoku/>
              <w:wordWrap/>
              <w:overflowPunct/>
              <w:topLinePunct w:val="0"/>
              <w:autoSpaceDE/>
              <w:autoSpaceDN/>
              <w:bidi w:val="0"/>
              <w:adjustRightInd/>
              <w:snapToGrid/>
              <w:spacing w:before="241" w:line="240" w:lineRule="exact"/>
              <w:ind w:left="926"/>
              <w:jc w:val="both"/>
              <w:textAlignment w:val="auto"/>
              <w:rPr>
                <w:rFonts w:ascii="仿宋" w:hAnsi="仿宋" w:eastAsia="仿宋" w:cs="仿宋"/>
                <w:b/>
                <w:bCs/>
                <w:sz w:val="20"/>
                <w:szCs w:val="20"/>
              </w:rPr>
            </w:pPr>
            <w:r>
              <w:rPr>
                <w:rFonts w:ascii="仿宋" w:hAnsi="仿宋" w:eastAsia="仿宋" w:cs="仿宋"/>
                <w:b/>
                <w:bCs/>
                <w:spacing w:val="11"/>
                <w:sz w:val="20"/>
                <w:szCs w:val="20"/>
              </w:rPr>
              <w:t>产</w:t>
            </w:r>
            <w:r>
              <w:rPr>
                <w:rFonts w:ascii="仿宋" w:hAnsi="仿宋" w:eastAsia="仿宋" w:cs="仿宋"/>
                <w:b/>
                <w:bCs/>
                <w:spacing w:val="8"/>
                <w:sz w:val="20"/>
                <w:szCs w:val="20"/>
              </w:rPr>
              <w:t>业功能区</w:t>
            </w:r>
          </w:p>
        </w:tc>
        <w:tc>
          <w:tcPr>
            <w:tcW w:w="1329" w:type="dxa"/>
            <w:shd w:val="clear" w:color="auto" w:fill="E7E6E6"/>
            <w:noWrap w:val="0"/>
            <w:vAlign w:val="top"/>
          </w:tcPr>
          <w:p w14:paraId="1C12B1AD">
            <w:pPr>
              <w:keepNext w:val="0"/>
              <w:keepLines w:val="0"/>
              <w:pageBreakBefore w:val="0"/>
              <w:widowControl w:val="0"/>
              <w:kinsoku/>
              <w:wordWrap/>
              <w:overflowPunct/>
              <w:topLinePunct w:val="0"/>
              <w:autoSpaceDE/>
              <w:autoSpaceDN/>
              <w:bidi w:val="0"/>
              <w:adjustRightInd/>
              <w:snapToGrid/>
              <w:spacing w:before="77" w:line="240" w:lineRule="exact"/>
              <w:ind w:left="245" w:right="244" w:firstLine="123"/>
              <w:jc w:val="both"/>
              <w:textAlignment w:val="auto"/>
              <w:rPr>
                <w:rFonts w:ascii="仿宋" w:hAnsi="仿宋" w:eastAsia="仿宋" w:cs="仿宋"/>
                <w:b/>
                <w:bCs/>
                <w:spacing w:val="3"/>
                <w:sz w:val="20"/>
                <w:szCs w:val="20"/>
              </w:rPr>
            </w:pPr>
            <w:r>
              <w:rPr>
                <w:rFonts w:ascii="仿宋" w:hAnsi="仿宋" w:eastAsia="仿宋" w:cs="仿宋"/>
                <w:b/>
                <w:bCs/>
                <w:spacing w:val="3"/>
                <w:sz w:val="20"/>
                <w:szCs w:val="20"/>
              </w:rPr>
              <w:t>总投资</w:t>
            </w:r>
          </w:p>
          <w:p w14:paraId="58AE28AF">
            <w:pPr>
              <w:keepNext w:val="0"/>
              <w:keepLines w:val="0"/>
              <w:pageBreakBefore w:val="0"/>
              <w:widowControl w:val="0"/>
              <w:kinsoku/>
              <w:wordWrap/>
              <w:overflowPunct/>
              <w:topLinePunct w:val="0"/>
              <w:autoSpaceDE/>
              <w:autoSpaceDN/>
              <w:bidi w:val="0"/>
              <w:adjustRightInd/>
              <w:snapToGrid/>
              <w:spacing w:before="77" w:line="240" w:lineRule="exact"/>
              <w:ind w:left="245" w:right="244" w:firstLine="123"/>
              <w:jc w:val="both"/>
              <w:textAlignment w:val="auto"/>
              <w:rPr>
                <w:rFonts w:ascii="仿宋" w:hAnsi="仿宋" w:eastAsia="仿宋" w:cs="仿宋"/>
                <w:b/>
                <w:bCs/>
                <w:sz w:val="20"/>
                <w:szCs w:val="20"/>
              </w:rPr>
            </w:pPr>
            <w:r>
              <w:rPr>
                <w:rFonts w:ascii="仿宋" w:hAnsi="仿宋" w:eastAsia="仿宋" w:cs="仿宋"/>
                <w:b/>
                <w:bCs/>
                <w:spacing w:val="-12"/>
                <w:sz w:val="20"/>
                <w:szCs w:val="20"/>
              </w:rPr>
              <w:t>(</w:t>
            </w:r>
            <w:r>
              <w:rPr>
                <w:rFonts w:ascii="仿宋" w:hAnsi="仿宋" w:eastAsia="仿宋" w:cs="仿宋"/>
                <w:b/>
                <w:bCs/>
                <w:spacing w:val="-11"/>
                <w:sz w:val="20"/>
                <w:szCs w:val="20"/>
              </w:rPr>
              <w:t>万元)</w:t>
            </w:r>
          </w:p>
        </w:tc>
        <w:tc>
          <w:tcPr>
            <w:tcW w:w="1330" w:type="dxa"/>
            <w:shd w:val="clear" w:color="auto" w:fill="E7E6E6"/>
            <w:noWrap w:val="0"/>
            <w:vAlign w:val="top"/>
          </w:tcPr>
          <w:p w14:paraId="4455B858">
            <w:pPr>
              <w:keepNext w:val="0"/>
              <w:keepLines w:val="0"/>
              <w:pageBreakBefore w:val="0"/>
              <w:widowControl w:val="0"/>
              <w:kinsoku/>
              <w:wordWrap/>
              <w:overflowPunct/>
              <w:topLinePunct w:val="0"/>
              <w:autoSpaceDE/>
              <w:autoSpaceDN/>
              <w:bidi w:val="0"/>
              <w:adjustRightInd/>
              <w:snapToGrid/>
              <w:spacing w:before="77" w:line="240" w:lineRule="exact"/>
              <w:ind w:left="246" w:right="245" w:firstLine="111"/>
              <w:jc w:val="both"/>
              <w:textAlignment w:val="auto"/>
              <w:rPr>
                <w:rFonts w:ascii="仿宋" w:hAnsi="仿宋" w:eastAsia="仿宋" w:cs="仿宋"/>
                <w:b/>
                <w:bCs/>
                <w:spacing w:val="6"/>
                <w:sz w:val="20"/>
                <w:szCs w:val="20"/>
              </w:rPr>
            </w:pPr>
            <w:r>
              <w:rPr>
                <w:rFonts w:ascii="仿宋" w:hAnsi="仿宋" w:eastAsia="仿宋" w:cs="仿宋"/>
                <w:b/>
                <w:bCs/>
                <w:spacing w:val="7"/>
                <w:sz w:val="20"/>
                <w:szCs w:val="20"/>
              </w:rPr>
              <w:t>年产</w:t>
            </w:r>
            <w:r>
              <w:rPr>
                <w:rFonts w:ascii="仿宋" w:hAnsi="仿宋" w:eastAsia="仿宋" w:cs="仿宋"/>
                <w:b/>
                <w:bCs/>
                <w:spacing w:val="6"/>
                <w:sz w:val="20"/>
                <w:szCs w:val="20"/>
              </w:rPr>
              <w:t>值</w:t>
            </w:r>
          </w:p>
          <w:p w14:paraId="00A54B8C">
            <w:pPr>
              <w:keepNext w:val="0"/>
              <w:keepLines w:val="0"/>
              <w:pageBreakBefore w:val="0"/>
              <w:widowControl w:val="0"/>
              <w:kinsoku/>
              <w:wordWrap/>
              <w:overflowPunct/>
              <w:topLinePunct w:val="0"/>
              <w:autoSpaceDE/>
              <w:autoSpaceDN/>
              <w:bidi w:val="0"/>
              <w:adjustRightInd/>
              <w:snapToGrid/>
              <w:spacing w:before="77" w:line="240" w:lineRule="exact"/>
              <w:ind w:left="246" w:right="245" w:firstLine="111"/>
              <w:jc w:val="both"/>
              <w:textAlignment w:val="auto"/>
              <w:rPr>
                <w:rFonts w:ascii="仿宋" w:hAnsi="仿宋" w:eastAsia="仿宋" w:cs="仿宋"/>
                <w:b/>
                <w:bCs/>
                <w:sz w:val="20"/>
                <w:szCs w:val="20"/>
              </w:rPr>
            </w:pPr>
            <w:r>
              <w:rPr>
                <w:rFonts w:ascii="仿宋" w:hAnsi="仿宋" w:eastAsia="仿宋" w:cs="仿宋"/>
                <w:b/>
                <w:bCs/>
                <w:spacing w:val="-12"/>
                <w:sz w:val="20"/>
                <w:szCs w:val="20"/>
              </w:rPr>
              <w:t>(</w:t>
            </w:r>
            <w:r>
              <w:rPr>
                <w:rFonts w:ascii="仿宋" w:hAnsi="仿宋" w:eastAsia="仿宋" w:cs="仿宋"/>
                <w:b/>
                <w:bCs/>
                <w:spacing w:val="-11"/>
                <w:sz w:val="20"/>
                <w:szCs w:val="20"/>
              </w:rPr>
              <w:t>万元)</w:t>
            </w:r>
          </w:p>
        </w:tc>
        <w:tc>
          <w:tcPr>
            <w:tcW w:w="1330" w:type="dxa"/>
            <w:shd w:val="clear" w:color="auto" w:fill="E7E6E6"/>
            <w:noWrap w:val="0"/>
            <w:vAlign w:val="top"/>
          </w:tcPr>
          <w:p w14:paraId="27584D9E">
            <w:pPr>
              <w:keepNext w:val="0"/>
              <w:keepLines w:val="0"/>
              <w:pageBreakBefore w:val="0"/>
              <w:widowControl w:val="0"/>
              <w:kinsoku/>
              <w:wordWrap/>
              <w:overflowPunct/>
              <w:topLinePunct w:val="0"/>
              <w:autoSpaceDE/>
              <w:autoSpaceDN/>
              <w:bidi w:val="0"/>
              <w:adjustRightInd/>
              <w:snapToGrid/>
              <w:spacing w:before="77" w:line="240" w:lineRule="exact"/>
              <w:ind w:left="248" w:right="243" w:firstLine="111"/>
              <w:jc w:val="both"/>
              <w:textAlignment w:val="auto"/>
              <w:rPr>
                <w:rFonts w:ascii="仿宋" w:hAnsi="仿宋" w:eastAsia="仿宋" w:cs="仿宋"/>
                <w:b/>
                <w:bCs/>
                <w:spacing w:val="6"/>
                <w:sz w:val="20"/>
                <w:szCs w:val="20"/>
              </w:rPr>
            </w:pPr>
            <w:r>
              <w:rPr>
                <w:rFonts w:ascii="仿宋" w:hAnsi="仿宋" w:eastAsia="仿宋" w:cs="仿宋"/>
                <w:b/>
                <w:bCs/>
                <w:spacing w:val="7"/>
                <w:sz w:val="20"/>
                <w:szCs w:val="20"/>
              </w:rPr>
              <w:t>年利</w:t>
            </w:r>
            <w:r>
              <w:rPr>
                <w:rFonts w:ascii="仿宋" w:hAnsi="仿宋" w:eastAsia="仿宋" w:cs="仿宋"/>
                <w:b/>
                <w:bCs/>
                <w:spacing w:val="6"/>
                <w:sz w:val="20"/>
                <w:szCs w:val="20"/>
              </w:rPr>
              <w:t>税</w:t>
            </w:r>
          </w:p>
          <w:p w14:paraId="19BF78AA">
            <w:pPr>
              <w:keepNext w:val="0"/>
              <w:keepLines w:val="0"/>
              <w:pageBreakBefore w:val="0"/>
              <w:widowControl w:val="0"/>
              <w:kinsoku/>
              <w:wordWrap/>
              <w:overflowPunct/>
              <w:topLinePunct w:val="0"/>
              <w:autoSpaceDE/>
              <w:autoSpaceDN/>
              <w:bidi w:val="0"/>
              <w:adjustRightInd/>
              <w:snapToGrid/>
              <w:spacing w:before="77" w:line="240" w:lineRule="exact"/>
              <w:ind w:left="248" w:right="243" w:firstLine="111"/>
              <w:jc w:val="both"/>
              <w:textAlignment w:val="auto"/>
              <w:rPr>
                <w:rFonts w:ascii="仿宋" w:hAnsi="仿宋" w:eastAsia="仿宋" w:cs="仿宋"/>
                <w:b/>
                <w:bCs/>
                <w:sz w:val="20"/>
                <w:szCs w:val="20"/>
              </w:rPr>
            </w:pPr>
            <w:r>
              <w:rPr>
                <w:rFonts w:ascii="仿宋" w:hAnsi="仿宋" w:eastAsia="仿宋" w:cs="仿宋"/>
                <w:b/>
                <w:bCs/>
                <w:spacing w:val="-12"/>
                <w:sz w:val="20"/>
                <w:szCs w:val="20"/>
              </w:rPr>
              <w:t>(</w:t>
            </w:r>
            <w:r>
              <w:rPr>
                <w:rFonts w:ascii="仿宋" w:hAnsi="仿宋" w:eastAsia="仿宋" w:cs="仿宋"/>
                <w:b/>
                <w:bCs/>
                <w:spacing w:val="-11"/>
                <w:sz w:val="20"/>
                <w:szCs w:val="20"/>
              </w:rPr>
              <w:t>万元)</w:t>
            </w:r>
          </w:p>
        </w:tc>
        <w:tc>
          <w:tcPr>
            <w:tcW w:w="1335" w:type="dxa"/>
            <w:shd w:val="clear" w:color="auto" w:fill="E7E6E6"/>
            <w:noWrap w:val="0"/>
            <w:vAlign w:val="top"/>
          </w:tcPr>
          <w:p w14:paraId="7FDAF1DA">
            <w:pPr>
              <w:keepNext w:val="0"/>
              <w:keepLines w:val="0"/>
              <w:pageBreakBefore w:val="0"/>
              <w:widowControl w:val="0"/>
              <w:kinsoku/>
              <w:wordWrap/>
              <w:overflowPunct/>
              <w:topLinePunct w:val="0"/>
              <w:autoSpaceDE/>
              <w:autoSpaceDN/>
              <w:bidi w:val="0"/>
              <w:adjustRightInd/>
              <w:snapToGrid/>
              <w:spacing w:before="77" w:line="240" w:lineRule="exact"/>
              <w:ind w:left="250" w:right="246" w:firstLine="109"/>
              <w:jc w:val="both"/>
              <w:textAlignment w:val="auto"/>
              <w:rPr>
                <w:rFonts w:ascii="仿宋" w:hAnsi="仿宋" w:eastAsia="仿宋" w:cs="仿宋"/>
                <w:b/>
                <w:bCs/>
                <w:spacing w:val="6"/>
                <w:sz w:val="20"/>
                <w:szCs w:val="20"/>
              </w:rPr>
            </w:pPr>
            <w:r>
              <w:rPr>
                <w:rFonts w:ascii="仿宋" w:hAnsi="仿宋" w:eastAsia="仿宋" w:cs="仿宋"/>
                <w:b/>
                <w:bCs/>
                <w:spacing w:val="7"/>
                <w:sz w:val="20"/>
                <w:szCs w:val="20"/>
              </w:rPr>
              <w:t>年利</w:t>
            </w:r>
            <w:r>
              <w:rPr>
                <w:rFonts w:ascii="仿宋" w:hAnsi="仿宋" w:eastAsia="仿宋" w:cs="仿宋"/>
                <w:b/>
                <w:bCs/>
                <w:spacing w:val="6"/>
                <w:sz w:val="20"/>
                <w:szCs w:val="20"/>
              </w:rPr>
              <w:t>润</w:t>
            </w:r>
          </w:p>
          <w:p w14:paraId="5E8CBD0C">
            <w:pPr>
              <w:keepNext w:val="0"/>
              <w:keepLines w:val="0"/>
              <w:pageBreakBefore w:val="0"/>
              <w:widowControl w:val="0"/>
              <w:kinsoku/>
              <w:wordWrap/>
              <w:overflowPunct/>
              <w:topLinePunct w:val="0"/>
              <w:autoSpaceDE/>
              <w:autoSpaceDN/>
              <w:bidi w:val="0"/>
              <w:adjustRightInd/>
              <w:snapToGrid/>
              <w:spacing w:before="77" w:line="240" w:lineRule="exact"/>
              <w:ind w:left="250" w:right="246" w:firstLine="109"/>
              <w:jc w:val="both"/>
              <w:textAlignment w:val="auto"/>
              <w:rPr>
                <w:rFonts w:ascii="仿宋" w:hAnsi="仿宋" w:eastAsia="仿宋" w:cs="仿宋"/>
                <w:b/>
                <w:bCs/>
                <w:sz w:val="20"/>
                <w:szCs w:val="20"/>
              </w:rPr>
            </w:pPr>
            <w:r>
              <w:rPr>
                <w:rFonts w:ascii="仿宋" w:hAnsi="仿宋" w:eastAsia="仿宋" w:cs="仿宋"/>
                <w:b/>
                <w:bCs/>
                <w:spacing w:val="-12"/>
                <w:sz w:val="20"/>
                <w:szCs w:val="20"/>
              </w:rPr>
              <w:t>(</w:t>
            </w:r>
            <w:r>
              <w:rPr>
                <w:rFonts w:ascii="仿宋" w:hAnsi="仿宋" w:eastAsia="仿宋" w:cs="仿宋"/>
                <w:b/>
                <w:bCs/>
                <w:spacing w:val="-11"/>
                <w:sz w:val="20"/>
                <w:szCs w:val="20"/>
              </w:rPr>
              <w:t>万元)</w:t>
            </w:r>
          </w:p>
        </w:tc>
      </w:tr>
      <w:tr w14:paraId="244E4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8947" w:type="dxa"/>
            <w:gridSpan w:val="6"/>
            <w:shd w:val="clear" w:color="auto" w:fill="E2EFD9"/>
            <w:noWrap w:val="0"/>
            <w:vAlign w:val="top"/>
          </w:tcPr>
          <w:p w14:paraId="3002A5C3">
            <w:pPr>
              <w:keepNext w:val="0"/>
              <w:keepLines w:val="0"/>
              <w:pageBreakBefore w:val="0"/>
              <w:widowControl w:val="0"/>
              <w:kinsoku/>
              <w:wordWrap/>
              <w:overflowPunct/>
              <w:topLinePunct w:val="0"/>
              <w:autoSpaceDE/>
              <w:autoSpaceDN/>
              <w:bidi w:val="0"/>
              <w:adjustRightInd/>
              <w:snapToGrid/>
              <w:spacing w:before="72" w:line="240" w:lineRule="exact"/>
              <w:ind w:left="3831"/>
              <w:textAlignment w:val="auto"/>
              <w:rPr>
                <w:rFonts w:ascii="仿宋" w:hAnsi="仿宋" w:eastAsia="仿宋" w:cs="仿宋"/>
                <w:sz w:val="20"/>
                <w:szCs w:val="20"/>
              </w:rPr>
            </w:pPr>
            <w:r>
              <w:rPr>
                <w:rFonts w:ascii="仿宋" w:hAnsi="仿宋" w:eastAsia="仿宋" w:cs="仿宋"/>
                <w:spacing w:val="5"/>
                <w:sz w:val="20"/>
                <w:szCs w:val="20"/>
              </w:rPr>
              <w:t>近期(</w:t>
            </w:r>
            <w:r>
              <w:rPr>
                <w:rFonts w:ascii="Arial" w:hAnsi="Arial" w:eastAsia="Arial" w:cs="Arial"/>
                <w:b/>
                <w:bCs/>
                <w:spacing w:val="5"/>
                <w:sz w:val="20"/>
                <w:szCs w:val="20"/>
              </w:rPr>
              <w:t>2025</w:t>
            </w:r>
            <w:r>
              <w:rPr>
                <w:rFonts w:ascii="仿宋" w:hAnsi="仿宋" w:eastAsia="仿宋" w:cs="仿宋"/>
                <w:spacing w:val="5"/>
                <w:sz w:val="20"/>
                <w:szCs w:val="20"/>
              </w:rPr>
              <w:t>)</w:t>
            </w:r>
          </w:p>
        </w:tc>
      </w:tr>
      <w:tr w14:paraId="227F1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436D9C9C">
            <w:pPr>
              <w:keepNext w:val="0"/>
              <w:keepLines w:val="0"/>
              <w:pageBreakBefore w:val="0"/>
              <w:widowControl w:val="0"/>
              <w:kinsoku/>
              <w:wordWrap/>
              <w:overflowPunct/>
              <w:topLinePunct w:val="0"/>
              <w:autoSpaceDE/>
              <w:autoSpaceDN/>
              <w:bidi w:val="0"/>
              <w:adjustRightInd/>
              <w:snapToGrid/>
              <w:spacing w:before="98" w:line="240" w:lineRule="exact"/>
              <w:ind w:left="325"/>
              <w:textAlignment w:val="auto"/>
              <w:rPr>
                <w:rFonts w:ascii="Arial" w:hAnsi="Arial" w:eastAsia="Arial" w:cs="Arial"/>
                <w:sz w:val="20"/>
                <w:szCs w:val="20"/>
              </w:rPr>
            </w:pPr>
            <w:r>
              <w:rPr>
                <w:rFonts w:ascii="Arial" w:hAnsi="Arial" w:eastAsia="Arial" w:cs="Arial"/>
                <w:sz w:val="20"/>
                <w:szCs w:val="20"/>
              </w:rPr>
              <w:t>1</w:t>
            </w:r>
          </w:p>
        </w:tc>
        <w:tc>
          <w:tcPr>
            <w:tcW w:w="2897" w:type="dxa"/>
            <w:noWrap w:val="0"/>
            <w:vAlign w:val="top"/>
          </w:tcPr>
          <w:p w14:paraId="2C2C94F1">
            <w:pPr>
              <w:keepNext w:val="0"/>
              <w:keepLines w:val="0"/>
              <w:pageBreakBefore w:val="0"/>
              <w:widowControl w:val="0"/>
              <w:kinsoku/>
              <w:wordWrap/>
              <w:overflowPunct/>
              <w:topLinePunct w:val="0"/>
              <w:autoSpaceDE/>
              <w:autoSpaceDN/>
              <w:bidi w:val="0"/>
              <w:adjustRightInd/>
              <w:snapToGrid/>
              <w:spacing w:before="72" w:line="240" w:lineRule="exact"/>
              <w:ind w:left="724"/>
              <w:textAlignment w:val="auto"/>
              <w:rPr>
                <w:rFonts w:ascii="仿宋" w:hAnsi="仿宋" w:eastAsia="仿宋" w:cs="仿宋"/>
                <w:sz w:val="20"/>
                <w:szCs w:val="20"/>
              </w:rPr>
            </w:pPr>
            <w:r>
              <w:rPr>
                <w:rFonts w:ascii="仿宋" w:hAnsi="仿宋" w:eastAsia="仿宋" w:cs="仿宋"/>
                <w:spacing w:val="11"/>
                <w:sz w:val="20"/>
                <w:szCs w:val="20"/>
              </w:rPr>
              <w:t>化</w:t>
            </w:r>
            <w:r>
              <w:rPr>
                <w:rFonts w:ascii="仿宋" w:hAnsi="仿宋" w:eastAsia="仿宋" w:cs="仿宋"/>
                <w:spacing w:val="7"/>
                <w:sz w:val="20"/>
                <w:szCs w:val="20"/>
              </w:rPr>
              <w:t>工新材料产业</w:t>
            </w:r>
          </w:p>
        </w:tc>
        <w:tc>
          <w:tcPr>
            <w:tcW w:w="1329" w:type="dxa"/>
            <w:noWrap w:val="0"/>
            <w:vAlign w:val="top"/>
          </w:tcPr>
          <w:p w14:paraId="1C2C0B5C">
            <w:pPr>
              <w:keepNext w:val="0"/>
              <w:keepLines w:val="0"/>
              <w:pageBreakBefore w:val="0"/>
              <w:widowControl w:val="0"/>
              <w:kinsoku/>
              <w:wordWrap/>
              <w:overflowPunct/>
              <w:topLinePunct w:val="0"/>
              <w:autoSpaceDE/>
              <w:autoSpaceDN/>
              <w:bidi w:val="0"/>
              <w:adjustRightInd/>
              <w:snapToGrid/>
              <w:spacing w:before="84" w:line="240" w:lineRule="exact"/>
              <w:ind w:left="321"/>
              <w:textAlignment w:val="auto"/>
              <w:rPr>
                <w:rFonts w:ascii="Arial" w:hAnsi="Arial" w:eastAsia="Arial" w:cs="Arial"/>
                <w:sz w:val="20"/>
                <w:szCs w:val="20"/>
              </w:rPr>
            </w:pPr>
            <w:r>
              <w:rPr>
                <w:rFonts w:ascii="Arial" w:hAnsi="Arial" w:eastAsia="Arial" w:cs="Arial"/>
                <w:spacing w:val="4"/>
                <w:sz w:val="20"/>
                <w:szCs w:val="20"/>
              </w:rPr>
              <w:t>32320</w:t>
            </w:r>
            <w:r>
              <w:rPr>
                <w:rFonts w:ascii="Arial" w:hAnsi="Arial" w:eastAsia="Arial" w:cs="Arial"/>
                <w:spacing w:val="3"/>
                <w:sz w:val="20"/>
                <w:szCs w:val="20"/>
              </w:rPr>
              <w:t>1</w:t>
            </w:r>
          </w:p>
        </w:tc>
        <w:tc>
          <w:tcPr>
            <w:tcW w:w="1330" w:type="dxa"/>
            <w:noWrap w:val="0"/>
            <w:vAlign w:val="top"/>
          </w:tcPr>
          <w:p w14:paraId="6D22C92B">
            <w:pPr>
              <w:keepNext w:val="0"/>
              <w:keepLines w:val="0"/>
              <w:pageBreakBefore w:val="0"/>
              <w:widowControl w:val="0"/>
              <w:kinsoku/>
              <w:wordWrap/>
              <w:overflowPunct/>
              <w:topLinePunct w:val="0"/>
              <w:autoSpaceDE/>
              <w:autoSpaceDN/>
              <w:bidi w:val="0"/>
              <w:adjustRightInd/>
              <w:snapToGrid/>
              <w:spacing w:before="84" w:line="240" w:lineRule="exact"/>
              <w:ind w:left="323"/>
              <w:textAlignment w:val="auto"/>
              <w:rPr>
                <w:rFonts w:ascii="Arial" w:hAnsi="Arial" w:eastAsia="Arial" w:cs="Arial"/>
                <w:sz w:val="20"/>
                <w:szCs w:val="20"/>
              </w:rPr>
            </w:pPr>
            <w:r>
              <w:rPr>
                <w:rFonts w:ascii="Arial" w:hAnsi="Arial" w:eastAsia="Arial" w:cs="Arial"/>
                <w:spacing w:val="6"/>
                <w:sz w:val="20"/>
                <w:szCs w:val="20"/>
              </w:rPr>
              <w:t>7</w:t>
            </w:r>
            <w:r>
              <w:rPr>
                <w:rFonts w:ascii="Arial" w:hAnsi="Arial" w:eastAsia="Arial" w:cs="Arial"/>
                <w:spacing w:val="4"/>
                <w:sz w:val="20"/>
                <w:szCs w:val="20"/>
              </w:rPr>
              <w:t>4</w:t>
            </w:r>
            <w:r>
              <w:rPr>
                <w:rFonts w:ascii="Arial" w:hAnsi="Arial" w:eastAsia="Arial" w:cs="Arial"/>
                <w:spacing w:val="3"/>
                <w:sz w:val="20"/>
                <w:szCs w:val="20"/>
              </w:rPr>
              <w:t>5172</w:t>
            </w:r>
          </w:p>
        </w:tc>
        <w:tc>
          <w:tcPr>
            <w:tcW w:w="1330" w:type="dxa"/>
            <w:noWrap w:val="0"/>
            <w:vAlign w:val="top"/>
          </w:tcPr>
          <w:p w14:paraId="79202470">
            <w:pPr>
              <w:keepNext w:val="0"/>
              <w:keepLines w:val="0"/>
              <w:pageBreakBefore w:val="0"/>
              <w:widowControl w:val="0"/>
              <w:kinsoku/>
              <w:wordWrap/>
              <w:overflowPunct/>
              <w:topLinePunct w:val="0"/>
              <w:autoSpaceDE/>
              <w:autoSpaceDN/>
              <w:bidi w:val="0"/>
              <w:adjustRightInd/>
              <w:snapToGrid/>
              <w:spacing w:before="84" w:line="240" w:lineRule="exact"/>
              <w:ind w:left="382"/>
              <w:textAlignment w:val="auto"/>
              <w:rPr>
                <w:rFonts w:ascii="Arial" w:hAnsi="Arial" w:eastAsia="Arial" w:cs="Arial"/>
                <w:sz w:val="20"/>
                <w:szCs w:val="20"/>
              </w:rPr>
            </w:pPr>
            <w:r>
              <w:rPr>
                <w:rFonts w:ascii="Arial" w:hAnsi="Arial" w:eastAsia="Arial" w:cs="Arial"/>
                <w:spacing w:val="4"/>
                <w:sz w:val="20"/>
                <w:szCs w:val="20"/>
              </w:rPr>
              <w:t>9</w:t>
            </w:r>
            <w:r>
              <w:rPr>
                <w:rFonts w:ascii="Arial" w:hAnsi="Arial" w:eastAsia="Arial" w:cs="Arial"/>
                <w:spacing w:val="3"/>
                <w:sz w:val="20"/>
                <w:szCs w:val="20"/>
              </w:rPr>
              <w:t>3572</w:t>
            </w:r>
          </w:p>
        </w:tc>
        <w:tc>
          <w:tcPr>
            <w:tcW w:w="1335" w:type="dxa"/>
            <w:noWrap w:val="0"/>
            <w:vAlign w:val="top"/>
          </w:tcPr>
          <w:p w14:paraId="0E245A1D">
            <w:pPr>
              <w:keepNext w:val="0"/>
              <w:keepLines w:val="0"/>
              <w:pageBreakBefore w:val="0"/>
              <w:widowControl w:val="0"/>
              <w:kinsoku/>
              <w:wordWrap/>
              <w:overflowPunct/>
              <w:topLinePunct w:val="0"/>
              <w:autoSpaceDE/>
              <w:autoSpaceDN/>
              <w:bidi w:val="0"/>
              <w:adjustRightInd/>
              <w:snapToGrid/>
              <w:spacing w:before="84" w:line="240" w:lineRule="exact"/>
              <w:ind w:left="383"/>
              <w:textAlignment w:val="auto"/>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5410</w:t>
            </w:r>
          </w:p>
        </w:tc>
      </w:tr>
      <w:tr w14:paraId="3C5B7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440C7248">
            <w:pPr>
              <w:keepNext w:val="0"/>
              <w:keepLines w:val="0"/>
              <w:pageBreakBefore w:val="0"/>
              <w:widowControl w:val="0"/>
              <w:kinsoku/>
              <w:wordWrap/>
              <w:overflowPunct/>
              <w:topLinePunct w:val="0"/>
              <w:autoSpaceDE/>
              <w:autoSpaceDN/>
              <w:bidi w:val="0"/>
              <w:adjustRightInd/>
              <w:snapToGrid/>
              <w:spacing w:before="100" w:line="240" w:lineRule="exact"/>
              <w:ind w:left="308"/>
              <w:textAlignment w:val="auto"/>
              <w:rPr>
                <w:rFonts w:ascii="Arial" w:hAnsi="Arial" w:eastAsia="Arial" w:cs="Arial"/>
                <w:sz w:val="20"/>
                <w:szCs w:val="20"/>
              </w:rPr>
            </w:pPr>
            <w:r>
              <w:rPr>
                <w:rFonts w:ascii="Arial" w:hAnsi="Arial" w:eastAsia="Arial" w:cs="Arial"/>
                <w:sz w:val="20"/>
                <w:szCs w:val="20"/>
              </w:rPr>
              <w:t>2</w:t>
            </w:r>
          </w:p>
        </w:tc>
        <w:tc>
          <w:tcPr>
            <w:tcW w:w="2897" w:type="dxa"/>
            <w:noWrap w:val="0"/>
            <w:vAlign w:val="top"/>
          </w:tcPr>
          <w:p w14:paraId="12DE3776">
            <w:pPr>
              <w:keepNext w:val="0"/>
              <w:keepLines w:val="0"/>
              <w:pageBreakBefore w:val="0"/>
              <w:widowControl w:val="0"/>
              <w:kinsoku/>
              <w:wordWrap/>
              <w:overflowPunct/>
              <w:topLinePunct w:val="0"/>
              <w:autoSpaceDE/>
              <w:autoSpaceDN/>
              <w:bidi w:val="0"/>
              <w:adjustRightInd/>
              <w:snapToGrid/>
              <w:spacing w:before="74" w:line="240" w:lineRule="exact"/>
              <w:ind w:left="720"/>
              <w:textAlignment w:val="auto"/>
              <w:rPr>
                <w:rFonts w:ascii="仿宋" w:hAnsi="仿宋" w:eastAsia="仿宋" w:cs="仿宋"/>
                <w:sz w:val="20"/>
                <w:szCs w:val="20"/>
              </w:rPr>
            </w:pPr>
            <w:r>
              <w:rPr>
                <w:rFonts w:ascii="仿宋" w:hAnsi="仿宋" w:eastAsia="仿宋" w:cs="仿宋"/>
                <w:spacing w:val="9"/>
                <w:sz w:val="20"/>
                <w:szCs w:val="20"/>
              </w:rPr>
              <w:t>新</w:t>
            </w:r>
            <w:r>
              <w:rPr>
                <w:rFonts w:ascii="仿宋" w:hAnsi="仿宋" w:eastAsia="仿宋" w:cs="仿宋"/>
                <w:spacing w:val="8"/>
                <w:sz w:val="20"/>
                <w:szCs w:val="20"/>
              </w:rPr>
              <w:t>能源材料产业</w:t>
            </w:r>
          </w:p>
        </w:tc>
        <w:tc>
          <w:tcPr>
            <w:tcW w:w="1329" w:type="dxa"/>
            <w:noWrap w:val="0"/>
            <w:vAlign w:val="top"/>
          </w:tcPr>
          <w:p w14:paraId="517FC944">
            <w:pPr>
              <w:keepNext w:val="0"/>
              <w:keepLines w:val="0"/>
              <w:pageBreakBefore w:val="0"/>
              <w:widowControl w:val="0"/>
              <w:kinsoku/>
              <w:wordWrap/>
              <w:overflowPunct/>
              <w:topLinePunct w:val="0"/>
              <w:autoSpaceDE/>
              <w:autoSpaceDN/>
              <w:bidi w:val="0"/>
              <w:adjustRightInd/>
              <w:snapToGrid/>
              <w:spacing w:before="83" w:line="240" w:lineRule="exact"/>
              <w:ind w:left="335"/>
              <w:textAlignment w:val="auto"/>
              <w:rPr>
                <w:rFonts w:ascii="Arial" w:hAnsi="Arial" w:eastAsia="Arial" w:cs="Arial"/>
                <w:sz w:val="20"/>
                <w:szCs w:val="20"/>
              </w:rPr>
            </w:pPr>
            <w:r>
              <w:rPr>
                <w:rFonts w:ascii="Arial" w:hAnsi="Arial" w:eastAsia="Arial" w:cs="Arial"/>
                <w:spacing w:val="2"/>
                <w:sz w:val="20"/>
                <w:szCs w:val="20"/>
              </w:rPr>
              <w:t>129</w:t>
            </w:r>
            <w:r>
              <w:rPr>
                <w:rFonts w:ascii="Arial" w:hAnsi="Arial" w:eastAsia="Arial" w:cs="Arial"/>
                <w:spacing w:val="1"/>
                <w:sz w:val="20"/>
                <w:szCs w:val="20"/>
              </w:rPr>
              <w:t>160</w:t>
            </w:r>
          </w:p>
        </w:tc>
        <w:tc>
          <w:tcPr>
            <w:tcW w:w="1330" w:type="dxa"/>
            <w:noWrap w:val="0"/>
            <w:vAlign w:val="top"/>
          </w:tcPr>
          <w:p w14:paraId="0F249C20">
            <w:pPr>
              <w:keepNext w:val="0"/>
              <w:keepLines w:val="0"/>
              <w:pageBreakBefore w:val="0"/>
              <w:widowControl w:val="0"/>
              <w:kinsoku/>
              <w:wordWrap/>
              <w:overflowPunct/>
              <w:topLinePunct w:val="0"/>
              <w:autoSpaceDE/>
              <w:autoSpaceDN/>
              <w:bidi w:val="0"/>
              <w:adjustRightInd/>
              <w:snapToGrid/>
              <w:spacing w:before="83" w:line="240" w:lineRule="exact"/>
              <w:ind w:left="316"/>
              <w:textAlignment w:val="auto"/>
              <w:rPr>
                <w:rFonts w:ascii="Arial" w:hAnsi="Arial" w:eastAsia="Arial" w:cs="Arial"/>
                <w:sz w:val="20"/>
                <w:szCs w:val="20"/>
              </w:rPr>
            </w:pPr>
            <w:r>
              <w:rPr>
                <w:rFonts w:ascii="Arial" w:hAnsi="Arial" w:eastAsia="Arial" w:cs="Arial"/>
                <w:spacing w:val="5"/>
                <w:sz w:val="20"/>
                <w:szCs w:val="20"/>
              </w:rPr>
              <w:t>47250</w:t>
            </w:r>
            <w:r>
              <w:rPr>
                <w:rFonts w:ascii="Arial" w:hAnsi="Arial" w:eastAsia="Arial" w:cs="Arial"/>
                <w:spacing w:val="4"/>
                <w:sz w:val="20"/>
                <w:szCs w:val="20"/>
              </w:rPr>
              <w:t>0</w:t>
            </w:r>
          </w:p>
        </w:tc>
        <w:tc>
          <w:tcPr>
            <w:tcW w:w="1330" w:type="dxa"/>
            <w:noWrap w:val="0"/>
            <w:vAlign w:val="top"/>
          </w:tcPr>
          <w:p w14:paraId="27697482">
            <w:pPr>
              <w:keepNext w:val="0"/>
              <w:keepLines w:val="0"/>
              <w:pageBreakBefore w:val="0"/>
              <w:widowControl w:val="0"/>
              <w:kinsoku/>
              <w:wordWrap/>
              <w:overflowPunct/>
              <w:topLinePunct w:val="0"/>
              <w:autoSpaceDE/>
              <w:autoSpaceDN/>
              <w:bidi w:val="0"/>
              <w:adjustRightInd/>
              <w:snapToGrid/>
              <w:spacing w:before="83" w:line="240" w:lineRule="exact"/>
              <w:ind w:left="382"/>
              <w:textAlignment w:val="auto"/>
              <w:rPr>
                <w:rFonts w:ascii="Arial" w:hAnsi="Arial" w:eastAsia="Arial" w:cs="Arial"/>
                <w:sz w:val="20"/>
                <w:szCs w:val="20"/>
              </w:rPr>
            </w:pPr>
            <w:r>
              <w:rPr>
                <w:rFonts w:ascii="Arial" w:hAnsi="Arial" w:eastAsia="Arial" w:cs="Arial"/>
                <w:spacing w:val="4"/>
                <w:sz w:val="20"/>
                <w:szCs w:val="20"/>
              </w:rPr>
              <w:t>5</w:t>
            </w:r>
            <w:r>
              <w:rPr>
                <w:rFonts w:ascii="Arial" w:hAnsi="Arial" w:eastAsia="Arial" w:cs="Arial"/>
                <w:spacing w:val="3"/>
                <w:sz w:val="20"/>
                <w:szCs w:val="20"/>
              </w:rPr>
              <w:t>4205</w:t>
            </w:r>
          </w:p>
        </w:tc>
        <w:tc>
          <w:tcPr>
            <w:tcW w:w="1335" w:type="dxa"/>
            <w:noWrap w:val="0"/>
            <w:vAlign w:val="top"/>
          </w:tcPr>
          <w:p w14:paraId="603D101F">
            <w:pPr>
              <w:keepNext w:val="0"/>
              <w:keepLines w:val="0"/>
              <w:pageBreakBefore w:val="0"/>
              <w:widowControl w:val="0"/>
              <w:kinsoku/>
              <w:wordWrap/>
              <w:overflowPunct/>
              <w:topLinePunct w:val="0"/>
              <w:autoSpaceDE/>
              <w:autoSpaceDN/>
              <w:bidi w:val="0"/>
              <w:adjustRightInd/>
              <w:snapToGrid/>
              <w:spacing w:before="83" w:line="240" w:lineRule="exact"/>
              <w:ind w:left="384"/>
              <w:textAlignment w:val="auto"/>
              <w:rPr>
                <w:rFonts w:ascii="Arial" w:hAnsi="Arial" w:eastAsia="Arial" w:cs="Arial"/>
                <w:sz w:val="20"/>
                <w:szCs w:val="20"/>
              </w:rPr>
            </w:pPr>
            <w:r>
              <w:rPr>
                <w:rFonts w:ascii="Arial" w:hAnsi="Arial" w:eastAsia="Arial" w:cs="Arial"/>
                <w:spacing w:val="4"/>
                <w:sz w:val="20"/>
                <w:szCs w:val="20"/>
              </w:rPr>
              <w:t>3</w:t>
            </w:r>
            <w:r>
              <w:rPr>
                <w:rFonts w:ascii="Arial" w:hAnsi="Arial" w:eastAsia="Arial" w:cs="Arial"/>
                <w:spacing w:val="3"/>
                <w:sz w:val="20"/>
                <w:szCs w:val="20"/>
              </w:rPr>
              <w:t>6216</w:t>
            </w:r>
          </w:p>
        </w:tc>
      </w:tr>
      <w:tr w14:paraId="7D48C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49D8725C">
            <w:pPr>
              <w:keepNext w:val="0"/>
              <w:keepLines w:val="0"/>
              <w:pageBreakBefore w:val="0"/>
              <w:widowControl w:val="0"/>
              <w:kinsoku/>
              <w:wordWrap/>
              <w:overflowPunct/>
              <w:topLinePunct w:val="0"/>
              <w:autoSpaceDE/>
              <w:autoSpaceDN/>
              <w:bidi w:val="0"/>
              <w:adjustRightInd/>
              <w:snapToGrid/>
              <w:spacing w:before="100" w:line="240" w:lineRule="exact"/>
              <w:ind w:left="311"/>
              <w:textAlignment w:val="auto"/>
              <w:rPr>
                <w:rFonts w:ascii="Arial" w:hAnsi="Arial" w:eastAsia="Arial" w:cs="Arial"/>
                <w:sz w:val="20"/>
                <w:szCs w:val="20"/>
              </w:rPr>
            </w:pPr>
            <w:r>
              <w:rPr>
                <w:rFonts w:ascii="Arial" w:hAnsi="Arial" w:eastAsia="Arial" w:cs="Arial"/>
                <w:sz w:val="20"/>
                <w:szCs w:val="20"/>
              </w:rPr>
              <w:t>3</w:t>
            </w:r>
          </w:p>
        </w:tc>
        <w:tc>
          <w:tcPr>
            <w:tcW w:w="2897" w:type="dxa"/>
            <w:noWrap w:val="0"/>
            <w:vAlign w:val="top"/>
          </w:tcPr>
          <w:p w14:paraId="4F0AB8BB">
            <w:pPr>
              <w:keepNext w:val="0"/>
              <w:keepLines w:val="0"/>
              <w:pageBreakBefore w:val="0"/>
              <w:widowControl w:val="0"/>
              <w:kinsoku/>
              <w:wordWrap/>
              <w:overflowPunct/>
              <w:topLinePunct w:val="0"/>
              <w:autoSpaceDE/>
              <w:autoSpaceDN/>
              <w:bidi w:val="0"/>
              <w:adjustRightInd/>
              <w:snapToGrid/>
              <w:spacing w:before="73" w:line="240" w:lineRule="exact"/>
              <w:ind w:left="726"/>
              <w:textAlignment w:val="auto"/>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7"/>
                <w:sz w:val="20"/>
                <w:szCs w:val="20"/>
              </w:rPr>
              <w:t>健康材料产业</w:t>
            </w:r>
          </w:p>
        </w:tc>
        <w:tc>
          <w:tcPr>
            <w:tcW w:w="1329" w:type="dxa"/>
            <w:noWrap w:val="0"/>
            <w:vAlign w:val="top"/>
          </w:tcPr>
          <w:p w14:paraId="08FF3742">
            <w:pPr>
              <w:keepNext w:val="0"/>
              <w:keepLines w:val="0"/>
              <w:pageBreakBefore w:val="0"/>
              <w:widowControl w:val="0"/>
              <w:kinsoku/>
              <w:wordWrap/>
              <w:overflowPunct/>
              <w:topLinePunct w:val="0"/>
              <w:autoSpaceDE/>
              <w:autoSpaceDN/>
              <w:bidi w:val="0"/>
              <w:adjustRightInd/>
              <w:snapToGrid/>
              <w:spacing w:before="85" w:line="240" w:lineRule="exact"/>
              <w:ind w:left="376"/>
              <w:textAlignment w:val="auto"/>
              <w:rPr>
                <w:rFonts w:ascii="Arial" w:hAnsi="Arial" w:eastAsia="Arial" w:cs="Arial"/>
                <w:sz w:val="20"/>
                <w:szCs w:val="20"/>
              </w:rPr>
            </w:pPr>
            <w:r>
              <w:rPr>
                <w:rFonts w:ascii="Arial" w:hAnsi="Arial" w:eastAsia="Arial" w:cs="Arial"/>
                <w:spacing w:val="4"/>
                <w:sz w:val="20"/>
                <w:szCs w:val="20"/>
              </w:rPr>
              <w:t>2000</w:t>
            </w:r>
            <w:r>
              <w:rPr>
                <w:rFonts w:ascii="Arial" w:hAnsi="Arial" w:eastAsia="Arial" w:cs="Arial"/>
                <w:spacing w:val="3"/>
                <w:sz w:val="20"/>
                <w:szCs w:val="20"/>
              </w:rPr>
              <w:t>0</w:t>
            </w:r>
          </w:p>
        </w:tc>
        <w:tc>
          <w:tcPr>
            <w:tcW w:w="1330" w:type="dxa"/>
            <w:noWrap w:val="0"/>
            <w:vAlign w:val="top"/>
          </w:tcPr>
          <w:p w14:paraId="1118CB7A">
            <w:pPr>
              <w:keepNext w:val="0"/>
              <w:keepLines w:val="0"/>
              <w:pageBreakBefore w:val="0"/>
              <w:widowControl w:val="0"/>
              <w:kinsoku/>
              <w:wordWrap/>
              <w:overflowPunct/>
              <w:topLinePunct w:val="0"/>
              <w:autoSpaceDE/>
              <w:autoSpaceDN/>
              <w:bidi w:val="0"/>
              <w:adjustRightInd/>
              <w:snapToGrid/>
              <w:spacing w:before="85" w:line="240" w:lineRule="exact"/>
              <w:ind w:left="396"/>
              <w:textAlignment w:val="auto"/>
              <w:rPr>
                <w:rFonts w:ascii="Arial" w:hAnsi="Arial" w:eastAsia="Arial" w:cs="Arial"/>
                <w:sz w:val="20"/>
                <w:szCs w:val="20"/>
              </w:rPr>
            </w:pPr>
            <w:r>
              <w:rPr>
                <w:rFonts w:ascii="Arial" w:hAnsi="Arial" w:eastAsia="Arial" w:cs="Arial"/>
                <w:spacing w:val="1"/>
                <w:sz w:val="20"/>
                <w:szCs w:val="20"/>
              </w:rPr>
              <w:t>18</w:t>
            </w:r>
            <w:r>
              <w:rPr>
                <w:rFonts w:ascii="Arial" w:hAnsi="Arial" w:eastAsia="Arial" w:cs="Arial"/>
                <w:sz w:val="20"/>
                <w:szCs w:val="20"/>
              </w:rPr>
              <w:t>000</w:t>
            </w:r>
          </w:p>
        </w:tc>
        <w:tc>
          <w:tcPr>
            <w:tcW w:w="1330" w:type="dxa"/>
            <w:noWrap w:val="0"/>
            <w:vAlign w:val="top"/>
          </w:tcPr>
          <w:p w14:paraId="7FC1A918">
            <w:pPr>
              <w:keepNext w:val="0"/>
              <w:keepLines w:val="0"/>
              <w:pageBreakBefore w:val="0"/>
              <w:widowControl w:val="0"/>
              <w:kinsoku/>
              <w:wordWrap/>
              <w:overflowPunct/>
              <w:topLinePunct w:val="0"/>
              <w:autoSpaceDE/>
              <w:autoSpaceDN/>
              <w:bidi w:val="0"/>
              <w:adjustRightInd/>
              <w:snapToGrid/>
              <w:spacing w:before="85" w:line="240" w:lineRule="exact"/>
              <w:ind w:left="433"/>
              <w:textAlignment w:val="auto"/>
              <w:rPr>
                <w:rFonts w:ascii="Arial" w:hAnsi="Arial" w:eastAsia="Arial" w:cs="Arial"/>
                <w:sz w:val="20"/>
                <w:szCs w:val="20"/>
              </w:rPr>
            </w:pPr>
            <w:r>
              <w:rPr>
                <w:rFonts w:ascii="Arial" w:hAnsi="Arial" w:eastAsia="Arial" w:cs="Arial"/>
                <w:spacing w:val="4"/>
                <w:sz w:val="20"/>
                <w:szCs w:val="20"/>
              </w:rPr>
              <w:t>4000</w:t>
            </w:r>
          </w:p>
        </w:tc>
        <w:tc>
          <w:tcPr>
            <w:tcW w:w="1335" w:type="dxa"/>
            <w:noWrap w:val="0"/>
            <w:vAlign w:val="top"/>
          </w:tcPr>
          <w:p w14:paraId="31D271BD">
            <w:pPr>
              <w:keepNext w:val="0"/>
              <w:keepLines w:val="0"/>
              <w:pageBreakBefore w:val="0"/>
              <w:widowControl w:val="0"/>
              <w:kinsoku/>
              <w:wordWrap/>
              <w:overflowPunct/>
              <w:topLinePunct w:val="0"/>
              <w:autoSpaceDE/>
              <w:autoSpaceDN/>
              <w:bidi w:val="0"/>
              <w:adjustRightInd/>
              <w:snapToGrid/>
              <w:spacing w:before="85" w:line="240" w:lineRule="exact"/>
              <w:ind w:left="439"/>
              <w:textAlignment w:val="auto"/>
              <w:rPr>
                <w:rFonts w:ascii="Arial" w:hAnsi="Arial" w:eastAsia="Arial" w:cs="Arial"/>
                <w:sz w:val="20"/>
                <w:szCs w:val="20"/>
              </w:rPr>
            </w:pPr>
            <w:r>
              <w:rPr>
                <w:rFonts w:ascii="Arial" w:hAnsi="Arial" w:eastAsia="Arial" w:cs="Arial"/>
                <w:spacing w:val="4"/>
                <w:sz w:val="20"/>
                <w:szCs w:val="20"/>
              </w:rPr>
              <w:t>2</w:t>
            </w:r>
            <w:r>
              <w:rPr>
                <w:rFonts w:ascii="Arial" w:hAnsi="Arial" w:eastAsia="Arial" w:cs="Arial"/>
                <w:spacing w:val="3"/>
                <w:sz w:val="20"/>
                <w:szCs w:val="20"/>
              </w:rPr>
              <w:t>400</w:t>
            </w:r>
          </w:p>
        </w:tc>
      </w:tr>
      <w:tr w14:paraId="34AFD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7D65C64F">
            <w:pPr>
              <w:keepNext w:val="0"/>
              <w:keepLines w:val="0"/>
              <w:pageBreakBefore w:val="0"/>
              <w:widowControl w:val="0"/>
              <w:kinsoku/>
              <w:wordWrap/>
              <w:overflowPunct/>
              <w:topLinePunct w:val="0"/>
              <w:autoSpaceDE/>
              <w:autoSpaceDN/>
              <w:bidi w:val="0"/>
              <w:adjustRightInd/>
              <w:snapToGrid/>
              <w:spacing w:before="99" w:line="240" w:lineRule="exact"/>
              <w:ind w:left="305"/>
              <w:textAlignment w:val="auto"/>
              <w:rPr>
                <w:rFonts w:ascii="Arial" w:hAnsi="Arial" w:eastAsia="Arial" w:cs="Arial"/>
                <w:sz w:val="20"/>
                <w:szCs w:val="20"/>
              </w:rPr>
            </w:pPr>
            <w:r>
              <w:rPr>
                <w:rFonts w:ascii="Arial" w:hAnsi="Arial" w:eastAsia="Arial" w:cs="Arial"/>
                <w:spacing w:val="2"/>
                <w:sz w:val="20"/>
                <w:szCs w:val="20"/>
              </w:rPr>
              <w:t>4</w:t>
            </w:r>
          </w:p>
        </w:tc>
        <w:tc>
          <w:tcPr>
            <w:tcW w:w="2897" w:type="dxa"/>
            <w:noWrap w:val="0"/>
            <w:vAlign w:val="top"/>
          </w:tcPr>
          <w:p w14:paraId="085A0926">
            <w:pPr>
              <w:keepNext w:val="0"/>
              <w:keepLines w:val="0"/>
              <w:pageBreakBefore w:val="0"/>
              <w:widowControl w:val="0"/>
              <w:kinsoku/>
              <w:wordWrap/>
              <w:overflowPunct/>
              <w:topLinePunct w:val="0"/>
              <w:autoSpaceDE/>
              <w:autoSpaceDN/>
              <w:bidi w:val="0"/>
              <w:adjustRightInd/>
              <w:snapToGrid/>
              <w:spacing w:before="73" w:line="240" w:lineRule="exact"/>
              <w:ind w:left="512"/>
              <w:textAlignment w:val="auto"/>
              <w:rPr>
                <w:rFonts w:ascii="仿宋" w:hAnsi="仿宋" w:eastAsia="仿宋" w:cs="仿宋"/>
                <w:sz w:val="20"/>
                <w:szCs w:val="20"/>
              </w:rPr>
            </w:pPr>
            <w:r>
              <w:rPr>
                <w:rFonts w:ascii="仿宋" w:hAnsi="仿宋" w:eastAsia="仿宋" w:cs="仿宋"/>
                <w:spacing w:val="10"/>
                <w:sz w:val="20"/>
                <w:szCs w:val="20"/>
              </w:rPr>
              <w:t>节</w:t>
            </w:r>
            <w:r>
              <w:rPr>
                <w:rFonts w:ascii="仿宋" w:hAnsi="仿宋" w:eastAsia="仿宋" w:cs="仿宋"/>
                <w:spacing w:val="8"/>
                <w:sz w:val="20"/>
                <w:szCs w:val="20"/>
              </w:rPr>
              <w:t>能环保新材料产业</w:t>
            </w:r>
          </w:p>
        </w:tc>
        <w:tc>
          <w:tcPr>
            <w:tcW w:w="1329" w:type="dxa"/>
            <w:noWrap w:val="0"/>
            <w:vAlign w:val="top"/>
          </w:tcPr>
          <w:p w14:paraId="20547675">
            <w:pPr>
              <w:keepNext w:val="0"/>
              <w:keepLines w:val="0"/>
              <w:pageBreakBefore w:val="0"/>
              <w:widowControl w:val="0"/>
              <w:kinsoku/>
              <w:wordWrap/>
              <w:overflowPunct/>
              <w:topLinePunct w:val="0"/>
              <w:autoSpaceDE/>
              <w:autoSpaceDN/>
              <w:bidi w:val="0"/>
              <w:adjustRightInd/>
              <w:snapToGrid/>
              <w:spacing w:before="85" w:line="240" w:lineRule="exact"/>
              <w:ind w:left="378"/>
              <w:textAlignment w:val="auto"/>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0000</w:t>
            </w:r>
          </w:p>
        </w:tc>
        <w:tc>
          <w:tcPr>
            <w:tcW w:w="1330" w:type="dxa"/>
            <w:noWrap w:val="0"/>
            <w:vAlign w:val="top"/>
          </w:tcPr>
          <w:p w14:paraId="647C0856">
            <w:pPr>
              <w:keepNext w:val="0"/>
              <w:keepLines w:val="0"/>
              <w:pageBreakBefore w:val="0"/>
              <w:widowControl w:val="0"/>
              <w:kinsoku/>
              <w:wordWrap/>
              <w:overflowPunct/>
              <w:topLinePunct w:val="0"/>
              <w:autoSpaceDE/>
              <w:autoSpaceDN/>
              <w:bidi w:val="0"/>
              <w:adjustRightInd/>
              <w:snapToGrid/>
              <w:spacing w:before="85" w:line="240" w:lineRule="exact"/>
              <w:ind w:left="383"/>
              <w:textAlignment w:val="auto"/>
              <w:rPr>
                <w:rFonts w:ascii="Arial" w:hAnsi="Arial" w:eastAsia="Arial" w:cs="Arial"/>
                <w:sz w:val="20"/>
                <w:szCs w:val="20"/>
              </w:rPr>
            </w:pPr>
            <w:r>
              <w:rPr>
                <w:rFonts w:ascii="Arial" w:hAnsi="Arial" w:eastAsia="Arial" w:cs="Arial"/>
                <w:spacing w:val="3"/>
                <w:sz w:val="20"/>
                <w:szCs w:val="20"/>
              </w:rPr>
              <w:t>75000</w:t>
            </w:r>
          </w:p>
        </w:tc>
        <w:tc>
          <w:tcPr>
            <w:tcW w:w="1330" w:type="dxa"/>
            <w:noWrap w:val="0"/>
            <w:vAlign w:val="top"/>
          </w:tcPr>
          <w:p w14:paraId="4162C261">
            <w:pPr>
              <w:keepNext w:val="0"/>
              <w:keepLines w:val="0"/>
              <w:pageBreakBefore w:val="0"/>
              <w:widowControl w:val="0"/>
              <w:kinsoku/>
              <w:wordWrap/>
              <w:overflowPunct/>
              <w:topLinePunct w:val="0"/>
              <w:autoSpaceDE/>
              <w:autoSpaceDN/>
              <w:bidi w:val="0"/>
              <w:adjustRightInd/>
              <w:snapToGrid/>
              <w:spacing w:before="85" w:line="240" w:lineRule="exact"/>
              <w:ind w:left="439"/>
              <w:textAlignment w:val="auto"/>
              <w:rPr>
                <w:rFonts w:ascii="Arial" w:hAnsi="Arial" w:eastAsia="Arial" w:cs="Arial"/>
                <w:sz w:val="20"/>
                <w:szCs w:val="20"/>
              </w:rPr>
            </w:pPr>
            <w:r>
              <w:rPr>
                <w:rFonts w:ascii="Arial" w:hAnsi="Arial" w:eastAsia="Arial" w:cs="Arial"/>
                <w:spacing w:val="4"/>
                <w:sz w:val="20"/>
                <w:szCs w:val="20"/>
              </w:rPr>
              <w:t>8</w:t>
            </w:r>
            <w:r>
              <w:rPr>
                <w:rFonts w:ascii="Arial" w:hAnsi="Arial" w:eastAsia="Arial" w:cs="Arial"/>
                <w:spacing w:val="2"/>
                <w:sz w:val="20"/>
                <w:szCs w:val="20"/>
              </w:rPr>
              <w:t>650</w:t>
            </w:r>
          </w:p>
        </w:tc>
        <w:tc>
          <w:tcPr>
            <w:tcW w:w="1335" w:type="dxa"/>
            <w:noWrap w:val="0"/>
            <w:vAlign w:val="top"/>
          </w:tcPr>
          <w:p w14:paraId="5D5737B6">
            <w:pPr>
              <w:keepNext w:val="0"/>
              <w:keepLines w:val="0"/>
              <w:pageBreakBefore w:val="0"/>
              <w:widowControl w:val="0"/>
              <w:kinsoku/>
              <w:wordWrap/>
              <w:overflowPunct/>
              <w:topLinePunct w:val="0"/>
              <w:autoSpaceDE/>
              <w:autoSpaceDN/>
              <w:bidi w:val="0"/>
              <w:adjustRightInd/>
              <w:snapToGrid/>
              <w:spacing w:before="85" w:line="240" w:lineRule="exact"/>
              <w:ind w:left="441"/>
              <w:textAlignment w:val="auto"/>
              <w:rPr>
                <w:rFonts w:ascii="Arial" w:hAnsi="Arial" w:eastAsia="Arial" w:cs="Arial"/>
                <w:sz w:val="20"/>
                <w:szCs w:val="20"/>
              </w:rPr>
            </w:pPr>
            <w:r>
              <w:rPr>
                <w:rFonts w:ascii="Arial" w:hAnsi="Arial" w:eastAsia="Arial" w:cs="Arial"/>
                <w:spacing w:val="4"/>
                <w:sz w:val="20"/>
                <w:szCs w:val="20"/>
              </w:rPr>
              <w:t>5</w:t>
            </w:r>
            <w:r>
              <w:rPr>
                <w:rFonts w:ascii="Arial" w:hAnsi="Arial" w:eastAsia="Arial" w:cs="Arial"/>
                <w:spacing w:val="2"/>
                <w:sz w:val="20"/>
                <w:szCs w:val="20"/>
              </w:rPr>
              <w:t>400</w:t>
            </w:r>
          </w:p>
        </w:tc>
      </w:tr>
      <w:tr w14:paraId="69795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shd w:val="clear" w:color="auto" w:fill="E7E6E6"/>
            <w:noWrap w:val="0"/>
            <w:vAlign w:val="top"/>
          </w:tcPr>
          <w:p w14:paraId="09311485">
            <w:pPr>
              <w:keepNext w:val="0"/>
              <w:keepLines w:val="0"/>
              <w:pageBreakBefore w:val="0"/>
              <w:widowControl w:val="0"/>
              <w:kinsoku/>
              <w:wordWrap/>
              <w:overflowPunct/>
              <w:topLinePunct w:val="0"/>
              <w:autoSpaceDE/>
              <w:autoSpaceDN/>
              <w:bidi w:val="0"/>
              <w:adjustRightInd/>
              <w:snapToGrid/>
              <w:spacing w:line="240" w:lineRule="exact"/>
              <w:textAlignment w:val="auto"/>
              <w:rPr>
                <w:rFonts w:ascii="Arial"/>
                <w:sz w:val="21"/>
              </w:rPr>
            </w:pPr>
          </w:p>
        </w:tc>
        <w:tc>
          <w:tcPr>
            <w:tcW w:w="2897" w:type="dxa"/>
            <w:shd w:val="clear" w:color="auto" w:fill="E7E6E6"/>
            <w:noWrap w:val="0"/>
            <w:vAlign w:val="top"/>
          </w:tcPr>
          <w:p w14:paraId="020DDDAB">
            <w:pPr>
              <w:keepNext w:val="0"/>
              <w:keepLines w:val="0"/>
              <w:pageBreakBefore w:val="0"/>
              <w:widowControl w:val="0"/>
              <w:kinsoku/>
              <w:wordWrap/>
              <w:overflowPunct/>
              <w:topLinePunct w:val="0"/>
              <w:autoSpaceDE/>
              <w:autoSpaceDN/>
              <w:bidi w:val="0"/>
              <w:adjustRightInd/>
              <w:snapToGrid/>
              <w:spacing w:before="75" w:line="240" w:lineRule="exact"/>
              <w:ind w:left="1243"/>
              <w:textAlignment w:val="auto"/>
              <w:rPr>
                <w:rFonts w:ascii="仿宋" w:hAnsi="仿宋" w:eastAsia="仿宋" w:cs="仿宋"/>
                <w:sz w:val="20"/>
                <w:szCs w:val="20"/>
              </w:rPr>
            </w:pPr>
            <w:r>
              <w:rPr>
                <w:rFonts w:ascii="仿宋" w:hAnsi="仿宋" w:eastAsia="仿宋" w:cs="仿宋"/>
                <w:spacing w:val="4"/>
                <w:sz w:val="20"/>
                <w:szCs w:val="20"/>
              </w:rPr>
              <w:t>合</w:t>
            </w:r>
            <w:r>
              <w:rPr>
                <w:rFonts w:ascii="仿宋" w:hAnsi="仿宋" w:eastAsia="仿宋" w:cs="仿宋"/>
                <w:spacing w:val="3"/>
                <w:sz w:val="20"/>
                <w:szCs w:val="20"/>
              </w:rPr>
              <w:t>计</w:t>
            </w:r>
          </w:p>
        </w:tc>
        <w:tc>
          <w:tcPr>
            <w:tcW w:w="1329" w:type="dxa"/>
            <w:shd w:val="clear" w:color="auto" w:fill="E7E6E6"/>
            <w:noWrap w:val="0"/>
            <w:vAlign w:val="top"/>
          </w:tcPr>
          <w:p w14:paraId="15BE5839">
            <w:pPr>
              <w:keepNext w:val="0"/>
              <w:keepLines w:val="0"/>
              <w:pageBreakBefore w:val="0"/>
              <w:widowControl w:val="0"/>
              <w:kinsoku/>
              <w:wordWrap/>
              <w:overflowPunct/>
              <w:topLinePunct w:val="0"/>
              <w:autoSpaceDE/>
              <w:autoSpaceDN/>
              <w:bidi w:val="0"/>
              <w:adjustRightInd/>
              <w:snapToGrid/>
              <w:spacing w:before="101" w:line="240" w:lineRule="exact"/>
              <w:ind w:left="321"/>
              <w:textAlignment w:val="auto"/>
              <w:rPr>
                <w:rFonts w:ascii="Arial" w:hAnsi="Arial" w:eastAsia="Arial" w:cs="Arial"/>
                <w:sz w:val="20"/>
                <w:szCs w:val="20"/>
              </w:rPr>
            </w:pPr>
            <w:r>
              <w:rPr>
                <w:rFonts w:ascii="Arial" w:hAnsi="Arial" w:eastAsia="Arial" w:cs="Arial"/>
                <w:spacing w:val="4"/>
                <w:sz w:val="20"/>
                <w:szCs w:val="20"/>
              </w:rPr>
              <w:t>53236</w:t>
            </w:r>
            <w:r>
              <w:rPr>
                <w:rFonts w:ascii="Arial" w:hAnsi="Arial" w:eastAsia="Arial" w:cs="Arial"/>
                <w:spacing w:val="3"/>
                <w:sz w:val="20"/>
                <w:szCs w:val="20"/>
              </w:rPr>
              <w:t>1</w:t>
            </w:r>
          </w:p>
        </w:tc>
        <w:tc>
          <w:tcPr>
            <w:tcW w:w="1330" w:type="dxa"/>
            <w:shd w:val="clear" w:color="auto" w:fill="E7E6E6"/>
            <w:noWrap w:val="0"/>
            <w:vAlign w:val="top"/>
          </w:tcPr>
          <w:p w14:paraId="41F75FCC">
            <w:pPr>
              <w:keepNext w:val="0"/>
              <w:keepLines w:val="0"/>
              <w:pageBreakBefore w:val="0"/>
              <w:widowControl w:val="0"/>
              <w:kinsoku/>
              <w:wordWrap/>
              <w:overflowPunct/>
              <w:topLinePunct w:val="0"/>
              <w:autoSpaceDE/>
              <w:autoSpaceDN/>
              <w:bidi w:val="0"/>
              <w:adjustRightInd/>
              <w:snapToGrid/>
              <w:spacing w:before="101" w:line="240" w:lineRule="exact"/>
              <w:ind w:left="278"/>
              <w:textAlignment w:val="auto"/>
              <w:rPr>
                <w:rFonts w:ascii="Arial" w:hAnsi="Arial" w:eastAsia="Arial" w:cs="Arial"/>
                <w:sz w:val="20"/>
                <w:szCs w:val="20"/>
              </w:rPr>
            </w:pPr>
            <w:r>
              <w:rPr>
                <w:rFonts w:ascii="Arial" w:hAnsi="Arial" w:eastAsia="Arial" w:cs="Arial"/>
                <w:spacing w:val="2"/>
                <w:sz w:val="20"/>
                <w:szCs w:val="20"/>
              </w:rPr>
              <w:t>131067</w:t>
            </w:r>
            <w:r>
              <w:rPr>
                <w:rFonts w:ascii="Arial" w:hAnsi="Arial" w:eastAsia="Arial" w:cs="Arial"/>
                <w:spacing w:val="1"/>
                <w:sz w:val="20"/>
                <w:szCs w:val="20"/>
              </w:rPr>
              <w:t>2</w:t>
            </w:r>
          </w:p>
        </w:tc>
        <w:tc>
          <w:tcPr>
            <w:tcW w:w="1330" w:type="dxa"/>
            <w:shd w:val="clear" w:color="auto" w:fill="E7E6E6"/>
            <w:noWrap w:val="0"/>
            <w:vAlign w:val="top"/>
          </w:tcPr>
          <w:p w14:paraId="7045BEE4">
            <w:pPr>
              <w:keepNext w:val="0"/>
              <w:keepLines w:val="0"/>
              <w:pageBreakBefore w:val="0"/>
              <w:widowControl w:val="0"/>
              <w:kinsoku/>
              <w:wordWrap/>
              <w:overflowPunct/>
              <w:topLinePunct w:val="0"/>
              <w:autoSpaceDE/>
              <w:autoSpaceDN/>
              <w:bidi w:val="0"/>
              <w:adjustRightInd/>
              <w:snapToGrid/>
              <w:spacing w:before="101" w:line="240" w:lineRule="exact"/>
              <w:ind w:left="338"/>
              <w:textAlignment w:val="auto"/>
              <w:rPr>
                <w:rFonts w:ascii="Arial" w:hAnsi="Arial" w:eastAsia="Arial" w:cs="Arial"/>
                <w:sz w:val="20"/>
                <w:szCs w:val="20"/>
              </w:rPr>
            </w:pPr>
            <w:r>
              <w:rPr>
                <w:rFonts w:ascii="Arial" w:hAnsi="Arial" w:eastAsia="Arial" w:cs="Arial"/>
                <w:spacing w:val="2"/>
                <w:sz w:val="20"/>
                <w:szCs w:val="20"/>
              </w:rPr>
              <w:t>160</w:t>
            </w:r>
            <w:r>
              <w:rPr>
                <w:rFonts w:ascii="Arial" w:hAnsi="Arial" w:eastAsia="Arial" w:cs="Arial"/>
                <w:spacing w:val="1"/>
                <w:sz w:val="20"/>
                <w:szCs w:val="20"/>
              </w:rPr>
              <w:t>427</w:t>
            </w:r>
          </w:p>
        </w:tc>
        <w:tc>
          <w:tcPr>
            <w:tcW w:w="1335" w:type="dxa"/>
            <w:shd w:val="clear" w:color="auto" w:fill="E7E6E6"/>
            <w:noWrap w:val="0"/>
            <w:vAlign w:val="top"/>
          </w:tcPr>
          <w:p w14:paraId="2A1C4488">
            <w:pPr>
              <w:keepNext w:val="0"/>
              <w:keepLines w:val="0"/>
              <w:pageBreakBefore w:val="0"/>
              <w:widowControl w:val="0"/>
              <w:kinsoku/>
              <w:wordWrap/>
              <w:overflowPunct/>
              <w:topLinePunct w:val="0"/>
              <w:autoSpaceDE/>
              <w:autoSpaceDN/>
              <w:bidi w:val="0"/>
              <w:adjustRightInd/>
              <w:snapToGrid/>
              <w:spacing w:before="101" w:line="240" w:lineRule="exact"/>
              <w:ind w:left="340"/>
              <w:textAlignment w:val="auto"/>
              <w:rPr>
                <w:rFonts w:ascii="Arial" w:hAnsi="Arial" w:eastAsia="Arial" w:cs="Arial"/>
                <w:sz w:val="20"/>
                <w:szCs w:val="20"/>
              </w:rPr>
            </w:pPr>
            <w:r>
              <w:rPr>
                <w:rFonts w:ascii="Arial" w:hAnsi="Arial" w:eastAsia="Arial" w:cs="Arial"/>
                <w:spacing w:val="1"/>
                <w:sz w:val="20"/>
                <w:szCs w:val="20"/>
              </w:rPr>
              <w:t>109426</w:t>
            </w:r>
          </w:p>
        </w:tc>
      </w:tr>
      <w:tr w14:paraId="401EA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8947" w:type="dxa"/>
            <w:gridSpan w:val="6"/>
            <w:shd w:val="clear" w:color="auto" w:fill="E2EFD9"/>
            <w:noWrap w:val="0"/>
            <w:vAlign w:val="top"/>
          </w:tcPr>
          <w:p w14:paraId="4B06AA73">
            <w:pPr>
              <w:keepNext w:val="0"/>
              <w:keepLines w:val="0"/>
              <w:pageBreakBefore w:val="0"/>
              <w:widowControl w:val="0"/>
              <w:kinsoku/>
              <w:wordWrap/>
              <w:overflowPunct/>
              <w:topLinePunct w:val="0"/>
              <w:autoSpaceDE/>
              <w:autoSpaceDN/>
              <w:bidi w:val="0"/>
              <w:adjustRightInd/>
              <w:snapToGrid/>
              <w:spacing w:before="75" w:line="240" w:lineRule="exact"/>
              <w:ind w:left="3851"/>
              <w:textAlignment w:val="auto"/>
              <w:rPr>
                <w:rFonts w:ascii="仿宋" w:hAnsi="仿宋" w:eastAsia="仿宋" w:cs="仿宋"/>
                <w:sz w:val="20"/>
                <w:szCs w:val="20"/>
              </w:rPr>
            </w:pPr>
            <w:r>
              <w:rPr>
                <w:rFonts w:ascii="仿宋" w:hAnsi="仿宋" w:eastAsia="仿宋" w:cs="仿宋"/>
                <w:spacing w:val="-7"/>
                <w:sz w:val="20"/>
                <w:szCs w:val="20"/>
              </w:rPr>
              <w:t>中期(</w:t>
            </w:r>
            <w:r>
              <w:rPr>
                <w:rFonts w:ascii="Arial" w:hAnsi="Arial" w:eastAsia="Arial" w:cs="Arial"/>
                <w:b/>
                <w:bCs/>
                <w:spacing w:val="-7"/>
                <w:sz w:val="20"/>
                <w:szCs w:val="20"/>
              </w:rPr>
              <w:t>2030</w:t>
            </w:r>
            <w:r>
              <w:rPr>
                <w:rFonts w:ascii="仿宋" w:hAnsi="仿宋" w:eastAsia="仿宋" w:cs="仿宋"/>
                <w:spacing w:val="-7"/>
                <w:sz w:val="20"/>
                <w:szCs w:val="20"/>
              </w:rPr>
              <w:t>)</w:t>
            </w:r>
          </w:p>
        </w:tc>
      </w:tr>
      <w:tr w14:paraId="48D71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65E06B39">
            <w:pPr>
              <w:keepNext w:val="0"/>
              <w:keepLines w:val="0"/>
              <w:pageBreakBefore w:val="0"/>
              <w:widowControl w:val="0"/>
              <w:kinsoku/>
              <w:wordWrap/>
              <w:overflowPunct/>
              <w:topLinePunct w:val="0"/>
              <w:autoSpaceDE/>
              <w:autoSpaceDN/>
              <w:bidi w:val="0"/>
              <w:adjustRightInd/>
              <w:snapToGrid/>
              <w:spacing w:before="101" w:line="240" w:lineRule="exact"/>
              <w:ind w:left="325"/>
              <w:textAlignment w:val="auto"/>
              <w:rPr>
                <w:rFonts w:ascii="Arial" w:hAnsi="Arial" w:eastAsia="Arial" w:cs="Arial"/>
                <w:sz w:val="20"/>
                <w:szCs w:val="20"/>
              </w:rPr>
            </w:pPr>
            <w:r>
              <w:rPr>
                <w:rFonts w:ascii="Arial" w:hAnsi="Arial" w:eastAsia="Arial" w:cs="Arial"/>
                <w:sz w:val="20"/>
                <w:szCs w:val="20"/>
              </w:rPr>
              <w:t>1</w:t>
            </w:r>
          </w:p>
        </w:tc>
        <w:tc>
          <w:tcPr>
            <w:tcW w:w="2897" w:type="dxa"/>
            <w:noWrap w:val="0"/>
            <w:vAlign w:val="top"/>
          </w:tcPr>
          <w:p w14:paraId="4361AB38">
            <w:pPr>
              <w:keepNext w:val="0"/>
              <w:keepLines w:val="0"/>
              <w:pageBreakBefore w:val="0"/>
              <w:widowControl w:val="0"/>
              <w:kinsoku/>
              <w:wordWrap/>
              <w:overflowPunct/>
              <w:topLinePunct w:val="0"/>
              <w:autoSpaceDE/>
              <w:autoSpaceDN/>
              <w:bidi w:val="0"/>
              <w:adjustRightInd/>
              <w:snapToGrid/>
              <w:spacing w:before="74" w:line="240" w:lineRule="exact"/>
              <w:ind w:left="724"/>
              <w:textAlignment w:val="auto"/>
              <w:rPr>
                <w:rFonts w:ascii="仿宋" w:hAnsi="仿宋" w:eastAsia="仿宋" w:cs="仿宋"/>
                <w:sz w:val="20"/>
                <w:szCs w:val="20"/>
              </w:rPr>
            </w:pPr>
            <w:r>
              <w:rPr>
                <w:rFonts w:ascii="仿宋" w:hAnsi="仿宋" w:eastAsia="仿宋" w:cs="仿宋"/>
                <w:spacing w:val="11"/>
                <w:sz w:val="20"/>
                <w:szCs w:val="20"/>
              </w:rPr>
              <w:t>化</w:t>
            </w:r>
            <w:r>
              <w:rPr>
                <w:rFonts w:ascii="仿宋" w:hAnsi="仿宋" w:eastAsia="仿宋" w:cs="仿宋"/>
                <w:spacing w:val="7"/>
                <w:sz w:val="20"/>
                <w:szCs w:val="20"/>
              </w:rPr>
              <w:t>工新材料产业</w:t>
            </w:r>
          </w:p>
        </w:tc>
        <w:tc>
          <w:tcPr>
            <w:tcW w:w="1329" w:type="dxa"/>
            <w:noWrap w:val="0"/>
            <w:vAlign w:val="top"/>
          </w:tcPr>
          <w:p w14:paraId="2AF7C573">
            <w:pPr>
              <w:keepNext w:val="0"/>
              <w:keepLines w:val="0"/>
              <w:pageBreakBefore w:val="0"/>
              <w:widowControl w:val="0"/>
              <w:kinsoku/>
              <w:wordWrap/>
              <w:overflowPunct/>
              <w:topLinePunct w:val="0"/>
              <w:autoSpaceDE/>
              <w:autoSpaceDN/>
              <w:bidi w:val="0"/>
              <w:adjustRightInd/>
              <w:snapToGrid/>
              <w:spacing w:before="101" w:line="240" w:lineRule="exact"/>
              <w:ind w:left="321"/>
              <w:textAlignment w:val="auto"/>
              <w:rPr>
                <w:rFonts w:ascii="Arial" w:hAnsi="Arial" w:eastAsia="Arial" w:cs="Arial"/>
                <w:sz w:val="20"/>
                <w:szCs w:val="20"/>
              </w:rPr>
            </w:pPr>
            <w:r>
              <w:rPr>
                <w:rFonts w:ascii="Arial" w:hAnsi="Arial" w:eastAsia="Arial" w:cs="Arial"/>
                <w:spacing w:val="4"/>
                <w:sz w:val="20"/>
                <w:szCs w:val="20"/>
              </w:rPr>
              <w:t>53866</w:t>
            </w:r>
            <w:r>
              <w:rPr>
                <w:rFonts w:ascii="Arial" w:hAnsi="Arial" w:eastAsia="Arial" w:cs="Arial"/>
                <w:spacing w:val="3"/>
                <w:sz w:val="20"/>
                <w:szCs w:val="20"/>
              </w:rPr>
              <w:t>8</w:t>
            </w:r>
          </w:p>
        </w:tc>
        <w:tc>
          <w:tcPr>
            <w:tcW w:w="1330" w:type="dxa"/>
            <w:noWrap w:val="0"/>
            <w:vAlign w:val="top"/>
          </w:tcPr>
          <w:p w14:paraId="602EEAD7">
            <w:pPr>
              <w:keepNext w:val="0"/>
              <w:keepLines w:val="0"/>
              <w:pageBreakBefore w:val="0"/>
              <w:widowControl w:val="0"/>
              <w:kinsoku/>
              <w:wordWrap/>
              <w:overflowPunct/>
              <w:topLinePunct w:val="0"/>
              <w:autoSpaceDE/>
              <w:autoSpaceDN/>
              <w:bidi w:val="0"/>
              <w:adjustRightInd/>
              <w:snapToGrid/>
              <w:spacing w:before="101" w:line="240" w:lineRule="exact"/>
              <w:ind w:left="278"/>
              <w:textAlignment w:val="auto"/>
              <w:rPr>
                <w:rFonts w:ascii="Arial" w:hAnsi="Arial" w:eastAsia="Arial" w:cs="Arial"/>
                <w:sz w:val="20"/>
                <w:szCs w:val="20"/>
              </w:rPr>
            </w:pPr>
            <w:r>
              <w:rPr>
                <w:rFonts w:ascii="Arial" w:hAnsi="Arial" w:eastAsia="Arial" w:cs="Arial"/>
                <w:spacing w:val="2"/>
                <w:sz w:val="20"/>
                <w:szCs w:val="20"/>
              </w:rPr>
              <w:t>124195</w:t>
            </w:r>
            <w:r>
              <w:rPr>
                <w:rFonts w:ascii="Arial" w:hAnsi="Arial" w:eastAsia="Arial" w:cs="Arial"/>
                <w:spacing w:val="1"/>
                <w:sz w:val="20"/>
                <w:szCs w:val="20"/>
              </w:rPr>
              <w:t>3</w:t>
            </w:r>
          </w:p>
        </w:tc>
        <w:tc>
          <w:tcPr>
            <w:tcW w:w="1330" w:type="dxa"/>
            <w:noWrap w:val="0"/>
            <w:vAlign w:val="top"/>
          </w:tcPr>
          <w:p w14:paraId="62C1E666">
            <w:pPr>
              <w:keepNext w:val="0"/>
              <w:keepLines w:val="0"/>
              <w:pageBreakBefore w:val="0"/>
              <w:widowControl w:val="0"/>
              <w:kinsoku/>
              <w:wordWrap/>
              <w:overflowPunct/>
              <w:topLinePunct w:val="0"/>
              <w:autoSpaceDE/>
              <w:autoSpaceDN/>
              <w:bidi w:val="0"/>
              <w:adjustRightInd/>
              <w:snapToGrid/>
              <w:spacing w:before="101" w:line="240" w:lineRule="exact"/>
              <w:ind w:left="338"/>
              <w:textAlignment w:val="auto"/>
              <w:rPr>
                <w:rFonts w:ascii="Arial" w:hAnsi="Arial" w:eastAsia="Arial" w:cs="Arial"/>
                <w:sz w:val="20"/>
                <w:szCs w:val="20"/>
              </w:rPr>
            </w:pPr>
            <w:r>
              <w:rPr>
                <w:rFonts w:ascii="Arial" w:hAnsi="Arial" w:eastAsia="Arial" w:cs="Arial"/>
                <w:spacing w:val="2"/>
                <w:sz w:val="20"/>
                <w:szCs w:val="20"/>
              </w:rPr>
              <w:t>155</w:t>
            </w:r>
            <w:r>
              <w:rPr>
                <w:rFonts w:ascii="Arial" w:hAnsi="Arial" w:eastAsia="Arial" w:cs="Arial"/>
                <w:spacing w:val="1"/>
                <w:sz w:val="20"/>
                <w:szCs w:val="20"/>
              </w:rPr>
              <w:t>953</w:t>
            </w:r>
          </w:p>
        </w:tc>
        <w:tc>
          <w:tcPr>
            <w:tcW w:w="1335" w:type="dxa"/>
            <w:noWrap w:val="0"/>
            <w:vAlign w:val="top"/>
          </w:tcPr>
          <w:p w14:paraId="6AEFF772">
            <w:pPr>
              <w:keepNext w:val="0"/>
              <w:keepLines w:val="0"/>
              <w:pageBreakBefore w:val="0"/>
              <w:widowControl w:val="0"/>
              <w:kinsoku/>
              <w:wordWrap/>
              <w:overflowPunct/>
              <w:topLinePunct w:val="0"/>
              <w:autoSpaceDE/>
              <w:autoSpaceDN/>
              <w:bidi w:val="0"/>
              <w:adjustRightInd/>
              <w:snapToGrid/>
              <w:spacing w:before="100" w:line="240" w:lineRule="exact"/>
              <w:ind w:left="340"/>
              <w:textAlignment w:val="auto"/>
              <w:rPr>
                <w:rFonts w:ascii="Arial" w:hAnsi="Arial" w:eastAsia="Arial" w:cs="Arial"/>
                <w:sz w:val="20"/>
                <w:szCs w:val="20"/>
              </w:rPr>
            </w:pPr>
            <w:r>
              <w:rPr>
                <w:rFonts w:ascii="Arial" w:hAnsi="Arial" w:eastAsia="Arial" w:cs="Arial"/>
                <w:spacing w:val="1"/>
                <w:sz w:val="20"/>
                <w:szCs w:val="20"/>
              </w:rPr>
              <w:t>109017</w:t>
            </w:r>
          </w:p>
        </w:tc>
      </w:tr>
      <w:tr w14:paraId="03D37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726" w:type="dxa"/>
            <w:noWrap w:val="0"/>
            <w:vAlign w:val="top"/>
          </w:tcPr>
          <w:p w14:paraId="1F69D196">
            <w:pPr>
              <w:keepNext w:val="0"/>
              <w:keepLines w:val="0"/>
              <w:pageBreakBefore w:val="0"/>
              <w:widowControl w:val="0"/>
              <w:kinsoku/>
              <w:wordWrap/>
              <w:overflowPunct/>
              <w:topLinePunct w:val="0"/>
              <w:autoSpaceDE/>
              <w:autoSpaceDN/>
              <w:bidi w:val="0"/>
              <w:adjustRightInd/>
              <w:snapToGrid/>
              <w:spacing w:before="100" w:line="240" w:lineRule="exact"/>
              <w:ind w:left="308"/>
              <w:textAlignment w:val="auto"/>
              <w:rPr>
                <w:rFonts w:ascii="Arial" w:hAnsi="Arial" w:eastAsia="Arial" w:cs="Arial"/>
                <w:sz w:val="20"/>
                <w:szCs w:val="20"/>
              </w:rPr>
            </w:pPr>
            <w:r>
              <w:rPr>
                <w:rFonts w:ascii="Arial" w:hAnsi="Arial" w:eastAsia="Arial" w:cs="Arial"/>
                <w:sz w:val="20"/>
                <w:szCs w:val="20"/>
              </w:rPr>
              <w:t>2</w:t>
            </w:r>
          </w:p>
        </w:tc>
        <w:tc>
          <w:tcPr>
            <w:tcW w:w="2897" w:type="dxa"/>
            <w:noWrap w:val="0"/>
            <w:vAlign w:val="top"/>
          </w:tcPr>
          <w:p w14:paraId="140B42E5">
            <w:pPr>
              <w:keepNext w:val="0"/>
              <w:keepLines w:val="0"/>
              <w:pageBreakBefore w:val="0"/>
              <w:widowControl w:val="0"/>
              <w:kinsoku/>
              <w:wordWrap/>
              <w:overflowPunct/>
              <w:topLinePunct w:val="0"/>
              <w:autoSpaceDE/>
              <w:autoSpaceDN/>
              <w:bidi w:val="0"/>
              <w:adjustRightInd/>
              <w:snapToGrid/>
              <w:spacing w:before="74" w:line="240" w:lineRule="exact"/>
              <w:ind w:left="720"/>
              <w:textAlignment w:val="auto"/>
              <w:rPr>
                <w:rFonts w:ascii="仿宋" w:hAnsi="仿宋" w:eastAsia="仿宋" w:cs="仿宋"/>
                <w:sz w:val="20"/>
                <w:szCs w:val="20"/>
              </w:rPr>
            </w:pPr>
            <w:r>
              <w:rPr>
                <w:rFonts w:ascii="仿宋" w:hAnsi="仿宋" w:eastAsia="仿宋" w:cs="仿宋"/>
                <w:spacing w:val="9"/>
                <w:sz w:val="20"/>
                <w:szCs w:val="20"/>
              </w:rPr>
              <w:t>新</w:t>
            </w:r>
            <w:r>
              <w:rPr>
                <w:rFonts w:ascii="仿宋" w:hAnsi="仿宋" w:eastAsia="仿宋" w:cs="仿宋"/>
                <w:spacing w:val="8"/>
                <w:sz w:val="20"/>
                <w:szCs w:val="20"/>
              </w:rPr>
              <w:t>能源材料产业</w:t>
            </w:r>
          </w:p>
        </w:tc>
        <w:tc>
          <w:tcPr>
            <w:tcW w:w="1329" w:type="dxa"/>
            <w:noWrap w:val="0"/>
            <w:vAlign w:val="top"/>
          </w:tcPr>
          <w:p w14:paraId="58E44BE0">
            <w:pPr>
              <w:keepNext w:val="0"/>
              <w:keepLines w:val="0"/>
              <w:pageBreakBefore w:val="0"/>
              <w:widowControl w:val="0"/>
              <w:kinsoku/>
              <w:wordWrap/>
              <w:overflowPunct/>
              <w:topLinePunct w:val="0"/>
              <w:autoSpaceDE/>
              <w:autoSpaceDN/>
              <w:bidi w:val="0"/>
              <w:adjustRightInd/>
              <w:snapToGrid/>
              <w:spacing w:before="100" w:line="240" w:lineRule="exact"/>
              <w:ind w:left="319"/>
              <w:textAlignment w:val="auto"/>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15267</w:t>
            </w:r>
          </w:p>
        </w:tc>
        <w:tc>
          <w:tcPr>
            <w:tcW w:w="1330" w:type="dxa"/>
            <w:noWrap w:val="0"/>
            <w:vAlign w:val="top"/>
          </w:tcPr>
          <w:p w14:paraId="7356AABF">
            <w:pPr>
              <w:keepNext w:val="0"/>
              <w:keepLines w:val="0"/>
              <w:pageBreakBefore w:val="0"/>
              <w:widowControl w:val="0"/>
              <w:kinsoku/>
              <w:wordWrap/>
              <w:overflowPunct/>
              <w:topLinePunct w:val="0"/>
              <w:autoSpaceDE/>
              <w:autoSpaceDN/>
              <w:bidi w:val="0"/>
              <w:adjustRightInd/>
              <w:snapToGrid/>
              <w:spacing w:before="100" w:line="240" w:lineRule="exact"/>
              <w:ind w:left="323"/>
              <w:textAlignment w:val="auto"/>
              <w:rPr>
                <w:rFonts w:ascii="Arial" w:hAnsi="Arial" w:eastAsia="Arial" w:cs="Arial"/>
                <w:sz w:val="20"/>
                <w:szCs w:val="20"/>
              </w:rPr>
            </w:pPr>
            <w:r>
              <w:rPr>
                <w:rFonts w:ascii="Arial" w:hAnsi="Arial" w:eastAsia="Arial" w:cs="Arial"/>
                <w:spacing w:val="6"/>
                <w:sz w:val="20"/>
                <w:szCs w:val="20"/>
              </w:rPr>
              <w:t>7</w:t>
            </w:r>
            <w:r>
              <w:rPr>
                <w:rFonts w:ascii="Arial" w:hAnsi="Arial" w:eastAsia="Arial" w:cs="Arial"/>
                <w:spacing w:val="4"/>
                <w:sz w:val="20"/>
                <w:szCs w:val="20"/>
              </w:rPr>
              <w:t>8</w:t>
            </w:r>
            <w:r>
              <w:rPr>
                <w:rFonts w:ascii="Arial" w:hAnsi="Arial" w:eastAsia="Arial" w:cs="Arial"/>
                <w:spacing w:val="3"/>
                <w:sz w:val="20"/>
                <w:szCs w:val="20"/>
              </w:rPr>
              <w:t>7500</w:t>
            </w:r>
          </w:p>
        </w:tc>
        <w:tc>
          <w:tcPr>
            <w:tcW w:w="1330" w:type="dxa"/>
            <w:noWrap w:val="0"/>
            <w:vAlign w:val="top"/>
          </w:tcPr>
          <w:p w14:paraId="10019D88">
            <w:pPr>
              <w:keepNext w:val="0"/>
              <w:keepLines w:val="0"/>
              <w:pageBreakBefore w:val="0"/>
              <w:widowControl w:val="0"/>
              <w:kinsoku/>
              <w:wordWrap/>
              <w:overflowPunct/>
              <w:topLinePunct w:val="0"/>
              <w:autoSpaceDE/>
              <w:autoSpaceDN/>
              <w:bidi w:val="0"/>
              <w:adjustRightInd/>
              <w:snapToGrid/>
              <w:spacing w:before="100" w:line="240" w:lineRule="exact"/>
              <w:ind w:left="382"/>
              <w:textAlignment w:val="auto"/>
              <w:rPr>
                <w:rFonts w:ascii="Arial" w:hAnsi="Arial" w:eastAsia="Arial" w:cs="Arial"/>
                <w:sz w:val="20"/>
                <w:szCs w:val="20"/>
              </w:rPr>
            </w:pPr>
            <w:r>
              <w:rPr>
                <w:rFonts w:ascii="Arial" w:hAnsi="Arial" w:eastAsia="Arial" w:cs="Arial"/>
                <w:spacing w:val="4"/>
                <w:sz w:val="20"/>
                <w:szCs w:val="20"/>
              </w:rPr>
              <w:t>9</w:t>
            </w:r>
            <w:r>
              <w:rPr>
                <w:rFonts w:ascii="Arial" w:hAnsi="Arial" w:eastAsia="Arial" w:cs="Arial"/>
                <w:spacing w:val="3"/>
                <w:sz w:val="20"/>
                <w:szCs w:val="20"/>
              </w:rPr>
              <w:t>0342</w:t>
            </w:r>
          </w:p>
        </w:tc>
        <w:tc>
          <w:tcPr>
            <w:tcW w:w="1335" w:type="dxa"/>
            <w:noWrap w:val="0"/>
            <w:vAlign w:val="top"/>
          </w:tcPr>
          <w:p w14:paraId="099B19F7">
            <w:pPr>
              <w:keepNext w:val="0"/>
              <w:keepLines w:val="0"/>
              <w:pageBreakBefore w:val="0"/>
              <w:widowControl w:val="0"/>
              <w:kinsoku/>
              <w:wordWrap/>
              <w:overflowPunct/>
              <w:topLinePunct w:val="0"/>
              <w:autoSpaceDE/>
              <w:autoSpaceDN/>
              <w:bidi w:val="0"/>
              <w:adjustRightInd/>
              <w:snapToGrid/>
              <w:spacing w:before="100" w:line="240" w:lineRule="exact"/>
              <w:ind w:left="383"/>
              <w:textAlignment w:val="auto"/>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0360</w:t>
            </w:r>
          </w:p>
        </w:tc>
      </w:tr>
      <w:tr w14:paraId="3B4D2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726" w:type="dxa"/>
            <w:noWrap w:val="0"/>
            <w:vAlign w:val="top"/>
          </w:tcPr>
          <w:p w14:paraId="2FF11A5C">
            <w:pPr>
              <w:keepNext w:val="0"/>
              <w:keepLines w:val="0"/>
              <w:pageBreakBefore w:val="0"/>
              <w:widowControl w:val="0"/>
              <w:kinsoku/>
              <w:wordWrap/>
              <w:overflowPunct/>
              <w:topLinePunct w:val="0"/>
              <w:autoSpaceDE/>
              <w:autoSpaceDN/>
              <w:bidi w:val="0"/>
              <w:adjustRightInd/>
              <w:snapToGrid/>
              <w:spacing w:before="101" w:line="240" w:lineRule="exact"/>
              <w:ind w:left="311"/>
              <w:textAlignment w:val="auto"/>
              <w:rPr>
                <w:rFonts w:ascii="Arial" w:hAnsi="Arial" w:eastAsia="Arial" w:cs="Arial"/>
                <w:sz w:val="20"/>
                <w:szCs w:val="20"/>
              </w:rPr>
            </w:pPr>
            <w:r>
              <w:rPr>
                <w:rFonts w:ascii="Arial" w:hAnsi="Arial" w:eastAsia="Arial" w:cs="Arial"/>
                <w:sz w:val="20"/>
                <w:szCs w:val="20"/>
              </w:rPr>
              <w:t>3</w:t>
            </w:r>
          </w:p>
        </w:tc>
        <w:tc>
          <w:tcPr>
            <w:tcW w:w="2897" w:type="dxa"/>
            <w:noWrap w:val="0"/>
            <w:vAlign w:val="top"/>
          </w:tcPr>
          <w:p w14:paraId="6E50C996">
            <w:pPr>
              <w:keepNext w:val="0"/>
              <w:keepLines w:val="0"/>
              <w:pageBreakBefore w:val="0"/>
              <w:widowControl w:val="0"/>
              <w:kinsoku/>
              <w:wordWrap/>
              <w:overflowPunct/>
              <w:topLinePunct w:val="0"/>
              <w:autoSpaceDE/>
              <w:autoSpaceDN/>
              <w:bidi w:val="0"/>
              <w:adjustRightInd/>
              <w:snapToGrid/>
              <w:spacing w:before="75" w:line="240" w:lineRule="exact"/>
              <w:ind w:left="726"/>
              <w:textAlignment w:val="auto"/>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7"/>
                <w:sz w:val="20"/>
                <w:szCs w:val="20"/>
              </w:rPr>
              <w:t>健康材料产业</w:t>
            </w:r>
          </w:p>
        </w:tc>
        <w:tc>
          <w:tcPr>
            <w:tcW w:w="1329" w:type="dxa"/>
            <w:noWrap w:val="0"/>
            <w:vAlign w:val="top"/>
          </w:tcPr>
          <w:p w14:paraId="0911FF9E">
            <w:pPr>
              <w:keepNext w:val="0"/>
              <w:keepLines w:val="0"/>
              <w:pageBreakBefore w:val="0"/>
              <w:widowControl w:val="0"/>
              <w:kinsoku/>
              <w:wordWrap/>
              <w:overflowPunct/>
              <w:topLinePunct w:val="0"/>
              <w:autoSpaceDE/>
              <w:autoSpaceDN/>
              <w:bidi w:val="0"/>
              <w:adjustRightInd/>
              <w:snapToGrid/>
              <w:spacing w:before="101" w:line="240" w:lineRule="exact"/>
              <w:ind w:left="373"/>
              <w:textAlignment w:val="auto"/>
              <w:rPr>
                <w:rFonts w:ascii="Arial" w:hAnsi="Arial" w:eastAsia="Arial" w:cs="Arial"/>
                <w:sz w:val="20"/>
                <w:szCs w:val="20"/>
              </w:rPr>
            </w:pPr>
            <w:r>
              <w:rPr>
                <w:rFonts w:ascii="Arial" w:hAnsi="Arial" w:eastAsia="Arial" w:cs="Arial"/>
                <w:spacing w:val="6"/>
                <w:sz w:val="20"/>
                <w:szCs w:val="20"/>
              </w:rPr>
              <w:t>4</w:t>
            </w:r>
            <w:r>
              <w:rPr>
                <w:rFonts w:ascii="Arial" w:hAnsi="Arial" w:eastAsia="Arial" w:cs="Arial"/>
                <w:spacing w:val="4"/>
                <w:sz w:val="20"/>
                <w:szCs w:val="20"/>
              </w:rPr>
              <w:t>0000</w:t>
            </w:r>
          </w:p>
        </w:tc>
        <w:tc>
          <w:tcPr>
            <w:tcW w:w="1330" w:type="dxa"/>
            <w:noWrap w:val="0"/>
            <w:vAlign w:val="top"/>
          </w:tcPr>
          <w:p w14:paraId="3B8272E8">
            <w:pPr>
              <w:keepNext w:val="0"/>
              <w:keepLines w:val="0"/>
              <w:pageBreakBefore w:val="0"/>
              <w:widowControl w:val="0"/>
              <w:kinsoku/>
              <w:wordWrap/>
              <w:overflowPunct/>
              <w:topLinePunct w:val="0"/>
              <w:autoSpaceDE/>
              <w:autoSpaceDN/>
              <w:bidi w:val="0"/>
              <w:adjustRightInd/>
              <w:snapToGrid/>
              <w:spacing w:before="101" w:line="240" w:lineRule="exact"/>
              <w:ind w:left="376"/>
              <w:textAlignment w:val="auto"/>
              <w:rPr>
                <w:rFonts w:ascii="Arial" w:hAnsi="Arial" w:eastAsia="Arial" w:cs="Arial"/>
                <w:sz w:val="20"/>
                <w:szCs w:val="20"/>
              </w:rPr>
            </w:pPr>
            <w:r>
              <w:rPr>
                <w:rFonts w:ascii="Arial" w:hAnsi="Arial" w:eastAsia="Arial" w:cs="Arial"/>
                <w:spacing w:val="6"/>
                <w:sz w:val="20"/>
                <w:szCs w:val="20"/>
              </w:rPr>
              <w:t>4</w:t>
            </w:r>
            <w:r>
              <w:rPr>
                <w:rFonts w:ascii="Arial" w:hAnsi="Arial" w:eastAsia="Arial" w:cs="Arial"/>
                <w:spacing w:val="4"/>
                <w:sz w:val="20"/>
                <w:szCs w:val="20"/>
              </w:rPr>
              <w:t>0000</w:t>
            </w:r>
          </w:p>
        </w:tc>
        <w:tc>
          <w:tcPr>
            <w:tcW w:w="1330" w:type="dxa"/>
            <w:noWrap w:val="0"/>
            <w:vAlign w:val="top"/>
          </w:tcPr>
          <w:p w14:paraId="3B56A737">
            <w:pPr>
              <w:keepNext w:val="0"/>
              <w:keepLines w:val="0"/>
              <w:pageBreakBefore w:val="0"/>
              <w:widowControl w:val="0"/>
              <w:kinsoku/>
              <w:wordWrap/>
              <w:overflowPunct/>
              <w:topLinePunct w:val="0"/>
              <w:autoSpaceDE/>
              <w:autoSpaceDN/>
              <w:bidi w:val="0"/>
              <w:adjustRightInd/>
              <w:snapToGrid/>
              <w:spacing w:before="101" w:line="240" w:lineRule="exact"/>
              <w:ind w:left="396"/>
              <w:textAlignment w:val="auto"/>
              <w:rPr>
                <w:rFonts w:ascii="Arial" w:hAnsi="Arial" w:eastAsia="Arial" w:cs="Arial"/>
                <w:sz w:val="20"/>
                <w:szCs w:val="20"/>
              </w:rPr>
            </w:pPr>
            <w:r>
              <w:rPr>
                <w:rFonts w:ascii="Arial" w:hAnsi="Arial" w:eastAsia="Arial" w:cs="Arial"/>
                <w:spacing w:val="1"/>
                <w:sz w:val="20"/>
                <w:szCs w:val="20"/>
              </w:rPr>
              <w:t>10</w:t>
            </w:r>
            <w:r>
              <w:rPr>
                <w:rFonts w:ascii="Arial" w:hAnsi="Arial" w:eastAsia="Arial" w:cs="Arial"/>
                <w:sz w:val="20"/>
                <w:szCs w:val="20"/>
              </w:rPr>
              <w:t>000</w:t>
            </w:r>
          </w:p>
        </w:tc>
        <w:tc>
          <w:tcPr>
            <w:tcW w:w="1335" w:type="dxa"/>
            <w:noWrap w:val="0"/>
            <w:vAlign w:val="top"/>
          </w:tcPr>
          <w:p w14:paraId="0D4D9AF4">
            <w:pPr>
              <w:keepNext w:val="0"/>
              <w:keepLines w:val="0"/>
              <w:pageBreakBefore w:val="0"/>
              <w:widowControl w:val="0"/>
              <w:kinsoku/>
              <w:wordWrap/>
              <w:overflowPunct/>
              <w:topLinePunct w:val="0"/>
              <w:autoSpaceDE/>
              <w:autoSpaceDN/>
              <w:bidi w:val="0"/>
              <w:adjustRightInd/>
              <w:snapToGrid/>
              <w:spacing w:before="101" w:line="240" w:lineRule="exact"/>
              <w:ind w:left="440"/>
              <w:textAlignment w:val="auto"/>
              <w:rPr>
                <w:rFonts w:ascii="Arial" w:hAnsi="Arial" w:eastAsia="Arial" w:cs="Arial"/>
                <w:sz w:val="20"/>
                <w:szCs w:val="20"/>
              </w:rPr>
            </w:pPr>
            <w:r>
              <w:rPr>
                <w:rFonts w:ascii="Arial" w:hAnsi="Arial" w:eastAsia="Arial" w:cs="Arial"/>
                <w:spacing w:val="3"/>
                <w:sz w:val="20"/>
                <w:szCs w:val="20"/>
              </w:rPr>
              <w:t>600</w:t>
            </w:r>
            <w:r>
              <w:rPr>
                <w:rFonts w:ascii="Arial" w:hAnsi="Arial" w:eastAsia="Arial" w:cs="Arial"/>
                <w:spacing w:val="2"/>
                <w:sz w:val="20"/>
                <w:szCs w:val="20"/>
              </w:rPr>
              <w:t>0</w:t>
            </w:r>
          </w:p>
        </w:tc>
      </w:tr>
      <w:tr w14:paraId="4C983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07F13BE8">
            <w:pPr>
              <w:keepNext w:val="0"/>
              <w:keepLines w:val="0"/>
              <w:pageBreakBefore w:val="0"/>
              <w:widowControl w:val="0"/>
              <w:kinsoku/>
              <w:wordWrap/>
              <w:overflowPunct/>
              <w:topLinePunct w:val="0"/>
              <w:autoSpaceDE/>
              <w:autoSpaceDN/>
              <w:bidi w:val="0"/>
              <w:adjustRightInd/>
              <w:snapToGrid/>
              <w:spacing w:before="102" w:line="240" w:lineRule="exact"/>
              <w:ind w:left="305"/>
              <w:textAlignment w:val="auto"/>
              <w:rPr>
                <w:rFonts w:ascii="Arial" w:hAnsi="Arial" w:eastAsia="Arial" w:cs="Arial"/>
                <w:sz w:val="20"/>
                <w:szCs w:val="20"/>
              </w:rPr>
            </w:pPr>
            <w:r>
              <w:rPr>
                <w:rFonts w:ascii="Arial" w:hAnsi="Arial" w:eastAsia="Arial" w:cs="Arial"/>
                <w:spacing w:val="2"/>
                <w:sz w:val="20"/>
                <w:szCs w:val="20"/>
              </w:rPr>
              <w:t>4</w:t>
            </w:r>
          </w:p>
        </w:tc>
        <w:tc>
          <w:tcPr>
            <w:tcW w:w="2897" w:type="dxa"/>
            <w:noWrap w:val="0"/>
            <w:vAlign w:val="top"/>
          </w:tcPr>
          <w:p w14:paraId="7AB7069B">
            <w:pPr>
              <w:keepNext w:val="0"/>
              <w:keepLines w:val="0"/>
              <w:pageBreakBefore w:val="0"/>
              <w:widowControl w:val="0"/>
              <w:kinsoku/>
              <w:wordWrap/>
              <w:overflowPunct/>
              <w:topLinePunct w:val="0"/>
              <w:autoSpaceDE/>
              <w:autoSpaceDN/>
              <w:bidi w:val="0"/>
              <w:adjustRightInd/>
              <w:snapToGrid/>
              <w:spacing w:before="75" w:line="240" w:lineRule="exact"/>
              <w:ind w:left="512"/>
              <w:textAlignment w:val="auto"/>
              <w:rPr>
                <w:rFonts w:ascii="仿宋" w:hAnsi="仿宋" w:eastAsia="仿宋" w:cs="仿宋"/>
                <w:sz w:val="20"/>
                <w:szCs w:val="20"/>
              </w:rPr>
            </w:pPr>
            <w:r>
              <w:rPr>
                <w:rFonts w:ascii="仿宋" w:hAnsi="仿宋" w:eastAsia="仿宋" w:cs="仿宋"/>
                <w:spacing w:val="10"/>
                <w:sz w:val="20"/>
                <w:szCs w:val="20"/>
              </w:rPr>
              <w:t>节</w:t>
            </w:r>
            <w:r>
              <w:rPr>
                <w:rFonts w:ascii="仿宋" w:hAnsi="仿宋" w:eastAsia="仿宋" w:cs="仿宋"/>
                <w:spacing w:val="8"/>
                <w:sz w:val="20"/>
                <w:szCs w:val="20"/>
              </w:rPr>
              <w:t>能环保新材料产业</w:t>
            </w:r>
          </w:p>
        </w:tc>
        <w:tc>
          <w:tcPr>
            <w:tcW w:w="1329" w:type="dxa"/>
            <w:noWrap w:val="0"/>
            <w:vAlign w:val="top"/>
          </w:tcPr>
          <w:p w14:paraId="11A05276">
            <w:pPr>
              <w:keepNext w:val="0"/>
              <w:keepLines w:val="0"/>
              <w:pageBreakBefore w:val="0"/>
              <w:widowControl w:val="0"/>
              <w:kinsoku/>
              <w:wordWrap/>
              <w:overflowPunct/>
              <w:topLinePunct w:val="0"/>
              <w:autoSpaceDE/>
              <w:autoSpaceDN/>
              <w:bidi w:val="0"/>
              <w:adjustRightInd/>
              <w:snapToGrid/>
              <w:spacing w:before="102" w:line="240" w:lineRule="exact"/>
              <w:ind w:left="335"/>
              <w:textAlignment w:val="auto"/>
              <w:rPr>
                <w:rFonts w:ascii="Arial" w:hAnsi="Arial" w:eastAsia="Arial" w:cs="Arial"/>
                <w:sz w:val="20"/>
                <w:szCs w:val="20"/>
              </w:rPr>
            </w:pPr>
            <w:r>
              <w:rPr>
                <w:rFonts w:ascii="Arial" w:hAnsi="Arial" w:eastAsia="Arial" w:cs="Arial"/>
                <w:spacing w:val="2"/>
                <w:sz w:val="20"/>
                <w:szCs w:val="20"/>
              </w:rPr>
              <w:t>100</w:t>
            </w:r>
            <w:r>
              <w:rPr>
                <w:rFonts w:ascii="Arial" w:hAnsi="Arial" w:eastAsia="Arial" w:cs="Arial"/>
                <w:spacing w:val="1"/>
                <w:sz w:val="20"/>
                <w:szCs w:val="20"/>
              </w:rPr>
              <w:t>000</w:t>
            </w:r>
          </w:p>
        </w:tc>
        <w:tc>
          <w:tcPr>
            <w:tcW w:w="1330" w:type="dxa"/>
            <w:noWrap w:val="0"/>
            <w:vAlign w:val="top"/>
          </w:tcPr>
          <w:p w14:paraId="2CA8D5A4">
            <w:pPr>
              <w:keepNext w:val="0"/>
              <w:keepLines w:val="0"/>
              <w:pageBreakBefore w:val="0"/>
              <w:widowControl w:val="0"/>
              <w:kinsoku/>
              <w:wordWrap/>
              <w:overflowPunct/>
              <w:topLinePunct w:val="0"/>
              <w:autoSpaceDE/>
              <w:autoSpaceDN/>
              <w:bidi w:val="0"/>
              <w:adjustRightInd/>
              <w:snapToGrid/>
              <w:spacing w:before="102" w:line="240" w:lineRule="exact"/>
              <w:ind w:left="336"/>
              <w:textAlignment w:val="auto"/>
              <w:rPr>
                <w:rFonts w:ascii="Arial" w:hAnsi="Arial" w:eastAsia="Arial" w:cs="Arial"/>
                <w:sz w:val="20"/>
                <w:szCs w:val="20"/>
              </w:rPr>
            </w:pPr>
            <w:r>
              <w:rPr>
                <w:rFonts w:ascii="Arial" w:hAnsi="Arial" w:eastAsia="Arial" w:cs="Arial"/>
                <w:spacing w:val="2"/>
                <w:sz w:val="20"/>
                <w:szCs w:val="20"/>
              </w:rPr>
              <w:t>125</w:t>
            </w:r>
            <w:r>
              <w:rPr>
                <w:rFonts w:ascii="Arial" w:hAnsi="Arial" w:eastAsia="Arial" w:cs="Arial"/>
                <w:spacing w:val="1"/>
                <w:sz w:val="20"/>
                <w:szCs w:val="20"/>
              </w:rPr>
              <w:t>000</w:t>
            </w:r>
          </w:p>
        </w:tc>
        <w:tc>
          <w:tcPr>
            <w:tcW w:w="1330" w:type="dxa"/>
            <w:noWrap w:val="0"/>
            <w:vAlign w:val="top"/>
          </w:tcPr>
          <w:p w14:paraId="5CA63669">
            <w:pPr>
              <w:keepNext w:val="0"/>
              <w:keepLines w:val="0"/>
              <w:pageBreakBefore w:val="0"/>
              <w:widowControl w:val="0"/>
              <w:kinsoku/>
              <w:wordWrap/>
              <w:overflowPunct/>
              <w:topLinePunct w:val="0"/>
              <w:autoSpaceDE/>
              <w:autoSpaceDN/>
              <w:bidi w:val="0"/>
              <w:adjustRightInd/>
              <w:snapToGrid/>
              <w:spacing w:before="102" w:line="240" w:lineRule="exact"/>
              <w:ind w:left="396"/>
              <w:textAlignment w:val="auto"/>
              <w:rPr>
                <w:rFonts w:ascii="Arial" w:hAnsi="Arial" w:eastAsia="Arial" w:cs="Arial"/>
                <w:sz w:val="20"/>
                <w:szCs w:val="20"/>
              </w:rPr>
            </w:pPr>
            <w:r>
              <w:rPr>
                <w:rFonts w:ascii="Arial" w:hAnsi="Arial" w:eastAsia="Arial" w:cs="Arial"/>
                <w:spacing w:val="1"/>
                <w:sz w:val="20"/>
                <w:szCs w:val="20"/>
              </w:rPr>
              <w:t>14</w:t>
            </w:r>
            <w:r>
              <w:rPr>
                <w:rFonts w:ascii="Arial" w:hAnsi="Arial" w:eastAsia="Arial" w:cs="Arial"/>
                <w:sz w:val="20"/>
                <w:szCs w:val="20"/>
              </w:rPr>
              <w:t>860</w:t>
            </w:r>
          </w:p>
        </w:tc>
        <w:tc>
          <w:tcPr>
            <w:tcW w:w="1335" w:type="dxa"/>
            <w:noWrap w:val="0"/>
            <w:vAlign w:val="top"/>
          </w:tcPr>
          <w:p w14:paraId="45EFB819">
            <w:pPr>
              <w:keepNext w:val="0"/>
              <w:keepLines w:val="0"/>
              <w:pageBreakBefore w:val="0"/>
              <w:widowControl w:val="0"/>
              <w:kinsoku/>
              <w:wordWrap/>
              <w:overflowPunct/>
              <w:topLinePunct w:val="0"/>
              <w:autoSpaceDE/>
              <w:autoSpaceDN/>
              <w:bidi w:val="0"/>
              <w:adjustRightInd/>
              <w:snapToGrid/>
              <w:spacing w:before="102" w:line="240" w:lineRule="exact"/>
              <w:ind w:left="441"/>
              <w:textAlignment w:val="auto"/>
              <w:rPr>
                <w:rFonts w:ascii="Arial" w:hAnsi="Arial" w:eastAsia="Arial" w:cs="Arial"/>
                <w:sz w:val="20"/>
                <w:szCs w:val="20"/>
              </w:rPr>
            </w:pPr>
            <w:r>
              <w:rPr>
                <w:rFonts w:ascii="Arial" w:hAnsi="Arial" w:eastAsia="Arial" w:cs="Arial"/>
                <w:spacing w:val="4"/>
                <w:sz w:val="20"/>
                <w:szCs w:val="20"/>
              </w:rPr>
              <w:t>9</w:t>
            </w:r>
            <w:r>
              <w:rPr>
                <w:rFonts w:ascii="Arial" w:hAnsi="Arial" w:eastAsia="Arial" w:cs="Arial"/>
                <w:spacing w:val="2"/>
                <w:sz w:val="20"/>
                <w:szCs w:val="20"/>
              </w:rPr>
              <w:t>200</w:t>
            </w:r>
          </w:p>
        </w:tc>
      </w:tr>
      <w:tr w14:paraId="6BD4F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726" w:type="dxa"/>
            <w:shd w:val="clear" w:color="auto" w:fill="E7E6E6"/>
            <w:noWrap w:val="0"/>
            <w:vAlign w:val="top"/>
          </w:tcPr>
          <w:p w14:paraId="4773F114">
            <w:pPr>
              <w:keepNext w:val="0"/>
              <w:keepLines w:val="0"/>
              <w:pageBreakBefore w:val="0"/>
              <w:widowControl w:val="0"/>
              <w:kinsoku/>
              <w:wordWrap/>
              <w:overflowPunct/>
              <w:topLinePunct w:val="0"/>
              <w:autoSpaceDE/>
              <w:autoSpaceDN/>
              <w:bidi w:val="0"/>
              <w:adjustRightInd/>
              <w:snapToGrid/>
              <w:spacing w:line="240" w:lineRule="exact"/>
              <w:textAlignment w:val="auto"/>
              <w:rPr>
                <w:rFonts w:ascii="Arial"/>
                <w:sz w:val="21"/>
              </w:rPr>
            </w:pPr>
          </w:p>
        </w:tc>
        <w:tc>
          <w:tcPr>
            <w:tcW w:w="2897" w:type="dxa"/>
            <w:shd w:val="clear" w:color="auto" w:fill="E7E6E6"/>
            <w:noWrap w:val="0"/>
            <w:vAlign w:val="top"/>
          </w:tcPr>
          <w:p w14:paraId="1348335C">
            <w:pPr>
              <w:keepNext w:val="0"/>
              <w:keepLines w:val="0"/>
              <w:pageBreakBefore w:val="0"/>
              <w:widowControl w:val="0"/>
              <w:kinsoku/>
              <w:wordWrap/>
              <w:overflowPunct/>
              <w:topLinePunct w:val="0"/>
              <w:autoSpaceDE/>
              <w:autoSpaceDN/>
              <w:bidi w:val="0"/>
              <w:adjustRightInd/>
              <w:snapToGrid/>
              <w:spacing w:before="75" w:line="240" w:lineRule="exact"/>
              <w:ind w:left="1243"/>
              <w:textAlignment w:val="auto"/>
              <w:rPr>
                <w:rFonts w:ascii="仿宋" w:hAnsi="仿宋" w:eastAsia="仿宋" w:cs="仿宋"/>
                <w:sz w:val="20"/>
                <w:szCs w:val="20"/>
              </w:rPr>
            </w:pPr>
            <w:r>
              <w:rPr>
                <w:rFonts w:ascii="仿宋" w:hAnsi="仿宋" w:eastAsia="仿宋" w:cs="仿宋"/>
                <w:spacing w:val="4"/>
                <w:sz w:val="20"/>
                <w:szCs w:val="20"/>
              </w:rPr>
              <w:t>合</w:t>
            </w:r>
            <w:r>
              <w:rPr>
                <w:rFonts w:ascii="仿宋" w:hAnsi="仿宋" w:eastAsia="仿宋" w:cs="仿宋"/>
                <w:spacing w:val="3"/>
                <w:sz w:val="20"/>
                <w:szCs w:val="20"/>
              </w:rPr>
              <w:t>计</w:t>
            </w:r>
          </w:p>
        </w:tc>
        <w:tc>
          <w:tcPr>
            <w:tcW w:w="1329" w:type="dxa"/>
            <w:shd w:val="clear" w:color="auto" w:fill="E7E6E6"/>
            <w:noWrap w:val="0"/>
            <w:vAlign w:val="top"/>
          </w:tcPr>
          <w:p w14:paraId="6B9D5842">
            <w:pPr>
              <w:keepNext w:val="0"/>
              <w:keepLines w:val="0"/>
              <w:pageBreakBefore w:val="0"/>
              <w:widowControl w:val="0"/>
              <w:kinsoku/>
              <w:wordWrap/>
              <w:overflowPunct/>
              <w:topLinePunct w:val="0"/>
              <w:autoSpaceDE/>
              <w:autoSpaceDN/>
              <w:bidi w:val="0"/>
              <w:adjustRightInd/>
              <w:snapToGrid/>
              <w:spacing w:before="101" w:line="240" w:lineRule="exact"/>
              <w:ind w:left="321"/>
              <w:textAlignment w:val="auto"/>
              <w:rPr>
                <w:rFonts w:ascii="Arial" w:hAnsi="Arial" w:eastAsia="Arial" w:cs="Arial"/>
                <w:sz w:val="20"/>
                <w:szCs w:val="20"/>
              </w:rPr>
            </w:pPr>
            <w:r>
              <w:rPr>
                <w:rFonts w:ascii="Arial" w:hAnsi="Arial" w:eastAsia="Arial" w:cs="Arial"/>
                <w:spacing w:val="4"/>
                <w:sz w:val="20"/>
                <w:szCs w:val="20"/>
              </w:rPr>
              <w:t>89393</w:t>
            </w:r>
            <w:r>
              <w:rPr>
                <w:rFonts w:ascii="Arial" w:hAnsi="Arial" w:eastAsia="Arial" w:cs="Arial"/>
                <w:spacing w:val="3"/>
                <w:sz w:val="20"/>
                <w:szCs w:val="20"/>
              </w:rPr>
              <w:t>5</w:t>
            </w:r>
          </w:p>
        </w:tc>
        <w:tc>
          <w:tcPr>
            <w:tcW w:w="1330" w:type="dxa"/>
            <w:shd w:val="clear" w:color="auto" w:fill="E7E6E6"/>
            <w:noWrap w:val="0"/>
            <w:vAlign w:val="top"/>
          </w:tcPr>
          <w:p w14:paraId="04FD8538">
            <w:pPr>
              <w:keepNext w:val="0"/>
              <w:keepLines w:val="0"/>
              <w:pageBreakBefore w:val="0"/>
              <w:widowControl w:val="0"/>
              <w:kinsoku/>
              <w:wordWrap/>
              <w:overflowPunct/>
              <w:topLinePunct w:val="0"/>
              <w:autoSpaceDE/>
              <w:autoSpaceDN/>
              <w:bidi w:val="0"/>
              <w:adjustRightInd/>
              <w:snapToGrid/>
              <w:spacing w:before="101" w:line="240" w:lineRule="exact"/>
              <w:ind w:left="262"/>
              <w:textAlignment w:val="auto"/>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194453</w:t>
            </w:r>
          </w:p>
        </w:tc>
        <w:tc>
          <w:tcPr>
            <w:tcW w:w="1330" w:type="dxa"/>
            <w:shd w:val="clear" w:color="auto" w:fill="E7E6E6"/>
            <w:noWrap w:val="0"/>
            <w:vAlign w:val="top"/>
          </w:tcPr>
          <w:p w14:paraId="3FFD74D3">
            <w:pPr>
              <w:keepNext w:val="0"/>
              <w:keepLines w:val="0"/>
              <w:pageBreakBefore w:val="0"/>
              <w:widowControl w:val="0"/>
              <w:kinsoku/>
              <w:wordWrap/>
              <w:overflowPunct/>
              <w:topLinePunct w:val="0"/>
              <w:autoSpaceDE/>
              <w:autoSpaceDN/>
              <w:bidi w:val="0"/>
              <w:adjustRightInd/>
              <w:snapToGrid/>
              <w:spacing w:before="101" w:line="240" w:lineRule="exact"/>
              <w:ind w:left="321"/>
              <w:textAlignment w:val="auto"/>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71155</w:t>
            </w:r>
          </w:p>
        </w:tc>
        <w:tc>
          <w:tcPr>
            <w:tcW w:w="1335" w:type="dxa"/>
            <w:shd w:val="clear" w:color="auto" w:fill="E7E6E6"/>
            <w:noWrap w:val="0"/>
            <w:vAlign w:val="top"/>
          </w:tcPr>
          <w:p w14:paraId="0F6270E5">
            <w:pPr>
              <w:keepNext w:val="0"/>
              <w:keepLines w:val="0"/>
              <w:pageBreakBefore w:val="0"/>
              <w:widowControl w:val="0"/>
              <w:kinsoku/>
              <w:wordWrap/>
              <w:overflowPunct/>
              <w:topLinePunct w:val="0"/>
              <w:autoSpaceDE/>
              <w:autoSpaceDN/>
              <w:bidi w:val="0"/>
              <w:adjustRightInd/>
              <w:snapToGrid/>
              <w:spacing w:before="101" w:line="240" w:lineRule="exact"/>
              <w:ind w:left="340"/>
              <w:textAlignment w:val="auto"/>
              <w:rPr>
                <w:rFonts w:ascii="Arial" w:hAnsi="Arial" w:eastAsia="Arial" w:cs="Arial"/>
                <w:sz w:val="20"/>
                <w:szCs w:val="20"/>
              </w:rPr>
            </w:pPr>
            <w:r>
              <w:rPr>
                <w:rFonts w:ascii="Arial" w:hAnsi="Arial" w:eastAsia="Arial" w:cs="Arial"/>
                <w:spacing w:val="1"/>
                <w:sz w:val="20"/>
                <w:szCs w:val="20"/>
              </w:rPr>
              <w:t>184577</w:t>
            </w:r>
          </w:p>
        </w:tc>
      </w:tr>
      <w:tr w14:paraId="18D2B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8947" w:type="dxa"/>
            <w:gridSpan w:val="6"/>
            <w:shd w:val="clear" w:color="auto" w:fill="E2EFD9"/>
            <w:noWrap w:val="0"/>
            <w:vAlign w:val="top"/>
          </w:tcPr>
          <w:p w14:paraId="24509949">
            <w:pPr>
              <w:keepNext w:val="0"/>
              <w:keepLines w:val="0"/>
              <w:pageBreakBefore w:val="0"/>
              <w:widowControl w:val="0"/>
              <w:kinsoku/>
              <w:wordWrap/>
              <w:overflowPunct/>
              <w:topLinePunct w:val="0"/>
              <w:autoSpaceDE/>
              <w:autoSpaceDN/>
              <w:bidi w:val="0"/>
              <w:adjustRightInd/>
              <w:snapToGrid/>
              <w:spacing w:before="76" w:line="240" w:lineRule="exact"/>
              <w:ind w:left="3833"/>
              <w:textAlignment w:val="auto"/>
              <w:rPr>
                <w:rFonts w:ascii="仿宋" w:hAnsi="仿宋" w:eastAsia="仿宋" w:cs="仿宋"/>
                <w:sz w:val="20"/>
                <w:szCs w:val="20"/>
              </w:rPr>
            </w:pPr>
            <w:r>
              <w:rPr>
                <w:rFonts w:ascii="仿宋" w:hAnsi="仿宋" w:eastAsia="仿宋" w:cs="仿宋"/>
                <w:spacing w:val="5"/>
                <w:sz w:val="20"/>
                <w:szCs w:val="20"/>
              </w:rPr>
              <w:t>远期(</w:t>
            </w:r>
            <w:r>
              <w:rPr>
                <w:rFonts w:ascii="Arial" w:hAnsi="Arial" w:eastAsia="Arial" w:cs="Arial"/>
                <w:b/>
                <w:bCs/>
                <w:spacing w:val="5"/>
                <w:sz w:val="20"/>
                <w:szCs w:val="20"/>
              </w:rPr>
              <w:t>2035</w:t>
            </w:r>
            <w:r>
              <w:rPr>
                <w:rFonts w:ascii="仿宋" w:hAnsi="仿宋" w:eastAsia="仿宋" w:cs="仿宋"/>
                <w:spacing w:val="4"/>
                <w:sz w:val="20"/>
                <w:szCs w:val="20"/>
              </w:rPr>
              <w:t>)</w:t>
            </w:r>
          </w:p>
        </w:tc>
      </w:tr>
      <w:tr w14:paraId="7CA8E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726" w:type="dxa"/>
            <w:noWrap w:val="0"/>
            <w:vAlign w:val="top"/>
          </w:tcPr>
          <w:p w14:paraId="2C65740C">
            <w:pPr>
              <w:keepNext w:val="0"/>
              <w:keepLines w:val="0"/>
              <w:pageBreakBefore w:val="0"/>
              <w:widowControl w:val="0"/>
              <w:kinsoku/>
              <w:wordWrap/>
              <w:overflowPunct/>
              <w:topLinePunct w:val="0"/>
              <w:autoSpaceDE/>
              <w:autoSpaceDN/>
              <w:bidi w:val="0"/>
              <w:adjustRightInd/>
              <w:snapToGrid/>
              <w:spacing w:before="102" w:line="240" w:lineRule="exact"/>
              <w:ind w:left="325"/>
              <w:textAlignment w:val="auto"/>
              <w:rPr>
                <w:rFonts w:ascii="Arial" w:hAnsi="Arial" w:eastAsia="Arial" w:cs="Arial"/>
                <w:sz w:val="20"/>
                <w:szCs w:val="20"/>
              </w:rPr>
            </w:pPr>
            <w:r>
              <w:rPr>
                <w:rFonts w:ascii="Arial" w:hAnsi="Arial" w:eastAsia="Arial" w:cs="Arial"/>
                <w:sz w:val="20"/>
                <w:szCs w:val="20"/>
              </w:rPr>
              <w:t>1</w:t>
            </w:r>
          </w:p>
        </w:tc>
        <w:tc>
          <w:tcPr>
            <w:tcW w:w="2897" w:type="dxa"/>
            <w:noWrap w:val="0"/>
            <w:vAlign w:val="top"/>
          </w:tcPr>
          <w:p w14:paraId="4216338A">
            <w:pPr>
              <w:keepNext w:val="0"/>
              <w:keepLines w:val="0"/>
              <w:pageBreakBefore w:val="0"/>
              <w:widowControl w:val="0"/>
              <w:kinsoku/>
              <w:wordWrap/>
              <w:overflowPunct/>
              <w:topLinePunct w:val="0"/>
              <w:autoSpaceDE/>
              <w:autoSpaceDN/>
              <w:bidi w:val="0"/>
              <w:adjustRightInd/>
              <w:snapToGrid/>
              <w:spacing w:before="76" w:line="240" w:lineRule="exact"/>
              <w:ind w:left="724"/>
              <w:textAlignment w:val="auto"/>
              <w:rPr>
                <w:rFonts w:ascii="仿宋" w:hAnsi="仿宋" w:eastAsia="仿宋" w:cs="仿宋"/>
                <w:sz w:val="20"/>
                <w:szCs w:val="20"/>
              </w:rPr>
            </w:pPr>
            <w:r>
              <w:rPr>
                <w:rFonts w:ascii="仿宋" w:hAnsi="仿宋" w:eastAsia="仿宋" w:cs="仿宋"/>
                <w:spacing w:val="11"/>
                <w:sz w:val="20"/>
                <w:szCs w:val="20"/>
              </w:rPr>
              <w:t>化</w:t>
            </w:r>
            <w:r>
              <w:rPr>
                <w:rFonts w:ascii="仿宋" w:hAnsi="仿宋" w:eastAsia="仿宋" w:cs="仿宋"/>
                <w:spacing w:val="7"/>
                <w:sz w:val="20"/>
                <w:szCs w:val="20"/>
              </w:rPr>
              <w:t>工新材料产业</w:t>
            </w:r>
          </w:p>
        </w:tc>
        <w:tc>
          <w:tcPr>
            <w:tcW w:w="1329" w:type="dxa"/>
            <w:noWrap w:val="0"/>
            <w:vAlign w:val="top"/>
          </w:tcPr>
          <w:p w14:paraId="6947A9DC">
            <w:pPr>
              <w:keepNext w:val="0"/>
              <w:keepLines w:val="0"/>
              <w:pageBreakBefore w:val="0"/>
              <w:widowControl w:val="0"/>
              <w:kinsoku/>
              <w:wordWrap/>
              <w:overflowPunct/>
              <w:topLinePunct w:val="0"/>
              <w:autoSpaceDE/>
              <w:autoSpaceDN/>
              <w:bidi w:val="0"/>
              <w:adjustRightInd/>
              <w:snapToGrid/>
              <w:spacing w:before="102" w:line="240" w:lineRule="exact"/>
              <w:ind w:left="278"/>
              <w:textAlignment w:val="auto"/>
              <w:rPr>
                <w:rFonts w:ascii="Arial" w:hAnsi="Arial" w:eastAsia="Arial" w:cs="Arial"/>
                <w:sz w:val="20"/>
                <w:szCs w:val="20"/>
              </w:rPr>
            </w:pPr>
            <w:r>
              <w:rPr>
                <w:rFonts w:ascii="Arial" w:hAnsi="Arial" w:eastAsia="Arial" w:cs="Arial"/>
                <w:spacing w:val="2"/>
                <w:sz w:val="20"/>
                <w:szCs w:val="20"/>
              </w:rPr>
              <w:t>112222</w:t>
            </w:r>
            <w:r>
              <w:rPr>
                <w:rFonts w:ascii="Arial" w:hAnsi="Arial" w:eastAsia="Arial" w:cs="Arial"/>
                <w:spacing w:val="1"/>
                <w:sz w:val="20"/>
                <w:szCs w:val="20"/>
              </w:rPr>
              <w:t>5</w:t>
            </w:r>
          </w:p>
        </w:tc>
        <w:tc>
          <w:tcPr>
            <w:tcW w:w="1330" w:type="dxa"/>
            <w:noWrap w:val="0"/>
            <w:vAlign w:val="top"/>
          </w:tcPr>
          <w:p w14:paraId="5385F3A5">
            <w:pPr>
              <w:keepNext w:val="0"/>
              <w:keepLines w:val="0"/>
              <w:pageBreakBefore w:val="0"/>
              <w:widowControl w:val="0"/>
              <w:kinsoku/>
              <w:wordWrap/>
              <w:overflowPunct/>
              <w:topLinePunct w:val="0"/>
              <w:autoSpaceDE/>
              <w:autoSpaceDN/>
              <w:bidi w:val="0"/>
              <w:adjustRightInd/>
              <w:snapToGrid/>
              <w:spacing w:before="102" w:line="240" w:lineRule="exact"/>
              <w:ind w:left="262"/>
              <w:textAlignment w:val="auto"/>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587403</w:t>
            </w:r>
          </w:p>
        </w:tc>
        <w:tc>
          <w:tcPr>
            <w:tcW w:w="1330" w:type="dxa"/>
            <w:noWrap w:val="0"/>
            <w:vAlign w:val="top"/>
          </w:tcPr>
          <w:p w14:paraId="0AF61CB9">
            <w:pPr>
              <w:keepNext w:val="0"/>
              <w:keepLines w:val="0"/>
              <w:pageBreakBefore w:val="0"/>
              <w:widowControl w:val="0"/>
              <w:kinsoku/>
              <w:wordWrap/>
              <w:overflowPunct/>
              <w:topLinePunct w:val="0"/>
              <w:autoSpaceDE/>
              <w:autoSpaceDN/>
              <w:bidi w:val="0"/>
              <w:adjustRightInd/>
              <w:snapToGrid/>
              <w:spacing w:before="102" w:line="240" w:lineRule="exact"/>
              <w:ind w:left="324"/>
              <w:textAlignment w:val="auto"/>
              <w:rPr>
                <w:rFonts w:ascii="Arial" w:hAnsi="Arial" w:eastAsia="Arial" w:cs="Arial"/>
                <w:sz w:val="20"/>
                <w:szCs w:val="20"/>
              </w:rPr>
            </w:pPr>
            <w:r>
              <w:rPr>
                <w:rFonts w:ascii="Arial" w:hAnsi="Arial" w:eastAsia="Arial" w:cs="Arial"/>
                <w:spacing w:val="4"/>
                <w:sz w:val="20"/>
                <w:szCs w:val="20"/>
              </w:rPr>
              <w:t>32490</w:t>
            </w:r>
            <w:r>
              <w:rPr>
                <w:rFonts w:ascii="Arial" w:hAnsi="Arial" w:eastAsia="Arial" w:cs="Arial"/>
                <w:spacing w:val="3"/>
                <w:sz w:val="20"/>
                <w:szCs w:val="20"/>
              </w:rPr>
              <w:t>3</w:t>
            </w:r>
          </w:p>
        </w:tc>
        <w:tc>
          <w:tcPr>
            <w:tcW w:w="1335" w:type="dxa"/>
            <w:noWrap w:val="0"/>
            <w:vAlign w:val="top"/>
          </w:tcPr>
          <w:p w14:paraId="371C6022">
            <w:pPr>
              <w:keepNext w:val="0"/>
              <w:keepLines w:val="0"/>
              <w:pageBreakBefore w:val="0"/>
              <w:widowControl w:val="0"/>
              <w:kinsoku/>
              <w:wordWrap/>
              <w:overflowPunct/>
              <w:topLinePunct w:val="0"/>
              <w:autoSpaceDE/>
              <w:autoSpaceDN/>
              <w:bidi w:val="0"/>
              <w:adjustRightInd/>
              <w:snapToGrid/>
              <w:spacing w:before="102" w:line="240" w:lineRule="exact"/>
              <w:ind w:left="323"/>
              <w:textAlignment w:val="auto"/>
              <w:rPr>
                <w:rFonts w:ascii="Arial" w:hAnsi="Arial" w:eastAsia="Arial" w:cs="Arial"/>
                <w:sz w:val="20"/>
                <w:szCs w:val="20"/>
              </w:rPr>
            </w:pPr>
            <w:r>
              <w:rPr>
                <w:rFonts w:ascii="Arial" w:hAnsi="Arial" w:eastAsia="Arial" w:cs="Arial"/>
                <w:spacing w:val="4"/>
                <w:sz w:val="20"/>
                <w:szCs w:val="20"/>
              </w:rPr>
              <w:t>22711</w:t>
            </w:r>
            <w:r>
              <w:rPr>
                <w:rFonts w:ascii="Arial" w:hAnsi="Arial" w:eastAsia="Arial" w:cs="Arial"/>
                <w:spacing w:val="3"/>
                <w:sz w:val="20"/>
                <w:szCs w:val="20"/>
              </w:rPr>
              <w:t>9</w:t>
            </w:r>
          </w:p>
        </w:tc>
      </w:tr>
      <w:tr w14:paraId="0EB41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13C277D7">
            <w:pPr>
              <w:keepNext w:val="0"/>
              <w:keepLines w:val="0"/>
              <w:pageBreakBefore w:val="0"/>
              <w:widowControl w:val="0"/>
              <w:kinsoku/>
              <w:wordWrap/>
              <w:overflowPunct/>
              <w:topLinePunct w:val="0"/>
              <w:autoSpaceDE/>
              <w:autoSpaceDN/>
              <w:bidi w:val="0"/>
              <w:adjustRightInd/>
              <w:snapToGrid/>
              <w:spacing w:before="101" w:line="240" w:lineRule="exact"/>
              <w:ind w:left="308"/>
              <w:textAlignment w:val="auto"/>
              <w:rPr>
                <w:rFonts w:ascii="Arial" w:hAnsi="Arial" w:eastAsia="Arial" w:cs="Arial"/>
                <w:sz w:val="20"/>
                <w:szCs w:val="20"/>
              </w:rPr>
            </w:pPr>
            <w:r>
              <w:rPr>
                <w:rFonts w:ascii="Arial" w:hAnsi="Arial" w:eastAsia="Arial" w:cs="Arial"/>
                <w:sz w:val="20"/>
                <w:szCs w:val="20"/>
              </w:rPr>
              <w:t>2</w:t>
            </w:r>
          </w:p>
        </w:tc>
        <w:tc>
          <w:tcPr>
            <w:tcW w:w="2897" w:type="dxa"/>
            <w:noWrap w:val="0"/>
            <w:vAlign w:val="top"/>
          </w:tcPr>
          <w:p w14:paraId="15B87FF7">
            <w:pPr>
              <w:keepNext w:val="0"/>
              <w:keepLines w:val="0"/>
              <w:pageBreakBefore w:val="0"/>
              <w:widowControl w:val="0"/>
              <w:kinsoku/>
              <w:wordWrap/>
              <w:overflowPunct/>
              <w:topLinePunct w:val="0"/>
              <w:autoSpaceDE/>
              <w:autoSpaceDN/>
              <w:bidi w:val="0"/>
              <w:adjustRightInd/>
              <w:snapToGrid/>
              <w:spacing w:before="74" w:line="240" w:lineRule="exact"/>
              <w:ind w:left="720"/>
              <w:textAlignment w:val="auto"/>
              <w:rPr>
                <w:rFonts w:ascii="仿宋" w:hAnsi="仿宋" w:eastAsia="仿宋" w:cs="仿宋"/>
                <w:sz w:val="20"/>
                <w:szCs w:val="20"/>
              </w:rPr>
            </w:pPr>
            <w:r>
              <w:rPr>
                <w:rFonts w:ascii="仿宋" w:hAnsi="仿宋" w:eastAsia="仿宋" w:cs="仿宋"/>
                <w:spacing w:val="9"/>
                <w:sz w:val="20"/>
                <w:szCs w:val="20"/>
              </w:rPr>
              <w:t>新</w:t>
            </w:r>
            <w:r>
              <w:rPr>
                <w:rFonts w:ascii="仿宋" w:hAnsi="仿宋" w:eastAsia="仿宋" w:cs="仿宋"/>
                <w:spacing w:val="8"/>
                <w:sz w:val="20"/>
                <w:szCs w:val="20"/>
              </w:rPr>
              <w:t>能源材料产业</w:t>
            </w:r>
          </w:p>
        </w:tc>
        <w:tc>
          <w:tcPr>
            <w:tcW w:w="1329" w:type="dxa"/>
            <w:noWrap w:val="0"/>
            <w:vAlign w:val="top"/>
          </w:tcPr>
          <w:p w14:paraId="10563CAC">
            <w:pPr>
              <w:keepNext w:val="0"/>
              <w:keepLines w:val="0"/>
              <w:pageBreakBefore w:val="0"/>
              <w:widowControl w:val="0"/>
              <w:kinsoku/>
              <w:wordWrap/>
              <w:overflowPunct/>
              <w:topLinePunct w:val="0"/>
              <w:autoSpaceDE/>
              <w:autoSpaceDN/>
              <w:bidi w:val="0"/>
              <w:adjustRightInd/>
              <w:snapToGrid/>
              <w:spacing w:before="101" w:line="240" w:lineRule="exact"/>
              <w:ind w:left="315"/>
              <w:textAlignment w:val="auto"/>
              <w:rPr>
                <w:rFonts w:ascii="Arial" w:hAnsi="Arial" w:eastAsia="Arial" w:cs="Arial"/>
                <w:sz w:val="20"/>
                <w:szCs w:val="20"/>
              </w:rPr>
            </w:pPr>
            <w:r>
              <w:rPr>
                <w:rFonts w:ascii="Arial" w:hAnsi="Arial" w:eastAsia="Arial" w:cs="Arial"/>
                <w:spacing w:val="5"/>
                <w:sz w:val="20"/>
                <w:szCs w:val="20"/>
              </w:rPr>
              <w:t>47837</w:t>
            </w:r>
            <w:r>
              <w:rPr>
                <w:rFonts w:ascii="Arial" w:hAnsi="Arial" w:eastAsia="Arial" w:cs="Arial"/>
                <w:spacing w:val="4"/>
                <w:sz w:val="20"/>
                <w:szCs w:val="20"/>
              </w:rPr>
              <w:t>0</w:t>
            </w:r>
          </w:p>
        </w:tc>
        <w:tc>
          <w:tcPr>
            <w:tcW w:w="1330" w:type="dxa"/>
            <w:noWrap w:val="0"/>
            <w:vAlign w:val="top"/>
          </w:tcPr>
          <w:p w14:paraId="607FA035">
            <w:pPr>
              <w:keepNext w:val="0"/>
              <w:keepLines w:val="0"/>
              <w:pageBreakBefore w:val="0"/>
              <w:widowControl w:val="0"/>
              <w:kinsoku/>
              <w:wordWrap/>
              <w:overflowPunct/>
              <w:topLinePunct w:val="0"/>
              <w:autoSpaceDE/>
              <w:autoSpaceDN/>
              <w:bidi w:val="0"/>
              <w:adjustRightInd/>
              <w:snapToGrid/>
              <w:spacing w:before="100" w:line="240" w:lineRule="exact"/>
              <w:ind w:left="278"/>
              <w:textAlignment w:val="auto"/>
              <w:rPr>
                <w:rFonts w:ascii="Arial" w:hAnsi="Arial" w:eastAsia="Arial" w:cs="Arial"/>
                <w:sz w:val="20"/>
                <w:szCs w:val="20"/>
              </w:rPr>
            </w:pPr>
            <w:r>
              <w:rPr>
                <w:rFonts w:ascii="Arial" w:hAnsi="Arial" w:eastAsia="Arial" w:cs="Arial"/>
                <w:spacing w:val="2"/>
                <w:sz w:val="20"/>
                <w:szCs w:val="20"/>
              </w:rPr>
              <w:t>175000</w:t>
            </w:r>
            <w:r>
              <w:rPr>
                <w:rFonts w:ascii="Arial" w:hAnsi="Arial" w:eastAsia="Arial" w:cs="Arial"/>
                <w:spacing w:val="1"/>
                <w:sz w:val="20"/>
                <w:szCs w:val="20"/>
              </w:rPr>
              <w:t>0</w:t>
            </w:r>
          </w:p>
        </w:tc>
        <w:tc>
          <w:tcPr>
            <w:tcW w:w="1330" w:type="dxa"/>
            <w:noWrap w:val="0"/>
            <w:vAlign w:val="top"/>
          </w:tcPr>
          <w:p w14:paraId="25513870">
            <w:pPr>
              <w:keepNext w:val="0"/>
              <w:keepLines w:val="0"/>
              <w:pageBreakBefore w:val="0"/>
              <w:widowControl w:val="0"/>
              <w:kinsoku/>
              <w:wordWrap/>
              <w:overflowPunct/>
              <w:topLinePunct w:val="0"/>
              <w:autoSpaceDE/>
              <w:autoSpaceDN/>
              <w:bidi w:val="0"/>
              <w:adjustRightInd/>
              <w:snapToGrid/>
              <w:spacing w:before="100" w:line="240" w:lineRule="exact"/>
              <w:ind w:left="321"/>
              <w:textAlignment w:val="auto"/>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00759</w:t>
            </w:r>
          </w:p>
        </w:tc>
        <w:tc>
          <w:tcPr>
            <w:tcW w:w="1335" w:type="dxa"/>
            <w:noWrap w:val="0"/>
            <w:vAlign w:val="top"/>
          </w:tcPr>
          <w:p w14:paraId="480DF46F">
            <w:pPr>
              <w:keepNext w:val="0"/>
              <w:keepLines w:val="0"/>
              <w:pageBreakBefore w:val="0"/>
              <w:widowControl w:val="0"/>
              <w:kinsoku/>
              <w:wordWrap/>
              <w:overflowPunct/>
              <w:topLinePunct w:val="0"/>
              <w:autoSpaceDE/>
              <w:autoSpaceDN/>
              <w:bidi w:val="0"/>
              <w:adjustRightInd/>
              <w:snapToGrid/>
              <w:spacing w:before="101" w:line="240" w:lineRule="exact"/>
              <w:ind w:left="340"/>
              <w:textAlignment w:val="auto"/>
              <w:rPr>
                <w:rFonts w:ascii="Arial" w:hAnsi="Arial" w:eastAsia="Arial" w:cs="Arial"/>
                <w:sz w:val="20"/>
                <w:szCs w:val="20"/>
              </w:rPr>
            </w:pPr>
            <w:r>
              <w:rPr>
                <w:rFonts w:ascii="Arial" w:hAnsi="Arial" w:eastAsia="Arial" w:cs="Arial"/>
                <w:spacing w:val="1"/>
                <w:sz w:val="20"/>
                <w:szCs w:val="20"/>
              </w:rPr>
              <w:t>134134</w:t>
            </w:r>
          </w:p>
        </w:tc>
      </w:tr>
      <w:tr w14:paraId="3E702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1DCDCD7E">
            <w:pPr>
              <w:keepNext w:val="0"/>
              <w:keepLines w:val="0"/>
              <w:pageBreakBefore w:val="0"/>
              <w:widowControl w:val="0"/>
              <w:kinsoku/>
              <w:wordWrap/>
              <w:overflowPunct/>
              <w:topLinePunct w:val="0"/>
              <w:autoSpaceDE/>
              <w:autoSpaceDN/>
              <w:bidi w:val="0"/>
              <w:adjustRightInd/>
              <w:snapToGrid/>
              <w:spacing w:before="100" w:line="240" w:lineRule="exact"/>
              <w:ind w:left="311"/>
              <w:textAlignment w:val="auto"/>
              <w:rPr>
                <w:rFonts w:ascii="Arial" w:hAnsi="Arial" w:eastAsia="Arial" w:cs="Arial"/>
                <w:sz w:val="20"/>
                <w:szCs w:val="20"/>
              </w:rPr>
            </w:pPr>
            <w:r>
              <w:rPr>
                <w:rFonts w:ascii="Arial" w:hAnsi="Arial" w:eastAsia="Arial" w:cs="Arial"/>
                <w:sz w:val="20"/>
                <w:szCs w:val="20"/>
              </w:rPr>
              <w:t>3</w:t>
            </w:r>
          </w:p>
        </w:tc>
        <w:tc>
          <w:tcPr>
            <w:tcW w:w="2897" w:type="dxa"/>
            <w:noWrap w:val="0"/>
            <w:vAlign w:val="top"/>
          </w:tcPr>
          <w:p w14:paraId="7B87A30D">
            <w:pPr>
              <w:keepNext w:val="0"/>
              <w:keepLines w:val="0"/>
              <w:pageBreakBefore w:val="0"/>
              <w:widowControl w:val="0"/>
              <w:kinsoku/>
              <w:wordWrap/>
              <w:overflowPunct/>
              <w:topLinePunct w:val="0"/>
              <w:autoSpaceDE/>
              <w:autoSpaceDN/>
              <w:bidi w:val="0"/>
              <w:adjustRightInd/>
              <w:snapToGrid/>
              <w:spacing w:before="74" w:line="240" w:lineRule="exact"/>
              <w:ind w:left="726"/>
              <w:textAlignment w:val="auto"/>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7"/>
                <w:sz w:val="20"/>
                <w:szCs w:val="20"/>
              </w:rPr>
              <w:t>健康材料产业</w:t>
            </w:r>
          </w:p>
        </w:tc>
        <w:tc>
          <w:tcPr>
            <w:tcW w:w="1329" w:type="dxa"/>
            <w:noWrap w:val="0"/>
            <w:vAlign w:val="top"/>
          </w:tcPr>
          <w:p w14:paraId="2BE8E0B5">
            <w:pPr>
              <w:keepNext w:val="0"/>
              <w:keepLines w:val="0"/>
              <w:pageBreakBefore w:val="0"/>
              <w:widowControl w:val="0"/>
              <w:kinsoku/>
              <w:wordWrap/>
              <w:overflowPunct/>
              <w:topLinePunct w:val="0"/>
              <w:autoSpaceDE/>
              <w:autoSpaceDN/>
              <w:bidi w:val="0"/>
              <w:adjustRightInd/>
              <w:snapToGrid/>
              <w:spacing w:before="100" w:line="240" w:lineRule="exact"/>
              <w:ind w:left="378"/>
              <w:textAlignment w:val="auto"/>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0000</w:t>
            </w:r>
          </w:p>
        </w:tc>
        <w:tc>
          <w:tcPr>
            <w:tcW w:w="1330" w:type="dxa"/>
            <w:noWrap w:val="0"/>
            <w:vAlign w:val="top"/>
          </w:tcPr>
          <w:p w14:paraId="0996B05D">
            <w:pPr>
              <w:keepNext w:val="0"/>
              <w:keepLines w:val="0"/>
              <w:pageBreakBefore w:val="0"/>
              <w:widowControl w:val="0"/>
              <w:kinsoku/>
              <w:wordWrap/>
              <w:overflowPunct/>
              <w:topLinePunct w:val="0"/>
              <w:autoSpaceDE/>
              <w:autoSpaceDN/>
              <w:bidi w:val="0"/>
              <w:adjustRightInd/>
              <w:snapToGrid/>
              <w:spacing w:before="100" w:line="240" w:lineRule="exact"/>
              <w:ind w:left="336"/>
              <w:textAlignment w:val="auto"/>
              <w:rPr>
                <w:rFonts w:ascii="Arial" w:hAnsi="Arial" w:eastAsia="Arial" w:cs="Arial"/>
                <w:sz w:val="20"/>
                <w:szCs w:val="20"/>
              </w:rPr>
            </w:pPr>
            <w:r>
              <w:rPr>
                <w:rFonts w:ascii="Arial" w:hAnsi="Arial" w:eastAsia="Arial" w:cs="Arial"/>
                <w:spacing w:val="2"/>
                <w:sz w:val="20"/>
                <w:szCs w:val="20"/>
              </w:rPr>
              <w:t>100</w:t>
            </w:r>
            <w:r>
              <w:rPr>
                <w:rFonts w:ascii="Arial" w:hAnsi="Arial" w:eastAsia="Arial" w:cs="Arial"/>
                <w:spacing w:val="1"/>
                <w:sz w:val="20"/>
                <w:szCs w:val="20"/>
              </w:rPr>
              <w:t>000</w:t>
            </w:r>
          </w:p>
        </w:tc>
        <w:tc>
          <w:tcPr>
            <w:tcW w:w="1330" w:type="dxa"/>
            <w:noWrap w:val="0"/>
            <w:vAlign w:val="top"/>
          </w:tcPr>
          <w:p w14:paraId="4E2CDAD7">
            <w:pPr>
              <w:keepNext w:val="0"/>
              <w:keepLines w:val="0"/>
              <w:pageBreakBefore w:val="0"/>
              <w:widowControl w:val="0"/>
              <w:kinsoku/>
              <w:wordWrap/>
              <w:overflowPunct/>
              <w:topLinePunct w:val="0"/>
              <w:autoSpaceDE/>
              <w:autoSpaceDN/>
              <w:bidi w:val="0"/>
              <w:adjustRightInd/>
              <w:snapToGrid/>
              <w:spacing w:before="100" w:line="240" w:lineRule="exact"/>
              <w:ind w:left="379"/>
              <w:textAlignment w:val="auto"/>
              <w:rPr>
                <w:rFonts w:ascii="Arial" w:hAnsi="Arial" w:eastAsia="Arial" w:cs="Arial"/>
                <w:sz w:val="20"/>
                <w:szCs w:val="20"/>
              </w:rPr>
            </w:pPr>
            <w:r>
              <w:rPr>
                <w:rFonts w:ascii="Arial" w:hAnsi="Arial" w:eastAsia="Arial" w:cs="Arial"/>
                <w:spacing w:val="4"/>
                <w:sz w:val="20"/>
                <w:szCs w:val="20"/>
              </w:rPr>
              <w:t>2500</w:t>
            </w:r>
            <w:r>
              <w:rPr>
                <w:rFonts w:ascii="Arial" w:hAnsi="Arial" w:eastAsia="Arial" w:cs="Arial"/>
                <w:spacing w:val="3"/>
                <w:sz w:val="20"/>
                <w:szCs w:val="20"/>
              </w:rPr>
              <w:t>0</w:t>
            </w:r>
          </w:p>
        </w:tc>
        <w:tc>
          <w:tcPr>
            <w:tcW w:w="1335" w:type="dxa"/>
            <w:noWrap w:val="0"/>
            <w:vAlign w:val="top"/>
          </w:tcPr>
          <w:p w14:paraId="4B9764AE">
            <w:pPr>
              <w:keepNext w:val="0"/>
              <w:keepLines w:val="0"/>
              <w:pageBreakBefore w:val="0"/>
              <w:widowControl w:val="0"/>
              <w:kinsoku/>
              <w:wordWrap/>
              <w:overflowPunct/>
              <w:topLinePunct w:val="0"/>
              <w:autoSpaceDE/>
              <w:autoSpaceDN/>
              <w:bidi w:val="0"/>
              <w:adjustRightInd/>
              <w:snapToGrid/>
              <w:spacing w:before="100" w:line="240" w:lineRule="exact"/>
              <w:ind w:left="398"/>
              <w:textAlignment w:val="auto"/>
              <w:rPr>
                <w:rFonts w:ascii="Arial" w:hAnsi="Arial" w:eastAsia="Arial" w:cs="Arial"/>
                <w:sz w:val="20"/>
                <w:szCs w:val="20"/>
              </w:rPr>
            </w:pPr>
            <w:r>
              <w:rPr>
                <w:rFonts w:ascii="Arial" w:hAnsi="Arial" w:eastAsia="Arial" w:cs="Arial"/>
                <w:spacing w:val="1"/>
                <w:sz w:val="20"/>
                <w:szCs w:val="20"/>
              </w:rPr>
              <w:t>15</w:t>
            </w:r>
            <w:r>
              <w:rPr>
                <w:rFonts w:ascii="Arial" w:hAnsi="Arial" w:eastAsia="Arial" w:cs="Arial"/>
                <w:sz w:val="20"/>
                <w:szCs w:val="20"/>
              </w:rPr>
              <w:t>000</w:t>
            </w:r>
          </w:p>
        </w:tc>
      </w:tr>
      <w:tr w14:paraId="3F296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26" w:type="dxa"/>
            <w:noWrap w:val="0"/>
            <w:vAlign w:val="top"/>
          </w:tcPr>
          <w:p w14:paraId="3FC8739C">
            <w:pPr>
              <w:keepNext w:val="0"/>
              <w:keepLines w:val="0"/>
              <w:pageBreakBefore w:val="0"/>
              <w:widowControl w:val="0"/>
              <w:kinsoku/>
              <w:wordWrap/>
              <w:overflowPunct/>
              <w:topLinePunct w:val="0"/>
              <w:autoSpaceDE/>
              <w:autoSpaceDN/>
              <w:bidi w:val="0"/>
              <w:adjustRightInd/>
              <w:snapToGrid/>
              <w:spacing w:before="102" w:line="240" w:lineRule="exact"/>
              <w:ind w:left="305"/>
              <w:textAlignment w:val="auto"/>
              <w:rPr>
                <w:rFonts w:ascii="Arial" w:hAnsi="Arial" w:eastAsia="Arial" w:cs="Arial"/>
                <w:sz w:val="20"/>
                <w:szCs w:val="20"/>
              </w:rPr>
            </w:pPr>
            <w:r>
              <w:rPr>
                <w:rFonts w:ascii="Arial" w:hAnsi="Arial" w:eastAsia="Arial" w:cs="Arial"/>
                <w:spacing w:val="2"/>
                <w:sz w:val="20"/>
                <w:szCs w:val="20"/>
              </w:rPr>
              <w:t>4</w:t>
            </w:r>
          </w:p>
        </w:tc>
        <w:tc>
          <w:tcPr>
            <w:tcW w:w="2897" w:type="dxa"/>
            <w:noWrap w:val="0"/>
            <w:vAlign w:val="top"/>
          </w:tcPr>
          <w:p w14:paraId="7C6D24D3">
            <w:pPr>
              <w:keepNext w:val="0"/>
              <w:keepLines w:val="0"/>
              <w:pageBreakBefore w:val="0"/>
              <w:widowControl w:val="0"/>
              <w:kinsoku/>
              <w:wordWrap/>
              <w:overflowPunct/>
              <w:topLinePunct w:val="0"/>
              <w:autoSpaceDE/>
              <w:autoSpaceDN/>
              <w:bidi w:val="0"/>
              <w:adjustRightInd/>
              <w:snapToGrid/>
              <w:spacing w:before="76" w:line="240" w:lineRule="exact"/>
              <w:ind w:left="512"/>
              <w:textAlignment w:val="auto"/>
              <w:rPr>
                <w:rFonts w:ascii="仿宋" w:hAnsi="仿宋" w:eastAsia="仿宋" w:cs="仿宋"/>
                <w:sz w:val="20"/>
                <w:szCs w:val="20"/>
              </w:rPr>
            </w:pPr>
            <w:r>
              <w:rPr>
                <w:rFonts w:ascii="仿宋" w:hAnsi="仿宋" w:eastAsia="仿宋" w:cs="仿宋"/>
                <w:spacing w:val="10"/>
                <w:sz w:val="20"/>
                <w:szCs w:val="20"/>
              </w:rPr>
              <w:t>节</w:t>
            </w:r>
            <w:r>
              <w:rPr>
                <w:rFonts w:ascii="仿宋" w:hAnsi="仿宋" w:eastAsia="仿宋" w:cs="仿宋"/>
                <w:spacing w:val="8"/>
                <w:sz w:val="20"/>
                <w:szCs w:val="20"/>
              </w:rPr>
              <w:t>能环保新材料产业</w:t>
            </w:r>
          </w:p>
        </w:tc>
        <w:tc>
          <w:tcPr>
            <w:tcW w:w="1329" w:type="dxa"/>
            <w:noWrap w:val="0"/>
            <w:vAlign w:val="top"/>
          </w:tcPr>
          <w:p w14:paraId="543733A6">
            <w:pPr>
              <w:keepNext w:val="0"/>
              <w:keepLines w:val="0"/>
              <w:pageBreakBefore w:val="0"/>
              <w:widowControl w:val="0"/>
              <w:kinsoku/>
              <w:wordWrap/>
              <w:overflowPunct/>
              <w:topLinePunct w:val="0"/>
              <w:autoSpaceDE/>
              <w:autoSpaceDN/>
              <w:bidi w:val="0"/>
              <w:adjustRightInd/>
              <w:snapToGrid/>
              <w:spacing w:before="102" w:line="240" w:lineRule="exact"/>
              <w:ind w:left="335"/>
              <w:textAlignment w:val="auto"/>
              <w:rPr>
                <w:rFonts w:ascii="Arial" w:hAnsi="Arial" w:eastAsia="Arial" w:cs="Arial"/>
                <w:sz w:val="20"/>
                <w:szCs w:val="20"/>
              </w:rPr>
            </w:pPr>
            <w:r>
              <w:rPr>
                <w:rFonts w:ascii="Arial" w:hAnsi="Arial" w:eastAsia="Arial" w:cs="Arial"/>
                <w:spacing w:val="2"/>
                <w:sz w:val="20"/>
                <w:szCs w:val="20"/>
              </w:rPr>
              <w:t>150</w:t>
            </w:r>
            <w:r>
              <w:rPr>
                <w:rFonts w:ascii="Arial" w:hAnsi="Arial" w:eastAsia="Arial" w:cs="Arial"/>
                <w:spacing w:val="1"/>
                <w:sz w:val="20"/>
                <w:szCs w:val="20"/>
              </w:rPr>
              <w:t>000</w:t>
            </w:r>
          </w:p>
        </w:tc>
        <w:tc>
          <w:tcPr>
            <w:tcW w:w="1330" w:type="dxa"/>
            <w:noWrap w:val="0"/>
            <w:vAlign w:val="top"/>
          </w:tcPr>
          <w:p w14:paraId="253853C6">
            <w:pPr>
              <w:keepNext w:val="0"/>
              <w:keepLines w:val="0"/>
              <w:pageBreakBefore w:val="0"/>
              <w:widowControl w:val="0"/>
              <w:kinsoku/>
              <w:wordWrap/>
              <w:overflowPunct/>
              <w:topLinePunct w:val="0"/>
              <w:autoSpaceDE/>
              <w:autoSpaceDN/>
              <w:bidi w:val="0"/>
              <w:adjustRightInd/>
              <w:snapToGrid/>
              <w:spacing w:before="102" w:line="240" w:lineRule="exact"/>
              <w:ind w:left="336"/>
              <w:textAlignment w:val="auto"/>
              <w:rPr>
                <w:rFonts w:ascii="Arial" w:hAnsi="Arial" w:eastAsia="Arial" w:cs="Arial"/>
                <w:sz w:val="20"/>
                <w:szCs w:val="20"/>
              </w:rPr>
            </w:pPr>
            <w:r>
              <w:rPr>
                <w:rFonts w:ascii="Arial" w:hAnsi="Arial" w:eastAsia="Arial" w:cs="Arial"/>
                <w:spacing w:val="2"/>
                <w:sz w:val="20"/>
                <w:szCs w:val="20"/>
              </w:rPr>
              <w:t>185</w:t>
            </w:r>
            <w:r>
              <w:rPr>
                <w:rFonts w:ascii="Arial" w:hAnsi="Arial" w:eastAsia="Arial" w:cs="Arial"/>
                <w:spacing w:val="1"/>
                <w:sz w:val="20"/>
                <w:szCs w:val="20"/>
              </w:rPr>
              <w:t>000</w:t>
            </w:r>
          </w:p>
        </w:tc>
        <w:tc>
          <w:tcPr>
            <w:tcW w:w="1330" w:type="dxa"/>
            <w:noWrap w:val="0"/>
            <w:vAlign w:val="top"/>
          </w:tcPr>
          <w:p w14:paraId="2A7F3FA1">
            <w:pPr>
              <w:keepNext w:val="0"/>
              <w:keepLines w:val="0"/>
              <w:pageBreakBefore w:val="0"/>
              <w:widowControl w:val="0"/>
              <w:kinsoku/>
              <w:wordWrap/>
              <w:overflowPunct/>
              <w:topLinePunct w:val="0"/>
              <w:autoSpaceDE/>
              <w:autoSpaceDN/>
              <w:bidi w:val="0"/>
              <w:adjustRightInd/>
              <w:snapToGrid/>
              <w:spacing w:before="102" w:line="240" w:lineRule="exact"/>
              <w:ind w:left="379"/>
              <w:textAlignment w:val="auto"/>
              <w:rPr>
                <w:rFonts w:ascii="Arial" w:hAnsi="Arial" w:eastAsia="Arial" w:cs="Arial"/>
                <w:sz w:val="20"/>
                <w:szCs w:val="20"/>
              </w:rPr>
            </w:pPr>
            <w:r>
              <w:rPr>
                <w:rFonts w:ascii="Arial" w:hAnsi="Arial" w:eastAsia="Arial" w:cs="Arial"/>
                <w:spacing w:val="4"/>
                <w:sz w:val="20"/>
                <w:szCs w:val="20"/>
              </w:rPr>
              <w:t>2000</w:t>
            </w:r>
            <w:r>
              <w:rPr>
                <w:rFonts w:ascii="Arial" w:hAnsi="Arial" w:eastAsia="Arial" w:cs="Arial"/>
                <w:spacing w:val="3"/>
                <w:sz w:val="20"/>
                <w:szCs w:val="20"/>
              </w:rPr>
              <w:t>0</w:t>
            </w:r>
          </w:p>
        </w:tc>
        <w:tc>
          <w:tcPr>
            <w:tcW w:w="1335" w:type="dxa"/>
            <w:noWrap w:val="0"/>
            <w:vAlign w:val="top"/>
          </w:tcPr>
          <w:p w14:paraId="3AB08713">
            <w:pPr>
              <w:keepNext w:val="0"/>
              <w:keepLines w:val="0"/>
              <w:pageBreakBefore w:val="0"/>
              <w:widowControl w:val="0"/>
              <w:kinsoku/>
              <w:wordWrap/>
              <w:overflowPunct/>
              <w:topLinePunct w:val="0"/>
              <w:autoSpaceDE/>
              <w:autoSpaceDN/>
              <w:bidi w:val="0"/>
              <w:adjustRightInd/>
              <w:snapToGrid/>
              <w:spacing w:before="102" w:line="240" w:lineRule="exact"/>
              <w:ind w:left="398"/>
              <w:textAlignment w:val="auto"/>
              <w:rPr>
                <w:rFonts w:ascii="Arial" w:hAnsi="Arial" w:eastAsia="Arial" w:cs="Arial"/>
                <w:sz w:val="20"/>
                <w:szCs w:val="20"/>
              </w:rPr>
            </w:pPr>
            <w:r>
              <w:rPr>
                <w:rFonts w:ascii="Arial" w:hAnsi="Arial" w:eastAsia="Arial" w:cs="Arial"/>
                <w:spacing w:val="1"/>
                <w:sz w:val="20"/>
                <w:szCs w:val="20"/>
              </w:rPr>
              <w:t>12</w:t>
            </w:r>
            <w:r>
              <w:rPr>
                <w:rFonts w:ascii="Arial" w:hAnsi="Arial" w:eastAsia="Arial" w:cs="Arial"/>
                <w:sz w:val="20"/>
                <w:szCs w:val="20"/>
              </w:rPr>
              <w:t>800</w:t>
            </w:r>
          </w:p>
        </w:tc>
      </w:tr>
      <w:tr w14:paraId="1A9B6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726" w:type="dxa"/>
            <w:shd w:val="clear" w:color="auto" w:fill="E7E6E6"/>
            <w:noWrap w:val="0"/>
            <w:vAlign w:val="top"/>
          </w:tcPr>
          <w:p w14:paraId="1F80CDB0">
            <w:pPr>
              <w:keepNext w:val="0"/>
              <w:keepLines w:val="0"/>
              <w:pageBreakBefore w:val="0"/>
              <w:widowControl w:val="0"/>
              <w:kinsoku/>
              <w:wordWrap/>
              <w:overflowPunct/>
              <w:topLinePunct w:val="0"/>
              <w:autoSpaceDE/>
              <w:autoSpaceDN/>
              <w:bidi w:val="0"/>
              <w:adjustRightInd/>
              <w:snapToGrid/>
              <w:spacing w:line="240" w:lineRule="exact"/>
              <w:textAlignment w:val="auto"/>
              <w:rPr>
                <w:rFonts w:ascii="Arial"/>
                <w:sz w:val="21"/>
              </w:rPr>
            </w:pPr>
          </w:p>
        </w:tc>
        <w:tc>
          <w:tcPr>
            <w:tcW w:w="2897" w:type="dxa"/>
            <w:shd w:val="clear" w:color="auto" w:fill="E7E6E6"/>
            <w:noWrap w:val="0"/>
            <w:vAlign w:val="top"/>
          </w:tcPr>
          <w:p w14:paraId="1C72820D">
            <w:pPr>
              <w:keepNext w:val="0"/>
              <w:keepLines w:val="0"/>
              <w:pageBreakBefore w:val="0"/>
              <w:widowControl w:val="0"/>
              <w:kinsoku/>
              <w:wordWrap/>
              <w:overflowPunct/>
              <w:topLinePunct w:val="0"/>
              <w:autoSpaceDE/>
              <w:autoSpaceDN/>
              <w:bidi w:val="0"/>
              <w:adjustRightInd/>
              <w:snapToGrid/>
              <w:spacing w:before="76" w:line="240" w:lineRule="exact"/>
              <w:ind w:left="1243"/>
              <w:textAlignment w:val="auto"/>
              <w:rPr>
                <w:rFonts w:ascii="仿宋" w:hAnsi="仿宋" w:eastAsia="仿宋" w:cs="仿宋"/>
                <w:sz w:val="20"/>
                <w:szCs w:val="20"/>
              </w:rPr>
            </w:pPr>
            <w:r>
              <w:rPr>
                <w:rFonts w:ascii="仿宋" w:hAnsi="仿宋" w:eastAsia="仿宋" w:cs="仿宋"/>
                <w:spacing w:val="4"/>
                <w:sz w:val="20"/>
                <w:szCs w:val="20"/>
              </w:rPr>
              <w:t>合</w:t>
            </w:r>
            <w:r>
              <w:rPr>
                <w:rFonts w:ascii="仿宋" w:hAnsi="仿宋" w:eastAsia="仿宋" w:cs="仿宋"/>
                <w:spacing w:val="3"/>
                <w:sz w:val="20"/>
                <w:szCs w:val="20"/>
              </w:rPr>
              <w:t>计</w:t>
            </w:r>
          </w:p>
        </w:tc>
        <w:tc>
          <w:tcPr>
            <w:tcW w:w="1329" w:type="dxa"/>
            <w:shd w:val="clear" w:color="auto" w:fill="E7E6E6"/>
            <w:noWrap w:val="0"/>
            <w:vAlign w:val="top"/>
          </w:tcPr>
          <w:p w14:paraId="489A692B">
            <w:pPr>
              <w:keepNext w:val="0"/>
              <w:keepLines w:val="0"/>
              <w:pageBreakBefore w:val="0"/>
              <w:widowControl w:val="0"/>
              <w:kinsoku/>
              <w:wordWrap/>
              <w:overflowPunct/>
              <w:topLinePunct w:val="0"/>
              <w:autoSpaceDE/>
              <w:autoSpaceDN/>
              <w:bidi w:val="0"/>
              <w:adjustRightInd/>
              <w:snapToGrid/>
              <w:spacing w:before="102" w:line="240" w:lineRule="exact"/>
              <w:ind w:left="278"/>
              <w:textAlignment w:val="auto"/>
              <w:rPr>
                <w:rFonts w:ascii="Arial" w:hAnsi="Arial" w:eastAsia="Arial" w:cs="Arial"/>
                <w:sz w:val="20"/>
                <w:szCs w:val="20"/>
              </w:rPr>
            </w:pPr>
            <w:r>
              <w:rPr>
                <w:rFonts w:ascii="Arial" w:hAnsi="Arial" w:eastAsia="Arial" w:cs="Arial"/>
                <w:spacing w:val="2"/>
                <w:sz w:val="20"/>
                <w:szCs w:val="20"/>
              </w:rPr>
              <w:t>181059</w:t>
            </w:r>
            <w:r>
              <w:rPr>
                <w:rFonts w:ascii="Arial" w:hAnsi="Arial" w:eastAsia="Arial" w:cs="Arial"/>
                <w:spacing w:val="1"/>
                <w:sz w:val="20"/>
                <w:szCs w:val="20"/>
              </w:rPr>
              <w:t>5</w:t>
            </w:r>
          </w:p>
        </w:tc>
        <w:tc>
          <w:tcPr>
            <w:tcW w:w="1330" w:type="dxa"/>
            <w:shd w:val="clear" w:color="auto" w:fill="E7E6E6"/>
            <w:noWrap w:val="0"/>
            <w:vAlign w:val="top"/>
          </w:tcPr>
          <w:p w14:paraId="3815FA80">
            <w:pPr>
              <w:keepNext w:val="0"/>
              <w:keepLines w:val="0"/>
              <w:pageBreakBefore w:val="0"/>
              <w:widowControl w:val="0"/>
              <w:kinsoku/>
              <w:wordWrap/>
              <w:overflowPunct/>
              <w:topLinePunct w:val="0"/>
              <w:autoSpaceDE/>
              <w:autoSpaceDN/>
              <w:bidi w:val="0"/>
              <w:adjustRightInd/>
              <w:snapToGrid/>
              <w:spacing w:before="102" w:line="240" w:lineRule="exact"/>
              <w:ind w:left="258"/>
              <w:textAlignment w:val="auto"/>
              <w:rPr>
                <w:rFonts w:ascii="Arial" w:hAnsi="Arial" w:eastAsia="Arial" w:cs="Arial"/>
                <w:sz w:val="20"/>
                <w:szCs w:val="20"/>
              </w:rPr>
            </w:pPr>
            <w:r>
              <w:rPr>
                <w:rFonts w:ascii="Arial" w:hAnsi="Arial" w:eastAsia="Arial" w:cs="Arial"/>
                <w:spacing w:val="8"/>
                <w:sz w:val="20"/>
                <w:szCs w:val="20"/>
              </w:rPr>
              <w:t>4</w:t>
            </w:r>
            <w:r>
              <w:rPr>
                <w:rFonts w:ascii="Arial" w:hAnsi="Arial" w:eastAsia="Arial" w:cs="Arial"/>
                <w:spacing w:val="5"/>
                <w:sz w:val="20"/>
                <w:szCs w:val="20"/>
              </w:rPr>
              <w:t>6</w:t>
            </w:r>
            <w:r>
              <w:rPr>
                <w:rFonts w:ascii="Arial" w:hAnsi="Arial" w:eastAsia="Arial" w:cs="Arial"/>
                <w:spacing w:val="4"/>
                <w:sz w:val="20"/>
                <w:szCs w:val="20"/>
              </w:rPr>
              <w:t>22403</w:t>
            </w:r>
          </w:p>
        </w:tc>
        <w:tc>
          <w:tcPr>
            <w:tcW w:w="1330" w:type="dxa"/>
            <w:shd w:val="clear" w:color="auto" w:fill="E7E6E6"/>
            <w:noWrap w:val="0"/>
            <w:vAlign w:val="top"/>
          </w:tcPr>
          <w:p w14:paraId="37E92BF3">
            <w:pPr>
              <w:keepNext w:val="0"/>
              <w:keepLines w:val="0"/>
              <w:pageBreakBefore w:val="0"/>
              <w:widowControl w:val="0"/>
              <w:kinsoku/>
              <w:wordWrap/>
              <w:overflowPunct/>
              <w:topLinePunct w:val="0"/>
              <w:autoSpaceDE/>
              <w:autoSpaceDN/>
              <w:bidi w:val="0"/>
              <w:adjustRightInd/>
              <w:snapToGrid/>
              <w:spacing w:before="102" w:line="240" w:lineRule="exact"/>
              <w:ind w:left="324"/>
              <w:textAlignment w:val="auto"/>
              <w:rPr>
                <w:rFonts w:ascii="Arial" w:hAnsi="Arial" w:eastAsia="Arial" w:cs="Arial"/>
                <w:sz w:val="20"/>
                <w:szCs w:val="20"/>
              </w:rPr>
            </w:pPr>
            <w:r>
              <w:rPr>
                <w:rFonts w:ascii="Arial" w:hAnsi="Arial" w:eastAsia="Arial" w:cs="Arial"/>
                <w:spacing w:val="4"/>
                <w:sz w:val="20"/>
                <w:szCs w:val="20"/>
              </w:rPr>
              <w:t>57066</w:t>
            </w:r>
            <w:r>
              <w:rPr>
                <w:rFonts w:ascii="Arial" w:hAnsi="Arial" w:eastAsia="Arial" w:cs="Arial"/>
                <w:spacing w:val="3"/>
                <w:sz w:val="20"/>
                <w:szCs w:val="20"/>
              </w:rPr>
              <w:t>2</w:t>
            </w:r>
          </w:p>
        </w:tc>
        <w:tc>
          <w:tcPr>
            <w:tcW w:w="1335" w:type="dxa"/>
            <w:shd w:val="clear" w:color="auto" w:fill="E7E6E6"/>
            <w:noWrap w:val="0"/>
            <w:vAlign w:val="top"/>
          </w:tcPr>
          <w:p w14:paraId="2995E46B">
            <w:pPr>
              <w:keepNext w:val="0"/>
              <w:keepLines w:val="0"/>
              <w:pageBreakBefore w:val="0"/>
              <w:widowControl w:val="0"/>
              <w:kinsoku/>
              <w:wordWrap/>
              <w:overflowPunct/>
              <w:topLinePunct w:val="0"/>
              <w:autoSpaceDE/>
              <w:autoSpaceDN/>
              <w:bidi w:val="0"/>
              <w:adjustRightInd/>
              <w:snapToGrid/>
              <w:spacing w:before="102" w:line="240" w:lineRule="exact"/>
              <w:ind w:left="326"/>
              <w:textAlignment w:val="auto"/>
              <w:rPr>
                <w:rFonts w:ascii="Arial" w:hAnsi="Arial" w:eastAsia="Arial" w:cs="Arial"/>
                <w:sz w:val="20"/>
                <w:szCs w:val="20"/>
              </w:rPr>
            </w:pPr>
            <w:r>
              <w:rPr>
                <w:rFonts w:ascii="Arial" w:hAnsi="Arial" w:eastAsia="Arial" w:cs="Arial"/>
                <w:spacing w:val="5"/>
                <w:sz w:val="20"/>
                <w:szCs w:val="20"/>
              </w:rPr>
              <w:t>3</w:t>
            </w:r>
            <w:r>
              <w:rPr>
                <w:rFonts w:ascii="Arial" w:hAnsi="Arial" w:eastAsia="Arial" w:cs="Arial"/>
                <w:spacing w:val="3"/>
                <w:sz w:val="20"/>
                <w:szCs w:val="20"/>
              </w:rPr>
              <w:t>89053</w:t>
            </w:r>
          </w:p>
        </w:tc>
      </w:tr>
    </w:tbl>
    <w:p w14:paraId="74BECFF5">
      <w:pPr>
        <w:keepNext w:val="0"/>
        <w:keepLines w:val="0"/>
        <w:pageBreakBefore w:val="0"/>
        <w:widowControl w:val="0"/>
        <w:wordWrap/>
        <w:overflowPunct/>
        <w:bidi w:val="0"/>
        <w:spacing w:line="308" w:lineRule="auto"/>
        <w:rPr>
          <w:rFonts w:ascii="Arial"/>
          <w:sz w:val="21"/>
        </w:rPr>
      </w:pPr>
    </w:p>
    <w:p w14:paraId="3AFD475E">
      <w:pPr>
        <w:keepNext w:val="0"/>
        <w:keepLines w:val="0"/>
        <w:pageBreakBefore w:val="0"/>
        <w:widowControl w:val="0"/>
        <w:wordWrap/>
        <w:overflowPunct/>
        <w:bidi w:val="0"/>
        <w:spacing w:line="3650" w:lineRule="exact"/>
        <w:ind w:firstLine="67"/>
        <w:textAlignment w:val="center"/>
      </w:pPr>
      <w:r>
        <w:drawing>
          <wp:inline distT="0" distB="0" distL="114300" distR="114300">
            <wp:extent cx="5688965" cy="2317750"/>
            <wp:effectExtent l="0" t="0" r="0" b="3175"/>
            <wp:docPr id="47" name="图片 1"/>
            <wp:cNvGraphicFramePr/>
            <a:graphic xmlns:a="http://schemas.openxmlformats.org/drawingml/2006/main">
              <a:graphicData uri="http://schemas.openxmlformats.org/drawingml/2006/picture">
                <pic:pic xmlns:pic="http://schemas.openxmlformats.org/drawingml/2006/picture">
                  <pic:nvPicPr>
                    <pic:cNvPr id="47" name="图片 1"/>
                    <pic:cNvPicPr/>
                  </pic:nvPicPr>
                  <pic:blipFill>
                    <a:blip r:embed="rId30"/>
                    <a:stretch>
                      <a:fillRect/>
                    </a:stretch>
                  </pic:blipFill>
                  <pic:spPr>
                    <a:xfrm>
                      <a:off x="0" y="0"/>
                      <a:ext cx="5688965" cy="2317750"/>
                    </a:xfrm>
                    <a:prstGeom prst="rect">
                      <a:avLst/>
                    </a:prstGeom>
                    <a:noFill/>
                    <a:ln>
                      <a:noFill/>
                    </a:ln>
                  </pic:spPr>
                </pic:pic>
              </a:graphicData>
            </a:graphic>
          </wp:inline>
        </w:drawing>
      </w:r>
    </w:p>
    <w:p w14:paraId="683E03E3">
      <w:pPr>
        <w:keepNext w:val="0"/>
        <w:keepLines w:val="0"/>
        <w:pageBreakBefore w:val="0"/>
        <w:widowControl w:val="0"/>
        <w:wordWrap/>
        <w:overflowPunct/>
        <w:bidi w:val="0"/>
        <w:spacing w:before="309" w:line="225" w:lineRule="auto"/>
        <w:ind w:left="2929"/>
        <w:rPr>
          <w:rFonts w:ascii="黑体" w:hAnsi="黑体" w:eastAsia="黑体" w:cs="黑体"/>
          <w:sz w:val="23"/>
          <w:szCs w:val="23"/>
        </w:rPr>
      </w:pPr>
      <w:r>
        <w:rPr>
          <w:rFonts w:ascii="黑体" w:hAnsi="黑体" w:eastAsia="黑体" w:cs="黑体"/>
          <w:spacing w:val="3"/>
          <w:sz w:val="23"/>
          <w:szCs w:val="23"/>
        </w:rPr>
        <w:t>图</w:t>
      </w:r>
      <w:r>
        <w:rPr>
          <w:rFonts w:ascii="Arial" w:hAnsi="Arial" w:eastAsia="Arial" w:cs="Arial"/>
          <w:b/>
          <w:bCs/>
          <w:spacing w:val="3"/>
          <w:sz w:val="23"/>
          <w:szCs w:val="23"/>
        </w:rPr>
        <w:t>15-1</w:t>
      </w:r>
      <w:r>
        <w:rPr>
          <w:rFonts w:ascii="黑体" w:hAnsi="黑体" w:eastAsia="黑体" w:cs="黑体"/>
          <w:spacing w:val="3"/>
          <w:sz w:val="23"/>
          <w:szCs w:val="23"/>
        </w:rPr>
        <w:t>泉港高新区经济效益</w:t>
      </w:r>
      <w:r>
        <w:rPr>
          <w:rFonts w:ascii="黑体" w:hAnsi="黑体" w:eastAsia="黑体" w:cs="黑体"/>
          <w:sz w:val="23"/>
          <w:szCs w:val="23"/>
        </w:rPr>
        <w:t>图</w:t>
      </w:r>
    </w:p>
    <w:p w14:paraId="4FA972BF">
      <w:pPr>
        <w:keepNext w:val="0"/>
        <w:keepLines w:val="0"/>
        <w:pageBreakBefore w:val="0"/>
        <w:widowControl w:val="0"/>
        <w:wordWrap/>
        <w:overflowPunct/>
        <w:bidi w:val="0"/>
        <w:spacing w:line="284" w:lineRule="auto"/>
        <w:rPr>
          <w:rFonts w:ascii="Arial"/>
          <w:sz w:val="21"/>
        </w:rPr>
      </w:pPr>
    </w:p>
    <w:p w14:paraId="76E254CB">
      <w:pPr>
        <w:keepNext w:val="0"/>
        <w:keepLines w:val="0"/>
        <w:pageBreakBefore w:val="0"/>
        <w:widowControl w:val="0"/>
        <w:wordWrap/>
        <w:overflowPunct/>
        <w:bidi w:val="0"/>
        <w:spacing w:line="284" w:lineRule="auto"/>
        <w:rPr>
          <w:rFonts w:ascii="Arial"/>
          <w:sz w:val="21"/>
        </w:rPr>
      </w:pPr>
    </w:p>
    <w:p w14:paraId="614D15DF">
      <w:pPr>
        <w:keepNext w:val="0"/>
        <w:keepLines w:val="0"/>
        <w:pageBreakBefore w:val="0"/>
        <w:widowControl w:val="0"/>
        <w:wordWrap/>
        <w:overflowPunct/>
        <w:bidi w:val="0"/>
        <w:spacing w:line="285" w:lineRule="auto"/>
        <w:rPr>
          <w:rFonts w:ascii="Arial"/>
          <w:sz w:val="21"/>
        </w:rPr>
      </w:pPr>
    </w:p>
    <w:p w14:paraId="79442810">
      <w:pPr>
        <w:keepNext w:val="0"/>
        <w:keepLines w:val="0"/>
        <w:pageBreakBefore w:val="0"/>
        <w:widowControl w:val="0"/>
        <w:wordWrap/>
        <w:overflowPunct/>
        <w:bidi w:val="0"/>
        <w:spacing w:line="4478" w:lineRule="exact"/>
        <w:textAlignment w:val="center"/>
      </w:pPr>
      <w:r>
        <w:drawing>
          <wp:inline distT="0" distB="0" distL="114300" distR="114300">
            <wp:extent cx="5766435" cy="2843530"/>
            <wp:effectExtent l="0" t="0" r="8890" b="6350"/>
            <wp:docPr id="48" name="图片 2"/>
            <wp:cNvGraphicFramePr/>
            <a:graphic xmlns:a="http://schemas.openxmlformats.org/drawingml/2006/main">
              <a:graphicData uri="http://schemas.openxmlformats.org/drawingml/2006/picture">
                <pic:pic xmlns:pic="http://schemas.openxmlformats.org/drawingml/2006/picture">
                  <pic:nvPicPr>
                    <pic:cNvPr id="48" name="图片 2"/>
                    <pic:cNvPicPr/>
                  </pic:nvPicPr>
                  <pic:blipFill>
                    <a:blip r:embed="rId31"/>
                    <a:stretch>
                      <a:fillRect/>
                    </a:stretch>
                  </pic:blipFill>
                  <pic:spPr>
                    <a:xfrm>
                      <a:off x="0" y="0"/>
                      <a:ext cx="5766435" cy="2843530"/>
                    </a:xfrm>
                    <a:prstGeom prst="rect">
                      <a:avLst/>
                    </a:prstGeom>
                    <a:noFill/>
                    <a:ln>
                      <a:noFill/>
                    </a:ln>
                  </pic:spPr>
                </pic:pic>
              </a:graphicData>
            </a:graphic>
          </wp:inline>
        </w:drawing>
      </w:r>
    </w:p>
    <w:p w14:paraId="2DDF330B">
      <w:pPr>
        <w:keepNext w:val="0"/>
        <w:keepLines w:val="0"/>
        <w:pageBreakBefore w:val="0"/>
        <w:widowControl w:val="0"/>
        <w:wordWrap/>
        <w:overflowPunct/>
        <w:bidi w:val="0"/>
        <w:spacing w:before="269" w:line="225" w:lineRule="auto"/>
        <w:ind w:left="1671"/>
        <w:rPr>
          <w:rFonts w:hint="default" w:ascii="仿宋_GB2312" w:hAnsi="仿宋_GB2312" w:eastAsia="仿宋_GB2312" w:cs="仿宋_GB2312"/>
          <w:spacing w:val="0"/>
          <w:sz w:val="28"/>
          <w:szCs w:val="28"/>
          <w:lang w:val="en-US" w:eastAsia="zh-CN"/>
        </w:rPr>
      </w:pPr>
      <w:r>
        <w:rPr>
          <w:rFonts w:ascii="黑体" w:hAnsi="黑体" w:eastAsia="黑体" w:cs="黑体"/>
          <w:spacing w:val="8"/>
          <w:sz w:val="23"/>
          <w:szCs w:val="23"/>
        </w:rPr>
        <w:t>图</w:t>
      </w:r>
      <w:r>
        <w:rPr>
          <w:rFonts w:ascii="Arial" w:hAnsi="Arial" w:eastAsia="Arial" w:cs="Arial"/>
          <w:b/>
          <w:bCs/>
          <w:spacing w:val="8"/>
          <w:sz w:val="23"/>
          <w:szCs w:val="23"/>
        </w:rPr>
        <w:t>15-</w:t>
      </w:r>
      <w:r>
        <w:rPr>
          <w:rFonts w:ascii="Arial" w:hAnsi="Arial" w:eastAsia="Arial" w:cs="Arial"/>
          <w:b/>
          <w:bCs/>
          <w:spacing w:val="4"/>
          <w:sz w:val="23"/>
          <w:szCs w:val="23"/>
        </w:rPr>
        <w:t>2</w:t>
      </w:r>
      <w:r>
        <w:rPr>
          <w:rFonts w:ascii="黑体" w:hAnsi="黑体" w:eastAsia="黑体" w:cs="黑体"/>
          <w:spacing w:val="4"/>
          <w:sz w:val="23"/>
          <w:szCs w:val="23"/>
        </w:rPr>
        <w:t>泉港高新区各产业贡献比例近景图(</w:t>
      </w:r>
      <w:r>
        <w:rPr>
          <w:rFonts w:ascii="Arial" w:hAnsi="Arial" w:eastAsia="Arial" w:cs="Arial"/>
          <w:b/>
          <w:bCs/>
          <w:spacing w:val="4"/>
          <w:sz w:val="23"/>
          <w:szCs w:val="23"/>
        </w:rPr>
        <w:t>2035</w:t>
      </w:r>
      <w:r>
        <w:rPr>
          <w:rFonts w:ascii="黑体" w:hAnsi="黑体" w:eastAsia="黑体" w:cs="黑体"/>
          <w:spacing w:val="4"/>
          <w:sz w:val="23"/>
          <w:szCs w:val="23"/>
        </w:rPr>
        <w:t>年)</w:t>
      </w:r>
    </w:p>
    <w:p w14:paraId="79629B36">
      <w:pPr>
        <w:pStyle w:val="2"/>
        <w:keepNext w:val="0"/>
        <w:keepLines w:val="0"/>
        <w:pageBreakBefore w:val="0"/>
        <w:widowControl w:val="0"/>
        <w:kinsoku/>
        <w:wordWrap/>
        <w:overflowPunct/>
        <w:topLinePunct/>
        <w:autoSpaceDE/>
        <w:autoSpaceDN/>
        <w:bidi w:val="0"/>
        <w:adjustRightInd/>
        <w:snapToGrid/>
        <w:spacing w:before="157" w:beforeLines="5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14.2社会效益</w:t>
      </w:r>
    </w:p>
    <w:p w14:paraId="1B38819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泉港高新区的建设符合国家多项区域发展战略，除了高新区自身能产生良好的经济效益，成为泉州市新的经济增长极，对于区域经济和社会的发展也将具有显著的带动作用。</w:t>
      </w:r>
    </w:p>
    <w:p w14:paraId="441AD9F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(1)推动区域产业结构调整和升级</w:t>
      </w:r>
    </w:p>
    <w:p w14:paraId="512AAF2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海峡西岸经济区是国内经济发达潜力极大的地区，也是国内实现经济发展方式转变和产业转型升级的重点区域。泉港高新区的产业发展将以新材料作为发展特色，可以为区域相关产业的升级和战略性新兴产业的发展提供更多的高端产品和服务。</w:t>
      </w:r>
    </w:p>
    <w:p w14:paraId="56F9B21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除了与相关产业融合发展外，泉港高新区的发展还可带动物流运输、商业贸易、金融、信息服务、科技等行业的发展，使区域内的现代服务业不断壮大。</w:t>
      </w:r>
    </w:p>
    <w:p w14:paraId="02362A0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(2)促进区域经济和社会和谐发展。</w:t>
      </w:r>
    </w:p>
    <w:p w14:paraId="4BBB2C5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泉港高新区产业发展将促进区内公共设施的完善，带动该地区城市化水平的提高，从而加快泉州地区的跨越式发展，在各方面缩小与广东、深圳等发达地区的差距。</w:t>
      </w:r>
    </w:p>
    <w:p w14:paraId="4F431D3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泉港高新区的建设将提供大量的就业机会，项目建设将直接提供超过6000个就业岗位，而为高新区服务的相关产业将使就业岗位成几倍地增加，从而推动该地区人民生活水平和质量的提高，有利于社会的稳定。</w:t>
      </w:r>
    </w:p>
    <w:p w14:paraId="133A94B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高新技术产业除了需要大量资金，还是一个技术密集型的行业，泉港高新区的发展将为地区吸引人才和留住人才提供良好的平台，促进该地区文化、教育、科技事业的发展。</w:t>
      </w:r>
    </w:p>
    <w:p w14:paraId="086D46F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(3)为对外合作打开新的窗口</w:t>
      </w:r>
    </w:p>
    <w:p w14:paraId="7C2E9A9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将采用合作共赢的理念，以自身六大产业为建设主体，积极搭建四大平台，广泛吸引各类投资与专业企业合作，从而以产业发展为纽带，吸引更多的国内外企业将目光投向泉港。同时，高新区将突出高端、特色，使之成为对外展示泉港高新技术产业的窗口，对于泉港地区的招商引资工作将起到积极的推动作用。</w:t>
      </w:r>
    </w:p>
    <w:p w14:paraId="5BBED48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BAA5FB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E77689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8F977D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25EA8C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B6BA85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ED8B1A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307132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59BE374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15分期发展规划</w:t>
      </w:r>
    </w:p>
    <w:p w14:paraId="727074E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0E43E8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15.1开发策略</w:t>
      </w:r>
    </w:p>
    <w:p w14:paraId="41010B1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15.1.1成片建设，滚动开发</w:t>
      </w:r>
    </w:p>
    <w:p w14:paraId="596DF53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高新园区应依托现有城市基础设施及产业布局发展，在建设过程中集中资金，成熟一片，开发一片，滚动发展，以形成良性循环。</w:t>
      </w:r>
    </w:p>
    <w:p w14:paraId="78C4C59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15.1.2设施先行，服务共享</w:t>
      </w:r>
    </w:p>
    <w:p w14:paraId="3CF9117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高新园区应首先搞好环境建设，包括市政基础设施条件、交通环境及绿化景观环境，以搭建良好的招商引资平台。</w:t>
      </w:r>
    </w:p>
    <w:p w14:paraId="0C0069D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15.1.3底线控制，弹性预留</w:t>
      </w:r>
    </w:p>
    <w:p w14:paraId="30A8D31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以资源约束为前提，用高新园区环境资源承载力来衡量其发展规模；同时，充分考虑产业发展的不确定性，远期预留一定的弹性空间。</w:t>
      </w:r>
    </w:p>
    <w:p w14:paraId="2C1E47F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15.2建设时序与规模</w:t>
      </w:r>
    </w:p>
    <w:p w14:paraId="09924F7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在充分尊重泉港新材料高新技术产业园区发展现状与政府财力的基础上，根据各阶段发展目标，规划高新园区的开发建设分为近期(2019-2025年)、远期(2026-2030年)两个时段实施。</w:t>
      </w:r>
    </w:p>
    <w:p w14:paraId="42C8D8A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15.2.1近期(2019-2025年)：快速起步、重点突破</w:t>
      </w:r>
    </w:p>
    <w:p w14:paraId="29889AD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至2025年，以配套设施建设，服务管理体系构建，产业集聚引导和招商引资为主。在土地利用规划短期内无法调整的情况下，园区应迅速开展存量土地资源的整合工作，并对污染土地开展土壤修复，利用开发条件成熟的建设用地快速开展招商工作，引入相应的高新技术企业，提升区域发展人气。</w:t>
      </w:r>
    </w:p>
    <w:p w14:paraId="68F88F6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15.2.2远期(2026-2030年)：全面铺开、优化提升</w:t>
      </w:r>
    </w:p>
    <w:p w14:paraId="6A97914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至2030年，以培育功能定位明晰、集聚效应明显、辐射带动有力的高新技术产业园区为主。推动产业升级和品质提升，高新园区内各项建设全面铺开，基本建成各功能片区。强化科技创新、生态宜居、配套服务等功能，提升高新园区对高端人才置业的吸引力。在区域范围内考虑产业的升级和转移，增加新材料等高新技术产业在产业贡献中的比重，执行更高的生态标准，加快城乡一体化及产城融合步伐。</w:t>
      </w:r>
    </w:p>
    <w:p w14:paraId="3511355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15.3近期实施重点</w:t>
      </w:r>
    </w:p>
    <w:p w14:paraId="1F7B1A6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15.3.1落实重大产业项目</w:t>
      </w:r>
    </w:p>
    <w:p w14:paraId="0D32E0D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以新材料产业为产业发展重点，加速新材料等重点产业项目招商；同时加大对高新技术产业的招商引资；依托前黄创研小镇的建设契机，打造双创平台，引入高端商业、商务办公、金融服务等服务业。</w:t>
      </w:r>
    </w:p>
    <w:p w14:paraId="7631FF0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15.3.2构建现代高效的支撑网络</w:t>
      </w:r>
    </w:p>
    <w:p w14:paraId="01633FA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交通设施方面，加快推进新疏港大道等区域性主干道的建设，同时改善园区内道路微循环，根据项目布局建设枝干路网；强化园区内部道路与沈海高速、沈海高速复线、国道324等的无缝对接，特别在沈海高速复线的前期重点衔接好与区域路网的联通。</w:t>
      </w:r>
    </w:p>
    <w:p w14:paraId="5BFA415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15.3.3完善公共服务配套设施建设</w:t>
      </w:r>
    </w:p>
    <w:p w14:paraId="3133A60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创研小镇为重点，加快推进生产型服务业建设，同时立足双创社区建设，提高区域创新创业、产业孵化水平；另外，前黄镇区及周边区域作为建设重点，加快推进区级综合医院、文化活动中心、居民运动馆、市民公园、综合商业中心的建设，增加公共产品的输出，提高区域发展层次。</w:t>
      </w:r>
    </w:p>
    <w:p w14:paraId="108F365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8B174B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78099A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EA9FEC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C5C69F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BA5AFA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E23940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9CA3F8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A7CF43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B7A219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ED46DE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B69A21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C3FA2E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F57091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37BA79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16规划管理措施与建议</w:t>
      </w:r>
    </w:p>
    <w:p w14:paraId="2C05BEB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593C46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16.1加强组织领导保障</w:t>
      </w:r>
    </w:p>
    <w:p w14:paraId="3B09F6C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尽快理顺高新园区范围内的行政管辖关系，实现管辖权统一。加强组织领导，统筹推进园区各项工作顺利开展。</w:t>
      </w:r>
    </w:p>
    <w:p w14:paraId="75E79EA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(1)成立工作小组</w:t>
      </w:r>
    </w:p>
    <w:p w14:paraId="6C62198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成立高新区发展建设领导小组，加强顶层设计，研究确定高新区重大发展战略及重大政策措施。</w:t>
      </w:r>
    </w:p>
    <w:p w14:paraId="44D75E9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(2)成立专家咨询委员会</w:t>
      </w:r>
    </w:p>
    <w:p w14:paraId="2ECBE73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健全决策咨询机制，聘请第三方智库或国内外资深高新区专家、产业专家等成立专家咨询委员会，负责对高新园区重点建设项目进行咨询，提出优化方案。</w:t>
      </w:r>
    </w:p>
    <w:p w14:paraId="009D8F0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(3)联席会议制度协商合作机制</w:t>
      </w:r>
    </w:p>
    <w:p w14:paraId="120C054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完善部门间工作协作机制，定期举行泉港高新区产业、土地、规划、建设等相关部门的联席会议，统筹各方资源和力量，解决园区发展中遇到的重大问题。</w:t>
      </w:r>
    </w:p>
    <w:p w14:paraId="12E9BA1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16.2完善园区政策体系</w:t>
      </w:r>
    </w:p>
    <w:p w14:paraId="19D06F8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完善园区政策体系，加大园区发展的政策指导和扶持</w:t>
      </w:r>
    </w:p>
    <w:p w14:paraId="7636207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(1)出台针对各主导产业升级发展的专业政策，鼓励企业通过技术并购、跨界融合、自主研发等方式来获得技术升级；明确产业发展重点、路线及目标。</w:t>
      </w:r>
    </w:p>
    <w:p w14:paraId="7400F49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围绕科技型中小企业、创业载体、创业人才、科技金融等多方面制定创业培育政策，在创新创业载体和技术人才上给予政策支持；设立新业态培育及发展专项基金，为园区新业态领域企业开展技术创新活动、建设研发中心给予一定比例补贴。</w:t>
      </w:r>
    </w:p>
    <w:p w14:paraId="69D0F36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16.3优化土地资源管理</w:t>
      </w:r>
    </w:p>
    <w:p w14:paraId="0240138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完善土地规划、土地退出、用地评价等工作体系，优化土地资源管理。</w:t>
      </w:r>
    </w:p>
    <w:p w14:paraId="04E691D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(1)加强土地规范管理</w:t>
      </w:r>
    </w:p>
    <w:p w14:paraId="2CE6CE4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加强土地规划管控，合理制定土地利用年度计划，优先保障大项目用地需求。</w:t>
      </w:r>
    </w:p>
    <w:p w14:paraId="0E603DE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(2)加强土地集约利用</w:t>
      </w:r>
    </w:p>
    <w:p w14:paraId="52692CB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加强土地节约集约利用，从严控制新上项目用地规模，积极盘活辖区内低效与闲置用地。</w:t>
      </w:r>
    </w:p>
    <w:p w14:paraId="458A6B3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(3)建立土地利用评价体系</w:t>
      </w:r>
    </w:p>
    <w:p w14:paraId="2DD6354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健全土地动态评估与考核机制，对辖区内企业用地容积率、产出率、亩均投资强度等情况进行定期检查和综合评价，实行土地节约集约利用动态评价制度。</w:t>
      </w:r>
    </w:p>
    <w:p w14:paraId="6040287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(4)完善土地监察管理</w:t>
      </w:r>
    </w:p>
    <w:p w14:paraId="27E3033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加强土地执法监察，维护高新园区国土资源管理秩序。</w:t>
      </w:r>
    </w:p>
    <w:p w14:paraId="1B818D2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16.4简化行政审批流程</w:t>
      </w:r>
    </w:p>
    <w:p w14:paraId="2206CB1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简化环评审批手续，对高新园区内标准厂房、道路、供水、供电、供热、污水处理、垃圾处理等基础设施项目特事特办，进一步缩短审批时间，为规划的实施和项目建设创造条件。积极推进区内企业排污许可证制度试点工作，建立完善主要污染物排放总量初始权有偿分配、排放权交易等制度，推进污染治理市场化运营。优先安排产业高新园区扶持资金支持区内道路、环保、通信、消防、垃圾处理和水电气等基础设施项目建设，财政扶持资金优先向购置和更新公共服务设施的项目倾斜。</w:t>
      </w:r>
    </w:p>
    <w:p w14:paraId="1D5A2CC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16.5构建多元化投融资平台</w:t>
      </w:r>
    </w:p>
    <w:p w14:paraId="17D882E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努力拓宽投融资渠道，建立政府资金为引导、企业投入为主体、金融贷款为支撑、外资与民间资金并重的开放式、多元化投入机制和融资体系，筹措高新园区的建设资金。组建公司制投融资平台，通过对土地进行前期开发和公开出让、标准化厂房出租、区内资源开发利用与经营、基础设施项目投资建设等方式，经营投融资公司的资产。实施激励性财政政策，高新园区内企业从事国家重点扶持的公共基础设施项目和污染减排、节能节水项目的所得，符合税法规定条件的，建议减免征收部分企业所得税。鼓励金融机构扩大对高新园区投融资公司和重点企业的授信额度，对符合条件的中小企业贷款要重点扶持。</w:t>
      </w:r>
    </w:p>
    <w:p w14:paraId="007B335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16.6创新招商引资方式</w:t>
      </w:r>
    </w:p>
    <w:p w14:paraId="5869F9C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认真落实泉州市制定的招商引资、离岗锻炼、考评奖惩等发展外向型经济的规章制度，着力降低企业入驻门槛，制定优惠政策，加大吸纳外资进入的力度，从而迅速膨胀区域经济，使各类生产要素具有更强的吸引力。加快创新服务平台和中介服务机构建设，鼓励有资质、有信誉、有业绩的中介机构落户，为中小企业提供科技咨询、信用评估、专利代理、财务审计等服务。支持高校和科研机构在园区组建产业技术创新联盟，建立面向企业和社会的开放性公共创新平台。鼓励企业实施知识产权战略，培育一批拥有自主知识产权和较强核心竞争力的企业。</w:t>
      </w:r>
    </w:p>
    <w:p w14:paraId="731B202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16.7加快高层次人才引进</w:t>
      </w:r>
    </w:p>
    <w:p w14:paraId="03FE465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结合高新园区的发展需要，在国内外引进一批能够突破关键技术、发展高新技术产业的科技领军和高层次创新人才，使园区成为高层次人才创新创业基地。对产业高新园区内引进的高层次和紧缺人才，在科研启动经费、岗位津贴以及级别待遇、住房补贴、家属随迁等方面实行优惠措施。对有影响力的投资者，给予一定参政、议政的政治待遇。鼓励科技人员以技术成果、知识产权等无形资产入股的方式，参与区内中小科技型企业建设。加快技能人才培养，对产业高新园区内应通过校企联合、订单培训等形式开展针对农民工和困难企业职工的职业技能培训。</w:t>
      </w:r>
    </w:p>
    <w:p w14:paraId="2163BAF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CFCDFF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F43C32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3C5570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7C2B34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FE3D0C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2E7952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1E09B3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EF5A038">
      <w:pPr>
        <w:keepNext w:val="0"/>
        <w:keepLines w:val="0"/>
        <w:pageBreakBefore w:val="0"/>
        <w:widowControl w:val="0"/>
        <w:wordWrap/>
        <w:overflowPunct/>
        <w:bidi w:val="0"/>
        <w:spacing w:line="251" w:lineRule="auto"/>
        <w:rPr>
          <w:rFonts w:hint="eastAsia" w:ascii="Arial" w:eastAsiaTheme="minorEastAsia"/>
          <w:sz w:val="21"/>
          <w:lang w:eastAsia="zh-CN"/>
        </w:rPr>
      </w:pPr>
      <w:r>
        <w:rPr>
          <w:rFonts w:hint="eastAsia" w:ascii="Arial" w:eastAsiaTheme="minorEastAsia"/>
          <w:sz w:val="21"/>
          <w:lang w:eastAsia="zh-CN"/>
        </w:rPr>
        <w:drawing>
          <wp:inline distT="0" distB="0" distL="114300" distR="114300">
            <wp:extent cx="5757545" cy="8141335"/>
            <wp:effectExtent l="0" t="0" r="6985" b="8890"/>
            <wp:docPr id="65" name="图片 65" descr="8_(最终核稿版）泉港政综〔2020〕24 号    泉州市...发展规划》和《福建泉港新材料高新技术产业园区产业发展规划》的通知(1)(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8_(最终核稿版）泉港政综〔2020〕24 号    泉州市...发展规划》和《福建泉港新材料高新技术产业园区产业发展规划》的通知(1)(1)_页面_01"/>
                    <pic:cNvPicPr>
                      <a:picLocks noChangeAspect="1"/>
                    </pic:cNvPicPr>
                  </pic:nvPicPr>
                  <pic:blipFill>
                    <a:blip r:embed="rId32"/>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9" name="图片 79" descr="8_(最终核稿版）泉港政综〔2020〕24 号    泉州市...发展规划》和《福建泉港新材料高新技术产业园区产业发展规划》的通知(1)(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8_(最终核稿版）泉港政综〔2020〕24 号    泉州市...发展规划》和《福建泉港新材料高新技术产业园区产业发展规划》的通知(1)(1)_页面_02"/>
                    <pic:cNvPicPr>
                      <a:picLocks noChangeAspect="1"/>
                    </pic:cNvPicPr>
                  </pic:nvPicPr>
                  <pic:blipFill>
                    <a:blip r:embed="rId33"/>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8" name="图片 78" descr="8_(最终核稿版）泉港政综〔2020〕24 号    泉州市...发展规划》和《福建泉港新材料高新技术产业园区产业发展规划》的通知(1)(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8_(最终核稿版）泉港政综〔2020〕24 号    泉州市...发展规划》和《福建泉港新材料高新技术产业园区产业发展规划》的通知(1)(1)_页面_03"/>
                    <pic:cNvPicPr>
                      <a:picLocks noChangeAspect="1"/>
                    </pic:cNvPicPr>
                  </pic:nvPicPr>
                  <pic:blipFill>
                    <a:blip r:embed="rId34"/>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7" name="图片 77" descr="8_(最终核稿版）泉港政综〔2020〕24 号    泉州市...发展规划》和《福建泉港新材料高新技术产业园区产业发展规划》的通知(1)(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8_(最终核稿版）泉港政综〔2020〕24 号    泉州市...发展规划》和《福建泉港新材料高新技术产业园区产业发展规划》的通知(1)(1)_页面_04"/>
                    <pic:cNvPicPr>
                      <a:picLocks noChangeAspect="1"/>
                    </pic:cNvPicPr>
                  </pic:nvPicPr>
                  <pic:blipFill>
                    <a:blip r:embed="rId35"/>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6" name="图片 76" descr="8_(最终核稿版）泉港政综〔2020〕24 号    泉州市...发展规划》和《福建泉港新材料高新技术产业园区产业发展规划》的通知(1)(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_(最终核稿版）泉港政综〔2020〕24 号    泉州市...发展规划》和《福建泉港新材料高新技术产业园区产业发展规划》的通知(1)(1)_页面_05"/>
                    <pic:cNvPicPr>
                      <a:picLocks noChangeAspect="1"/>
                    </pic:cNvPicPr>
                  </pic:nvPicPr>
                  <pic:blipFill>
                    <a:blip r:embed="rId36"/>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5" name="图片 75" descr="8_(最终核稿版）泉港政综〔2020〕24 号    泉州市...发展规划》和《福建泉港新材料高新技术产业园区产业发展规划》的通知(1)(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_(最终核稿版）泉港政综〔2020〕24 号    泉州市...发展规划》和《福建泉港新材料高新技术产业园区产业发展规划》的通知(1)(1)_页面_06"/>
                    <pic:cNvPicPr>
                      <a:picLocks noChangeAspect="1"/>
                    </pic:cNvPicPr>
                  </pic:nvPicPr>
                  <pic:blipFill>
                    <a:blip r:embed="rId37"/>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4" name="图片 74" descr="8_(最终核稿版）泉港政综〔2020〕24 号    泉州市...发展规划》和《福建泉港新材料高新技术产业园区产业发展规划》的通知(1)(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8_(最终核稿版）泉港政综〔2020〕24 号    泉州市...发展规划》和《福建泉港新材料高新技术产业园区产业发展规划》的通知(1)(1)_页面_07"/>
                    <pic:cNvPicPr>
                      <a:picLocks noChangeAspect="1"/>
                    </pic:cNvPicPr>
                  </pic:nvPicPr>
                  <pic:blipFill>
                    <a:blip r:embed="rId38"/>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3" name="图片 73" descr="8_(最终核稿版）泉港政综〔2020〕24 号    泉州市...发展规划》和《福建泉港新材料高新技术产业园区产业发展规划》的通知(1)(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_(最终核稿版）泉港政综〔2020〕24 号    泉州市...发展规划》和《福建泉港新材料高新技术产业园区产业发展规划》的通知(1)(1)_页面_08"/>
                    <pic:cNvPicPr>
                      <a:picLocks noChangeAspect="1"/>
                    </pic:cNvPicPr>
                  </pic:nvPicPr>
                  <pic:blipFill>
                    <a:blip r:embed="rId39"/>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2" name="图片 72" descr="8_(最终核稿版）泉港政综〔2020〕24 号    泉州市...发展规划》和《福建泉港新材料高新技术产业园区产业发展规划》的通知(1)(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8_(最终核稿版）泉港政综〔2020〕24 号    泉州市...发展规划》和《福建泉港新材料高新技术产业园区产业发展规划》的通知(1)(1)_页面_09"/>
                    <pic:cNvPicPr>
                      <a:picLocks noChangeAspect="1"/>
                    </pic:cNvPicPr>
                  </pic:nvPicPr>
                  <pic:blipFill>
                    <a:blip r:embed="rId40"/>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1" name="图片 71" descr="8_(最终核稿版）泉港政综〔2020〕24 号    泉州市...发展规划》和《福建泉港新材料高新技术产业园区产业发展规划》的通知(1)(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8_(最终核稿版）泉港政综〔2020〕24 号    泉州市...发展规划》和《福建泉港新材料高新技术产业园区产业发展规划》的通知(1)(1)_页面_10"/>
                    <pic:cNvPicPr>
                      <a:picLocks noChangeAspect="1"/>
                    </pic:cNvPicPr>
                  </pic:nvPicPr>
                  <pic:blipFill>
                    <a:blip r:embed="rId41"/>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70" name="图片 70" descr="8_(最终核稿版）泉港政综〔2020〕24 号    泉州市...发展规划》和《福建泉港新材料高新技术产业园区产业发展规划》的通知(1)(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8_(最终核稿版）泉港政综〔2020〕24 号    泉州市...发展规划》和《福建泉港新材料高新技术产业园区产业发展规划》的通知(1)(1)_页面_11"/>
                    <pic:cNvPicPr>
                      <a:picLocks noChangeAspect="1"/>
                    </pic:cNvPicPr>
                  </pic:nvPicPr>
                  <pic:blipFill>
                    <a:blip r:embed="rId42"/>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69" name="图片 69" descr="8_(最终核稿版）泉港政综〔2020〕24 号    泉州市...发展规划》和《福建泉港新材料高新技术产业园区产业发展规划》的通知(1)(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8_(最终核稿版）泉港政综〔2020〕24 号    泉州市...发展规划》和《福建泉港新材料高新技术产业园区产业发展规划》的通知(1)(1)_页面_12"/>
                    <pic:cNvPicPr>
                      <a:picLocks noChangeAspect="1"/>
                    </pic:cNvPicPr>
                  </pic:nvPicPr>
                  <pic:blipFill>
                    <a:blip r:embed="rId43"/>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68" name="图片 68" descr="8_(最终核稿版）泉港政综〔2020〕24 号    泉州市...发展规划》和《福建泉港新材料高新技术产业园区产业发展规划》的通知(1)(1)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8_(最终核稿版）泉港政综〔2020〕24 号    泉州市...发展规划》和《福建泉港新材料高新技术产业园区产业发展规划》的通知(1)(1)_页面_13"/>
                    <pic:cNvPicPr>
                      <a:picLocks noChangeAspect="1"/>
                    </pic:cNvPicPr>
                  </pic:nvPicPr>
                  <pic:blipFill>
                    <a:blip r:embed="rId44"/>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67" name="图片 67" descr="8_(最终核稿版）泉港政综〔2020〕24 号    泉州市...发展规划》和《福建泉港新材料高新技术产业园区产业发展规划》的通知(1)(1)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8_(最终核稿版）泉港政综〔2020〕24 号    泉州市...发展规划》和《福建泉港新材料高新技术产业园区产业发展规划》的通知(1)(1)_页面_14"/>
                    <pic:cNvPicPr>
                      <a:picLocks noChangeAspect="1"/>
                    </pic:cNvPicPr>
                  </pic:nvPicPr>
                  <pic:blipFill>
                    <a:blip r:embed="rId45"/>
                    <a:stretch>
                      <a:fillRect/>
                    </a:stretch>
                  </pic:blipFill>
                  <pic:spPr>
                    <a:xfrm>
                      <a:off x="0" y="0"/>
                      <a:ext cx="5757545" cy="8141335"/>
                    </a:xfrm>
                    <a:prstGeom prst="rect">
                      <a:avLst/>
                    </a:prstGeom>
                  </pic:spPr>
                </pic:pic>
              </a:graphicData>
            </a:graphic>
          </wp:inline>
        </w:drawing>
      </w:r>
      <w:r>
        <w:rPr>
          <w:rFonts w:hint="eastAsia" w:ascii="Arial" w:eastAsiaTheme="minorEastAsia"/>
          <w:sz w:val="21"/>
          <w:lang w:eastAsia="zh-CN"/>
        </w:rPr>
        <w:drawing>
          <wp:inline distT="0" distB="0" distL="114300" distR="114300">
            <wp:extent cx="5757545" cy="8141335"/>
            <wp:effectExtent l="0" t="0" r="6985" b="8890"/>
            <wp:docPr id="66" name="图片 66" descr="8_(最终核稿版）泉港政综〔2020〕24 号    泉州市...发展规划》和《福建泉港新材料高新技术产业园区产业发展规划》的通知(1)(1)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_(最终核稿版）泉港政综〔2020〕24 号    泉州市...发展规划》和《福建泉港新材料高新技术产业园区产业发展规划》的通知(1)(1)_页面_15"/>
                    <pic:cNvPicPr>
                      <a:picLocks noChangeAspect="1"/>
                    </pic:cNvPicPr>
                  </pic:nvPicPr>
                  <pic:blipFill>
                    <a:blip r:embed="rId46"/>
                    <a:stretch>
                      <a:fillRect/>
                    </a:stretch>
                  </pic:blipFill>
                  <pic:spPr>
                    <a:xfrm>
                      <a:off x="0" y="0"/>
                      <a:ext cx="5757545" cy="8141335"/>
                    </a:xfrm>
                    <a:prstGeom prst="rect">
                      <a:avLst/>
                    </a:prstGeom>
                  </pic:spPr>
                </pic:pic>
              </a:graphicData>
            </a:graphic>
          </wp:inline>
        </w:drawing>
      </w:r>
    </w:p>
    <w:p w14:paraId="3987BFA9">
      <w:pPr>
        <w:keepNext w:val="0"/>
        <w:keepLines w:val="0"/>
        <w:pageBreakBefore w:val="0"/>
        <w:widowControl w:val="0"/>
        <w:wordWrap/>
        <w:overflowPunct/>
        <w:bidi w:val="0"/>
        <w:spacing w:line="251" w:lineRule="auto"/>
        <w:rPr>
          <w:rFonts w:ascii="Arial"/>
          <w:sz w:val="21"/>
        </w:rPr>
      </w:pPr>
    </w:p>
    <w:p w14:paraId="0C4EDDB5">
      <w:pPr>
        <w:keepNext w:val="0"/>
        <w:keepLines w:val="0"/>
        <w:pageBreakBefore w:val="0"/>
        <w:widowControl w:val="0"/>
        <w:wordWrap/>
        <w:overflowPunct/>
        <w:bidi w:val="0"/>
        <w:spacing w:line="251" w:lineRule="auto"/>
        <w:rPr>
          <w:rFonts w:ascii="Arial"/>
          <w:sz w:val="21"/>
        </w:rPr>
      </w:pPr>
    </w:p>
    <w:p w14:paraId="0D711F03">
      <w:pPr>
        <w:keepNext w:val="0"/>
        <w:keepLines w:val="0"/>
        <w:pageBreakBefore w:val="0"/>
        <w:widowControl w:val="0"/>
        <w:wordWrap/>
        <w:overflowPunct/>
        <w:bidi w:val="0"/>
        <w:spacing w:line="251" w:lineRule="auto"/>
        <w:rPr>
          <w:rFonts w:ascii="Arial"/>
          <w:sz w:val="21"/>
        </w:rPr>
      </w:pPr>
    </w:p>
    <w:p w14:paraId="13FD1610">
      <w:pPr>
        <w:keepNext w:val="0"/>
        <w:keepLines w:val="0"/>
        <w:pageBreakBefore w:val="0"/>
        <w:widowControl w:val="0"/>
        <w:wordWrap/>
        <w:overflowPunct/>
        <w:bidi w:val="0"/>
        <w:spacing w:line="251" w:lineRule="auto"/>
        <w:rPr>
          <w:rFonts w:ascii="Arial"/>
          <w:sz w:val="21"/>
        </w:rPr>
      </w:pPr>
    </w:p>
    <w:p w14:paraId="78670D71">
      <w:pPr>
        <w:keepNext w:val="0"/>
        <w:keepLines w:val="0"/>
        <w:pageBreakBefore w:val="0"/>
        <w:widowControl w:val="0"/>
        <w:wordWrap/>
        <w:overflowPunct/>
        <w:bidi w:val="0"/>
        <w:spacing w:line="251" w:lineRule="auto"/>
        <w:rPr>
          <w:rFonts w:ascii="Arial"/>
          <w:sz w:val="21"/>
        </w:rPr>
      </w:pPr>
    </w:p>
    <w:p w14:paraId="08417979">
      <w:pPr>
        <w:keepNext w:val="0"/>
        <w:keepLines w:val="0"/>
        <w:pageBreakBefore w:val="0"/>
        <w:widowControl w:val="0"/>
        <w:wordWrap/>
        <w:overflowPunct/>
        <w:bidi w:val="0"/>
        <w:spacing w:line="251" w:lineRule="auto"/>
        <w:rPr>
          <w:rFonts w:ascii="Arial"/>
          <w:sz w:val="21"/>
        </w:rPr>
      </w:pPr>
    </w:p>
    <w:p w14:paraId="07A7BC18">
      <w:pPr>
        <w:keepNext w:val="0"/>
        <w:keepLines w:val="0"/>
        <w:pageBreakBefore w:val="0"/>
        <w:widowControl w:val="0"/>
        <w:wordWrap/>
        <w:overflowPunct/>
        <w:bidi w:val="0"/>
        <w:spacing w:line="251" w:lineRule="auto"/>
        <w:rPr>
          <w:rFonts w:ascii="Arial"/>
          <w:sz w:val="21"/>
        </w:rPr>
      </w:pPr>
    </w:p>
    <w:p w14:paraId="3B416CB0">
      <w:pPr>
        <w:keepNext w:val="0"/>
        <w:keepLines w:val="0"/>
        <w:pageBreakBefore w:val="0"/>
        <w:widowControl w:val="0"/>
        <w:wordWrap/>
        <w:overflowPunct/>
        <w:bidi w:val="0"/>
        <w:spacing w:line="251" w:lineRule="auto"/>
        <w:rPr>
          <w:rFonts w:ascii="Arial"/>
          <w:sz w:val="21"/>
        </w:rPr>
      </w:pPr>
    </w:p>
    <w:p w14:paraId="5CF00825">
      <w:pPr>
        <w:keepNext w:val="0"/>
        <w:keepLines w:val="0"/>
        <w:pageBreakBefore w:val="0"/>
        <w:widowControl w:val="0"/>
        <w:wordWrap/>
        <w:overflowPunct/>
        <w:bidi w:val="0"/>
        <w:spacing w:line="251" w:lineRule="auto"/>
        <w:rPr>
          <w:rFonts w:ascii="Arial"/>
          <w:sz w:val="21"/>
        </w:rPr>
      </w:pPr>
    </w:p>
    <w:p w14:paraId="526D7B41">
      <w:pPr>
        <w:keepNext w:val="0"/>
        <w:keepLines w:val="0"/>
        <w:pageBreakBefore w:val="0"/>
        <w:widowControl w:val="0"/>
        <w:wordWrap/>
        <w:overflowPunct/>
        <w:bidi w:val="0"/>
        <w:spacing w:line="251" w:lineRule="auto"/>
        <w:rPr>
          <w:rFonts w:ascii="Arial"/>
          <w:sz w:val="21"/>
        </w:rPr>
      </w:pPr>
    </w:p>
    <w:p w14:paraId="14189D20">
      <w:pPr>
        <w:keepNext w:val="0"/>
        <w:keepLines w:val="0"/>
        <w:pageBreakBefore w:val="0"/>
        <w:widowControl w:val="0"/>
        <w:wordWrap/>
        <w:overflowPunct/>
        <w:bidi w:val="0"/>
        <w:spacing w:line="251" w:lineRule="auto"/>
        <w:rPr>
          <w:rFonts w:ascii="Arial"/>
          <w:sz w:val="21"/>
        </w:rPr>
      </w:pPr>
    </w:p>
    <w:p w14:paraId="652D3C59">
      <w:pPr>
        <w:keepNext w:val="0"/>
        <w:keepLines w:val="0"/>
        <w:pageBreakBefore w:val="0"/>
        <w:widowControl w:val="0"/>
        <w:wordWrap/>
        <w:overflowPunct/>
        <w:bidi w:val="0"/>
        <w:spacing w:before="192" w:line="370" w:lineRule="auto"/>
        <w:jc w:val="center"/>
        <w:rPr>
          <w:rFonts w:hint="eastAsia" w:ascii="宋体" w:hAnsi="宋体" w:eastAsia="宋体" w:cs="宋体"/>
          <w:spacing w:val="37"/>
          <w:sz w:val="52"/>
          <w:szCs w:val="52"/>
        </w:rPr>
      </w:pPr>
      <w:r>
        <w:rPr>
          <w:rFonts w:hint="eastAsia" w:ascii="宋体" w:hAnsi="宋体" w:eastAsia="宋体" w:cs="宋体"/>
          <w:spacing w:val="43"/>
          <w:sz w:val="52"/>
          <w:szCs w:val="52"/>
        </w:rPr>
        <w:t>福</w:t>
      </w:r>
      <w:r>
        <w:rPr>
          <w:rFonts w:hint="eastAsia" w:ascii="宋体" w:hAnsi="宋体" w:eastAsia="宋体" w:cs="宋体"/>
          <w:spacing w:val="37"/>
          <w:sz w:val="52"/>
          <w:szCs w:val="52"/>
        </w:rPr>
        <w:t>建泉港新材料高新技术产业园区</w:t>
      </w:r>
    </w:p>
    <w:p w14:paraId="57CBB7D3">
      <w:pPr>
        <w:keepNext w:val="0"/>
        <w:keepLines w:val="0"/>
        <w:pageBreakBefore w:val="0"/>
        <w:widowControl w:val="0"/>
        <w:wordWrap/>
        <w:overflowPunct/>
        <w:bidi w:val="0"/>
        <w:spacing w:before="192" w:line="370" w:lineRule="auto"/>
        <w:jc w:val="center"/>
        <w:rPr>
          <w:rFonts w:hint="eastAsia" w:ascii="宋体" w:hAnsi="宋体" w:eastAsia="宋体" w:cs="宋体"/>
          <w:spacing w:val="28"/>
          <w:sz w:val="52"/>
          <w:szCs w:val="52"/>
        </w:rPr>
      </w:pPr>
      <w:r>
        <w:rPr>
          <w:rFonts w:hint="eastAsia" w:ascii="宋体" w:hAnsi="宋体" w:eastAsia="宋体" w:cs="宋体"/>
          <w:sz w:val="52"/>
          <w:szCs w:val="52"/>
          <w:lang w:eastAsia="zh-CN"/>
        </w:rPr>
        <w:t>产业</w:t>
      </w:r>
      <w:r>
        <w:rPr>
          <w:rFonts w:hint="eastAsia" w:ascii="宋体" w:hAnsi="宋体" w:eastAsia="宋体" w:cs="宋体"/>
          <w:spacing w:val="28"/>
          <w:sz w:val="52"/>
          <w:szCs w:val="52"/>
        </w:rPr>
        <w:t>发展规划</w:t>
      </w:r>
    </w:p>
    <w:p w14:paraId="5E78BE38">
      <w:pPr>
        <w:keepNext w:val="0"/>
        <w:keepLines w:val="0"/>
        <w:pageBreakBefore w:val="0"/>
        <w:widowControl w:val="0"/>
        <w:wordWrap/>
        <w:overflowPunct/>
        <w:bidi w:val="0"/>
        <w:spacing w:before="192" w:line="370" w:lineRule="auto"/>
        <w:ind w:left="2627" w:hanging="2546"/>
        <w:jc w:val="center"/>
        <w:rPr>
          <w:rFonts w:hint="eastAsia" w:ascii="宋体" w:hAnsi="宋体" w:eastAsia="宋体" w:cs="宋体"/>
          <w:spacing w:val="28"/>
          <w:sz w:val="52"/>
          <w:szCs w:val="52"/>
          <w:lang w:val="en-US" w:eastAsia="zh-CN"/>
        </w:rPr>
      </w:pPr>
      <w:r>
        <w:rPr>
          <w:rFonts w:hint="eastAsia" w:ascii="宋体" w:hAnsi="宋体" w:eastAsia="宋体" w:cs="宋体"/>
          <w:spacing w:val="28"/>
          <w:sz w:val="52"/>
          <w:szCs w:val="52"/>
          <w:lang w:val="en-US" w:eastAsia="zh-CN"/>
        </w:rPr>
        <w:t>（2023年修订版）</w:t>
      </w:r>
    </w:p>
    <w:p w14:paraId="3939F246">
      <w:pPr>
        <w:keepNext w:val="0"/>
        <w:keepLines w:val="0"/>
        <w:pageBreakBefore w:val="0"/>
        <w:widowControl w:val="0"/>
        <w:wordWrap/>
        <w:overflowPunct/>
        <w:bidi w:val="0"/>
        <w:spacing w:before="113" w:line="223" w:lineRule="auto"/>
        <w:rPr>
          <w:rFonts w:hint="eastAsia" w:ascii="华文中宋" w:hAnsi="华文中宋" w:eastAsia="华文中宋" w:cs="华文中宋"/>
          <w:spacing w:val="28"/>
          <w:sz w:val="52"/>
          <w:szCs w:val="52"/>
          <w:lang w:val="en-US" w:eastAsia="zh-CN"/>
        </w:rPr>
      </w:pPr>
    </w:p>
    <w:p w14:paraId="0CD0E269">
      <w:pPr>
        <w:keepNext w:val="0"/>
        <w:keepLines w:val="0"/>
        <w:pageBreakBefore w:val="0"/>
        <w:widowControl w:val="0"/>
        <w:wordWrap/>
        <w:overflowPunct/>
        <w:bidi w:val="0"/>
        <w:spacing w:before="113" w:line="223" w:lineRule="auto"/>
        <w:rPr>
          <w:rFonts w:hint="eastAsia" w:ascii="华文中宋" w:hAnsi="华文中宋" w:eastAsia="华文中宋" w:cs="华文中宋"/>
          <w:spacing w:val="28"/>
          <w:sz w:val="52"/>
          <w:szCs w:val="52"/>
          <w:lang w:val="en-US" w:eastAsia="zh-CN"/>
        </w:rPr>
      </w:pPr>
    </w:p>
    <w:p w14:paraId="4279FF40">
      <w:pPr>
        <w:keepNext w:val="0"/>
        <w:keepLines w:val="0"/>
        <w:pageBreakBefore w:val="0"/>
        <w:widowControl w:val="0"/>
        <w:wordWrap/>
        <w:overflowPunct/>
        <w:bidi w:val="0"/>
        <w:spacing w:before="113" w:line="223" w:lineRule="auto"/>
        <w:rPr>
          <w:rFonts w:hint="eastAsia" w:ascii="华文中宋" w:hAnsi="华文中宋" w:eastAsia="华文中宋" w:cs="华文中宋"/>
          <w:spacing w:val="28"/>
          <w:sz w:val="52"/>
          <w:szCs w:val="52"/>
          <w:lang w:val="en-US" w:eastAsia="zh-CN"/>
        </w:rPr>
      </w:pPr>
    </w:p>
    <w:p w14:paraId="1B556905">
      <w:pPr>
        <w:keepNext w:val="0"/>
        <w:keepLines w:val="0"/>
        <w:pageBreakBefore w:val="0"/>
        <w:widowControl w:val="0"/>
        <w:wordWrap/>
        <w:overflowPunct/>
        <w:bidi w:val="0"/>
        <w:spacing w:before="113" w:line="223" w:lineRule="auto"/>
        <w:rPr>
          <w:rFonts w:hint="eastAsia" w:ascii="华文中宋" w:hAnsi="华文中宋" w:eastAsia="华文中宋" w:cs="华文中宋"/>
          <w:spacing w:val="28"/>
          <w:sz w:val="52"/>
          <w:szCs w:val="52"/>
          <w:lang w:val="en-US" w:eastAsia="zh-CN"/>
        </w:rPr>
      </w:pPr>
    </w:p>
    <w:p w14:paraId="20D96A5D">
      <w:pPr>
        <w:keepNext w:val="0"/>
        <w:keepLines w:val="0"/>
        <w:pageBreakBefore w:val="0"/>
        <w:widowControl w:val="0"/>
        <w:wordWrap/>
        <w:overflowPunct/>
        <w:bidi w:val="0"/>
        <w:spacing w:before="113" w:line="223" w:lineRule="auto"/>
        <w:rPr>
          <w:rFonts w:hint="eastAsia" w:ascii="华文中宋" w:hAnsi="华文中宋" w:eastAsia="华文中宋" w:cs="华文中宋"/>
          <w:spacing w:val="28"/>
          <w:sz w:val="52"/>
          <w:szCs w:val="52"/>
          <w:lang w:val="en-US" w:eastAsia="zh-CN"/>
        </w:rPr>
      </w:pPr>
    </w:p>
    <w:p w14:paraId="43CE31AC">
      <w:pPr>
        <w:keepNext w:val="0"/>
        <w:keepLines w:val="0"/>
        <w:pageBreakBefore w:val="0"/>
        <w:widowControl w:val="0"/>
        <w:wordWrap/>
        <w:overflowPunct/>
        <w:topLinePunct w:val="0"/>
        <w:bidi w:val="0"/>
        <w:spacing w:before="113" w:line="480" w:lineRule="exact"/>
        <w:rPr>
          <w:rFonts w:ascii="仿宋" w:hAnsi="仿宋" w:eastAsia="仿宋" w:cs="仿宋"/>
          <w:spacing w:val="-9"/>
          <w:sz w:val="35"/>
          <w:szCs w:val="35"/>
        </w:rPr>
      </w:pPr>
    </w:p>
    <w:p w14:paraId="659BD526">
      <w:pPr>
        <w:pStyle w:val="2"/>
        <w:rPr>
          <w:rFonts w:ascii="仿宋" w:hAnsi="仿宋" w:eastAsia="仿宋" w:cs="仿宋"/>
          <w:spacing w:val="-9"/>
          <w:sz w:val="35"/>
          <w:szCs w:val="35"/>
        </w:rPr>
      </w:pPr>
    </w:p>
    <w:p w14:paraId="5A9844A1">
      <w:pPr>
        <w:pStyle w:val="2"/>
        <w:rPr>
          <w:rFonts w:ascii="仿宋" w:hAnsi="仿宋" w:eastAsia="仿宋" w:cs="仿宋"/>
          <w:spacing w:val="-9"/>
          <w:sz w:val="35"/>
          <w:szCs w:val="35"/>
        </w:rPr>
      </w:pPr>
    </w:p>
    <w:p w14:paraId="55C6763F">
      <w:pPr>
        <w:pStyle w:val="2"/>
        <w:keepNext w:val="0"/>
        <w:keepLines w:val="0"/>
        <w:pageBreakBefore w:val="0"/>
        <w:widowControl w:val="0"/>
        <w:wordWrap/>
        <w:overflowPunct/>
        <w:topLinePunct w:val="0"/>
        <w:bidi w:val="0"/>
        <w:spacing w:before="0" w:beforeAutospacing="0" w:line="540" w:lineRule="exact"/>
        <w:ind w:left="0" w:leftChars="0" w:firstLine="0" w:firstLineChars="0"/>
        <w:jc w:val="center"/>
        <w:rPr>
          <w:rFonts w:hint="eastAsia" w:ascii="黑体" w:hAnsi="黑体" w:eastAsia="黑体" w:cs="黑体"/>
          <w:snapToGrid w:val="0"/>
          <w:color w:val="000000"/>
          <w:spacing w:val="0"/>
          <w:kern w:val="0"/>
          <w:sz w:val="35"/>
          <w:szCs w:val="35"/>
        </w:rPr>
      </w:pPr>
      <w:r>
        <w:rPr>
          <w:rFonts w:hint="eastAsia" w:ascii="黑体" w:hAnsi="黑体" w:eastAsia="黑体" w:cs="黑体"/>
          <w:snapToGrid w:val="0"/>
          <w:color w:val="000000"/>
          <w:spacing w:val="0"/>
          <w:kern w:val="0"/>
          <w:sz w:val="35"/>
          <w:szCs w:val="35"/>
        </w:rPr>
        <w:t>目</w:t>
      </w:r>
      <w:r>
        <w:rPr>
          <w:rFonts w:hint="eastAsia" w:ascii="黑体" w:hAnsi="黑体" w:eastAsia="黑体" w:cs="黑体"/>
          <w:snapToGrid w:val="0"/>
          <w:color w:val="000000"/>
          <w:spacing w:val="0"/>
          <w:kern w:val="0"/>
          <w:sz w:val="35"/>
          <w:szCs w:val="35"/>
          <w:lang w:val="en-US" w:eastAsia="zh-CN"/>
        </w:rPr>
        <w:t xml:space="preserve">  </w:t>
      </w:r>
      <w:r>
        <w:rPr>
          <w:rFonts w:hint="eastAsia" w:ascii="黑体" w:hAnsi="黑体" w:eastAsia="黑体" w:cs="黑体"/>
          <w:snapToGrid w:val="0"/>
          <w:color w:val="000000"/>
          <w:spacing w:val="0"/>
          <w:kern w:val="0"/>
          <w:sz w:val="35"/>
          <w:szCs w:val="35"/>
        </w:rPr>
        <w:t>录</w:t>
      </w:r>
    </w:p>
    <w:p w14:paraId="63D1996E">
      <w:pPr>
        <w:keepNext w:val="0"/>
        <w:keepLines w:val="0"/>
        <w:pageBreakBefore w:val="0"/>
        <w:widowControl w:val="0"/>
        <w:tabs>
          <w:tab w:val="right" w:leader="dot" w:pos="8997"/>
        </w:tabs>
        <w:wordWrap/>
        <w:overflowPunct/>
        <w:topLinePunct w:val="0"/>
        <w:bidi w:val="0"/>
        <w:spacing w:line="500" w:lineRule="exact"/>
        <w:rPr>
          <w:rFonts w:hint="default" w:ascii="Arial" w:hAnsi="Arial" w:eastAsia="宋体" w:cs="Arial"/>
          <w:sz w:val="28"/>
          <w:szCs w:val="28"/>
          <w:lang w:val="en-US" w:eastAsia="zh-CN"/>
        </w:rPr>
      </w:pPr>
      <w:r>
        <w:fldChar w:fldCharType="begin"/>
      </w:r>
      <w:r>
        <w:instrText xml:space="preserve">HYPERLINK\l"_bookmark76"</w:instrText>
      </w:r>
      <w:r>
        <w:fldChar w:fldCharType="separate"/>
      </w:r>
      <w:r>
        <w:rPr>
          <w:rFonts w:ascii="Arial" w:hAnsi="Arial" w:eastAsia="Arial" w:cs="Arial"/>
          <w:b/>
          <w:bCs/>
          <w:spacing w:val="12"/>
          <w:sz w:val="28"/>
          <w:szCs w:val="28"/>
        </w:rPr>
        <w:t>1</w:t>
      </w:r>
      <w:r>
        <w:rPr>
          <w:rFonts w:ascii="仿宋" w:hAnsi="仿宋" w:eastAsia="仿宋" w:cs="仿宋"/>
          <w:spacing w:val="8"/>
          <w:sz w:val="28"/>
          <w:szCs w:val="28"/>
        </w:rPr>
        <w:t>概述</w:t>
      </w:r>
      <w:r>
        <w:rPr>
          <w:rFonts w:ascii="Arial" w:hAnsi="Arial" w:eastAsia="Arial" w:cs="Arial"/>
          <w:b/>
          <w:bCs/>
          <w:sz w:val="28"/>
          <w:szCs w:val="28"/>
        </w:rPr>
        <w:tab/>
      </w:r>
      <w:r>
        <w:rPr>
          <w:rFonts w:hint="eastAsia" w:ascii="Arial" w:hAnsi="Arial" w:eastAsia="宋体" w:cs="Arial"/>
          <w:b/>
          <w:bCs/>
          <w:spacing w:val="8"/>
          <w:sz w:val="28"/>
          <w:szCs w:val="28"/>
          <w:lang w:val="en-US" w:eastAsia="zh-CN"/>
        </w:rPr>
        <w:t>1</w:t>
      </w:r>
      <w:r>
        <w:rPr>
          <w:rFonts w:ascii="Arial" w:hAnsi="Arial" w:eastAsia="Arial" w:cs="Arial"/>
          <w:b/>
          <w:bCs/>
          <w:spacing w:val="8"/>
          <w:sz w:val="28"/>
          <w:szCs w:val="28"/>
        </w:rPr>
        <w:fldChar w:fldCharType="end"/>
      </w:r>
      <w:r>
        <w:rPr>
          <w:rFonts w:hint="eastAsia" w:ascii="Arial" w:hAnsi="Arial" w:eastAsia="宋体" w:cs="Arial"/>
          <w:b/>
          <w:bCs/>
          <w:spacing w:val="8"/>
          <w:sz w:val="28"/>
          <w:szCs w:val="28"/>
          <w:lang w:val="en-US" w:eastAsia="zh-CN"/>
        </w:rPr>
        <w:t>33</w:t>
      </w:r>
    </w:p>
    <w:p w14:paraId="765987FA">
      <w:pPr>
        <w:keepNext w:val="0"/>
        <w:keepLines w:val="0"/>
        <w:pageBreakBefore w:val="0"/>
        <w:widowControl w:val="0"/>
        <w:tabs>
          <w:tab w:val="right" w:leader="dot" w:pos="8999"/>
        </w:tabs>
        <w:wordWrap/>
        <w:overflowPunct/>
        <w:topLinePunct w:val="0"/>
        <w:bidi w:val="0"/>
        <w:spacing w:line="500" w:lineRule="exact"/>
        <w:ind w:left="308"/>
        <w:rPr>
          <w:rFonts w:hint="default" w:ascii="Arial" w:hAnsi="Arial" w:eastAsia="宋体" w:cs="Arial"/>
          <w:sz w:val="28"/>
          <w:szCs w:val="28"/>
          <w:lang w:val="en-US" w:eastAsia="zh-CN"/>
        </w:rPr>
      </w:pPr>
      <w:r>
        <w:fldChar w:fldCharType="begin"/>
      </w:r>
      <w:r>
        <w:instrText xml:space="preserve">HYPERLINK\l"_bookmark77"</w:instrText>
      </w:r>
      <w:r>
        <w:fldChar w:fldCharType="separate"/>
      </w:r>
      <w:r>
        <w:rPr>
          <w:rFonts w:ascii="Arial" w:hAnsi="Arial" w:eastAsia="Arial" w:cs="Arial"/>
          <w:spacing w:val="1"/>
          <w:sz w:val="28"/>
          <w:szCs w:val="28"/>
        </w:rPr>
        <w:t>1.1</w:t>
      </w:r>
      <w:r>
        <w:rPr>
          <w:rFonts w:ascii="仿宋" w:hAnsi="仿宋" w:eastAsia="仿宋" w:cs="仿宋"/>
          <w:spacing w:val="1"/>
          <w:sz w:val="28"/>
          <w:szCs w:val="28"/>
        </w:rPr>
        <w:t>规</w:t>
      </w:r>
      <w:r>
        <w:rPr>
          <w:rFonts w:ascii="仿宋" w:hAnsi="仿宋" w:eastAsia="仿宋" w:cs="仿宋"/>
          <w:sz w:val="28"/>
          <w:szCs w:val="28"/>
        </w:rPr>
        <w:t>划背景</w:t>
      </w:r>
      <w:r>
        <w:rPr>
          <w:rFonts w:ascii="Arial" w:hAnsi="Arial" w:eastAsia="Arial" w:cs="Arial"/>
          <w:sz w:val="28"/>
          <w:szCs w:val="28"/>
        </w:rPr>
        <w:tab/>
      </w:r>
      <w:r>
        <w:rPr>
          <w:rFonts w:hint="eastAsia" w:ascii="Arial" w:hAnsi="Arial" w:eastAsia="宋体" w:cs="Arial"/>
          <w:sz w:val="28"/>
          <w:szCs w:val="28"/>
          <w:lang w:val="en-US" w:eastAsia="zh-CN"/>
        </w:rPr>
        <w:t>1</w:t>
      </w:r>
      <w:r>
        <w:rPr>
          <w:rFonts w:ascii="Arial" w:hAnsi="Arial" w:eastAsia="Arial" w:cs="Arial"/>
          <w:sz w:val="28"/>
          <w:szCs w:val="28"/>
        </w:rPr>
        <w:fldChar w:fldCharType="end"/>
      </w:r>
      <w:r>
        <w:rPr>
          <w:rFonts w:hint="eastAsia" w:ascii="Arial" w:hAnsi="Arial" w:eastAsia="宋体" w:cs="Arial"/>
          <w:sz w:val="28"/>
          <w:szCs w:val="28"/>
          <w:lang w:val="en-US" w:eastAsia="zh-CN"/>
        </w:rPr>
        <w:t>33</w:t>
      </w:r>
    </w:p>
    <w:p w14:paraId="5FA0CBF1">
      <w:pPr>
        <w:keepNext w:val="0"/>
        <w:keepLines w:val="0"/>
        <w:pageBreakBefore w:val="0"/>
        <w:widowControl w:val="0"/>
        <w:tabs>
          <w:tab w:val="right" w:leader="dot" w:pos="8999"/>
        </w:tabs>
        <w:wordWrap/>
        <w:overflowPunct/>
        <w:topLinePunct w:val="0"/>
        <w:bidi w:val="0"/>
        <w:spacing w:line="500" w:lineRule="exact"/>
        <w:ind w:left="308"/>
        <w:rPr>
          <w:rFonts w:hint="default" w:ascii="Arial" w:hAnsi="Arial" w:eastAsia="宋体" w:cs="Arial"/>
          <w:sz w:val="28"/>
          <w:szCs w:val="28"/>
          <w:lang w:val="en-US" w:eastAsia="zh-CN"/>
        </w:rPr>
      </w:pPr>
      <w:r>
        <w:fldChar w:fldCharType="begin"/>
      </w:r>
      <w:r>
        <w:instrText xml:space="preserve">HYPERLINK\l"_bookmark78"</w:instrText>
      </w:r>
      <w:r>
        <w:fldChar w:fldCharType="separate"/>
      </w:r>
      <w:r>
        <w:rPr>
          <w:rFonts w:ascii="Arial" w:hAnsi="Arial" w:eastAsia="Arial" w:cs="Arial"/>
          <w:spacing w:val="-1"/>
          <w:sz w:val="28"/>
          <w:szCs w:val="28"/>
        </w:rPr>
        <w:t>1.2</w:t>
      </w:r>
      <w:r>
        <w:rPr>
          <w:rFonts w:ascii="仿宋" w:hAnsi="仿宋" w:eastAsia="仿宋" w:cs="仿宋"/>
          <w:spacing w:val="-1"/>
          <w:sz w:val="28"/>
          <w:szCs w:val="28"/>
        </w:rPr>
        <w:t>规划必要性</w:t>
      </w:r>
      <w:r>
        <w:rPr>
          <w:rFonts w:ascii="仿宋" w:hAnsi="仿宋" w:eastAsia="仿宋" w:cs="仿宋"/>
          <w:sz w:val="28"/>
          <w:szCs w:val="28"/>
        </w:rPr>
        <w:t>和意义</w:t>
      </w:r>
      <w:r>
        <w:rPr>
          <w:rFonts w:ascii="Arial" w:hAnsi="Arial" w:eastAsia="Arial" w:cs="Arial"/>
          <w:sz w:val="28"/>
          <w:szCs w:val="28"/>
        </w:rPr>
        <w:tab/>
      </w:r>
      <w:r>
        <w:rPr>
          <w:rFonts w:hint="eastAsia" w:ascii="Arial" w:hAnsi="Arial" w:eastAsia="宋体" w:cs="Arial"/>
          <w:sz w:val="28"/>
          <w:szCs w:val="28"/>
          <w:lang w:val="en-US" w:eastAsia="zh-CN"/>
        </w:rPr>
        <w:t>1</w:t>
      </w:r>
      <w:r>
        <w:rPr>
          <w:rFonts w:ascii="Arial" w:hAnsi="Arial" w:eastAsia="Arial" w:cs="Arial"/>
          <w:sz w:val="28"/>
          <w:szCs w:val="28"/>
        </w:rPr>
        <w:fldChar w:fldCharType="end"/>
      </w:r>
      <w:r>
        <w:rPr>
          <w:rFonts w:hint="eastAsia" w:ascii="Arial" w:hAnsi="Arial" w:eastAsia="宋体" w:cs="Arial"/>
          <w:sz w:val="28"/>
          <w:szCs w:val="28"/>
          <w:lang w:val="en-US" w:eastAsia="zh-CN"/>
        </w:rPr>
        <w:t>34</w:t>
      </w:r>
    </w:p>
    <w:p w14:paraId="063D8A70">
      <w:pPr>
        <w:keepNext w:val="0"/>
        <w:keepLines w:val="0"/>
        <w:pageBreakBefore w:val="0"/>
        <w:widowControl w:val="0"/>
        <w:tabs>
          <w:tab w:val="right" w:leader="dot" w:pos="8999"/>
        </w:tabs>
        <w:wordWrap/>
        <w:overflowPunct/>
        <w:topLinePunct w:val="0"/>
        <w:bidi w:val="0"/>
        <w:spacing w:line="500" w:lineRule="exact"/>
        <w:ind w:left="308"/>
        <w:rPr>
          <w:rFonts w:hint="default" w:ascii="Arial" w:hAnsi="Arial" w:eastAsia="宋体" w:cs="Arial"/>
          <w:sz w:val="28"/>
          <w:szCs w:val="28"/>
          <w:lang w:val="en-US" w:eastAsia="zh-CN"/>
        </w:rPr>
      </w:pPr>
      <w:r>
        <w:fldChar w:fldCharType="begin"/>
      </w:r>
      <w:r>
        <w:instrText xml:space="preserve">HYPERLINK\l"_bookmark79"</w:instrText>
      </w:r>
      <w:r>
        <w:fldChar w:fldCharType="separate"/>
      </w:r>
      <w:r>
        <w:rPr>
          <w:rFonts w:ascii="Arial" w:hAnsi="Arial" w:eastAsia="Arial" w:cs="Arial"/>
          <w:spacing w:val="1"/>
          <w:sz w:val="28"/>
          <w:szCs w:val="28"/>
        </w:rPr>
        <w:t>1.3</w:t>
      </w:r>
      <w:r>
        <w:rPr>
          <w:rFonts w:ascii="仿宋" w:hAnsi="仿宋" w:eastAsia="仿宋" w:cs="仿宋"/>
          <w:spacing w:val="1"/>
          <w:sz w:val="28"/>
          <w:szCs w:val="28"/>
        </w:rPr>
        <w:t>规</w:t>
      </w:r>
      <w:r>
        <w:rPr>
          <w:rFonts w:ascii="仿宋" w:hAnsi="仿宋" w:eastAsia="仿宋" w:cs="仿宋"/>
          <w:sz w:val="28"/>
          <w:szCs w:val="28"/>
        </w:rPr>
        <w:t>划时限</w:t>
      </w:r>
      <w:r>
        <w:rPr>
          <w:rFonts w:ascii="Arial" w:hAnsi="Arial" w:eastAsia="Arial" w:cs="Arial"/>
          <w:sz w:val="28"/>
          <w:szCs w:val="28"/>
        </w:rPr>
        <w:tab/>
      </w:r>
      <w:r>
        <w:rPr>
          <w:rFonts w:hint="eastAsia" w:ascii="Arial" w:hAnsi="Arial" w:eastAsia="宋体" w:cs="Arial"/>
          <w:sz w:val="28"/>
          <w:szCs w:val="28"/>
          <w:lang w:val="en-US" w:eastAsia="zh-CN"/>
        </w:rPr>
        <w:t>1</w:t>
      </w:r>
      <w:r>
        <w:rPr>
          <w:rFonts w:ascii="Arial" w:hAnsi="Arial" w:eastAsia="Arial" w:cs="Arial"/>
          <w:sz w:val="28"/>
          <w:szCs w:val="28"/>
        </w:rPr>
        <w:fldChar w:fldCharType="end"/>
      </w:r>
      <w:r>
        <w:rPr>
          <w:rFonts w:hint="eastAsia" w:ascii="Arial" w:hAnsi="Arial" w:eastAsia="宋体" w:cs="Arial"/>
          <w:sz w:val="28"/>
          <w:szCs w:val="28"/>
          <w:lang w:val="en-US" w:eastAsia="zh-CN"/>
        </w:rPr>
        <w:t>35</w:t>
      </w:r>
    </w:p>
    <w:p w14:paraId="786A6B58">
      <w:pPr>
        <w:keepNext w:val="0"/>
        <w:keepLines w:val="0"/>
        <w:pageBreakBefore w:val="0"/>
        <w:widowControl w:val="0"/>
        <w:tabs>
          <w:tab w:val="right" w:leader="dot" w:pos="8999"/>
        </w:tabs>
        <w:wordWrap/>
        <w:overflowPunct/>
        <w:topLinePunct w:val="0"/>
        <w:bidi w:val="0"/>
        <w:spacing w:line="500" w:lineRule="exact"/>
        <w:ind w:left="308"/>
        <w:rPr>
          <w:rFonts w:hint="default" w:ascii="Arial" w:hAnsi="Arial" w:eastAsia="宋体" w:cs="Arial"/>
          <w:sz w:val="28"/>
          <w:szCs w:val="28"/>
          <w:lang w:val="en-US" w:eastAsia="zh-CN"/>
        </w:rPr>
      </w:pPr>
      <w:r>
        <w:fldChar w:fldCharType="begin"/>
      </w:r>
      <w:r>
        <w:instrText xml:space="preserve">HYPERLINK\l"_bookmark80"</w:instrText>
      </w:r>
      <w:r>
        <w:fldChar w:fldCharType="separate"/>
      </w:r>
      <w:r>
        <w:rPr>
          <w:rFonts w:ascii="Arial" w:hAnsi="Arial" w:eastAsia="Arial" w:cs="Arial"/>
          <w:spacing w:val="14"/>
          <w:sz w:val="28"/>
          <w:szCs w:val="28"/>
        </w:rPr>
        <w:t>1</w:t>
      </w:r>
      <w:r>
        <w:rPr>
          <w:rFonts w:ascii="Arial" w:hAnsi="Arial" w:eastAsia="Arial" w:cs="Arial"/>
          <w:spacing w:val="7"/>
          <w:sz w:val="28"/>
          <w:szCs w:val="28"/>
        </w:rPr>
        <w:t>.4</w:t>
      </w:r>
      <w:r>
        <w:rPr>
          <w:rFonts w:ascii="仿宋" w:hAnsi="仿宋" w:eastAsia="仿宋" w:cs="仿宋"/>
          <w:spacing w:val="7"/>
          <w:sz w:val="28"/>
          <w:szCs w:val="28"/>
        </w:rPr>
        <w:t>编制依据</w:t>
      </w:r>
      <w:r>
        <w:rPr>
          <w:rFonts w:ascii="Arial" w:hAnsi="Arial" w:eastAsia="Arial" w:cs="Arial"/>
          <w:sz w:val="28"/>
          <w:szCs w:val="28"/>
        </w:rPr>
        <w:tab/>
      </w:r>
      <w:r>
        <w:rPr>
          <w:rFonts w:hint="eastAsia" w:ascii="Arial" w:hAnsi="Arial" w:eastAsia="宋体" w:cs="Arial"/>
          <w:spacing w:val="7"/>
          <w:sz w:val="28"/>
          <w:szCs w:val="28"/>
          <w:lang w:val="en-US" w:eastAsia="zh-CN"/>
        </w:rPr>
        <w:t>1</w:t>
      </w:r>
      <w:r>
        <w:rPr>
          <w:rFonts w:ascii="Arial" w:hAnsi="Arial" w:eastAsia="Arial" w:cs="Arial"/>
          <w:spacing w:val="7"/>
          <w:sz w:val="28"/>
          <w:szCs w:val="28"/>
        </w:rPr>
        <w:fldChar w:fldCharType="end"/>
      </w:r>
      <w:r>
        <w:rPr>
          <w:rFonts w:hint="eastAsia" w:ascii="Arial" w:hAnsi="Arial" w:eastAsia="宋体" w:cs="Arial"/>
          <w:spacing w:val="7"/>
          <w:sz w:val="28"/>
          <w:szCs w:val="28"/>
          <w:lang w:val="en-US" w:eastAsia="zh-CN"/>
        </w:rPr>
        <w:t>35</w:t>
      </w:r>
    </w:p>
    <w:p w14:paraId="1319F69B">
      <w:pPr>
        <w:keepNext w:val="0"/>
        <w:keepLines w:val="0"/>
        <w:pageBreakBefore w:val="0"/>
        <w:widowControl w:val="0"/>
        <w:tabs>
          <w:tab w:val="right" w:leader="dot" w:pos="8999"/>
        </w:tabs>
        <w:wordWrap/>
        <w:overflowPunct/>
        <w:topLinePunct w:val="0"/>
        <w:bidi w:val="0"/>
        <w:spacing w:line="500" w:lineRule="exact"/>
        <w:ind w:left="308"/>
        <w:rPr>
          <w:rFonts w:hint="default" w:ascii="Arial" w:hAnsi="Arial" w:eastAsia="宋体" w:cs="Arial"/>
          <w:sz w:val="28"/>
          <w:szCs w:val="28"/>
          <w:lang w:val="en-US" w:eastAsia="zh-CN"/>
        </w:rPr>
      </w:pPr>
      <w:r>
        <w:fldChar w:fldCharType="begin"/>
      </w:r>
      <w:r>
        <w:instrText xml:space="preserve">HYPERLINK\l"_bookmark81"</w:instrText>
      </w:r>
      <w:r>
        <w:fldChar w:fldCharType="separate"/>
      </w:r>
      <w:r>
        <w:rPr>
          <w:rFonts w:ascii="Arial" w:hAnsi="Arial" w:eastAsia="Arial" w:cs="Arial"/>
          <w:spacing w:val="1"/>
          <w:sz w:val="28"/>
          <w:szCs w:val="28"/>
        </w:rPr>
        <w:t>1.5</w:t>
      </w:r>
      <w:r>
        <w:rPr>
          <w:rFonts w:ascii="仿宋" w:hAnsi="仿宋" w:eastAsia="仿宋" w:cs="仿宋"/>
          <w:spacing w:val="1"/>
          <w:sz w:val="28"/>
          <w:szCs w:val="28"/>
        </w:rPr>
        <w:t>主</w:t>
      </w:r>
      <w:r>
        <w:rPr>
          <w:rFonts w:ascii="仿宋" w:hAnsi="仿宋" w:eastAsia="仿宋" w:cs="仿宋"/>
          <w:sz w:val="28"/>
          <w:szCs w:val="28"/>
        </w:rPr>
        <w:t>要结论</w:t>
      </w:r>
      <w:r>
        <w:rPr>
          <w:rFonts w:ascii="Arial" w:hAnsi="Arial" w:eastAsia="Arial" w:cs="Arial"/>
          <w:sz w:val="28"/>
          <w:szCs w:val="28"/>
        </w:rPr>
        <w:tab/>
      </w:r>
      <w:r>
        <w:rPr>
          <w:rFonts w:hint="eastAsia" w:ascii="Arial" w:hAnsi="Arial" w:eastAsia="宋体" w:cs="Arial"/>
          <w:sz w:val="28"/>
          <w:szCs w:val="28"/>
          <w:lang w:val="en-US" w:eastAsia="zh-CN"/>
        </w:rPr>
        <w:t>1</w:t>
      </w:r>
      <w:r>
        <w:rPr>
          <w:rFonts w:ascii="Arial" w:hAnsi="Arial" w:eastAsia="Arial" w:cs="Arial"/>
          <w:sz w:val="28"/>
          <w:szCs w:val="28"/>
        </w:rPr>
        <w:fldChar w:fldCharType="end"/>
      </w:r>
      <w:r>
        <w:rPr>
          <w:rFonts w:hint="eastAsia" w:ascii="Arial" w:hAnsi="Arial" w:eastAsia="宋体" w:cs="Arial"/>
          <w:sz w:val="28"/>
          <w:szCs w:val="28"/>
          <w:lang w:val="en-US" w:eastAsia="zh-CN"/>
        </w:rPr>
        <w:t>37</w:t>
      </w:r>
    </w:p>
    <w:p w14:paraId="7DCB5A9F">
      <w:pPr>
        <w:keepNext w:val="0"/>
        <w:keepLines w:val="0"/>
        <w:pageBreakBefore w:val="0"/>
        <w:widowControl w:val="0"/>
        <w:tabs>
          <w:tab w:val="right" w:leader="dot" w:pos="8997"/>
        </w:tabs>
        <w:wordWrap/>
        <w:overflowPunct/>
        <w:topLinePunct w:val="0"/>
        <w:bidi w:val="0"/>
        <w:spacing w:line="500" w:lineRule="exact"/>
        <w:ind w:left="1"/>
        <w:rPr>
          <w:rFonts w:hint="default" w:ascii="Arial" w:hAnsi="Arial" w:eastAsia="宋体" w:cs="Arial"/>
          <w:sz w:val="28"/>
          <w:szCs w:val="28"/>
          <w:lang w:val="en-US" w:eastAsia="zh-CN"/>
        </w:rPr>
      </w:pPr>
      <w:r>
        <w:fldChar w:fldCharType="begin"/>
      </w:r>
      <w:r>
        <w:instrText xml:space="preserve">HYPERLINK\l"_bookmark82"</w:instrText>
      </w:r>
      <w:r>
        <w:fldChar w:fldCharType="separate"/>
      </w:r>
      <w:r>
        <w:rPr>
          <w:rFonts w:ascii="Arial" w:hAnsi="Arial" w:eastAsia="Arial" w:cs="Arial"/>
          <w:b/>
          <w:bCs/>
          <w:spacing w:val="2"/>
          <w:sz w:val="28"/>
          <w:szCs w:val="28"/>
        </w:rPr>
        <w:t>2</w:t>
      </w:r>
      <w:r>
        <w:rPr>
          <w:rFonts w:ascii="仿宋" w:hAnsi="仿宋" w:eastAsia="仿宋" w:cs="仿宋"/>
          <w:spacing w:val="2"/>
          <w:sz w:val="28"/>
          <w:szCs w:val="28"/>
        </w:rPr>
        <w:t>国内外典型</w:t>
      </w:r>
      <w:r>
        <w:rPr>
          <w:rFonts w:ascii="仿宋" w:hAnsi="仿宋" w:eastAsia="仿宋" w:cs="仿宋"/>
          <w:spacing w:val="1"/>
          <w:sz w:val="28"/>
          <w:szCs w:val="28"/>
        </w:rPr>
        <w:t>高新区发展论述</w:t>
      </w:r>
      <w:r>
        <w:rPr>
          <w:rFonts w:ascii="Arial" w:hAnsi="Arial" w:eastAsia="Arial" w:cs="Arial"/>
          <w:b/>
          <w:bCs/>
          <w:sz w:val="28"/>
          <w:szCs w:val="28"/>
        </w:rPr>
        <w:tab/>
      </w:r>
      <w:r>
        <w:rPr>
          <w:rFonts w:hint="eastAsia" w:ascii="Arial" w:hAnsi="Arial" w:eastAsia="宋体" w:cs="Arial"/>
          <w:b/>
          <w:bCs/>
          <w:spacing w:val="1"/>
          <w:sz w:val="28"/>
          <w:szCs w:val="28"/>
          <w:lang w:val="en-US" w:eastAsia="zh-CN"/>
        </w:rPr>
        <w:t>1</w:t>
      </w:r>
      <w:r>
        <w:rPr>
          <w:rFonts w:ascii="Arial" w:hAnsi="Arial" w:eastAsia="Arial" w:cs="Arial"/>
          <w:b/>
          <w:bCs/>
          <w:spacing w:val="1"/>
          <w:sz w:val="28"/>
          <w:szCs w:val="28"/>
        </w:rPr>
        <w:fldChar w:fldCharType="end"/>
      </w:r>
      <w:r>
        <w:rPr>
          <w:rFonts w:hint="eastAsia" w:ascii="Arial" w:hAnsi="Arial" w:eastAsia="宋体" w:cs="Arial"/>
          <w:b/>
          <w:bCs/>
          <w:spacing w:val="1"/>
          <w:sz w:val="28"/>
          <w:szCs w:val="28"/>
          <w:lang w:val="en-US" w:eastAsia="zh-CN"/>
        </w:rPr>
        <w:t>41</w:t>
      </w:r>
    </w:p>
    <w:p w14:paraId="316B8019">
      <w:pPr>
        <w:keepNext w:val="0"/>
        <w:keepLines w:val="0"/>
        <w:pageBreakBefore w:val="0"/>
        <w:widowControl w:val="0"/>
        <w:tabs>
          <w:tab w:val="right" w:leader="dot" w:pos="8999"/>
        </w:tabs>
        <w:wordWrap/>
        <w:overflowPunct/>
        <w:topLinePunct w:val="0"/>
        <w:bidi w:val="0"/>
        <w:spacing w:line="500" w:lineRule="exact"/>
        <w:ind w:left="286"/>
        <w:rPr>
          <w:rFonts w:hint="default" w:ascii="Arial" w:hAnsi="Arial" w:eastAsia="宋体" w:cs="Arial"/>
          <w:sz w:val="28"/>
          <w:szCs w:val="28"/>
          <w:lang w:val="en-US" w:eastAsia="zh-CN"/>
        </w:rPr>
      </w:pPr>
      <w:r>
        <w:fldChar w:fldCharType="begin"/>
      </w:r>
      <w:r>
        <w:instrText xml:space="preserve">HYPERLINK\l"_bookmark83"</w:instrText>
      </w:r>
      <w:r>
        <w:fldChar w:fldCharType="separate"/>
      </w:r>
      <w:r>
        <w:rPr>
          <w:rFonts w:ascii="Arial" w:hAnsi="Arial" w:eastAsia="Arial" w:cs="Arial"/>
          <w:sz w:val="28"/>
          <w:szCs w:val="28"/>
        </w:rPr>
        <w:t>2.1</w:t>
      </w:r>
      <w:r>
        <w:rPr>
          <w:rFonts w:ascii="仿宋" w:hAnsi="仿宋" w:eastAsia="仿宋" w:cs="仿宋"/>
          <w:sz w:val="28"/>
          <w:szCs w:val="28"/>
        </w:rPr>
        <w:t>国外典型高新区发展论述</w:t>
      </w:r>
      <w:r>
        <w:rPr>
          <w:rFonts w:ascii="Arial" w:hAnsi="Arial" w:eastAsia="Arial" w:cs="Arial"/>
          <w:sz w:val="28"/>
          <w:szCs w:val="28"/>
        </w:rPr>
        <w:tab/>
      </w:r>
      <w:r>
        <w:rPr>
          <w:rFonts w:hint="eastAsia" w:ascii="Arial" w:hAnsi="Arial" w:eastAsia="宋体" w:cs="Arial"/>
          <w:sz w:val="28"/>
          <w:szCs w:val="28"/>
          <w:lang w:val="en-US" w:eastAsia="zh-CN"/>
        </w:rPr>
        <w:t>1</w:t>
      </w:r>
      <w:r>
        <w:rPr>
          <w:rFonts w:ascii="Arial" w:hAnsi="Arial" w:eastAsia="Arial" w:cs="Arial"/>
          <w:sz w:val="28"/>
          <w:szCs w:val="28"/>
        </w:rPr>
        <w:fldChar w:fldCharType="end"/>
      </w:r>
      <w:r>
        <w:rPr>
          <w:rFonts w:hint="eastAsia" w:ascii="Arial" w:hAnsi="Arial" w:eastAsia="宋体" w:cs="Arial"/>
          <w:sz w:val="28"/>
          <w:szCs w:val="28"/>
          <w:lang w:val="en-US" w:eastAsia="zh-CN"/>
        </w:rPr>
        <w:t>41</w:t>
      </w:r>
    </w:p>
    <w:p w14:paraId="5D4C7780">
      <w:pPr>
        <w:keepNext w:val="0"/>
        <w:keepLines w:val="0"/>
        <w:pageBreakBefore w:val="0"/>
        <w:widowControl w:val="0"/>
        <w:tabs>
          <w:tab w:val="right" w:leader="dot" w:pos="8999"/>
        </w:tabs>
        <w:wordWrap/>
        <w:overflowPunct/>
        <w:topLinePunct w:val="0"/>
        <w:bidi w:val="0"/>
        <w:spacing w:line="500" w:lineRule="exact"/>
        <w:ind w:left="286"/>
        <w:rPr>
          <w:rFonts w:hint="default" w:ascii="Arial" w:hAnsi="Arial" w:eastAsia="宋体" w:cs="Arial"/>
          <w:sz w:val="28"/>
          <w:szCs w:val="28"/>
          <w:lang w:val="en-US" w:eastAsia="zh-CN"/>
        </w:rPr>
      </w:pPr>
      <w:r>
        <w:fldChar w:fldCharType="begin"/>
      </w:r>
      <w:r>
        <w:instrText xml:space="preserve">HYPERLINK\l"_bookmark84"</w:instrText>
      </w:r>
      <w:r>
        <w:fldChar w:fldCharType="separate"/>
      </w:r>
      <w:r>
        <w:rPr>
          <w:rFonts w:ascii="Arial" w:hAnsi="Arial" w:eastAsia="Arial" w:cs="Arial"/>
          <w:sz w:val="28"/>
          <w:szCs w:val="28"/>
        </w:rPr>
        <w:t>2.2</w:t>
      </w:r>
      <w:r>
        <w:rPr>
          <w:rFonts w:ascii="仿宋" w:hAnsi="仿宋" w:eastAsia="仿宋" w:cs="仿宋"/>
          <w:sz w:val="28"/>
          <w:szCs w:val="28"/>
        </w:rPr>
        <w:t>国内典型高新区发展论述</w:t>
      </w:r>
      <w:r>
        <w:rPr>
          <w:rFonts w:ascii="Arial" w:hAnsi="Arial" w:eastAsia="Arial" w:cs="Arial"/>
          <w:sz w:val="28"/>
          <w:szCs w:val="28"/>
        </w:rPr>
        <w:tab/>
      </w:r>
      <w:r>
        <w:rPr>
          <w:rFonts w:hint="eastAsia" w:ascii="Arial" w:hAnsi="Arial" w:eastAsia="宋体" w:cs="Arial"/>
          <w:sz w:val="28"/>
          <w:szCs w:val="28"/>
          <w:lang w:val="en-US" w:eastAsia="zh-CN"/>
        </w:rPr>
        <w:t>1</w:t>
      </w:r>
      <w:r>
        <w:rPr>
          <w:rFonts w:ascii="Arial" w:hAnsi="Arial" w:eastAsia="Arial" w:cs="Arial"/>
          <w:sz w:val="28"/>
          <w:szCs w:val="28"/>
        </w:rPr>
        <w:fldChar w:fldCharType="end"/>
      </w:r>
      <w:r>
        <w:rPr>
          <w:rFonts w:hint="eastAsia" w:ascii="Arial" w:hAnsi="Arial" w:eastAsia="宋体" w:cs="Arial"/>
          <w:sz w:val="28"/>
          <w:szCs w:val="28"/>
          <w:lang w:val="en-US" w:eastAsia="zh-CN"/>
        </w:rPr>
        <w:t>50</w:t>
      </w:r>
    </w:p>
    <w:p w14:paraId="7952D865">
      <w:pPr>
        <w:keepNext w:val="0"/>
        <w:keepLines w:val="0"/>
        <w:pageBreakBefore w:val="0"/>
        <w:widowControl w:val="0"/>
        <w:tabs>
          <w:tab w:val="right" w:leader="dot" w:pos="8999"/>
        </w:tabs>
        <w:wordWrap/>
        <w:overflowPunct/>
        <w:topLinePunct w:val="0"/>
        <w:bidi w:val="0"/>
        <w:spacing w:line="500" w:lineRule="exact"/>
        <w:ind w:left="286"/>
        <w:rPr>
          <w:rFonts w:hint="eastAsia" w:ascii="Arial" w:hAnsi="Arial" w:eastAsia="宋体" w:cs="Arial"/>
          <w:sz w:val="28"/>
          <w:szCs w:val="28"/>
          <w:lang w:val="en-US" w:eastAsia="zh-CN"/>
        </w:rPr>
      </w:pPr>
      <w:r>
        <w:fldChar w:fldCharType="begin"/>
      </w:r>
      <w:r>
        <w:instrText xml:space="preserve">HYPERLINK\l"_bookmark85"</w:instrText>
      </w:r>
      <w:r>
        <w:fldChar w:fldCharType="separate"/>
      </w:r>
      <w:r>
        <w:rPr>
          <w:rFonts w:ascii="Arial" w:hAnsi="Arial" w:eastAsia="Arial" w:cs="Arial"/>
          <w:spacing w:val="8"/>
          <w:sz w:val="28"/>
          <w:szCs w:val="28"/>
        </w:rPr>
        <w:t>2</w:t>
      </w:r>
      <w:r>
        <w:rPr>
          <w:rFonts w:ascii="Arial" w:hAnsi="Arial" w:eastAsia="Arial" w:cs="Arial"/>
          <w:spacing w:val="6"/>
          <w:sz w:val="28"/>
          <w:szCs w:val="28"/>
        </w:rPr>
        <w:t>.</w:t>
      </w:r>
      <w:r>
        <w:rPr>
          <w:rFonts w:ascii="Arial" w:hAnsi="Arial" w:eastAsia="Arial" w:cs="Arial"/>
          <w:spacing w:val="4"/>
          <w:sz w:val="28"/>
          <w:szCs w:val="28"/>
        </w:rPr>
        <w:t>3</w:t>
      </w:r>
      <w:r>
        <w:rPr>
          <w:rFonts w:ascii="仿宋" w:hAnsi="仿宋" w:eastAsia="仿宋" w:cs="仿宋"/>
          <w:spacing w:val="4"/>
          <w:sz w:val="28"/>
          <w:szCs w:val="28"/>
        </w:rPr>
        <w:t>福建省内高新区发展论述</w:t>
      </w:r>
      <w:r>
        <w:rPr>
          <w:rFonts w:ascii="Arial" w:hAnsi="Arial" w:eastAsia="Arial" w:cs="Arial"/>
          <w:sz w:val="28"/>
          <w:szCs w:val="28"/>
        </w:rPr>
        <w:tab/>
      </w:r>
      <w:r>
        <w:rPr>
          <w:rFonts w:hint="eastAsia" w:ascii="Arial" w:hAnsi="Arial" w:eastAsia="Arial" w:cs="Arial"/>
          <w:sz w:val="28"/>
          <w:szCs w:val="28"/>
          <w:lang w:val="en-US" w:eastAsia="zh-CN"/>
        </w:rPr>
        <w:t>15</w:t>
      </w:r>
      <w:r>
        <w:rPr>
          <w:rFonts w:hint="eastAsia" w:ascii="Arial" w:hAnsi="Arial" w:eastAsia="Arial" w:cs="Arial"/>
          <w:sz w:val="28"/>
          <w:szCs w:val="28"/>
          <w:lang w:val="en-US" w:eastAsia="zh-CN"/>
        </w:rPr>
        <w:fldChar w:fldCharType="end"/>
      </w:r>
      <w:r>
        <w:rPr>
          <w:rFonts w:hint="eastAsia" w:ascii="Arial" w:hAnsi="Arial" w:eastAsia="Arial" w:cs="Arial"/>
          <w:sz w:val="28"/>
          <w:szCs w:val="28"/>
          <w:lang w:val="en-US" w:eastAsia="zh-CN"/>
        </w:rPr>
        <w:t>7</w:t>
      </w:r>
    </w:p>
    <w:p w14:paraId="7A12A4B2">
      <w:pPr>
        <w:keepNext w:val="0"/>
        <w:keepLines w:val="0"/>
        <w:pageBreakBefore w:val="0"/>
        <w:widowControl w:val="0"/>
        <w:tabs>
          <w:tab w:val="right" w:leader="dot" w:pos="8999"/>
        </w:tabs>
        <w:wordWrap/>
        <w:overflowPunct/>
        <w:topLinePunct w:val="0"/>
        <w:bidi w:val="0"/>
        <w:spacing w:line="500" w:lineRule="exact"/>
        <w:ind w:left="5"/>
        <w:rPr>
          <w:rFonts w:hint="default" w:ascii="Arial" w:hAnsi="Arial" w:eastAsia="宋体" w:cs="Arial"/>
          <w:sz w:val="28"/>
          <w:szCs w:val="28"/>
          <w:lang w:val="en-US" w:eastAsia="zh-CN"/>
        </w:rPr>
      </w:pPr>
      <w:r>
        <w:fldChar w:fldCharType="begin"/>
      </w:r>
      <w:r>
        <w:instrText xml:space="preserve">HYPERLINK\l"_bookmark86"</w:instrText>
      </w:r>
      <w:r>
        <w:fldChar w:fldCharType="separate"/>
      </w:r>
      <w:r>
        <w:rPr>
          <w:rFonts w:ascii="Arial" w:hAnsi="Arial" w:eastAsia="Arial" w:cs="Arial"/>
          <w:b/>
          <w:bCs/>
          <w:spacing w:val="11"/>
          <w:sz w:val="28"/>
          <w:szCs w:val="28"/>
        </w:rPr>
        <w:t>3</w:t>
      </w:r>
      <w:r>
        <w:rPr>
          <w:rFonts w:ascii="仿宋" w:hAnsi="仿宋" w:eastAsia="仿宋" w:cs="仿宋"/>
          <w:spacing w:val="8"/>
          <w:sz w:val="28"/>
          <w:szCs w:val="28"/>
        </w:rPr>
        <w:t>泉港高新区发展现状</w:t>
      </w:r>
      <w:r>
        <w:rPr>
          <w:rFonts w:ascii="Arial" w:hAnsi="Arial" w:eastAsia="Arial" w:cs="Arial"/>
          <w:b/>
          <w:bCs/>
          <w:sz w:val="28"/>
          <w:szCs w:val="28"/>
        </w:rPr>
        <w:tab/>
      </w:r>
      <w:r>
        <w:rPr>
          <w:rFonts w:hint="eastAsia" w:ascii="Arial" w:hAnsi="Arial" w:eastAsia="宋体" w:cs="Arial"/>
          <w:b/>
          <w:bCs/>
          <w:spacing w:val="8"/>
          <w:sz w:val="28"/>
          <w:szCs w:val="28"/>
          <w:lang w:val="en-US" w:eastAsia="zh-CN"/>
        </w:rPr>
        <w:t>1</w:t>
      </w:r>
      <w:r>
        <w:rPr>
          <w:rFonts w:ascii="Arial" w:hAnsi="Arial" w:eastAsia="Arial" w:cs="Arial"/>
          <w:b/>
          <w:bCs/>
          <w:spacing w:val="8"/>
          <w:sz w:val="28"/>
          <w:szCs w:val="28"/>
        </w:rPr>
        <w:fldChar w:fldCharType="end"/>
      </w:r>
      <w:r>
        <w:rPr>
          <w:rFonts w:hint="eastAsia" w:ascii="Arial" w:hAnsi="Arial" w:eastAsia="宋体" w:cs="Arial"/>
          <w:b/>
          <w:bCs/>
          <w:spacing w:val="8"/>
          <w:sz w:val="28"/>
          <w:szCs w:val="28"/>
          <w:lang w:val="en-US" w:eastAsia="zh-CN"/>
        </w:rPr>
        <w:t>62</w:t>
      </w:r>
    </w:p>
    <w:p w14:paraId="4B5986A0">
      <w:pPr>
        <w:keepNext w:val="0"/>
        <w:keepLines w:val="0"/>
        <w:pageBreakBefore w:val="0"/>
        <w:widowControl w:val="0"/>
        <w:tabs>
          <w:tab w:val="right" w:leader="dot" w:pos="8999"/>
        </w:tabs>
        <w:wordWrap/>
        <w:overflowPunct/>
        <w:topLinePunct w:val="0"/>
        <w:bidi w:val="0"/>
        <w:spacing w:line="500" w:lineRule="exact"/>
        <w:ind w:left="289"/>
        <w:rPr>
          <w:rFonts w:hint="eastAsia" w:ascii="Arial" w:hAnsi="Arial" w:eastAsia="宋体" w:cs="Arial"/>
          <w:sz w:val="28"/>
          <w:szCs w:val="28"/>
          <w:lang w:val="en-US" w:eastAsia="zh-CN"/>
        </w:rPr>
      </w:pPr>
      <w:r>
        <w:fldChar w:fldCharType="begin"/>
      </w:r>
      <w:r>
        <w:instrText xml:space="preserve">HYPERLINK\l"_bookmark87"</w:instrText>
      </w:r>
      <w:r>
        <w:fldChar w:fldCharType="separate"/>
      </w:r>
      <w:r>
        <w:rPr>
          <w:rFonts w:ascii="Arial" w:hAnsi="Arial" w:eastAsia="Arial" w:cs="Arial"/>
          <w:spacing w:val="5"/>
          <w:sz w:val="28"/>
          <w:szCs w:val="28"/>
        </w:rPr>
        <w:t>3.1</w:t>
      </w:r>
      <w:r>
        <w:rPr>
          <w:rFonts w:ascii="仿宋" w:hAnsi="仿宋" w:eastAsia="仿宋" w:cs="仿宋"/>
          <w:spacing w:val="5"/>
          <w:sz w:val="28"/>
          <w:szCs w:val="28"/>
        </w:rPr>
        <w:t>泉州高新区发展概述</w:t>
      </w:r>
      <w:r>
        <w:rPr>
          <w:rFonts w:ascii="Arial" w:hAnsi="Arial" w:eastAsia="Arial" w:cs="Arial"/>
          <w:sz w:val="28"/>
          <w:szCs w:val="28"/>
        </w:rPr>
        <w:tab/>
      </w:r>
      <w:r>
        <w:rPr>
          <w:rFonts w:ascii="Arial" w:hAnsi="Arial" w:eastAsia="Arial" w:cs="Arial"/>
          <w:spacing w:val="5"/>
          <w:sz w:val="28"/>
          <w:szCs w:val="28"/>
        </w:rPr>
        <w:t>1</w:t>
      </w:r>
      <w:r>
        <w:rPr>
          <w:rFonts w:hint="eastAsia" w:ascii="Arial" w:hAnsi="Arial" w:eastAsia="Arial" w:cs="Arial"/>
          <w:sz w:val="28"/>
          <w:szCs w:val="28"/>
          <w:lang w:val="en-US" w:eastAsia="zh-CN"/>
        </w:rPr>
        <w:t>6</w:t>
      </w:r>
      <w:r>
        <w:rPr>
          <w:rFonts w:ascii="Arial" w:hAnsi="Arial" w:eastAsia="Arial" w:cs="Arial"/>
          <w:spacing w:val="5"/>
          <w:sz w:val="28"/>
          <w:szCs w:val="28"/>
        </w:rPr>
        <w:fldChar w:fldCharType="end"/>
      </w:r>
      <w:r>
        <w:rPr>
          <w:rFonts w:hint="eastAsia" w:ascii="Arial" w:hAnsi="Arial" w:eastAsia="宋体" w:cs="Arial"/>
          <w:spacing w:val="5"/>
          <w:sz w:val="28"/>
          <w:szCs w:val="28"/>
          <w:lang w:val="en-US" w:eastAsia="zh-CN"/>
        </w:rPr>
        <w:t>2</w:t>
      </w:r>
    </w:p>
    <w:p w14:paraId="4A4DA424">
      <w:pPr>
        <w:keepNext w:val="0"/>
        <w:keepLines w:val="0"/>
        <w:pageBreakBefore w:val="0"/>
        <w:widowControl w:val="0"/>
        <w:tabs>
          <w:tab w:val="right" w:leader="dot" w:pos="8999"/>
        </w:tabs>
        <w:wordWrap/>
        <w:overflowPunct/>
        <w:topLinePunct w:val="0"/>
        <w:bidi w:val="0"/>
        <w:spacing w:line="500" w:lineRule="exact"/>
        <w:ind w:left="289"/>
        <w:rPr>
          <w:rFonts w:hint="eastAsia" w:ascii="Arial" w:hAnsi="Arial" w:eastAsia="宋体" w:cs="Arial"/>
          <w:sz w:val="28"/>
          <w:szCs w:val="28"/>
          <w:lang w:val="en-US" w:eastAsia="zh-CN"/>
        </w:rPr>
      </w:pPr>
      <w:r>
        <w:fldChar w:fldCharType="begin"/>
      </w:r>
      <w:r>
        <w:instrText xml:space="preserve">HYPERLINK\l"_bookmark88"</w:instrText>
      </w:r>
      <w:r>
        <w:fldChar w:fldCharType="separate"/>
      </w:r>
      <w:r>
        <w:rPr>
          <w:rFonts w:ascii="Arial" w:hAnsi="Arial" w:eastAsia="Arial" w:cs="Arial"/>
          <w:spacing w:val="5"/>
          <w:sz w:val="28"/>
          <w:szCs w:val="28"/>
        </w:rPr>
        <w:t>3.2</w:t>
      </w:r>
      <w:r>
        <w:rPr>
          <w:rFonts w:ascii="仿宋" w:hAnsi="仿宋" w:eastAsia="仿宋" w:cs="仿宋"/>
          <w:spacing w:val="5"/>
          <w:sz w:val="28"/>
          <w:szCs w:val="28"/>
        </w:rPr>
        <w:t>泉港高新区发展现状</w:t>
      </w:r>
      <w:r>
        <w:rPr>
          <w:rFonts w:ascii="Arial" w:hAnsi="Arial" w:eastAsia="Arial" w:cs="Arial"/>
          <w:sz w:val="28"/>
          <w:szCs w:val="28"/>
        </w:rPr>
        <w:tab/>
      </w:r>
      <w:r>
        <w:rPr>
          <w:rFonts w:ascii="Arial" w:hAnsi="Arial" w:eastAsia="Arial" w:cs="Arial"/>
          <w:spacing w:val="5"/>
          <w:sz w:val="28"/>
          <w:szCs w:val="28"/>
        </w:rPr>
        <w:t>1</w:t>
      </w:r>
      <w:r>
        <w:rPr>
          <w:rFonts w:hint="eastAsia" w:ascii="Arial" w:hAnsi="Arial" w:eastAsia="Arial" w:cs="Arial"/>
          <w:sz w:val="28"/>
          <w:szCs w:val="28"/>
          <w:lang w:val="en-US" w:eastAsia="zh-CN"/>
        </w:rPr>
        <w:t>6</w:t>
      </w:r>
      <w:r>
        <w:rPr>
          <w:rFonts w:ascii="Arial" w:hAnsi="Arial" w:eastAsia="Arial" w:cs="Arial"/>
          <w:spacing w:val="5"/>
          <w:sz w:val="28"/>
          <w:szCs w:val="28"/>
        </w:rPr>
        <w:fldChar w:fldCharType="end"/>
      </w:r>
      <w:r>
        <w:rPr>
          <w:rFonts w:hint="eastAsia" w:ascii="Arial" w:hAnsi="Arial" w:eastAsia="宋体" w:cs="Arial"/>
          <w:spacing w:val="5"/>
          <w:sz w:val="28"/>
          <w:szCs w:val="28"/>
          <w:lang w:val="en-US" w:eastAsia="zh-CN"/>
        </w:rPr>
        <w:t>5</w:t>
      </w:r>
    </w:p>
    <w:p w14:paraId="78307457">
      <w:pPr>
        <w:keepNext w:val="0"/>
        <w:keepLines w:val="0"/>
        <w:pageBreakBefore w:val="0"/>
        <w:widowControl w:val="0"/>
        <w:tabs>
          <w:tab w:val="right" w:leader="dot" w:pos="8999"/>
        </w:tabs>
        <w:wordWrap/>
        <w:overflowPunct/>
        <w:topLinePunct w:val="0"/>
        <w:bidi w:val="0"/>
        <w:spacing w:line="500" w:lineRule="exact"/>
        <w:ind w:left="289"/>
        <w:rPr>
          <w:rFonts w:ascii="Arial" w:hAnsi="Arial" w:eastAsia="Arial" w:cs="Arial"/>
          <w:sz w:val="28"/>
          <w:szCs w:val="28"/>
        </w:rPr>
      </w:pPr>
      <w:r>
        <w:fldChar w:fldCharType="begin"/>
      </w:r>
      <w:r>
        <w:instrText xml:space="preserve">HYPERLINK\l"_bookmark89"</w:instrText>
      </w:r>
      <w:r>
        <w:fldChar w:fldCharType="separate"/>
      </w:r>
      <w:r>
        <w:rPr>
          <w:rFonts w:ascii="Arial" w:hAnsi="Arial" w:eastAsia="Arial" w:cs="Arial"/>
          <w:spacing w:val="6"/>
          <w:sz w:val="28"/>
          <w:szCs w:val="28"/>
        </w:rPr>
        <w:t>3</w:t>
      </w:r>
      <w:r>
        <w:rPr>
          <w:rFonts w:ascii="Arial" w:hAnsi="Arial" w:eastAsia="Arial" w:cs="Arial"/>
          <w:spacing w:val="4"/>
          <w:sz w:val="28"/>
          <w:szCs w:val="28"/>
        </w:rPr>
        <w:t>.3</w:t>
      </w:r>
      <w:r>
        <w:rPr>
          <w:rFonts w:ascii="仿宋" w:hAnsi="仿宋" w:eastAsia="仿宋" w:cs="仿宋"/>
          <w:spacing w:val="4"/>
          <w:sz w:val="28"/>
          <w:szCs w:val="28"/>
        </w:rPr>
        <w:t>泉州及周边产业发展概况</w:t>
      </w:r>
      <w:r>
        <w:rPr>
          <w:rFonts w:ascii="Arial" w:hAnsi="Arial" w:eastAsia="Arial" w:cs="Arial"/>
          <w:sz w:val="28"/>
          <w:szCs w:val="28"/>
        </w:rPr>
        <w:tab/>
      </w:r>
      <w:r>
        <w:rPr>
          <w:rFonts w:ascii="Arial" w:hAnsi="Arial" w:eastAsia="Arial" w:cs="Arial"/>
          <w:spacing w:val="4"/>
          <w:sz w:val="28"/>
          <w:szCs w:val="28"/>
        </w:rPr>
        <w:t>1</w:t>
      </w:r>
      <w:r>
        <w:rPr>
          <w:rFonts w:hint="eastAsia" w:ascii="Arial" w:hAnsi="Arial" w:eastAsia="Arial" w:cs="Arial"/>
          <w:sz w:val="28"/>
          <w:szCs w:val="28"/>
          <w:lang w:val="en-US" w:eastAsia="zh-CN"/>
        </w:rPr>
        <w:t>69</w:t>
      </w:r>
      <w:r>
        <w:rPr>
          <w:rFonts w:ascii="Arial" w:hAnsi="Arial" w:eastAsia="Arial" w:cs="Arial"/>
          <w:spacing w:val="4"/>
          <w:sz w:val="28"/>
          <w:szCs w:val="28"/>
        </w:rPr>
        <w:fldChar w:fldCharType="end"/>
      </w:r>
    </w:p>
    <w:p w14:paraId="0E6E580A">
      <w:pPr>
        <w:keepNext w:val="0"/>
        <w:keepLines w:val="0"/>
        <w:pageBreakBefore w:val="0"/>
        <w:widowControl w:val="0"/>
        <w:tabs>
          <w:tab w:val="right" w:leader="dot" w:pos="8999"/>
        </w:tabs>
        <w:wordWrap/>
        <w:overflowPunct/>
        <w:topLinePunct w:val="0"/>
        <w:bidi w:val="0"/>
        <w:spacing w:line="500" w:lineRule="exact"/>
        <w:ind w:left="289"/>
        <w:rPr>
          <w:rFonts w:hint="eastAsia" w:ascii="Arial" w:hAnsi="Arial" w:eastAsia="宋体" w:cs="Arial"/>
          <w:sz w:val="28"/>
          <w:szCs w:val="28"/>
          <w:lang w:val="en-US" w:eastAsia="zh-CN"/>
        </w:rPr>
      </w:pPr>
      <w:r>
        <w:fldChar w:fldCharType="begin"/>
      </w:r>
      <w:r>
        <w:instrText xml:space="preserve">HYPERLINK\l"_bookmark90"</w:instrText>
      </w:r>
      <w:r>
        <w:fldChar w:fldCharType="separate"/>
      </w:r>
      <w:r>
        <w:rPr>
          <w:rFonts w:ascii="Arial" w:hAnsi="Arial" w:eastAsia="Arial" w:cs="Arial"/>
          <w:spacing w:val="14"/>
          <w:sz w:val="28"/>
          <w:szCs w:val="28"/>
        </w:rPr>
        <w:t>3</w:t>
      </w:r>
      <w:r>
        <w:rPr>
          <w:rFonts w:ascii="Arial" w:hAnsi="Arial" w:eastAsia="Arial" w:cs="Arial"/>
          <w:spacing w:val="12"/>
          <w:sz w:val="28"/>
          <w:szCs w:val="28"/>
        </w:rPr>
        <w:t>.4</w:t>
      </w:r>
      <w:r>
        <w:rPr>
          <w:rFonts w:ascii="仿宋" w:hAnsi="仿宋" w:eastAsia="仿宋" w:cs="仿宋"/>
          <w:spacing w:val="12"/>
          <w:sz w:val="28"/>
          <w:szCs w:val="28"/>
        </w:rPr>
        <w:t>小结</w:t>
      </w:r>
      <w:r>
        <w:rPr>
          <w:rFonts w:ascii="Arial" w:hAnsi="Arial" w:eastAsia="Arial" w:cs="Arial"/>
          <w:sz w:val="28"/>
          <w:szCs w:val="28"/>
        </w:rPr>
        <w:tab/>
      </w:r>
      <w:r>
        <w:rPr>
          <w:rFonts w:ascii="Arial" w:hAnsi="Arial" w:eastAsia="Arial" w:cs="Arial"/>
          <w:spacing w:val="12"/>
          <w:sz w:val="28"/>
          <w:szCs w:val="28"/>
        </w:rPr>
        <w:t>1</w:t>
      </w:r>
      <w:r>
        <w:rPr>
          <w:rFonts w:hint="eastAsia" w:ascii="Arial" w:hAnsi="Arial" w:eastAsia="Arial" w:cs="Arial"/>
          <w:sz w:val="28"/>
          <w:szCs w:val="28"/>
          <w:lang w:val="en-US" w:eastAsia="zh-CN"/>
        </w:rPr>
        <w:t>7</w:t>
      </w:r>
      <w:r>
        <w:rPr>
          <w:rFonts w:ascii="Arial" w:hAnsi="Arial" w:eastAsia="Arial" w:cs="Arial"/>
          <w:spacing w:val="12"/>
          <w:sz w:val="28"/>
          <w:szCs w:val="28"/>
        </w:rPr>
        <w:fldChar w:fldCharType="end"/>
      </w:r>
      <w:r>
        <w:rPr>
          <w:rFonts w:hint="eastAsia" w:ascii="Arial" w:hAnsi="Arial" w:eastAsia="宋体" w:cs="Arial"/>
          <w:spacing w:val="12"/>
          <w:sz w:val="28"/>
          <w:szCs w:val="28"/>
          <w:lang w:val="en-US" w:eastAsia="zh-CN"/>
        </w:rPr>
        <w:t>2</w:t>
      </w:r>
    </w:p>
    <w:p w14:paraId="1C2E8E8D">
      <w:pPr>
        <w:keepNext w:val="0"/>
        <w:keepLines w:val="0"/>
        <w:pageBreakBefore w:val="0"/>
        <w:widowControl w:val="0"/>
        <w:tabs>
          <w:tab w:val="right" w:leader="dot" w:pos="8999"/>
        </w:tabs>
        <w:wordWrap/>
        <w:overflowPunct/>
        <w:topLinePunct w:val="0"/>
        <w:bidi w:val="0"/>
        <w:spacing w:line="500" w:lineRule="exact"/>
        <w:rPr>
          <w:rFonts w:hint="default" w:ascii="Arial" w:hAnsi="Arial" w:eastAsia="宋体" w:cs="Arial"/>
          <w:sz w:val="28"/>
          <w:szCs w:val="28"/>
          <w:lang w:val="en-US" w:eastAsia="zh-CN"/>
        </w:rPr>
      </w:pPr>
      <w:r>
        <w:fldChar w:fldCharType="begin"/>
      </w:r>
      <w:r>
        <w:instrText xml:space="preserve">HYPERLINK\l"_bookmark91"</w:instrText>
      </w:r>
      <w:r>
        <w:fldChar w:fldCharType="separate"/>
      </w:r>
      <w:r>
        <w:rPr>
          <w:rFonts w:ascii="Arial" w:hAnsi="Arial" w:eastAsia="Arial" w:cs="Arial"/>
          <w:b/>
          <w:bCs/>
          <w:spacing w:val="10"/>
          <w:sz w:val="28"/>
          <w:szCs w:val="28"/>
        </w:rPr>
        <w:t>4</w:t>
      </w:r>
      <w:r>
        <w:rPr>
          <w:rFonts w:ascii="仿宋" w:hAnsi="仿宋" w:eastAsia="仿宋" w:cs="仿宋"/>
          <w:spacing w:val="5"/>
          <w:sz w:val="28"/>
          <w:szCs w:val="28"/>
        </w:rPr>
        <w:t>发展战略选择</w:t>
      </w:r>
      <w:r>
        <w:rPr>
          <w:rFonts w:ascii="Arial" w:hAnsi="Arial" w:eastAsia="Arial" w:cs="Arial"/>
          <w:b/>
          <w:bCs/>
          <w:sz w:val="28"/>
          <w:szCs w:val="28"/>
        </w:rPr>
        <w:tab/>
      </w:r>
      <w:r>
        <w:rPr>
          <w:rFonts w:hint="eastAsia" w:ascii="Arial" w:hAnsi="Arial" w:eastAsia="宋体" w:cs="Arial"/>
          <w:b/>
          <w:bCs/>
          <w:spacing w:val="5"/>
          <w:sz w:val="28"/>
          <w:szCs w:val="28"/>
          <w:lang w:val="en-US" w:eastAsia="zh-CN"/>
        </w:rPr>
        <w:t>1</w:t>
      </w:r>
      <w:r>
        <w:rPr>
          <w:rFonts w:ascii="Arial" w:hAnsi="Arial" w:eastAsia="Arial" w:cs="Arial"/>
          <w:b/>
          <w:bCs/>
          <w:spacing w:val="5"/>
          <w:sz w:val="28"/>
          <w:szCs w:val="28"/>
        </w:rPr>
        <w:fldChar w:fldCharType="end"/>
      </w:r>
      <w:r>
        <w:rPr>
          <w:rFonts w:hint="eastAsia" w:ascii="Arial" w:hAnsi="Arial" w:eastAsia="宋体" w:cs="Arial"/>
          <w:b/>
          <w:bCs/>
          <w:spacing w:val="5"/>
          <w:sz w:val="28"/>
          <w:szCs w:val="28"/>
          <w:lang w:val="en-US" w:eastAsia="zh-CN"/>
        </w:rPr>
        <w:t>74</w:t>
      </w:r>
    </w:p>
    <w:p w14:paraId="22019037">
      <w:pPr>
        <w:keepNext w:val="0"/>
        <w:keepLines w:val="0"/>
        <w:pageBreakBefore w:val="0"/>
        <w:widowControl w:val="0"/>
        <w:tabs>
          <w:tab w:val="right" w:leader="dot" w:pos="8999"/>
        </w:tabs>
        <w:wordWrap/>
        <w:overflowPunct/>
        <w:topLinePunct w:val="0"/>
        <w:bidi w:val="0"/>
        <w:spacing w:line="500" w:lineRule="exact"/>
        <w:ind w:left="281"/>
        <w:rPr>
          <w:rFonts w:hint="default" w:ascii="Arial" w:hAnsi="Arial" w:eastAsia="宋体" w:cs="Arial"/>
          <w:sz w:val="28"/>
          <w:szCs w:val="28"/>
          <w:lang w:val="en-US" w:eastAsia="zh-CN"/>
        </w:rPr>
      </w:pPr>
      <w:r>
        <w:fldChar w:fldCharType="begin"/>
      </w:r>
      <w:r>
        <w:instrText xml:space="preserve">HYPERLINK\l"_bookmark92"</w:instrText>
      </w:r>
      <w:r>
        <w:fldChar w:fldCharType="separate"/>
      </w:r>
      <w:r>
        <w:rPr>
          <w:rFonts w:ascii="Arial" w:hAnsi="Arial" w:eastAsia="Arial" w:cs="Arial"/>
          <w:spacing w:val="9"/>
          <w:sz w:val="28"/>
          <w:szCs w:val="28"/>
        </w:rPr>
        <w:t>4.1</w:t>
      </w:r>
      <w:r>
        <w:rPr>
          <w:rFonts w:ascii="仿宋" w:hAnsi="仿宋" w:eastAsia="仿宋" w:cs="仿宋"/>
          <w:spacing w:val="9"/>
          <w:sz w:val="28"/>
          <w:szCs w:val="28"/>
        </w:rPr>
        <w:t>优劣势分析</w:t>
      </w:r>
      <w:r>
        <w:rPr>
          <w:rFonts w:ascii="Arial" w:hAnsi="Arial" w:eastAsia="Arial" w:cs="Arial"/>
          <w:sz w:val="28"/>
          <w:szCs w:val="28"/>
        </w:rPr>
        <w:tab/>
      </w:r>
      <w:r>
        <w:rPr>
          <w:rFonts w:hint="eastAsia" w:ascii="Arial" w:hAnsi="Arial" w:eastAsia="宋体" w:cs="Arial"/>
          <w:spacing w:val="9"/>
          <w:sz w:val="28"/>
          <w:szCs w:val="28"/>
          <w:lang w:val="en-US" w:eastAsia="zh-CN"/>
        </w:rPr>
        <w:t>1</w:t>
      </w:r>
      <w:r>
        <w:rPr>
          <w:rFonts w:ascii="Arial" w:hAnsi="Arial" w:eastAsia="Arial" w:cs="Arial"/>
          <w:spacing w:val="8"/>
          <w:sz w:val="28"/>
          <w:szCs w:val="28"/>
        </w:rPr>
        <w:fldChar w:fldCharType="end"/>
      </w:r>
      <w:r>
        <w:rPr>
          <w:rFonts w:hint="eastAsia" w:ascii="Arial" w:hAnsi="Arial" w:eastAsia="宋体" w:cs="Arial"/>
          <w:spacing w:val="8"/>
          <w:sz w:val="28"/>
          <w:szCs w:val="28"/>
          <w:lang w:val="en-US" w:eastAsia="zh-CN"/>
        </w:rPr>
        <w:t>74</w:t>
      </w:r>
    </w:p>
    <w:p w14:paraId="7C96CC57">
      <w:pPr>
        <w:keepNext w:val="0"/>
        <w:keepLines w:val="0"/>
        <w:pageBreakBefore w:val="0"/>
        <w:widowControl w:val="0"/>
        <w:tabs>
          <w:tab w:val="right" w:leader="dot" w:pos="8999"/>
        </w:tabs>
        <w:wordWrap/>
        <w:overflowPunct/>
        <w:topLinePunct w:val="0"/>
        <w:bidi w:val="0"/>
        <w:spacing w:line="500" w:lineRule="exact"/>
        <w:ind w:left="281"/>
        <w:rPr>
          <w:rFonts w:hint="eastAsia" w:ascii="Arial" w:hAnsi="Arial" w:eastAsia="宋体" w:cs="Arial"/>
          <w:sz w:val="28"/>
          <w:szCs w:val="28"/>
          <w:lang w:val="en-US" w:eastAsia="zh-CN"/>
        </w:rPr>
      </w:pPr>
      <w:r>
        <w:fldChar w:fldCharType="begin"/>
      </w:r>
      <w:r>
        <w:instrText xml:space="preserve">HYPERLINK\l"_bookmark93"</w:instrText>
      </w:r>
      <w:r>
        <w:fldChar w:fldCharType="separate"/>
      </w:r>
      <w:r>
        <w:rPr>
          <w:rFonts w:ascii="Arial" w:hAnsi="Arial" w:eastAsia="Arial" w:cs="Arial"/>
          <w:spacing w:val="9"/>
          <w:sz w:val="28"/>
          <w:szCs w:val="28"/>
        </w:rPr>
        <w:t>4.2</w:t>
      </w:r>
      <w:r>
        <w:rPr>
          <w:rFonts w:ascii="仿宋" w:hAnsi="仿宋" w:eastAsia="仿宋" w:cs="仿宋"/>
          <w:spacing w:val="9"/>
          <w:sz w:val="28"/>
          <w:szCs w:val="28"/>
        </w:rPr>
        <w:t>机遇和挑战</w:t>
      </w:r>
      <w:r>
        <w:rPr>
          <w:rFonts w:ascii="Arial" w:hAnsi="Arial" w:eastAsia="Arial" w:cs="Arial"/>
          <w:sz w:val="28"/>
          <w:szCs w:val="28"/>
        </w:rPr>
        <w:tab/>
      </w:r>
      <w:r>
        <w:rPr>
          <w:rFonts w:ascii="Arial" w:hAnsi="Arial" w:eastAsia="Arial" w:cs="Arial"/>
          <w:spacing w:val="9"/>
          <w:sz w:val="28"/>
          <w:szCs w:val="28"/>
        </w:rPr>
        <w:t>1</w:t>
      </w:r>
      <w:r>
        <w:rPr>
          <w:rFonts w:hint="eastAsia" w:ascii="Arial" w:hAnsi="Arial" w:eastAsia="Arial" w:cs="Arial"/>
          <w:sz w:val="28"/>
          <w:szCs w:val="28"/>
          <w:lang w:val="en-US" w:eastAsia="zh-CN"/>
        </w:rPr>
        <w:t>7</w:t>
      </w:r>
      <w:r>
        <w:rPr>
          <w:rFonts w:ascii="Arial" w:hAnsi="Arial" w:eastAsia="Arial" w:cs="Arial"/>
          <w:spacing w:val="8"/>
          <w:sz w:val="28"/>
          <w:szCs w:val="28"/>
        </w:rPr>
        <w:fldChar w:fldCharType="end"/>
      </w:r>
      <w:r>
        <w:rPr>
          <w:rFonts w:hint="eastAsia" w:ascii="Arial" w:hAnsi="Arial" w:eastAsia="Arial" w:cs="Arial"/>
          <w:sz w:val="28"/>
          <w:szCs w:val="28"/>
          <w:lang w:val="en-US" w:eastAsia="zh-CN"/>
        </w:rPr>
        <w:t>6</w:t>
      </w:r>
    </w:p>
    <w:p w14:paraId="0B24C2D9">
      <w:pPr>
        <w:keepNext w:val="0"/>
        <w:keepLines w:val="0"/>
        <w:pageBreakBefore w:val="0"/>
        <w:widowControl w:val="0"/>
        <w:tabs>
          <w:tab w:val="right" w:leader="dot" w:pos="8999"/>
        </w:tabs>
        <w:wordWrap/>
        <w:overflowPunct/>
        <w:topLinePunct w:val="0"/>
        <w:bidi w:val="0"/>
        <w:spacing w:line="500" w:lineRule="exact"/>
        <w:ind w:left="281"/>
        <w:rPr>
          <w:rFonts w:ascii="Arial" w:hAnsi="Arial" w:eastAsia="Arial" w:cs="Arial"/>
          <w:sz w:val="28"/>
          <w:szCs w:val="28"/>
        </w:rPr>
      </w:pPr>
      <w:r>
        <w:fldChar w:fldCharType="begin"/>
      </w:r>
      <w:r>
        <w:instrText xml:space="preserve">HYPERLINK\l"_bookmark94"</w:instrText>
      </w:r>
      <w:r>
        <w:fldChar w:fldCharType="separate"/>
      </w:r>
      <w:r>
        <w:rPr>
          <w:rFonts w:ascii="Arial" w:hAnsi="Arial" w:eastAsia="Arial" w:cs="Arial"/>
          <w:spacing w:val="14"/>
          <w:sz w:val="28"/>
          <w:szCs w:val="28"/>
        </w:rPr>
        <w:t>4</w:t>
      </w:r>
      <w:r>
        <w:rPr>
          <w:rFonts w:ascii="Arial" w:hAnsi="Arial" w:eastAsia="Arial" w:cs="Arial"/>
          <w:spacing w:val="9"/>
          <w:sz w:val="28"/>
          <w:szCs w:val="28"/>
        </w:rPr>
        <w:t>.</w:t>
      </w:r>
      <w:r>
        <w:rPr>
          <w:rFonts w:ascii="Arial" w:hAnsi="Arial" w:eastAsia="Arial" w:cs="Arial"/>
          <w:spacing w:val="7"/>
          <w:sz w:val="28"/>
          <w:szCs w:val="28"/>
        </w:rPr>
        <w:t>3</w:t>
      </w:r>
      <w:r>
        <w:rPr>
          <w:rFonts w:ascii="仿宋" w:hAnsi="仿宋" w:eastAsia="仿宋" w:cs="仿宋"/>
          <w:spacing w:val="7"/>
          <w:sz w:val="28"/>
          <w:szCs w:val="28"/>
        </w:rPr>
        <w:t>发展战略选择</w:t>
      </w:r>
      <w:r>
        <w:rPr>
          <w:rFonts w:ascii="Arial" w:hAnsi="Arial" w:eastAsia="Arial" w:cs="Arial"/>
          <w:sz w:val="28"/>
          <w:szCs w:val="28"/>
        </w:rPr>
        <w:tab/>
      </w:r>
      <w:r>
        <w:rPr>
          <w:rFonts w:ascii="Arial" w:hAnsi="Arial" w:eastAsia="Arial" w:cs="Arial"/>
          <w:spacing w:val="7"/>
          <w:sz w:val="28"/>
          <w:szCs w:val="28"/>
        </w:rPr>
        <w:t>1</w:t>
      </w:r>
      <w:r>
        <w:rPr>
          <w:rFonts w:hint="eastAsia" w:ascii="Arial" w:hAnsi="Arial" w:eastAsia="Arial" w:cs="Arial"/>
          <w:sz w:val="28"/>
          <w:szCs w:val="28"/>
          <w:lang w:val="en-US" w:eastAsia="zh-CN"/>
        </w:rPr>
        <w:t>78</w:t>
      </w:r>
      <w:r>
        <w:rPr>
          <w:rFonts w:ascii="Arial" w:hAnsi="Arial" w:eastAsia="Arial" w:cs="Arial"/>
          <w:spacing w:val="7"/>
          <w:sz w:val="28"/>
          <w:szCs w:val="28"/>
        </w:rPr>
        <w:fldChar w:fldCharType="end"/>
      </w:r>
    </w:p>
    <w:p w14:paraId="61386068">
      <w:pPr>
        <w:keepNext w:val="0"/>
        <w:keepLines w:val="0"/>
        <w:pageBreakBefore w:val="0"/>
        <w:widowControl w:val="0"/>
        <w:tabs>
          <w:tab w:val="right" w:leader="dot" w:pos="8999"/>
        </w:tabs>
        <w:wordWrap/>
        <w:overflowPunct/>
        <w:topLinePunct w:val="0"/>
        <w:bidi w:val="0"/>
        <w:spacing w:line="500" w:lineRule="exact"/>
        <w:ind w:left="7"/>
        <w:rPr>
          <w:rFonts w:hint="eastAsia" w:ascii="Arial" w:hAnsi="Arial" w:eastAsia="宋体" w:cs="Arial"/>
          <w:sz w:val="28"/>
          <w:szCs w:val="28"/>
          <w:lang w:val="en-US" w:eastAsia="zh-CN"/>
        </w:rPr>
      </w:pPr>
      <w:r>
        <w:fldChar w:fldCharType="begin"/>
      </w:r>
      <w:r>
        <w:instrText xml:space="preserve">HYPERLINK\l"_bookmark95"</w:instrText>
      </w:r>
      <w:r>
        <w:fldChar w:fldCharType="separate"/>
      </w:r>
      <w:r>
        <w:rPr>
          <w:rFonts w:ascii="Arial" w:hAnsi="Arial" w:eastAsia="Arial" w:cs="Arial"/>
          <w:b/>
          <w:bCs/>
          <w:spacing w:val="5"/>
          <w:sz w:val="28"/>
          <w:szCs w:val="28"/>
        </w:rPr>
        <w:t>5</w:t>
      </w:r>
      <w:r>
        <w:rPr>
          <w:rFonts w:ascii="仿宋" w:hAnsi="仿宋" w:eastAsia="仿宋" w:cs="仿宋"/>
          <w:spacing w:val="5"/>
          <w:sz w:val="28"/>
          <w:szCs w:val="28"/>
        </w:rPr>
        <w:t>泉港高新区战略定位及发展目标</w:t>
      </w:r>
      <w:r>
        <w:rPr>
          <w:rFonts w:ascii="Arial" w:hAnsi="Arial" w:eastAsia="Arial" w:cs="Arial"/>
          <w:b/>
          <w:bCs/>
          <w:sz w:val="28"/>
          <w:szCs w:val="28"/>
        </w:rPr>
        <w:tab/>
      </w:r>
      <w:r>
        <w:rPr>
          <w:rFonts w:ascii="Arial" w:hAnsi="Arial" w:eastAsia="Arial" w:cs="Arial"/>
          <w:b/>
          <w:bCs/>
          <w:spacing w:val="5"/>
          <w:sz w:val="28"/>
          <w:szCs w:val="28"/>
        </w:rPr>
        <w:t>1</w:t>
      </w:r>
      <w:r>
        <w:rPr>
          <w:rFonts w:hint="eastAsia" w:ascii="Arial" w:hAnsi="Arial" w:eastAsia="宋体" w:cs="Arial"/>
          <w:b/>
          <w:bCs/>
          <w:spacing w:val="5"/>
          <w:sz w:val="28"/>
          <w:szCs w:val="28"/>
          <w:lang w:val="en-US" w:eastAsia="zh-CN"/>
        </w:rPr>
        <w:t>8</w:t>
      </w:r>
      <w:r>
        <w:rPr>
          <w:rFonts w:ascii="Arial" w:hAnsi="Arial" w:eastAsia="Arial" w:cs="Arial"/>
          <w:b/>
          <w:bCs/>
          <w:spacing w:val="2"/>
          <w:sz w:val="28"/>
          <w:szCs w:val="28"/>
        </w:rPr>
        <w:fldChar w:fldCharType="end"/>
      </w:r>
      <w:r>
        <w:rPr>
          <w:rFonts w:hint="eastAsia" w:ascii="Arial" w:hAnsi="Arial" w:eastAsia="宋体" w:cs="Arial"/>
          <w:b/>
          <w:bCs/>
          <w:spacing w:val="2"/>
          <w:sz w:val="28"/>
          <w:szCs w:val="28"/>
          <w:lang w:val="en-US" w:eastAsia="zh-CN"/>
        </w:rPr>
        <w:t>1</w:t>
      </w:r>
    </w:p>
    <w:p w14:paraId="38A75E05">
      <w:pPr>
        <w:keepNext w:val="0"/>
        <w:keepLines w:val="0"/>
        <w:pageBreakBefore w:val="0"/>
        <w:widowControl w:val="0"/>
        <w:tabs>
          <w:tab w:val="right" w:leader="dot" w:pos="8999"/>
        </w:tabs>
        <w:wordWrap/>
        <w:overflowPunct/>
        <w:topLinePunct w:val="0"/>
        <w:bidi w:val="0"/>
        <w:spacing w:line="500" w:lineRule="exact"/>
        <w:ind w:left="289"/>
        <w:rPr>
          <w:rFonts w:hint="eastAsia" w:ascii="Arial" w:hAnsi="Arial" w:eastAsia="宋体" w:cs="Arial"/>
          <w:sz w:val="28"/>
          <w:szCs w:val="28"/>
          <w:lang w:val="en-US" w:eastAsia="zh-CN"/>
        </w:rPr>
      </w:pPr>
      <w:r>
        <w:fldChar w:fldCharType="begin"/>
      </w:r>
      <w:r>
        <w:instrText xml:space="preserve">HYPERLINK\l"_bookmark96"</w:instrText>
      </w:r>
      <w:r>
        <w:fldChar w:fldCharType="separate"/>
      </w:r>
      <w:r>
        <w:rPr>
          <w:rFonts w:ascii="Arial" w:hAnsi="Arial" w:eastAsia="Arial" w:cs="Arial"/>
          <w:spacing w:val="13"/>
          <w:sz w:val="28"/>
          <w:szCs w:val="28"/>
        </w:rPr>
        <w:t>5</w:t>
      </w:r>
      <w:r>
        <w:rPr>
          <w:rFonts w:ascii="Arial" w:hAnsi="Arial" w:eastAsia="Arial" w:cs="Arial"/>
          <w:spacing w:val="9"/>
          <w:sz w:val="28"/>
          <w:szCs w:val="28"/>
        </w:rPr>
        <w:t>.1</w:t>
      </w:r>
      <w:r>
        <w:rPr>
          <w:rFonts w:ascii="仿宋" w:hAnsi="仿宋" w:eastAsia="仿宋" w:cs="仿宋"/>
          <w:spacing w:val="9"/>
          <w:sz w:val="28"/>
          <w:szCs w:val="28"/>
        </w:rPr>
        <w:t>指导思想</w:t>
      </w:r>
      <w:r>
        <w:rPr>
          <w:rFonts w:ascii="Arial" w:hAnsi="Arial" w:eastAsia="Arial" w:cs="Arial"/>
          <w:sz w:val="28"/>
          <w:szCs w:val="28"/>
        </w:rPr>
        <w:tab/>
      </w:r>
      <w:r>
        <w:rPr>
          <w:rFonts w:ascii="Arial" w:hAnsi="Arial" w:eastAsia="Arial" w:cs="Arial"/>
          <w:spacing w:val="9"/>
          <w:sz w:val="28"/>
          <w:szCs w:val="28"/>
        </w:rPr>
        <w:t>1</w:t>
      </w:r>
      <w:r>
        <w:rPr>
          <w:rFonts w:hint="eastAsia" w:ascii="Arial" w:hAnsi="Arial" w:eastAsia="Arial" w:cs="Arial"/>
          <w:sz w:val="28"/>
          <w:szCs w:val="28"/>
          <w:lang w:val="en-US" w:eastAsia="zh-CN"/>
        </w:rPr>
        <w:t>8</w:t>
      </w:r>
      <w:r>
        <w:rPr>
          <w:rFonts w:ascii="Arial" w:hAnsi="Arial" w:eastAsia="Arial" w:cs="Arial"/>
          <w:spacing w:val="9"/>
          <w:sz w:val="28"/>
          <w:szCs w:val="28"/>
        </w:rPr>
        <w:fldChar w:fldCharType="end"/>
      </w:r>
      <w:r>
        <w:rPr>
          <w:rFonts w:hint="eastAsia" w:ascii="Arial" w:hAnsi="Arial" w:eastAsia="宋体" w:cs="Arial"/>
          <w:spacing w:val="9"/>
          <w:sz w:val="28"/>
          <w:szCs w:val="28"/>
          <w:lang w:val="en-US" w:eastAsia="zh-CN"/>
        </w:rPr>
        <w:t>1</w:t>
      </w:r>
    </w:p>
    <w:p w14:paraId="350DFFBA">
      <w:pPr>
        <w:keepNext w:val="0"/>
        <w:keepLines w:val="0"/>
        <w:pageBreakBefore w:val="0"/>
        <w:widowControl w:val="0"/>
        <w:tabs>
          <w:tab w:val="right" w:leader="dot" w:pos="8999"/>
        </w:tabs>
        <w:wordWrap/>
        <w:overflowPunct/>
        <w:topLinePunct w:val="0"/>
        <w:bidi w:val="0"/>
        <w:spacing w:line="500" w:lineRule="exact"/>
        <w:ind w:left="289"/>
        <w:rPr>
          <w:rFonts w:hint="default" w:ascii="Arial" w:hAnsi="Arial" w:eastAsia="Arial" w:cs="Arial"/>
          <w:sz w:val="28"/>
          <w:szCs w:val="28"/>
          <w:lang w:val="en-US"/>
        </w:rPr>
      </w:pPr>
      <w:r>
        <w:fldChar w:fldCharType="begin"/>
      </w:r>
      <w:r>
        <w:instrText xml:space="preserve">HYPERLINK\l"_bookmark97"</w:instrText>
      </w:r>
      <w:r>
        <w:fldChar w:fldCharType="separate"/>
      </w:r>
      <w:r>
        <w:rPr>
          <w:rFonts w:ascii="Arial" w:hAnsi="Arial" w:eastAsia="Arial" w:cs="Arial"/>
          <w:spacing w:val="13"/>
          <w:sz w:val="28"/>
          <w:szCs w:val="28"/>
        </w:rPr>
        <w:t>5</w:t>
      </w:r>
      <w:r>
        <w:rPr>
          <w:rFonts w:ascii="Arial" w:hAnsi="Arial" w:eastAsia="Arial" w:cs="Arial"/>
          <w:spacing w:val="9"/>
          <w:sz w:val="28"/>
          <w:szCs w:val="28"/>
        </w:rPr>
        <w:t>.2</w:t>
      </w:r>
      <w:r>
        <w:rPr>
          <w:rFonts w:ascii="仿宋" w:hAnsi="仿宋" w:eastAsia="仿宋" w:cs="仿宋"/>
          <w:spacing w:val="9"/>
          <w:sz w:val="28"/>
          <w:szCs w:val="28"/>
        </w:rPr>
        <w:t>发展原则</w:t>
      </w:r>
      <w:r>
        <w:rPr>
          <w:rFonts w:ascii="Arial" w:hAnsi="Arial" w:eastAsia="Arial" w:cs="Arial"/>
          <w:sz w:val="28"/>
          <w:szCs w:val="28"/>
        </w:rPr>
        <w:tab/>
      </w:r>
      <w:r>
        <w:rPr>
          <w:rFonts w:hint="eastAsia" w:ascii="Arial" w:hAnsi="Arial" w:eastAsia="Arial" w:cs="Arial"/>
          <w:sz w:val="28"/>
          <w:szCs w:val="28"/>
          <w:lang w:val="en-US" w:eastAsia="zh-CN"/>
        </w:rPr>
        <w:t>18</w:t>
      </w:r>
      <w:r>
        <w:rPr>
          <w:rFonts w:hint="eastAsia" w:ascii="Arial" w:hAnsi="Arial" w:eastAsia="Arial" w:cs="Arial"/>
          <w:sz w:val="28"/>
          <w:szCs w:val="28"/>
          <w:lang w:val="en-US" w:eastAsia="zh-CN"/>
        </w:rPr>
        <w:fldChar w:fldCharType="end"/>
      </w:r>
      <w:r>
        <w:rPr>
          <w:rFonts w:hint="eastAsia" w:ascii="Arial" w:hAnsi="Arial" w:eastAsia="Arial" w:cs="Arial"/>
          <w:sz w:val="28"/>
          <w:szCs w:val="28"/>
          <w:lang w:val="en-US" w:eastAsia="zh-CN"/>
        </w:rPr>
        <w:t>1</w:t>
      </w:r>
    </w:p>
    <w:p w14:paraId="73FA5B5C">
      <w:pPr>
        <w:keepNext w:val="0"/>
        <w:keepLines w:val="0"/>
        <w:pageBreakBefore w:val="0"/>
        <w:widowControl w:val="0"/>
        <w:tabs>
          <w:tab w:val="right" w:leader="dot" w:pos="8999"/>
        </w:tabs>
        <w:wordWrap/>
        <w:overflowPunct/>
        <w:topLinePunct w:val="0"/>
        <w:bidi w:val="0"/>
        <w:spacing w:line="500" w:lineRule="exact"/>
        <w:ind w:left="289"/>
        <w:rPr>
          <w:rFonts w:hint="default" w:ascii="Arial" w:hAnsi="Arial" w:eastAsia="Arial" w:cs="Arial"/>
          <w:sz w:val="28"/>
          <w:szCs w:val="28"/>
          <w:lang w:val="en-US"/>
        </w:rPr>
      </w:pPr>
      <w:r>
        <w:fldChar w:fldCharType="begin"/>
      </w:r>
      <w:r>
        <w:instrText xml:space="preserve">HYPERLINK\l"_bookmark98"</w:instrText>
      </w:r>
      <w:r>
        <w:fldChar w:fldCharType="separate"/>
      </w:r>
      <w:r>
        <w:rPr>
          <w:rFonts w:ascii="Arial" w:hAnsi="Arial" w:eastAsia="Arial" w:cs="Arial"/>
          <w:spacing w:val="1"/>
          <w:sz w:val="28"/>
          <w:szCs w:val="28"/>
        </w:rPr>
        <w:t>5.</w:t>
      </w:r>
      <w:r>
        <w:rPr>
          <w:rFonts w:ascii="Arial" w:hAnsi="Arial" w:eastAsia="Arial" w:cs="Arial"/>
          <w:sz w:val="28"/>
          <w:szCs w:val="28"/>
        </w:rPr>
        <w:t>3</w:t>
      </w:r>
      <w:r>
        <w:rPr>
          <w:rFonts w:ascii="仿宋" w:hAnsi="仿宋" w:eastAsia="仿宋" w:cs="仿宋"/>
          <w:sz w:val="28"/>
          <w:szCs w:val="28"/>
        </w:rPr>
        <w:t>战略定位和发展目标</w:t>
      </w:r>
      <w:r>
        <w:rPr>
          <w:rFonts w:ascii="Arial" w:hAnsi="Arial" w:eastAsia="Arial" w:cs="Arial"/>
          <w:sz w:val="28"/>
          <w:szCs w:val="28"/>
        </w:rPr>
        <w:tab/>
      </w:r>
      <w:r>
        <w:rPr>
          <w:rFonts w:hint="eastAsia" w:ascii="Arial" w:hAnsi="Arial" w:eastAsia="Arial" w:cs="Arial"/>
          <w:sz w:val="28"/>
          <w:szCs w:val="28"/>
          <w:lang w:val="en-US" w:eastAsia="zh-CN"/>
        </w:rPr>
        <w:t>18</w:t>
      </w:r>
      <w:r>
        <w:rPr>
          <w:rFonts w:hint="eastAsia" w:ascii="Arial" w:hAnsi="Arial" w:eastAsia="Arial" w:cs="Arial"/>
          <w:sz w:val="28"/>
          <w:szCs w:val="28"/>
          <w:lang w:val="en-US" w:eastAsia="zh-CN"/>
        </w:rPr>
        <w:fldChar w:fldCharType="end"/>
      </w:r>
      <w:r>
        <w:rPr>
          <w:rFonts w:hint="eastAsia" w:ascii="Arial" w:hAnsi="Arial" w:eastAsia="Arial" w:cs="Arial"/>
          <w:sz w:val="28"/>
          <w:szCs w:val="28"/>
          <w:lang w:val="en-US" w:eastAsia="zh-CN"/>
        </w:rPr>
        <w:t>2</w:t>
      </w:r>
    </w:p>
    <w:p w14:paraId="5AE71F73">
      <w:pPr>
        <w:keepNext w:val="0"/>
        <w:keepLines w:val="0"/>
        <w:pageBreakBefore w:val="0"/>
        <w:widowControl w:val="0"/>
        <w:tabs>
          <w:tab w:val="right" w:leader="dot" w:pos="8999"/>
        </w:tabs>
        <w:wordWrap/>
        <w:overflowPunct/>
        <w:topLinePunct w:val="0"/>
        <w:bidi w:val="0"/>
        <w:spacing w:line="500" w:lineRule="exact"/>
        <w:ind w:left="6"/>
        <w:rPr>
          <w:rFonts w:ascii="Arial"/>
          <w:sz w:val="21"/>
        </w:rPr>
      </w:pPr>
      <w:r>
        <w:fldChar w:fldCharType="begin"/>
      </w:r>
      <w:r>
        <w:instrText xml:space="preserve">HYPERLINK\l"_bookmark99"</w:instrText>
      </w:r>
      <w:r>
        <w:fldChar w:fldCharType="separate"/>
      </w:r>
      <w:r>
        <w:rPr>
          <w:rFonts w:ascii="Arial" w:hAnsi="Arial" w:eastAsia="Arial" w:cs="Arial"/>
          <w:b/>
          <w:bCs/>
          <w:spacing w:val="5"/>
          <w:sz w:val="28"/>
          <w:szCs w:val="28"/>
        </w:rPr>
        <w:t>6</w:t>
      </w:r>
      <w:r>
        <w:rPr>
          <w:rFonts w:ascii="仿宋" w:hAnsi="仿宋" w:eastAsia="仿宋" w:cs="仿宋"/>
          <w:spacing w:val="5"/>
          <w:sz w:val="28"/>
          <w:szCs w:val="28"/>
        </w:rPr>
        <w:t>泉港高新区产业目标及发展路径</w:t>
      </w:r>
      <w:r>
        <w:rPr>
          <w:rFonts w:ascii="Arial" w:hAnsi="Arial" w:eastAsia="Arial" w:cs="Arial"/>
          <w:b/>
          <w:bCs/>
          <w:sz w:val="28"/>
          <w:szCs w:val="28"/>
        </w:rPr>
        <w:tab/>
      </w:r>
      <w:r>
        <w:rPr>
          <w:rFonts w:ascii="Arial" w:hAnsi="Arial" w:eastAsia="Arial" w:cs="Arial"/>
          <w:b/>
          <w:bCs/>
          <w:spacing w:val="5"/>
          <w:sz w:val="28"/>
          <w:szCs w:val="28"/>
        </w:rPr>
        <w:t>18</w:t>
      </w:r>
      <w:r>
        <w:rPr>
          <w:rFonts w:hint="eastAsia" w:ascii="Arial" w:hAnsi="Arial" w:eastAsia="Arial" w:cs="Arial"/>
          <w:b/>
          <w:bCs/>
          <w:spacing w:val="8"/>
          <w:sz w:val="28"/>
          <w:szCs w:val="28"/>
          <w:lang w:val="en-US" w:eastAsia="zh-CN"/>
        </w:rPr>
        <w:t>7</w:t>
      </w:r>
      <w:r>
        <w:rPr>
          <w:rFonts w:ascii="Arial" w:hAnsi="Arial" w:eastAsia="Arial" w:cs="Arial"/>
          <w:b/>
          <w:bCs/>
          <w:spacing w:val="3"/>
          <w:sz w:val="28"/>
          <w:szCs w:val="28"/>
        </w:rPr>
        <w:fldChar w:fldCharType="end"/>
      </w:r>
    </w:p>
    <w:p w14:paraId="76F5714C">
      <w:pPr>
        <w:keepNext w:val="0"/>
        <w:keepLines w:val="0"/>
        <w:pageBreakBefore w:val="0"/>
        <w:widowControl w:val="0"/>
        <w:tabs>
          <w:tab w:val="right" w:leader="dot" w:pos="8992"/>
        </w:tabs>
        <w:wordWrap/>
        <w:overflowPunct/>
        <w:topLinePunct w:val="0"/>
        <w:bidi w:val="0"/>
        <w:spacing w:line="500" w:lineRule="exact"/>
        <w:ind w:left="282"/>
        <w:rPr>
          <w:rFonts w:ascii="Arial" w:hAnsi="Arial" w:eastAsia="Arial" w:cs="Arial"/>
          <w:sz w:val="28"/>
          <w:szCs w:val="28"/>
        </w:rPr>
      </w:pPr>
      <w:r>
        <w:fldChar w:fldCharType="begin"/>
      </w:r>
      <w:r>
        <w:instrText xml:space="preserve">HYPERLINK\l"_bookmark100"</w:instrText>
      </w:r>
      <w:r>
        <w:fldChar w:fldCharType="separate"/>
      </w:r>
      <w:r>
        <w:rPr>
          <w:rFonts w:ascii="Arial" w:hAnsi="Arial" w:eastAsia="Arial" w:cs="Arial"/>
          <w:spacing w:val="12"/>
          <w:sz w:val="28"/>
          <w:szCs w:val="28"/>
        </w:rPr>
        <w:t>6</w:t>
      </w:r>
      <w:r>
        <w:rPr>
          <w:rFonts w:ascii="Arial" w:hAnsi="Arial" w:eastAsia="Arial" w:cs="Arial"/>
          <w:spacing w:val="7"/>
          <w:sz w:val="28"/>
          <w:szCs w:val="28"/>
        </w:rPr>
        <w:t>.</w:t>
      </w:r>
      <w:r>
        <w:rPr>
          <w:rFonts w:ascii="Arial" w:hAnsi="Arial" w:eastAsia="Arial" w:cs="Arial"/>
          <w:spacing w:val="6"/>
          <w:sz w:val="28"/>
          <w:szCs w:val="28"/>
        </w:rPr>
        <w:t>1</w:t>
      </w:r>
      <w:r>
        <w:rPr>
          <w:rFonts w:ascii="仿宋" w:hAnsi="仿宋" w:eastAsia="仿宋" w:cs="仿宋"/>
          <w:spacing w:val="6"/>
          <w:sz w:val="28"/>
          <w:szCs w:val="28"/>
        </w:rPr>
        <w:t>新材料产业分析</w:t>
      </w:r>
      <w:r>
        <w:rPr>
          <w:rFonts w:ascii="Arial" w:hAnsi="Arial" w:eastAsia="Arial" w:cs="Arial"/>
          <w:sz w:val="28"/>
          <w:szCs w:val="28"/>
        </w:rPr>
        <w:tab/>
      </w:r>
      <w:r>
        <w:rPr>
          <w:rFonts w:ascii="Arial" w:hAnsi="Arial" w:eastAsia="Arial" w:cs="Arial"/>
          <w:spacing w:val="6"/>
          <w:sz w:val="28"/>
          <w:szCs w:val="28"/>
        </w:rPr>
        <w:t>1</w:t>
      </w:r>
      <w:r>
        <w:rPr>
          <w:rFonts w:hint="eastAsia" w:ascii="Arial" w:hAnsi="Arial" w:eastAsia="Arial" w:cs="Arial"/>
          <w:sz w:val="28"/>
          <w:szCs w:val="28"/>
          <w:lang w:val="en-US" w:eastAsia="zh-CN"/>
        </w:rPr>
        <w:t>87</w:t>
      </w:r>
      <w:r>
        <w:rPr>
          <w:rFonts w:ascii="Arial" w:hAnsi="Arial" w:eastAsia="Arial" w:cs="Arial"/>
          <w:spacing w:val="6"/>
          <w:sz w:val="28"/>
          <w:szCs w:val="28"/>
        </w:rPr>
        <w:fldChar w:fldCharType="end"/>
      </w:r>
    </w:p>
    <w:p w14:paraId="24799DB5">
      <w:pPr>
        <w:keepNext w:val="0"/>
        <w:keepLines w:val="0"/>
        <w:pageBreakBefore w:val="0"/>
        <w:widowControl w:val="0"/>
        <w:tabs>
          <w:tab w:val="right" w:leader="dot" w:pos="8992"/>
        </w:tabs>
        <w:wordWrap/>
        <w:overflowPunct/>
        <w:topLinePunct w:val="0"/>
        <w:bidi w:val="0"/>
        <w:spacing w:line="500" w:lineRule="exact"/>
        <w:ind w:left="282"/>
        <w:rPr>
          <w:rFonts w:ascii="Arial" w:hAnsi="Arial" w:eastAsia="Arial" w:cs="Arial"/>
          <w:sz w:val="28"/>
          <w:szCs w:val="28"/>
        </w:rPr>
      </w:pPr>
      <w:r>
        <w:fldChar w:fldCharType="begin"/>
      </w:r>
      <w:r>
        <w:instrText xml:space="preserve">HYPERLINK\l"_bookmark101"</w:instrText>
      </w:r>
      <w:r>
        <w:fldChar w:fldCharType="separate"/>
      </w:r>
      <w:r>
        <w:rPr>
          <w:rFonts w:ascii="Arial" w:hAnsi="Arial" w:eastAsia="Arial" w:cs="Arial"/>
          <w:spacing w:val="12"/>
          <w:sz w:val="28"/>
          <w:szCs w:val="28"/>
        </w:rPr>
        <w:t>6</w:t>
      </w:r>
      <w:r>
        <w:rPr>
          <w:rFonts w:ascii="Arial" w:hAnsi="Arial" w:eastAsia="Arial" w:cs="Arial"/>
          <w:spacing w:val="7"/>
          <w:sz w:val="28"/>
          <w:szCs w:val="28"/>
        </w:rPr>
        <w:t>.</w:t>
      </w:r>
      <w:r>
        <w:rPr>
          <w:rFonts w:ascii="Arial" w:hAnsi="Arial" w:eastAsia="Arial" w:cs="Arial"/>
          <w:spacing w:val="6"/>
          <w:sz w:val="28"/>
          <w:szCs w:val="28"/>
        </w:rPr>
        <w:t>2</w:t>
      </w:r>
      <w:r>
        <w:rPr>
          <w:rFonts w:ascii="仿宋" w:hAnsi="仿宋" w:eastAsia="仿宋" w:cs="仿宋"/>
          <w:spacing w:val="6"/>
          <w:sz w:val="28"/>
          <w:szCs w:val="28"/>
        </w:rPr>
        <w:t>新材料产业规划</w:t>
      </w:r>
      <w:r>
        <w:rPr>
          <w:rFonts w:ascii="Arial" w:hAnsi="Arial" w:eastAsia="Arial" w:cs="Arial"/>
          <w:sz w:val="28"/>
          <w:szCs w:val="28"/>
        </w:rPr>
        <w:tab/>
      </w:r>
      <w:r>
        <w:rPr>
          <w:rFonts w:ascii="Arial" w:hAnsi="Arial" w:eastAsia="Arial" w:cs="Arial"/>
          <w:spacing w:val="6"/>
          <w:sz w:val="28"/>
          <w:szCs w:val="28"/>
        </w:rPr>
        <w:t>2</w:t>
      </w:r>
      <w:r>
        <w:rPr>
          <w:rFonts w:hint="eastAsia" w:ascii="Arial" w:hAnsi="Arial" w:eastAsia="Arial" w:cs="Arial"/>
          <w:sz w:val="28"/>
          <w:szCs w:val="28"/>
          <w:lang w:val="en-US" w:eastAsia="zh-CN"/>
        </w:rPr>
        <w:t>05</w:t>
      </w:r>
      <w:r>
        <w:rPr>
          <w:rFonts w:ascii="Arial" w:hAnsi="Arial" w:eastAsia="Arial" w:cs="Arial"/>
          <w:spacing w:val="6"/>
          <w:sz w:val="28"/>
          <w:szCs w:val="28"/>
        </w:rPr>
        <w:fldChar w:fldCharType="end"/>
      </w:r>
    </w:p>
    <w:p w14:paraId="7074D013">
      <w:pPr>
        <w:keepNext w:val="0"/>
        <w:keepLines w:val="0"/>
        <w:pageBreakBefore w:val="0"/>
        <w:widowControl w:val="0"/>
        <w:tabs>
          <w:tab w:val="right" w:leader="dot" w:pos="8992"/>
        </w:tabs>
        <w:wordWrap/>
        <w:overflowPunct/>
        <w:topLinePunct w:val="0"/>
        <w:bidi w:val="0"/>
        <w:spacing w:line="500" w:lineRule="exact"/>
        <w:ind w:left="282"/>
        <w:rPr>
          <w:rFonts w:ascii="Arial" w:hAnsi="Arial" w:eastAsia="Arial" w:cs="Arial"/>
          <w:sz w:val="28"/>
          <w:szCs w:val="28"/>
        </w:rPr>
      </w:pPr>
      <w:r>
        <w:fldChar w:fldCharType="begin"/>
      </w:r>
      <w:r>
        <w:instrText xml:space="preserve">HYPERLINK\l"_bookmark102"</w:instrText>
      </w:r>
      <w:r>
        <w:fldChar w:fldCharType="separate"/>
      </w:r>
      <w:r>
        <w:rPr>
          <w:rFonts w:ascii="Arial" w:hAnsi="Arial" w:eastAsia="Arial" w:cs="Arial"/>
          <w:spacing w:val="2"/>
          <w:sz w:val="28"/>
          <w:szCs w:val="28"/>
        </w:rPr>
        <w:t>6</w:t>
      </w:r>
      <w:r>
        <w:rPr>
          <w:rFonts w:ascii="Arial" w:hAnsi="Arial" w:eastAsia="Arial" w:cs="Arial"/>
          <w:spacing w:val="1"/>
          <w:sz w:val="28"/>
          <w:szCs w:val="28"/>
        </w:rPr>
        <w:t>.3</w:t>
      </w:r>
      <w:r>
        <w:rPr>
          <w:rFonts w:ascii="仿宋" w:hAnsi="仿宋" w:eastAsia="仿宋" w:cs="仿宋"/>
          <w:spacing w:val="1"/>
          <w:sz w:val="28"/>
          <w:szCs w:val="28"/>
        </w:rPr>
        <w:t>支撑平台规划</w:t>
      </w:r>
      <w:r>
        <w:rPr>
          <w:rFonts w:ascii="Arial" w:hAnsi="Arial" w:eastAsia="Arial" w:cs="Arial"/>
          <w:sz w:val="28"/>
          <w:szCs w:val="28"/>
        </w:rPr>
        <w:tab/>
      </w:r>
      <w:r>
        <w:rPr>
          <w:rFonts w:hint="eastAsia" w:ascii="Arial" w:hAnsi="Arial" w:eastAsia="Arial" w:cs="Arial"/>
          <w:sz w:val="28"/>
          <w:szCs w:val="28"/>
          <w:lang w:val="en-US" w:eastAsia="zh-CN"/>
        </w:rPr>
        <w:t>214</w:t>
      </w:r>
      <w:r>
        <w:rPr>
          <w:rFonts w:hint="eastAsia" w:ascii="Arial" w:hAnsi="Arial" w:eastAsia="Arial" w:cs="Arial"/>
          <w:sz w:val="28"/>
          <w:szCs w:val="28"/>
          <w:lang w:val="en-US" w:eastAsia="zh-CN"/>
        </w:rPr>
        <w:fldChar w:fldCharType="end"/>
      </w:r>
    </w:p>
    <w:p w14:paraId="06DA5ECF">
      <w:pPr>
        <w:keepNext w:val="0"/>
        <w:keepLines w:val="0"/>
        <w:pageBreakBefore w:val="0"/>
        <w:widowControl w:val="0"/>
        <w:tabs>
          <w:tab w:val="right" w:leader="dot" w:pos="8992"/>
        </w:tabs>
        <w:wordWrap/>
        <w:overflowPunct/>
        <w:topLinePunct w:val="0"/>
        <w:bidi w:val="0"/>
        <w:spacing w:line="500" w:lineRule="exact"/>
        <w:ind w:left="282"/>
        <w:rPr>
          <w:rFonts w:hint="eastAsia" w:ascii="Arial" w:hAnsi="Arial" w:eastAsia="宋体" w:cs="Arial"/>
          <w:sz w:val="28"/>
          <w:szCs w:val="28"/>
          <w:lang w:val="en-US" w:eastAsia="zh-CN"/>
        </w:rPr>
      </w:pPr>
      <w:r>
        <w:fldChar w:fldCharType="begin"/>
      </w:r>
      <w:r>
        <w:instrText xml:space="preserve">HYPERLINK\l"_bookmark103"</w:instrText>
      </w:r>
      <w:r>
        <w:fldChar w:fldCharType="separate"/>
      </w:r>
      <w:r>
        <w:rPr>
          <w:rFonts w:ascii="Arial" w:hAnsi="Arial" w:eastAsia="Arial" w:cs="Arial"/>
          <w:spacing w:val="7"/>
          <w:sz w:val="28"/>
          <w:szCs w:val="28"/>
        </w:rPr>
        <w:t>6</w:t>
      </w:r>
      <w:r>
        <w:rPr>
          <w:rFonts w:ascii="Arial" w:hAnsi="Arial" w:eastAsia="Arial" w:cs="Arial"/>
          <w:spacing w:val="4"/>
          <w:sz w:val="28"/>
          <w:szCs w:val="28"/>
        </w:rPr>
        <w:t>.4</w:t>
      </w:r>
      <w:r>
        <w:rPr>
          <w:rFonts w:ascii="仿宋" w:hAnsi="仿宋" w:eastAsia="仿宋" w:cs="仿宋"/>
          <w:spacing w:val="4"/>
          <w:sz w:val="28"/>
          <w:szCs w:val="28"/>
        </w:rPr>
        <w:t>泉港高新区产业指导目录</w:t>
      </w:r>
      <w:r>
        <w:rPr>
          <w:rFonts w:ascii="Arial" w:hAnsi="Arial" w:eastAsia="Arial" w:cs="Arial"/>
          <w:sz w:val="28"/>
          <w:szCs w:val="28"/>
        </w:rPr>
        <w:tab/>
      </w:r>
      <w:r>
        <w:rPr>
          <w:rFonts w:ascii="Arial" w:hAnsi="Arial" w:eastAsia="Arial" w:cs="Arial"/>
          <w:spacing w:val="4"/>
          <w:sz w:val="28"/>
          <w:szCs w:val="28"/>
        </w:rPr>
        <w:t>2</w:t>
      </w:r>
      <w:r>
        <w:rPr>
          <w:rFonts w:hint="eastAsia" w:ascii="Arial" w:hAnsi="Arial" w:eastAsia="Arial" w:cs="Arial"/>
          <w:sz w:val="28"/>
          <w:szCs w:val="28"/>
          <w:lang w:val="en-US" w:eastAsia="zh-CN"/>
        </w:rPr>
        <w:t>2</w:t>
      </w:r>
      <w:r>
        <w:rPr>
          <w:rFonts w:ascii="Arial" w:hAnsi="Arial" w:eastAsia="Arial" w:cs="Arial"/>
          <w:spacing w:val="4"/>
          <w:sz w:val="28"/>
          <w:szCs w:val="28"/>
        </w:rPr>
        <w:fldChar w:fldCharType="end"/>
      </w:r>
      <w:r>
        <w:rPr>
          <w:rFonts w:hint="eastAsia" w:ascii="Arial" w:hAnsi="Arial" w:eastAsia="宋体" w:cs="Arial"/>
          <w:spacing w:val="4"/>
          <w:sz w:val="28"/>
          <w:szCs w:val="28"/>
          <w:lang w:val="en-US" w:eastAsia="zh-CN"/>
        </w:rPr>
        <w:t>2</w:t>
      </w:r>
    </w:p>
    <w:p w14:paraId="4FB7DAD3">
      <w:pPr>
        <w:keepNext w:val="0"/>
        <w:keepLines w:val="0"/>
        <w:pageBreakBefore w:val="0"/>
        <w:widowControl w:val="0"/>
        <w:tabs>
          <w:tab w:val="right" w:leader="dot" w:pos="8992"/>
        </w:tabs>
        <w:wordWrap/>
        <w:overflowPunct/>
        <w:topLinePunct w:val="0"/>
        <w:bidi w:val="0"/>
        <w:spacing w:line="500" w:lineRule="exact"/>
        <w:rPr>
          <w:rFonts w:ascii="Arial" w:hAnsi="Arial" w:eastAsia="Arial" w:cs="Arial"/>
          <w:sz w:val="28"/>
          <w:szCs w:val="28"/>
        </w:rPr>
      </w:pPr>
      <w:r>
        <w:fldChar w:fldCharType="begin"/>
      </w:r>
      <w:r>
        <w:instrText xml:space="preserve">HYPERLINK\l"_bookmark104"</w:instrText>
      </w:r>
      <w:r>
        <w:fldChar w:fldCharType="separate"/>
      </w:r>
      <w:r>
        <w:rPr>
          <w:rFonts w:ascii="Arial" w:hAnsi="Arial" w:eastAsia="Arial" w:cs="Arial"/>
          <w:b/>
          <w:bCs/>
          <w:spacing w:val="12"/>
          <w:sz w:val="28"/>
          <w:szCs w:val="28"/>
        </w:rPr>
        <w:t>7</w:t>
      </w:r>
      <w:r>
        <w:rPr>
          <w:rFonts w:ascii="仿宋" w:hAnsi="仿宋" w:eastAsia="仿宋" w:cs="仿宋"/>
          <w:spacing w:val="6"/>
          <w:sz w:val="28"/>
          <w:szCs w:val="28"/>
        </w:rPr>
        <w:t>泉港高新区规划效果分析</w:t>
      </w:r>
      <w:r>
        <w:rPr>
          <w:rFonts w:ascii="Arial" w:hAnsi="Arial" w:eastAsia="Arial" w:cs="Arial"/>
          <w:b/>
          <w:bCs/>
          <w:sz w:val="28"/>
          <w:szCs w:val="28"/>
        </w:rPr>
        <w:tab/>
      </w:r>
      <w:r>
        <w:rPr>
          <w:rFonts w:ascii="Arial" w:hAnsi="Arial" w:eastAsia="Arial" w:cs="Arial"/>
          <w:b/>
          <w:bCs/>
          <w:spacing w:val="6"/>
          <w:sz w:val="28"/>
          <w:szCs w:val="28"/>
        </w:rPr>
        <w:t>22</w:t>
      </w:r>
      <w:r>
        <w:rPr>
          <w:rFonts w:hint="eastAsia" w:ascii="Arial" w:hAnsi="Arial" w:eastAsia="Arial" w:cs="Arial"/>
          <w:b/>
          <w:bCs/>
          <w:spacing w:val="8"/>
          <w:sz w:val="28"/>
          <w:szCs w:val="28"/>
          <w:lang w:val="en-US" w:eastAsia="zh-CN"/>
        </w:rPr>
        <w:t>2</w:t>
      </w:r>
      <w:r>
        <w:rPr>
          <w:rFonts w:ascii="Arial" w:hAnsi="Arial" w:eastAsia="Arial" w:cs="Arial"/>
          <w:b/>
          <w:bCs/>
          <w:spacing w:val="6"/>
          <w:sz w:val="28"/>
          <w:szCs w:val="28"/>
        </w:rPr>
        <w:fldChar w:fldCharType="end"/>
      </w:r>
    </w:p>
    <w:p w14:paraId="3D9C4693">
      <w:pPr>
        <w:keepNext w:val="0"/>
        <w:keepLines w:val="0"/>
        <w:pageBreakBefore w:val="0"/>
        <w:widowControl w:val="0"/>
        <w:tabs>
          <w:tab w:val="right" w:leader="dot" w:pos="8992"/>
        </w:tabs>
        <w:wordWrap/>
        <w:overflowPunct/>
        <w:topLinePunct w:val="0"/>
        <w:bidi w:val="0"/>
        <w:spacing w:line="500" w:lineRule="exact"/>
        <w:ind w:left="284"/>
        <w:rPr>
          <w:rFonts w:ascii="Arial" w:hAnsi="Arial" w:eastAsia="Arial" w:cs="Arial"/>
          <w:sz w:val="28"/>
          <w:szCs w:val="28"/>
        </w:rPr>
      </w:pPr>
      <w:r>
        <w:fldChar w:fldCharType="begin"/>
      </w:r>
      <w:r>
        <w:instrText xml:space="preserve">HYPERLINK\l"_bookmark105"</w:instrText>
      </w:r>
      <w:r>
        <w:fldChar w:fldCharType="separate"/>
      </w:r>
      <w:r>
        <w:rPr>
          <w:rFonts w:ascii="Arial" w:hAnsi="Arial" w:eastAsia="Arial" w:cs="Arial"/>
          <w:spacing w:val="2"/>
          <w:sz w:val="28"/>
          <w:szCs w:val="28"/>
        </w:rPr>
        <w:t>7.1</w:t>
      </w:r>
      <w:r>
        <w:rPr>
          <w:rFonts w:ascii="仿宋" w:hAnsi="仿宋" w:eastAsia="仿宋" w:cs="仿宋"/>
          <w:spacing w:val="2"/>
          <w:sz w:val="28"/>
          <w:szCs w:val="28"/>
        </w:rPr>
        <w:t>经济效益</w:t>
      </w:r>
      <w:r>
        <w:rPr>
          <w:rFonts w:ascii="Arial" w:hAnsi="Arial" w:eastAsia="Arial" w:cs="Arial"/>
          <w:sz w:val="28"/>
          <w:szCs w:val="28"/>
        </w:rPr>
        <w:tab/>
      </w:r>
      <w:r>
        <w:rPr>
          <w:rFonts w:ascii="Arial" w:hAnsi="Arial" w:eastAsia="Arial" w:cs="Arial"/>
          <w:spacing w:val="2"/>
          <w:sz w:val="28"/>
          <w:szCs w:val="28"/>
        </w:rPr>
        <w:t>2</w:t>
      </w:r>
      <w:r>
        <w:rPr>
          <w:rFonts w:hint="eastAsia" w:ascii="Arial" w:hAnsi="Arial" w:eastAsia="Arial" w:cs="Arial"/>
          <w:sz w:val="28"/>
          <w:szCs w:val="28"/>
          <w:lang w:val="en-US" w:eastAsia="zh-CN"/>
        </w:rPr>
        <w:t>25</w:t>
      </w:r>
      <w:r>
        <w:rPr>
          <w:rFonts w:ascii="Arial" w:hAnsi="Arial" w:eastAsia="Arial" w:cs="Arial"/>
          <w:spacing w:val="1"/>
          <w:sz w:val="28"/>
          <w:szCs w:val="28"/>
        </w:rPr>
        <w:fldChar w:fldCharType="end"/>
      </w:r>
    </w:p>
    <w:p w14:paraId="46F1B5EE">
      <w:pPr>
        <w:keepNext w:val="0"/>
        <w:keepLines w:val="0"/>
        <w:pageBreakBefore w:val="0"/>
        <w:widowControl w:val="0"/>
        <w:tabs>
          <w:tab w:val="right" w:leader="dot" w:pos="8992"/>
        </w:tabs>
        <w:wordWrap/>
        <w:overflowPunct/>
        <w:topLinePunct w:val="0"/>
        <w:bidi w:val="0"/>
        <w:spacing w:line="500" w:lineRule="exact"/>
        <w:ind w:left="284"/>
        <w:rPr>
          <w:rFonts w:ascii="Arial" w:hAnsi="Arial" w:eastAsia="Arial" w:cs="Arial"/>
          <w:sz w:val="28"/>
          <w:szCs w:val="28"/>
        </w:rPr>
      </w:pPr>
      <w:r>
        <w:fldChar w:fldCharType="begin"/>
      </w:r>
      <w:r>
        <w:instrText xml:space="preserve">HYPERLINK\l"_bookmark106"</w:instrText>
      </w:r>
      <w:r>
        <w:fldChar w:fldCharType="separate"/>
      </w:r>
      <w:r>
        <w:rPr>
          <w:rFonts w:ascii="Arial" w:hAnsi="Arial" w:eastAsia="Arial" w:cs="Arial"/>
          <w:spacing w:val="11"/>
          <w:sz w:val="28"/>
          <w:szCs w:val="28"/>
        </w:rPr>
        <w:t>7</w:t>
      </w:r>
      <w:r>
        <w:rPr>
          <w:rFonts w:ascii="Arial" w:hAnsi="Arial" w:eastAsia="Arial" w:cs="Arial"/>
          <w:spacing w:val="9"/>
          <w:sz w:val="28"/>
          <w:szCs w:val="28"/>
        </w:rPr>
        <w:t>.2</w:t>
      </w:r>
      <w:r>
        <w:rPr>
          <w:rFonts w:ascii="仿宋" w:hAnsi="仿宋" w:eastAsia="仿宋" w:cs="仿宋"/>
          <w:spacing w:val="9"/>
          <w:sz w:val="28"/>
          <w:szCs w:val="28"/>
        </w:rPr>
        <w:t>社会效益</w:t>
      </w:r>
      <w:r>
        <w:rPr>
          <w:rFonts w:ascii="Arial" w:hAnsi="Arial" w:eastAsia="Arial" w:cs="Arial"/>
          <w:sz w:val="28"/>
          <w:szCs w:val="28"/>
        </w:rPr>
        <w:tab/>
      </w:r>
      <w:r>
        <w:rPr>
          <w:rFonts w:ascii="Arial" w:hAnsi="Arial" w:eastAsia="Arial" w:cs="Arial"/>
          <w:spacing w:val="9"/>
          <w:sz w:val="28"/>
          <w:szCs w:val="28"/>
        </w:rPr>
        <w:t>2</w:t>
      </w:r>
      <w:r>
        <w:rPr>
          <w:rFonts w:hint="eastAsia" w:ascii="Arial" w:hAnsi="Arial" w:eastAsia="Arial" w:cs="Arial"/>
          <w:sz w:val="28"/>
          <w:szCs w:val="28"/>
          <w:lang w:val="en-US" w:eastAsia="zh-CN"/>
        </w:rPr>
        <w:t>23</w:t>
      </w:r>
      <w:r>
        <w:rPr>
          <w:rFonts w:ascii="Arial" w:hAnsi="Arial" w:eastAsia="Arial" w:cs="Arial"/>
          <w:spacing w:val="9"/>
          <w:sz w:val="28"/>
          <w:szCs w:val="28"/>
        </w:rPr>
        <w:fldChar w:fldCharType="end"/>
      </w:r>
    </w:p>
    <w:p w14:paraId="4E362294">
      <w:pPr>
        <w:keepNext w:val="0"/>
        <w:keepLines w:val="0"/>
        <w:pageBreakBefore w:val="0"/>
        <w:widowControl w:val="0"/>
        <w:tabs>
          <w:tab w:val="right" w:leader="dot" w:pos="8992"/>
        </w:tabs>
        <w:wordWrap/>
        <w:overflowPunct/>
        <w:topLinePunct w:val="0"/>
        <w:bidi w:val="0"/>
        <w:spacing w:line="500" w:lineRule="exact"/>
        <w:rPr>
          <w:rFonts w:ascii="Arial" w:hAnsi="Arial" w:eastAsia="Arial" w:cs="Arial"/>
          <w:sz w:val="28"/>
          <w:szCs w:val="28"/>
        </w:rPr>
      </w:pPr>
      <w:r>
        <w:fldChar w:fldCharType="begin"/>
      </w:r>
      <w:r>
        <w:instrText xml:space="preserve">HYPERLINK\l"_bookmark107"</w:instrText>
      </w:r>
      <w:r>
        <w:fldChar w:fldCharType="separate"/>
      </w:r>
      <w:r>
        <w:rPr>
          <w:rFonts w:ascii="Arial" w:hAnsi="Arial" w:eastAsia="Arial" w:cs="Arial"/>
          <w:b/>
          <w:bCs/>
          <w:spacing w:val="2"/>
          <w:sz w:val="28"/>
          <w:szCs w:val="28"/>
        </w:rPr>
        <w:t>8</w:t>
      </w:r>
      <w:r>
        <w:rPr>
          <w:rFonts w:ascii="仿宋" w:hAnsi="仿宋" w:eastAsia="仿宋" w:cs="仿宋"/>
          <w:spacing w:val="2"/>
          <w:sz w:val="28"/>
          <w:szCs w:val="28"/>
        </w:rPr>
        <w:t>高新区能力发展实</w:t>
      </w:r>
      <w:r>
        <w:rPr>
          <w:rFonts w:ascii="仿宋" w:hAnsi="仿宋" w:eastAsia="仿宋" w:cs="仿宋"/>
          <w:spacing w:val="1"/>
          <w:sz w:val="28"/>
          <w:szCs w:val="28"/>
        </w:rPr>
        <w:t>施计划</w:t>
      </w:r>
      <w:r>
        <w:rPr>
          <w:rFonts w:ascii="Arial" w:hAnsi="Arial" w:eastAsia="Arial" w:cs="Arial"/>
          <w:b/>
          <w:bCs/>
          <w:sz w:val="28"/>
          <w:szCs w:val="28"/>
        </w:rPr>
        <w:tab/>
      </w:r>
      <w:r>
        <w:rPr>
          <w:rFonts w:ascii="Arial" w:hAnsi="Arial" w:eastAsia="Arial" w:cs="Arial"/>
          <w:b/>
          <w:bCs/>
          <w:spacing w:val="1"/>
          <w:sz w:val="28"/>
          <w:szCs w:val="28"/>
        </w:rPr>
        <w:t>22</w:t>
      </w:r>
      <w:r>
        <w:rPr>
          <w:rFonts w:hint="eastAsia" w:ascii="Arial" w:hAnsi="Arial" w:eastAsia="Arial" w:cs="Arial"/>
          <w:b/>
          <w:bCs/>
          <w:spacing w:val="8"/>
          <w:sz w:val="28"/>
          <w:szCs w:val="28"/>
          <w:lang w:val="en-US" w:eastAsia="zh-CN"/>
        </w:rPr>
        <w:t>8</w:t>
      </w:r>
      <w:r>
        <w:rPr>
          <w:rFonts w:ascii="Arial" w:hAnsi="Arial" w:eastAsia="Arial" w:cs="Arial"/>
          <w:b/>
          <w:bCs/>
          <w:spacing w:val="1"/>
          <w:sz w:val="28"/>
          <w:szCs w:val="28"/>
        </w:rPr>
        <w:fldChar w:fldCharType="end"/>
      </w:r>
    </w:p>
    <w:p w14:paraId="22EEAB0D">
      <w:pPr>
        <w:keepNext w:val="0"/>
        <w:keepLines w:val="0"/>
        <w:pageBreakBefore w:val="0"/>
        <w:widowControl w:val="0"/>
        <w:tabs>
          <w:tab w:val="right" w:leader="dot" w:pos="9034"/>
        </w:tabs>
        <w:wordWrap/>
        <w:overflowPunct/>
        <w:topLinePunct w:val="0"/>
        <w:bidi w:val="0"/>
        <w:spacing w:line="500" w:lineRule="exact"/>
        <w:ind w:left="278"/>
        <w:rPr>
          <w:rFonts w:ascii="Arial" w:hAnsi="Arial" w:eastAsia="Arial" w:cs="Arial"/>
          <w:sz w:val="28"/>
          <w:szCs w:val="28"/>
        </w:rPr>
      </w:pPr>
      <w:r>
        <w:rPr>
          <w:rFonts w:ascii="Arial" w:hAnsi="Arial" w:eastAsia="Arial" w:cs="Arial"/>
          <w:spacing w:val="-16"/>
          <w:sz w:val="28"/>
          <w:szCs w:val="28"/>
        </w:rPr>
        <w:t>8</w:t>
      </w:r>
      <w:r>
        <w:rPr>
          <w:rFonts w:ascii="Arial" w:hAnsi="Arial" w:eastAsia="Arial" w:cs="Arial"/>
          <w:spacing w:val="-11"/>
          <w:sz w:val="28"/>
          <w:szCs w:val="28"/>
        </w:rPr>
        <w:t>.1</w:t>
      </w:r>
      <w:r>
        <w:rPr>
          <w:rFonts w:ascii="仿宋" w:hAnsi="仿宋" w:eastAsia="仿宋" w:cs="仿宋"/>
          <w:spacing w:val="-11"/>
          <w:sz w:val="28"/>
          <w:szCs w:val="28"/>
        </w:rPr>
        <w:t>加强组织领导保障</w:t>
      </w:r>
      <w:r>
        <w:rPr>
          <w:rFonts w:ascii="Arial" w:hAnsi="Arial" w:eastAsia="Arial" w:cs="Arial"/>
          <w:sz w:val="28"/>
          <w:szCs w:val="28"/>
        </w:rPr>
        <w:tab/>
      </w:r>
      <w:r>
        <w:fldChar w:fldCharType="begin"/>
      </w:r>
      <w:r>
        <w:instrText xml:space="preserve">HYPERLINK\l"_bookmark108"</w:instrText>
      </w:r>
      <w:r>
        <w:fldChar w:fldCharType="separate"/>
      </w:r>
      <w:r>
        <w:rPr>
          <w:rFonts w:ascii="Arial" w:hAnsi="Arial" w:eastAsia="Arial" w:cs="Arial"/>
          <w:spacing w:val="-11"/>
          <w:sz w:val="28"/>
          <w:szCs w:val="28"/>
        </w:rPr>
        <w:t>2</w:t>
      </w:r>
      <w:r>
        <w:rPr>
          <w:rFonts w:ascii="Arial" w:hAnsi="Arial" w:eastAsia="Arial" w:cs="Arial"/>
          <w:spacing w:val="-11"/>
          <w:sz w:val="28"/>
          <w:szCs w:val="28"/>
        </w:rPr>
        <w:fldChar w:fldCharType="end"/>
      </w:r>
      <w:r>
        <w:rPr>
          <w:rFonts w:hint="eastAsia" w:ascii="Arial" w:hAnsi="Arial" w:eastAsia="Arial" w:cs="Arial"/>
          <w:sz w:val="28"/>
          <w:szCs w:val="28"/>
          <w:lang w:val="en-US" w:eastAsia="zh-CN"/>
        </w:rPr>
        <w:t>28</w:t>
      </w:r>
    </w:p>
    <w:p w14:paraId="4A17718C">
      <w:pPr>
        <w:keepNext w:val="0"/>
        <w:keepLines w:val="0"/>
        <w:pageBreakBefore w:val="0"/>
        <w:widowControl w:val="0"/>
        <w:tabs>
          <w:tab w:val="right" w:leader="dot" w:pos="9034"/>
        </w:tabs>
        <w:wordWrap/>
        <w:overflowPunct/>
        <w:topLinePunct w:val="0"/>
        <w:bidi w:val="0"/>
        <w:spacing w:line="500" w:lineRule="exact"/>
        <w:ind w:left="278"/>
        <w:rPr>
          <w:rFonts w:ascii="Arial" w:hAnsi="Arial" w:eastAsia="Arial" w:cs="Arial"/>
          <w:sz w:val="28"/>
          <w:szCs w:val="28"/>
        </w:rPr>
      </w:pPr>
      <w:r>
        <w:rPr>
          <w:rFonts w:ascii="Arial" w:hAnsi="Arial" w:eastAsia="Arial" w:cs="Arial"/>
          <w:spacing w:val="-9"/>
          <w:sz w:val="28"/>
          <w:szCs w:val="28"/>
        </w:rPr>
        <w:t>8</w:t>
      </w:r>
      <w:r>
        <w:rPr>
          <w:rFonts w:ascii="Arial" w:hAnsi="Arial" w:eastAsia="Arial" w:cs="Arial"/>
          <w:spacing w:val="-7"/>
          <w:sz w:val="28"/>
          <w:szCs w:val="28"/>
        </w:rPr>
        <w:t>.2</w:t>
      </w:r>
      <w:r>
        <w:rPr>
          <w:rFonts w:ascii="仿宋" w:hAnsi="仿宋" w:eastAsia="仿宋" w:cs="仿宋"/>
          <w:spacing w:val="-7"/>
          <w:sz w:val="28"/>
          <w:szCs w:val="28"/>
        </w:rPr>
        <w:t>完善园区政策体系</w:t>
      </w:r>
      <w:r>
        <w:rPr>
          <w:rFonts w:ascii="Arial" w:hAnsi="Arial" w:eastAsia="Arial" w:cs="Arial"/>
          <w:sz w:val="28"/>
          <w:szCs w:val="28"/>
        </w:rPr>
        <w:tab/>
      </w:r>
      <w:r>
        <w:fldChar w:fldCharType="begin"/>
      </w:r>
      <w:r>
        <w:instrText xml:space="preserve">HYPERLINK\l"_bookmark109"</w:instrText>
      </w:r>
      <w:r>
        <w:fldChar w:fldCharType="separate"/>
      </w:r>
      <w:r>
        <w:rPr>
          <w:rFonts w:ascii="Arial" w:hAnsi="Arial" w:eastAsia="Arial" w:cs="Arial"/>
          <w:spacing w:val="-7"/>
          <w:sz w:val="28"/>
          <w:szCs w:val="28"/>
        </w:rPr>
        <w:t>2</w:t>
      </w:r>
      <w:r>
        <w:rPr>
          <w:rFonts w:ascii="Arial" w:hAnsi="Arial" w:eastAsia="Arial" w:cs="Arial"/>
          <w:spacing w:val="-7"/>
          <w:sz w:val="28"/>
          <w:szCs w:val="28"/>
        </w:rPr>
        <w:fldChar w:fldCharType="end"/>
      </w:r>
      <w:r>
        <w:rPr>
          <w:rFonts w:hint="eastAsia" w:ascii="Arial" w:hAnsi="Arial" w:eastAsia="Arial" w:cs="Arial"/>
          <w:sz w:val="28"/>
          <w:szCs w:val="28"/>
          <w:lang w:val="en-US" w:eastAsia="zh-CN"/>
        </w:rPr>
        <w:t>28</w:t>
      </w:r>
    </w:p>
    <w:p w14:paraId="4A7804C4">
      <w:pPr>
        <w:keepNext w:val="0"/>
        <w:keepLines w:val="0"/>
        <w:pageBreakBefore w:val="0"/>
        <w:widowControl w:val="0"/>
        <w:tabs>
          <w:tab w:val="right" w:leader="dot" w:pos="9034"/>
        </w:tabs>
        <w:wordWrap/>
        <w:overflowPunct/>
        <w:topLinePunct w:val="0"/>
        <w:bidi w:val="0"/>
        <w:spacing w:line="500" w:lineRule="exact"/>
        <w:ind w:left="278"/>
        <w:rPr>
          <w:rFonts w:ascii="Arial" w:hAnsi="Arial" w:eastAsia="Arial" w:cs="Arial"/>
          <w:sz w:val="28"/>
          <w:szCs w:val="28"/>
        </w:rPr>
      </w:pPr>
      <w:r>
        <w:rPr>
          <w:rFonts w:ascii="Arial" w:hAnsi="Arial" w:eastAsia="Arial" w:cs="Arial"/>
          <w:spacing w:val="-9"/>
          <w:sz w:val="28"/>
          <w:szCs w:val="28"/>
        </w:rPr>
        <w:t>8</w:t>
      </w:r>
      <w:r>
        <w:rPr>
          <w:rFonts w:ascii="Arial" w:hAnsi="Arial" w:eastAsia="Arial" w:cs="Arial"/>
          <w:spacing w:val="-7"/>
          <w:sz w:val="28"/>
          <w:szCs w:val="28"/>
        </w:rPr>
        <w:t>.3</w:t>
      </w:r>
      <w:r>
        <w:rPr>
          <w:rFonts w:ascii="仿宋" w:hAnsi="仿宋" w:eastAsia="仿宋" w:cs="仿宋"/>
          <w:spacing w:val="-7"/>
          <w:sz w:val="28"/>
          <w:szCs w:val="28"/>
        </w:rPr>
        <w:t>优化土地资源管理</w:t>
      </w:r>
      <w:r>
        <w:rPr>
          <w:rFonts w:ascii="Arial" w:hAnsi="Arial" w:eastAsia="Arial" w:cs="Arial"/>
          <w:sz w:val="28"/>
          <w:szCs w:val="28"/>
        </w:rPr>
        <w:tab/>
      </w:r>
      <w:r>
        <w:fldChar w:fldCharType="begin"/>
      </w:r>
      <w:r>
        <w:instrText xml:space="preserve">HYPERLINK\l"_bookmark110"</w:instrText>
      </w:r>
      <w:r>
        <w:fldChar w:fldCharType="separate"/>
      </w:r>
      <w:r>
        <w:rPr>
          <w:rFonts w:ascii="Arial" w:hAnsi="Arial" w:eastAsia="Arial" w:cs="Arial"/>
          <w:spacing w:val="-7"/>
          <w:sz w:val="28"/>
          <w:szCs w:val="28"/>
        </w:rPr>
        <w:t>2</w:t>
      </w:r>
      <w:r>
        <w:rPr>
          <w:rFonts w:ascii="Arial" w:hAnsi="Arial" w:eastAsia="Arial" w:cs="Arial"/>
          <w:spacing w:val="-7"/>
          <w:sz w:val="28"/>
          <w:szCs w:val="28"/>
        </w:rPr>
        <w:fldChar w:fldCharType="end"/>
      </w:r>
      <w:r>
        <w:rPr>
          <w:rFonts w:hint="eastAsia" w:ascii="Arial" w:hAnsi="Arial" w:eastAsia="Arial" w:cs="Arial"/>
          <w:sz w:val="28"/>
          <w:szCs w:val="28"/>
          <w:lang w:val="en-US" w:eastAsia="zh-CN"/>
        </w:rPr>
        <w:t>28</w:t>
      </w:r>
    </w:p>
    <w:p w14:paraId="27FC0F16">
      <w:pPr>
        <w:keepNext w:val="0"/>
        <w:keepLines w:val="0"/>
        <w:pageBreakBefore w:val="0"/>
        <w:widowControl w:val="0"/>
        <w:tabs>
          <w:tab w:val="right" w:leader="dot" w:pos="9034"/>
        </w:tabs>
        <w:wordWrap/>
        <w:overflowPunct/>
        <w:topLinePunct w:val="0"/>
        <w:bidi w:val="0"/>
        <w:spacing w:line="500" w:lineRule="exact"/>
        <w:ind w:left="278"/>
        <w:rPr>
          <w:rFonts w:ascii="Arial" w:hAnsi="Arial" w:eastAsia="Arial" w:cs="Arial"/>
          <w:sz w:val="28"/>
          <w:szCs w:val="28"/>
        </w:rPr>
      </w:pPr>
      <w:r>
        <w:rPr>
          <w:rFonts w:ascii="Arial" w:hAnsi="Arial" w:eastAsia="Arial" w:cs="Arial"/>
          <w:spacing w:val="-9"/>
          <w:sz w:val="28"/>
          <w:szCs w:val="28"/>
        </w:rPr>
        <w:t>8</w:t>
      </w:r>
      <w:r>
        <w:rPr>
          <w:rFonts w:ascii="Arial" w:hAnsi="Arial" w:eastAsia="Arial" w:cs="Arial"/>
          <w:spacing w:val="-7"/>
          <w:sz w:val="28"/>
          <w:szCs w:val="28"/>
        </w:rPr>
        <w:t>.4</w:t>
      </w:r>
      <w:r>
        <w:rPr>
          <w:rFonts w:ascii="仿宋" w:hAnsi="仿宋" w:eastAsia="仿宋" w:cs="仿宋"/>
          <w:spacing w:val="-7"/>
          <w:sz w:val="28"/>
          <w:szCs w:val="28"/>
        </w:rPr>
        <w:t>强化发展统计工作</w:t>
      </w:r>
      <w:r>
        <w:rPr>
          <w:rFonts w:ascii="Arial" w:hAnsi="Arial" w:eastAsia="Arial" w:cs="Arial"/>
          <w:sz w:val="28"/>
          <w:szCs w:val="28"/>
        </w:rPr>
        <w:tab/>
      </w:r>
      <w:r>
        <w:fldChar w:fldCharType="begin"/>
      </w:r>
      <w:r>
        <w:instrText xml:space="preserve">HYPERLINK\l"_bookmark111"</w:instrText>
      </w:r>
      <w:r>
        <w:fldChar w:fldCharType="separate"/>
      </w:r>
      <w:r>
        <w:rPr>
          <w:rFonts w:ascii="Arial" w:hAnsi="Arial" w:eastAsia="Arial" w:cs="Arial"/>
          <w:spacing w:val="-7"/>
          <w:sz w:val="28"/>
          <w:szCs w:val="28"/>
        </w:rPr>
        <w:t>2</w:t>
      </w:r>
      <w:r>
        <w:rPr>
          <w:rFonts w:ascii="Arial" w:hAnsi="Arial" w:eastAsia="Arial" w:cs="Arial"/>
          <w:spacing w:val="-7"/>
          <w:sz w:val="28"/>
          <w:szCs w:val="28"/>
        </w:rPr>
        <w:fldChar w:fldCharType="end"/>
      </w:r>
      <w:r>
        <w:rPr>
          <w:rFonts w:ascii="Arial" w:hAnsi="Arial" w:eastAsia="Arial" w:cs="Arial"/>
          <w:spacing w:val="-7"/>
          <w:sz w:val="28"/>
          <w:szCs w:val="28"/>
        </w:rPr>
        <w:t>2</w:t>
      </w:r>
      <w:r>
        <w:rPr>
          <w:rFonts w:hint="eastAsia" w:ascii="Arial" w:hAnsi="Arial" w:eastAsia="Arial" w:cs="Arial"/>
          <w:sz w:val="28"/>
          <w:szCs w:val="28"/>
          <w:lang w:val="en-US" w:eastAsia="zh-CN"/>
        </w:rPr>
        <w:t>9</w:t>
      </w:r>
    </w:p>
    <w:p w14:paraId="6D3D91D8">
      <w:pPr>
        <w:keepNext w:val="0"/>
        <w:keepLines w:val="0"/>
        <w:pageBreakBefore w:val="0"/>
        <w:widowControl w:val="0"/>
        <w:tabs>
          <w:tab w:val="right" w:leader="dot" w:pos="9034"/>
        </w:tabs>
        <w:wordWrap/>
        <w:overflowPunct/>
        <w:topLinePunct w:val="0"/>
        <w:bidi w:val="0"/>
        <w:spacing w:line="500" w:lineRule="exact"/>
        <w:ind w:left="278"/>
        <w:rPr>
          <w:rFonts w:hint="eastAsia" w:ascii="Arial" w:hAnsi="Arial" w:eastAsia="宋体" w:cs="Arial"/>
          <w:sz w:val="28"/>
          <w:szCs w:val="28"/>
          <w:lang w:eastAsia="zh-CN"/>
        </w:rPr>
      </w:pPr>
      <w:r>
        <w:rPr>
          <w:rFonts w:ascii="Arial" w:hAnsi="Arial" w:eastAsia="Arial" w:cs="Arial"/>
          <w:spacing w:val="-10"/>
          <w:sz w:val="28"/>
          <w:szCs w:val="28"/>
        </w:rPr>
        <w:t>8</w:t>
      </w:r>
      <w:r>
        <w:rPr>
          <w:rFonts w:ascii="Arial" w:hAnsi="Arial" w:eastAsia="Arial" w:cs="Arial"/>
          <w:spacing w:val="-8"/>
          <w:sz w:val="28"/>
          <w:szCs w:val="28"/>
        </w:rPr>
        <w:t>.</w:t>
      </w:r>
      <w:r>
        <w:rPr>
          <w:rFonts w:ascii="Arial" w:hAnsi="Arial" w:eastAsia="Arial" w:cs="Arial"/>
          <w:spacing w:val="-5"/>
          <w:sz w:val="28"/>
          <w:szCs w:val="28"/>
        </w:rPr>
        <w:t>5</w:t>
      </w:r>
      <w:r>
        <w:rPr>
          <w:rFonts w:ascii="仿宋" w:hAnsi="仿宋" w:eastAsia="仿宋" w:cs="仿宋"/>
          <w:spacing w:val="-5"/>
          <w:sz w:val="28"/>
          <w:szCs w:val="28"/>
        </w:rPr>
        <w:t>创新招商模式、加速项目落地</w:t>
      </w:r>
      <w:r>
        <w:rPr>
          <w:rFonts w:ascii="Arial" w:hAnsi="Arial" w:eastAsia="Arial" w:cs="Arial"/>
          <w:sz w:val="28"/>
          <w:szCs w:val="28"/>
        </w:rPr>
        <w:tab/>
      </w:r>
      <w:r>
        <w:fldChar w:fldCharType="begin"/>
      </w:r>
      <w:r>
        <w:instrText xml:space="preserve">HYPERLINK\l"_bookmark112"</w:instrText>
      </w:r>
      <w:r>
        <w:fldChar w:fldCharType="separate"/>
      </w:r>
      <w:r>
        <w:rPr>
          <w:rFonts w:ascii="Arial" w:hAnsi="Arial" w:eastAsia="Arial" w:cs="Arial"/>
          <w:spacing w:val="-5"/>
          <w:sz w:val="28"/>
          <w:szCs w:val="28"/>
        </w:rPr>
        <w:t>2</w:t>
      </w:r>
      <w:r>
        <w:rPr>
          <w:rFonts w:ascii="Arial" w:hAnsi="Arial" w:eastAsia="Arial" w:cs="Arial"/>
          <w:spacing w:val="-5"/>
          <w:sz w:val="28"/>
          <w:szCs w:val="28"/>
        </w:rPr>
        <w:fldChar w:fldCharType="end"/>
      </w:r>
      <w:r>
        <w:rPr>
          <w:rFonts w:ascii="Arial" w:hAnsi="Arial" w:eastAsia="Arial" w:cs="Arial"/>
          <w:spacing w:val="-5"/>
          <w:sz w:val="28"/>
          <w:szCs w:val="28"/>
        </w:rPr>
        <w:t>2</w:t>
      </w:r>
      <w:r>
        <w:rPr>
          <w:rFonts w:hint="eastAsia" w:ascii="Arial" w:hAnsi="Arial" w:eastAsia="宋体" w:cs="Arial"/>
          <w:spacing w:val="-5"/>
          <w:sz w:val="28"/>
          <w:szCs w:val="28"/>
          <w:lang w:val="en-US" w:eastAsia="zh-CN"/>
        </w:rPr>
        <w:t>9</w:t>
      </w:r>
    </w:p>
    <w:p w14:paraId="017BC3F0">
      <w:pPr>
        <w:keepNext w:val="0"/>
        <w:keepLines w:val="0"/>
        <w:pageBreakBefore w:val="0"/>
        <w:widowControl w:val="0"/>
        <w:tabs>
          <w:tab w:val="right" w:leader="dot" w:pos="9034"/>
        </w:tabs>
        <w:wordWrap/>
        <w:overflowPunct/>
        <w:topLinePunct w:val="0"/>
        <w:bidi w:val="0"/>
        <w:spacing w:line="500" w:lineRule="exact"/>
        <w:ind w:left="278"/>
        <w:rPr>
          <w:rFonts w:hint="eastAsia" w:ascii="Arial" w:hAnsi="Arial" w:eastAsia="宋体" w:cs="Arial"/>
          <w:sz w:val="28"/>
          <w:szCs w:val="28"/>
          <w:lang w:eastAsia="zh-CN"/>
        </w:rPr>
      </w:pPr>
      <w:r>
        <w:rPr>
          <w:rFonts w:ascii="Arial" w:hAnsi="Arial" w:eastAsia="Arial" w:cs="Arial"/>
          <w:spacing w:val="-8"/>
          <w:sz w:val="28"/>
          <w:szCs w:val="28"/>
        </w:rPr>
        <w:t>8.6</w:t>
      </w:r>
      <w:r>
        <w:rPr>
          <w:rFonts w:ascii="仿宋" w:hAnsi="仿宋" w:eastAsia="仿宋" w:cs="仿宋"/>
          <w:spacing w:val="-4"/>
          <w:sz w:val="28"/>
          <w:szCs w:val="28"/>
        </w:rPr>
        <w:t>广泛宣传，积极引进国内外高水平项目</w:t>
      </w:r>
      <w:r>
        <w:rPr>
          <w:rFonts w:ascii="Arial" w:hAnsi="Arial" w:eastAsia="Arial" w:cs="Arial"/>
          <w:sz w:val="28"/>
          <w:szCs w:val="28"/>
        </w:rPr>
        <w:tab/>
      </w:r>
      <w:r>
        <w:fldChar w:fldCharType="begin"/>
      </w:r>
      <w:r>
        <w:instrText xml:space="preserve">HYPERLINK\l"_bookmark113"</w:instrText>
      </w:r>
      <w:r>
        <w:fldChar w:fldCharType="separate"/>
      </w:r>
      <w:r>
        <w:rPr>
          <w:rFonts w:ascii="Arial" w:hAnsi="Arial" w:eastAsia="Arial" w:cs="Arial"/>
          <w:spacing w:val="-4"/>
          <w:sz w:val="28"/>
          <w:szCs w:val="28"/>
        </w:rPr>
        <w:t>2</w:t>
      </w:r>
      <w:r>
        <w:rPr>
          <w:rFonts w:ascii="Arial" w:hAnsi="Arial" w:eastAsia="Arial" w:cs="Arial"/>
          <w:spacing w:val="-4"/>
          <w:sz w:val="28"/>
          <w:szCs w:val="28"/>
        </w:rPr>
        <w:fldChar w:fldCharType="end"/>
      </w:r>
      <w:r>
        <w:rPr>
          <w:rFonts w:ascii="Arial" w:hAnsi="Arial" w:eastAsia="Arial" w:cs="Arial"/>
          <w:spacing w:val="-4"/>
          <w:sz w:val="28"/>
          <w:szCs w:val="28"/>
        </w:rPr>
        <w:t>2</w:t>
      </w:r>
      <w:r>
        <w:rPr>
          <w:rFonts w:hint="eastAsia" w:ascii="Arial" w:hAnsi="Arial" w:eastAsia="宋体" w:cs="Arial"/>
          <w:spacing w:val="-4"/>
          <w:sz w:val="28"/>
          <w:szCs w:val="28"/>
          <w:lang w:val="en-US" w:eastAsia="zh-CN"/>
        </w:rPr>
        <w:t>9</w:t>
      </w:r>
    </w:p>
    <w:p w14:paraId="4E9CFBA4">
      <w:pPr>
        <w:keepNext w:val="0"/>
        <w:keepLines w:val="0"/>
        <w:pageBreakBefore w:val="0"/>
        <w:widowControl w:val="0"/>
        <w:tabs>
          <w:tab w:val="right" w:leader="dot" w:pos="9034"/>
        </w:tabs>
        <w:wordWrap/>
        <w:overflowPunct/>
        <w:topLinePunct w:val="0"/>
        <w:bidi w:val="0"/>
        <w:spacing w:line="500" w:lineRule="exact"/>
        <w:ind w:left="278"/>
        <w:rPr>
          <w:rFonts w:hint="default" w:ascii="Arial" w:hAnsi="Arial" w:eastAsia="宋体" w:cs="Arial"/>
          <w:spacing w:val="-5"/>
          <w:sz w:val="28"/>
          <w:szCs w:val="28"/>
          <w:lang w:val="en-US" w:eastAsia="zh-CN"/>
        </w:rPr>
      </w:pPr>
      <w:r>
        <w:rPr>
          <w:rFonts w:ascii="Arial" w:hAnsi="Arial" w:eastAsia="Arial" w:cs="Arial"/>
          <w:spacing w:val="-10"/>
          <w:sz w:val="28"/>
          <w:szCs w:val="28"/>
        </w:rPr>
        <w:t>8</w:t>
      </w:r>
      <w:r>
        <w:rPr>
          <w:rFonts w:ascii="Arial" w:hAnsi="Arial" w:eastAsia="Arial" w:cs="Arial"/>
          <w:spacing w:val="-8"/>
          <w:sz w:val="28"/>
          <w:szCs w:val="28"/>
        </w:rPr>
        <w:t>.</w:t>
      </w:r>
      <w:r>
        <w:rPr>
          <w:rFonts w:ascii="Arial" w:hAnsi="Arial" w:eastAsia="Arial" w:cs="Arial"/>
          <w:spacing w:val="-5"/>
          <w:sz w:val="28"/>
          <w:szCs w:val="28"/>
        </w:rPr>
        <w:t>7</w:t>
      </w:r>
      <w:r>
        <w:rPr>
          <w:rFonts w:ascii="仿宋" w:hAnsi="仿宋" w:eastAsia="仿宋" w:cs="仿宋"/>
          <w:spacing w:val="-5"/>
          <w:sz w:val="28"/>
          <w:szCs w:val="28"/>
        </w:rPr>
        <w:t>严格实施环境管理和清洁生产</w:t>
      </w:r>
      <w:r>
        <w:rPr>
          <w:rFonts w:ascii="Arial" w:hAnsi="Arial" w:eastAsia="Arial" w:cs="Arial"/>
          <w:sz w:val="28"/>
          <w:szCs w:val="28"/>
        </w:rPr>
        <w:tab/>
      </w:r>
      <w:r>
        <w:fldChar w:fldCharType="begin"/>
      </w:r>
      <w:r>
        <w:instrText xml:space="preserve">HYPERLINK\l"_bookmark114"</w:instrText>
      </w:r>
      <w:r>
        <w:fldChar w:fldCharType="separate"/>
      </w:r>
      <w:r>
        <w:rPr>
          <w:rFonts w:ascii="Arial" w:hAnsi="Arial" w:eastAsia="Arial" w:cs="Arial"/>
          <w:spacing w:val="-5"/>
          <w:sz w:val="28"/>
          <w:szCs w:val="28"/>
        </w:rPr>
        <w:t>2</w:t>
      </w:r>
      <w:r>
        <w:rPr>
          <w:rFonts w:ascii="Arial" w:hAnsi="Arial" w:eastAsia="Arial" w:cs="Arial"/>
          <w:spacing w:val="-5"/>
          <w:sz w:val="28"/>
          <w:szCs w:val="28"/>
        </w:rPr>
        <w:fldChar w:fldCharType="end"/>
      </w:r>
      <w:r>
        <w:rPr>
          <w:rFonts w:hint="eastAsia" w:ascii="Arial" w:hAnsi="Arial" w:eastAsia="宋体" w:cs="Arial"/>
          <w:spacing w:val="-5"/>
          <w:sz w:val="28"/>
          <w:szCs w:val="28"/>
          <w:lang w:val="en-US" w:eastAsia="zh-CN"/>
        </w:rPr>
        <w:t>30</w:t>
      </w:r>
    </w:p>
    <w:p w14:paraId="3113678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5F93193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CB904D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1C3D406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7E7E8FA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9A6F18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38518C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466C2B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78123B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7A6117E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5E774E1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EB2817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8A176C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0D6A55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1207A88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113789F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1概述</w:t>
      </w:r>
    </w:p>
    <w:p w14:paraId="2F97116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93F046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1.1规划背景</w:t>
      </w:r>
    </w:p>
    <w:p w14:paraId="2621752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泉州市发挥民营经济优势，抓住国内区域间产业转移、国际产业转移和要素重组的历史发展机遇，大力推进工业化，迅速扩大产业规模，形成了纺织鞋服、建筑建材、工艺制品、食品饮料、机械制造等五大传统优势产业和石油化工、电子信息、汽车及配件、生物医药、修船造船等五个新兴产业，奠定了建立先进制造业基地的良好基础。在现代服务业、数字经济等领域持续发力，主动对接制造升级，推动以新产业、新技术、新业态和新模式为代表的新经济发展。</w:t>
      </w:r>
    </w:p>
    <w:p w14:paraId="650D11C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隶属于福建省泉州市，位于福建省沿海中部的湄洲湾南岸，原系惠北地区，与惠安、仙游、莆田接壤，并与台湾隔海相望，北距上海港510海里，南望黄埔港540海里，东至基隆港174海里，是东南海上航线的辐射中心。</w:t>
      </w:r>
    </w:p>
    <w:p w14:paraId="0E32562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区是中国能源之都、中国长寿之乡、中国石油化工名城、中国北管古乐故乡。泉港是国家级产城融合示范区、国家循环经济示范试点园区，是福建省十大新增长区域、千亿产业基地之一，连续5年蝉联中国化工园区前20强，是当前福建公用配套最齐全、物流条件最优越、产业生态最成熟的石化基地。泉港以港口物流为依托，以石化产业为支撑，具备优良的投资环境。2018年11月，入选2018年工业百强区。</w:t>
      </w:r>
    </w:p>
    <w:p w14:paraId="4BE6490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泉港新材料高新技术产业园区(以下简称“泉港高新区”)，原名普安高新技术开发区，成立于2002年5月，位于泉港区城市西南。2016年，泉港高新区获批，被纳入泉州国家高新区“一区九园”管理。经过多年的发展，泉港高新区成为全国科技进步先进区、科普示范区、全区经济发展新的增长极。</w:t>
      </w:r>
    </w:p>
    <w:p w14:paraId="3D5966E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规划将在充分研究国内外经济发展形势、高新区发展特点趋势和技术、市场等发展现状的基础上，针对泉港高新区的各项条件及区域相关产业，提出泉港高新区产业发展定位、发展目标和重点方向，引导产业投资，并为高新区总体发展规划的编制提供产业依据。</w:t>
      </w:r>
    </w:p>
    <w:p w14:paraId="6475798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1.2规划必要性和意义</w:t>
      </w:r>
    </w:p>
    <w:p w14:paraId="09437DB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1.2.1推进科学发展跨越发展的需要</w:t>
      </w:r>
    </w:p>
    <w:p w14:paraId="2EE0480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党的十八大以来，习近平总书记多次就福建工作作出重要指示，殷切希望福建实现更好更快发展。福建省基础设施体系基本具备，产业发展有潜力；拥有对台、海洋、生态三大优势，具有实现竞争力转化的基础；体制机制活力大大增强，具有改善市场环境的动能。而且，经历三十余年改革开放进程，福建正从一个相对封闭的经济体系，发展成为一个开放的经济体系，能够在更广阔空间实现资源合理配置。</w:t>
      </w:r>
    </w:p>
    <w:p w14:paraId="5BCCE08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内当前区域竞争和市场竞争日益激烈，亟须找准适应经济“新常态”的发展模式。审视泉港高新区，产业结构长期偏轻，龙头企业数量少、带动弱，产业集中度偏低，整体竞争力还不够强。从未来发展来看，亟须把进一步加快科学发展跨越发展作为今后几年高新区的核心工作。通过做强做大产业、优化结构、改善民生、融合发展，努力实现结构、质量、速度、环境的协调发展，这是当前较为迫切的任务。</w:t>
      </w:r>
    </w:p>
    <w:p w14:paraId="5EFC51E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1.2.2指导泉港高新区建设的需要</w:t>
      </w:r>
    </w:p>
    <w:p w14:paraId="2DC7CAC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区是泉州地区工业企业的重要聚集区，是泉州市工业经济发展的主战场，通过多年的努力，在市委、市政府的正确领导和职能部门的支持下，泉州高新区发展态势良好，但是随着国家对城乡规划、土地利用等方面的督查和追责力度不断加大，未来高新区发展将面临更多的制约因素和困难。目前，高新区虽然对四种规划体系(一是城市总体规划、城市空间发展战略规划；二是发改委体系中的城市产业发展规划；三是国土体系中的土地利用总体规划；四是城市给水、排水、道路、供电、燃气等专项规划)都有相关内容和布局安排，但这些规划都只是站在自身的体系中，高新区的规划只是其中一个组成部分，急需产业规划和总体规划统筹指导园区的基础设施建设。</w:t>
      </w:r>
    </w:p>
    <w:p w14:paraId="0930100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1.2.3有助于拓展发展空间</w:t>
      </w:r>
    </w:p>
    <w:p w14:paraId="0A89BA2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一带一路”是我国在新形势下提出的一项稳定中国经济、形成新的经济增长极的重要战略。作为世界上跨度最长的经济大走廊，“一带一路”沿线有44亿人口、26个国家地区、21万亿美元的经济规模，且集中了俄罗斯、中亚和中东等重要的油气资源供应地区以及亚洲地区主要的化工产品消费地区。因此，“一带一路”的建设，将促进区内供需方以及过境国之间构建全方位资源、技术、资金和市场等多种元素融合的新型合作机制，形成世界上供应链和产业链合作程度最广、最深的石化产业合作局面。</w:t>
      </w:r>
    </w:p>
    <w:p w14:paraId="522D77E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作为海上丝绸之路的起点，丝绸之路经济带建设给泉港经济快速发展带来了千载难逢的历史机遇，拓展发展空间，助其成为海上丝绸之路核心区的重要城市和海上丝绸之路国际枢纽港，成为我国面向东南亚、南亚、中东、非洲等国家和地区开放合作的新门户、新高地，具备了发展外向型经济的条件。</w:t>
      </w:r>
    </w:p>
    <w:p w14:paraId="1E83907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一带一路”建设将促进构建全方位资源、技术、资金和市场等多种元素融合的新型合作机制，形成世界上供应链、产业链合作程度最广、最深的石化产业合作局面，为泉港树立大市场、大合作的新理念，推进国际合作提供了良好的机遇和平台。</w:t>
      </w:r>
    </w:p>
    <w:p w14:paraId="72F8FE8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1.2.4参与国际竞争、谋求更全面开放的重要选择</w:t>
      </w:r>
    </w:p>
    <w:p w14:paraId="4AB1A01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当前，新一轮科技和产业革命蓬勃兴起，信息技术与制造业快速融合，以产业集群为整体发展区域经济，构成了全球经济的基本空间框架。国与国之间的竞争更多地表现在区域的竞争力方面，而区域的核心竞争力则往往集中在地方的产业集群上。</w:t>
      </w:r>
    </w:p>
    <w:p w14:paraId="23CDB51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建设泉港高新区有助于带动泉州市参与国际竞争，在新一轮国际竞争中提升自身创新力和吸引力。</w:t>
      </w:r>
    </w:p>
    <w:p w14:paraId="7DD2E59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1.3规划时限</w:t>
      </w:r>
    </w:p>
    <w:p w14:paraId="445BBF9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规划按照“统一规划，分期实施，远近结合，灵活调整”的原则，规划时限为2018-2035年。其中：近期：2018-2025年；中期：2026-2030年；远期：2031-2035年。</w:t>
      </w:r>
    </w:p>
    <w:p w14:paraId="099FD37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1.4编制依据</w:t>
      </w:r>
    </w:p>
    <w:p w14:paraId="4B7BD13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0" name="图片 3"/>
            <wp:cNvGraphicFramePr/>
            <a:graphic xmlns:a="http://schemas.openxmlformats.org/drawingml/2006/main">
              <a:graphicData uri="http://schemas.openxmlformats.org/drawingml/2006/picture">
                <pic:pic xmlns:pic="http://schemas.openxmlformats.org/drawingml/2006/picture">
                  <pic:nvPicPr>
                    <pic:cNvPr id="80" name="图片 3"/>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《中华人民共和国国民经济和社会发展第十三个五年规划纲要》；</w:t>
      </w:r>
    </w:p>
    <w:p w14:paraId="71F8DBB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1" name="图片 4"/>
            <wp:cNvGraphicFramePr/>
            <a:graphic xmlns:a="http://schemas.openxmlformats.org/drawingml/2006/main">
              <a:graphicData uri="http://schemas.openxmlformats.org/drawingml/2006/picture">
                <pic:pic xmlns:pic="http://schemas.openxmlformats.org/drawingml/2006/picture">
                  <pic:nvPicPr>
                    <pic:cNvPr id="81" name="图片 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《国家中长期科学和技术发展规划纲要(2006-2020年)》(国发〔2005〕44号)；</w:t>
      </w:r>
    </w:p>
    <w:p w14:paraId="6595347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2" name="图片 5"/>
            <wp:cNvGraphicFramePr/>
            <a:graphic xmlns:a="http://schemas.openxmlformats.org/drawingml/2006/main">
              <a:graphicData uri="http://schemas.openxmlformats.org/drawingml/2006/picture">
                <pic:pic xmlns:pic="http://schemas.openxmlformats.org/drawingml/2006/picture">
                  <pic:nvPicPr>
                    <pic:cNvPr id="82" name="图片 5"/>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《关于促进国家高新技术产业开发区进一步发展增强自主创新能力的若干意见》；</w:t>
      </w:r>
    </w:p>
    <w:p w14:paraId="1BB5764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3" name="图片 6"/>
            <wp:cNvGraphicFramePr/>
            <a:graphic xmlns:a="http://schemas.openxmlformats.org/drawingml/2006/main">
              <a:graphicData uri="http://schemas.openxmlformats.org/drawingml/2006/picture">
                <pic:pic xmlns:pic="http://schemas.openxmlformats.org/drawingml/2006/picture">
                  <pic:nvPicPr>
                    <pic:cNvPr id="83" name="图片 6"/>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《国务院办公厅关于促进开发区改革和创新发展的若干意见》；</w:t>
      </w:r>
    </w:p>
    <w:p w14:paraId="64D2E5B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4" name="图片 7"/>
            <wp:cNvGraphicFramePr/>
            <a:graphic xmlns:a="http://schemas.openxmlformats.org/drawingml/2006/main">
              <a:graphicData uri="http://schemas.openxmlformats.org/drawingml/2006/picture">
                <pic:pic xmlns:pic="http://schemas.openxmlformats.org/drawingml/2006/picture">
                  <pic:nvPicPr>
                    <pic:cNvPr id="84" name="图片 7"/>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《国家高新技术产业开发区“十三五”发展规划》；</w:t>
      </w:r>
    </w:p>
    <w:p w14:paraId="66C8FF0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5" name="图片 8"/>
            <wp:cNvGraphicFramePr/>
            <a:graphic xmlns:a="http://schemas.openxmlformats.org/drawingml/2006/main">
              <a:graphicData uri="http://schemas.openxmlformats.org/drawingml/2006/picture">
                <pic:pic xmlns:pic="http://schemas.openxmlformats.org/drawingml/2006/picture">
                  <pic:nvPicPr>
                    <pic:cNvPr id="85" name="图片 8"/>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《“十三五”生态环境保护规划》(国发〔2016〕65号)；</w:t>
      </w:r>
    </w:p>
    <w:p w14:paraId="3EA72DC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6" name="图片 9"/>
            <wp:cNvGraphicFramePr/>
            <a:graphic xmlns:a="http://schemas.openxmlformats.org/drawingml/2006/main">
              <a:graphicData uri="http://schemas.openxmlformats.org/drawingml/2006/picture">
                <pic:pic xmlns:pic="http://schemas.openxmlformats.org/drawingml/2006/picture">
                  <pic:nvPicPr>
                    <pic:cNvPr id="86" name="图片 9"/>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《中国制造2025》(国发〔2015〕28号)；</w:t>
      </w:r>
    </w:p>
    <w:p w14:paraId="75C6A5C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7" name="图片 10"/>
            <wp:cNvGraphicFramePr/>
            <a:graphic xmlns:a="http://schemas.openxmlformats.org/drawingml/2006/main">
              <a:graphicData uri="http://schemas.openxmlformats.org/drawingml/2006/picture">
                <pic:pic xmlns:pic="http://schemas.openxmlformats.org/drawingml/2006/picture">
                  <pic:nvPicPr>
                    <pic:cNvPr id="87" name="图片 10"/>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《中国制造2025重点领域技术路线图》；</w:t>
      </w:r>
    </w:p>
    <w:p w14:paraId="06B9FC3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8" name="图片 11"/>
            <wp:cNvGraphicFramePr/>
            <a:graphic xmlns:a="http://schemas.openxmlformats.org/drawingml/2006/main">
              <a:graphicData uri="http://schemas.openxmlformats.org/drawingml/2006/picture">
                <pic:pic xmlns:pic="http://schemas.openxmlformats.org/drawingml/2006/picture">
                  <pic:nvPicPr>
                    <pic:cNvPr id="88" name="图片 11"/>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《工业强基工程实施指南(2016-2020)》(工信厅联规〔2016〕83号)；</w:t>
      </w:r>
    </w:p>
    <w:p w14:paraId="7F1A971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89" name="图片 12"/>
            <wp:cNvGraphicFramePr/>
            <a:graphic xmlns:a="http://schemas.openxmlformats.org/drawingml/2006/main">
              <a:graphicData uri="http://schemas.openxmlformats.org/drawingml/2006/picture">
                <pic:pic xmlns:pic="http://schemas.openxmlformats.org/drawingml/2006/picture">
                  <pic:nvPicPr>
                    <pic:cNvPr id="89" name="图片 12"/>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《国务院关于积极推进“互联网+”行动的指导意见》(2016)；</w:t>
      </w:r>
    </w:p>
    <w:p w14:paraId="230797C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0" name="图片 13"/>
            <wp:cNvGraphicFramePr/>
            <a:graphic xmlns:a="http://schemas.openxmlformats.org/drawingml/2006/main">
              <a:graphicData uri="http://schemas.openxmlformats.org/drawingml/2006/picture">
                <pic:pic xmlns:pic="http://schemas.openxmlformats.org/drawingml/2006/picture">
                  <pic:nvPicPr>
                    <pic:cNvPr id="90" name="图片 13"/>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《国家创新驱动发展战略纲要》(2016)；</w:t>
      </w:r>
    </w:p>
    <w:p w14:paraId="68DD84F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1" name="图片 14"/>
            <wp:cNvGraphicFramePr/>
            <a:graphic xmlns:a="http://schemas.openxmlformats.org/drawingml/2006/main">
              <a:graphicData uri="http://schemas.openxmlformats.org/drawingml/2006/picture">
                <pic:pic xmlns:pic="http://schemas.openxmlformats.org/drawingml/2006/picture">
                  <pic:nvPicPr>
                    <pic:cNvPr id="91" name="图片 1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《“十三五”国家科技创新规划》(2016)；</w:t>
      </w:r>
    </w:p>
    <w:p w14:paraId="1E333BC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2" name="图片 15"/>
            <wp:cNvGraphicFramePr/>
            <a:graphic xmlns:a="http://schemas.openxmlformats.org/drawingml/2006/main">
              <a:graphicData uri="http://schemas.openxmlformats.org/drawingml/2006/picture">
                <pic:pic xmlns:pic="http://schemas.openxmlformats.org/drawingml/2006/picture">
                  <pic:nvPicPr>
                    <pic:cNvPr id="92" name="图片 15"/>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《关于发展众创空间推进大众创新创业的指导意见》(2015)；</w:t>
      </w:r>
    </w:p>
    <w:p w14:paraId="077D218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3" name="图片 16"/>
            <wp:cNvGraphicFramePr/>
            <a:graphic xmlns:a="http://schemas.openxmlformats.org/drawingml/2006/main">
              <a:graphicData uri="http://schemas.openxmlformats.org/drawingml/2006/picture">
                <pic:pic xmlns:pic="http://schemas.openxmlformats.org/drawingml/2006/picture">
                  <pic:nvPicPr>
                    <pic:cNvPr id="93" name="图片 16"/>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《国务院关于推进大众创业万众创新若干政策措施的意见》(2015)；</w:t>
      </w:r>
    </w:p>
    <w:p w14:paraId="1B1648D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4" name="图片 17"/>
            <wp:cNvGraphicFramePr/>
            <a:graphic xmlns:a="http://schemas.openxmlformats.org/drawingml/2006/main">
              <a:graphicData uri="http://schemas.openxmlformats.org/drawingml/2006/picture">
                <pic:pic xmlns:pic="http://schemas.openxmlformats.org/drawingml/2006/picture">
                  <pic:nvPicPr>
                    <pic:cNvPr id="94" name="图片 17"/>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《关于建设大众创业万众创新示范基地的实施意见》(2016)；</w:t>
      </w:r>
    </w:p>
    <w:p w14:paraId="5BE36C1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5" name="图片 18"/>
            <wp:cNvGraphicFramePr/>
            <a:graphic xmlns:a="http://schemas.openxmlformats.org/drawingml/2006/main">
              <a:graphicData uri="http://schemas.openxmlformats.org/drawingml/2006/picture">
                <pic:pic xmlns:pic="http://schemas.openxmlformats.org/drawingml/2006/picture">
                  <pic:nvPicPr>
                    <pic:cNvPr id="95" name="图片 18"/>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《关于深化人才发展体制机制改革的意见》(2016)；</w:t>
      </w:r>
    </w:p>
    <w:p w14:paraId="0131E43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6" name="图片 19"/>
            <wp:cNvGraphicFramePr/>
            <a:graphic xmlns:a="http://schemas.openxmlformats.org/drawingml/2006/main">
              <a:graphicData uri="http://schemas.openxmlformats.org/drawingml/2006/picture">
                <pic:pic xmlns:pic="http://schemas.openxmlformats.org/drawingml/2006/picture">
                  <pic:nvPicPr>
                    <pic:cNvPr id="96" name="图片 19"/>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《关键材料升级换代工程实施方案》(发改高技〔2014〕2360号)；</w:t>
      </w:r>
    </w:p>
    <w:p w14:paraId="125467D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7" name="图片 20"/>
            <wp:cNvGraphicFramePr/>
            <a:graphic xmlns:a="http://schemas.openxmlformats.org/drawingml/2006/main">
              <a:graphicData uri="http://schemas.openxmlformats.org/drawingml/2006/picture">
                <pic:pic xmlns:pic="http://schemas.openxmlformats.org/drawingml/2006/picture">
                  <pic:nvPicPr>
                    <pic:cNvPr id="97" name="图片 20"/>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《“十三五”国家战略性新兴产业发展规划》(国发〔2016〕67号)；</w:t>
      </w:r>
    </w:p>
    <w:p w14:paraId="31C7D0D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8" name="图片 21"/>
            <wp:cNvGraphicFramePr/>
            <a:graphic xmlns:a="http://schemas.openxmlformats.org/drawingml/2006/main">
              <a:graphicData uri="http://schemas.openxmlformats.org/drawingml/2006/picture">
                <pic:pic xmlns:pic="http://schemas.openxmlformats.org/drawingml/2006/picture">
                  <pic:nvPicPr>
                    <pic:cNvPr id="98" name="图片 21"/>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《新材料产业发展指南》(工信部联规〔2016〕454号)；</w:t>
      </w:r>
    </w:p>
    <w:p w14:paraId="7262FB3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99" name="图片 22"/>
            <wp:cNvGraphicFramePr/>
            <a:graphic xmlns:a="http://schemas.openxmlformats.org/drawingml/2006/main">
              <a:graphicData uri="http://schemas.openxmlformats.org/drawingml/2006/picture">
                <pic:pic xmlns:pic="http://schemas.openxmlformats.org/drawingml/2006/picture">
                  <pic:nvPicPr>
                    <pic:cNvPr id="99" name="图片 22"/>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《“十三五”材料领域科技创新专项规划》(国科发高〔2017〕92号)；</w:t>
      </w:r>
    </w:p>
    <w:p w14:paraId="57E55A2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0" name="图片 23"/>
            <wp:cNvGraphicFramePr/>
            <a:graphic xmlns:a="http://schemas.openxmlformats.org/drawingml/2006/main">
              <a:graphicData uri="http://schemas.openxmlformats.org/drawingml/2006/picture">
                <pic:pic xmlns:pic="http://schemas.openxmlformats.org/drawingml/2006/picture">
                  <pic:nvPicPr>
                    <pic:cNvPr id="100" name="图片 23"/>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《重点新材料首批次应用示范指导目录(2017年版)》(工信部原〔2017〕168号)；</w:t>
      </w:r>
    </w:p>
    <w:p w14:paraId="33920F4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1" name="图片 24"/>
            <wp:cNvGraphicFramePr/>
            <a:graphic xmlns:a="http://schemas.openxmlformats.org/drawingml/2006/main">
              <a:graphicData uri="http://schemas.openxmlformats.org/drawingml/2006/picture">
                <pic:pic xmlns:pic="http://schemas.openxmlformats.org/drawingml/2006/picture">
                  <pic:nvPicPr>
                    <pic:cNvPr id="101"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《增强制造业核心竞争力三年行动计划(2018-2020年)(发改产业〔2017〕2000号)》；</w:t>
      </w:r>
    </w:p>
    <w:p w14:paraId="59693387">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2" name="图片 24"/>
            <wp:cNvGraphicFramePr/>
            <a:graphic xmlns:a="http://schemas.openxmlformats.org/drawingml/2006/main">
              <a:graphicData uri="http://schemas.openxmlformats.org/drawingml/2006/picture">
                <pic:pic xmlns:pic="http://schemas.openxmlformats.org/drawingml/2006/picture">
                  <pic:nvPicPr>
                    <pic:cNvPr id="102"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《产业结构调整指导目录(2011年本)》(2013年修订)(国家发展改革委第9号令)；</w:t>
      </w:r>
    </w:p>
    <w:p w14:paraId="41598B7B">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3" name="图片 24"/>
            <wp:cNvGraphicFramePr/>
            <a:graphic xmlns:a="http://schemas.openxmlformats.org/drawingml/2006/main">
              <a:graphicData uri="http://schemas.openxmlformats.org/drawingml/2006/picture">
                <pic:pic xmlns:pic="http://schemas.openxmlformats.org/drawingml/2006/picture">
                  <pic:nvPicPr>
                    <pic:cNvPr id="103"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《关于促进和规范医疗健康大数据应用发展的指导意见》；</w:t>
      </w:r>
    </w:p>
    <w:p w14:paraId="4D476507">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4" name="图片 24"/>
            <wp:cNvGraphicFramePr/>
            <a:graphic xmlns:a="http://schemas.openxmlformats.org/drawingml/2006/main">
              <a:graphicData uri="http://schemas.openxmlformats.org/drawingml/2006/picture">
                <pic:pic xmlns:pic="http://schemas.openxmlformats.org/drawingml/2006/picture">
                  <pic:nvPicPr>
                    <pic:cNvPr id="104"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《外商投资准入特别管理措施(负面清单)(2019年版)》；</w:t>
      </w:r>
    </w:p>
    <w:p w14:paraId="3DF8051D">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5" name="图片 24"/>
            <wp:cNvGraphicFramePr/>
            <a:graphic xmlns:a="http://schemas.openxmlformats.org/drawingml/2006/main">
              <a:graphicData uri="http://schemas.openxmlformats.org/drawingml/2006/picture">
                <pic:pic xmlns:pic="http://schemas.openxmlformats.org/drawingml/2006/picture">
                  <pic:nvPicPr>
                    <pic:cNvPr id="105"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《产业技术创新能力发展规划》(工信部规〔2016〕344号)；</w:t>
      </w:r>
    </w:p>
    <w:p w14:paraId="638FCE01">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6" name="图片 24"/>
            <wp:cNvGraphicFramePr/>
            <a:graphic xmlns:a="http://schemas.openxmlformats.org/drawingml/2006/main">
              <a:graphicData uri="http://schemas.openxmlformats.org/drawingml/2006/picture">
                <pic:pic xmlns:pic="http://schemas.openxmlformats.org/drawingml/2006/picture">
                  <pic:nvPicPr>
                    <pic:cNvPr id="106"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《福建省国民经济和社会发展第十三个五年规划纲要》；</w:t>
      </w:r>
    </w:p>
    <w:p w14:paraId="325D0265">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7" name="图片 24"/>
            <wp:cNvGraphicFramePr/>
            <a:graphic xmlns:a="http://schemas.openxmlformats.org/drawingml/2006/main">
              <a:graphicData uri="http://schemas.openxmlformats.org/drawingml/2006/picture">
                <pic:pic xmlns:pic="http://schemas.openxmlformats.org/drawingml/2006/picture">
                  <pic:nvPicPr>
                    <pic:cNvPr id="107"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《福建省人民政府办公厅关于印发福建省“十三五”工业转型升级专项规划的通知》；</w:t>
      </w:r>
    </w:p>
    <w:p w14:paraId="54CE63B4">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8" name="图片 24"/>
            <wp:cNvGraphicFramePr/>
            <a:graphic xmlns:a="http://schemas.openxmlformats.org/drawingml/2006/main">
              <a:graphicData uri="http://schemas.openxmlformats.org/drawingml/2006/picture">
                <pic:pic xmlns:pic="http://schemas.openxmlformats.org/drawingml/2006/picture">
                  <pic:nvPicPr>
                    <pic:cNvPr id="108"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《关于印发福建省“十三五”战略性新兴产业发展专项规划的通知》；</w:t>
      </w:r>
    </w:p>
    <w:p w14:paraId="675FB488">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09" name="图片 24"/>
            <wp:cNvGraphicFramePr/>
            <a:graphic xmlns:a="http://schemas.openxmlformats.org/drawingml/2006/main">
              <a:graphicData uri="http://schemas.openxmlformats.org/drawingml/2006/picture">
                <pic:pic xmlns:pic="http://schemas.openxmlformats.org/drawingml/2006/picture">
                  <pic:nvPicPr>
                    <pic:cNvPr id="109"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《关于印发福建省“十三五”数字福建专项规划的通知》；</w:t>
      </w:r>
    </w:p>
    <w:p w14:paraId="4D4E4AFD">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10" name="图片 24"/>
            <wp:cNvGraphicFramePr/>
            <a:graphic xmlns:a="http://schemas.openxmlformats.org/drawingml/2006/main">
              <a:graphicData uri="http://schemas.openxmlformats.org/drawingml/2006/picture">
                <pic:pic xmlns:pic="http://schemas.openxmlformats.org/drawingml/2006/picture">
                  <pic:nvPicPr>
                    <pic:cNvPr id="110"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《关于印发福建省“十三五”金融业发展专项规划的通知》；</w:t>
      </w:r>
    </w:p>
    <w:p w14:paraId="6B1C2A0B">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11" name="图片 24"/>
            <wp:cNvGraphicFramePr/>
            <a:graphic xmlns:a="http://schemas.openxmlformats.org/drawingml/2006/main">
              <a:graphicData uri="http://schemas.openxmlformats.org/drawingml/2006/picture">
                <pic:pic xmlns:pic="http://schemas.openxmlformats.org/drawingml/2006/picture">
                  <pic:nvPicPr>
                    <pic:cNvPr id="111"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《关于印发福建省“十三五”现代服务业发展专项规划的通知》；</w:t>
      </w:r>
    </w:p>
    <w:p w14:paraId="6FF704ED">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12" name="图片 24"/>
            <wp:cNvGraphicFramePr/>
            <a:graphic xmlns:a="http://schemas.openxmlformats.org/drawingml/2006/main">
              <a:graphicData uri="http://schemas.openxmlformats.org/drawingml/2006/picture">
                <pic:pic xmlns:pic="http://schemas.openxmlformats.org/drawingml/2006/picture">
                  <pic:nvPicPr>
                    <pic:cNvPr id="112"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《泉州市国民经济和社会发展第十三个五年规划纲要》；</w:t>
      </w:r>
    </w:p>
    <w:p w14:paraId="4F42DA9D">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13" name="图片 24"/>
            <wp:cNvGraphicFramePr/>
            <a:graphic xmlns:a="http://schemas.openxmlformats.org/drawingml/2006/main">
              <a:graphicData uri="http://schemas.openxmlformats.org/drawingml/2006/picture">
                <pic:pic xmlns:pic="http://schemas.openxmlformats.org/drawingml/2006/picture">
                  <pic:nvPicPr>
                    <pic:cNvPr id="113"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《泉港区国民经济和社会发展第十三个五年规划纲要》；</w:t>
      </w:r>
    </w:p>
    <w:p w14:paraId="173507A5">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14" name="图片 24"/>
            <wp:cNvGraphicFramePr/>
            <a:graphic xmlns:a="http://schemas.openxmlformats.org/drawingml/2006/main">
              <a:graphicData uri="http://schemas.openxmlformats.org/drawingml/2006/picture">
                <pic:pic xmlns:pic="http://schemas.openxmlformats.org/drawingml/2006/picture">
                  <pic:nvPicPr>
                    <pic:cNvPr id="114"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eastAsia" w:ascii="仿宋" w:hAnsi="仿宋" w:eastAsia="仿宋" w:cs="仿宋"/>
          <w:position w:val="-5"/>
          <w:sz w:val="28"/>
          <w:szCs w:val="28"/>
          <w:lang w:val="en-US" w:eastAsia="zh-CN"/>
        </w:rPr>
        <w:t xml:space="preserve"> </w:t>
      </w:r>
      <w:r>
        <w:rPr>
          <w:rFonts w:hint="default" w:ascii="仿宋_GB2312" w:hAnsi="仿宋_GB2312" w:eastAsia="仿宋_GB2312" w:cs="仿宋_GB2312"/>
          <w:spacing w:val="0"/>
          <w:sz w:val="28"/>
          <w:szCs w:val="28"/>
          <w:lang w:val="en-US" w:eastAsia="zh-CN"/>
        </w:rPr>
        <w:t>国家统计局、中国石油和化学工业统计数据及海关相关资料；</w:t>
      </w:r>
    </w:p>
    <w:p w14:paraId="0B300F7F">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15" name="图片 24"/>
            <wp:cNvGraphicFramePr/>
            <a:graphic xmlns:a="http://schemas.openxmlformats.org/drawingml/2006/main">
              <a:graphicData uri="http://schemas.openxmlformats.org/drawingml/2006/picture">
                <pic:pic xmlns:pic="http://schemas.openxmlformats.org/drawingml/2006/picture">
                  <pic:nvPicPr>
                    <pic:cNvPr id="115" name="图片 24"/>
                    <pic:cNvPicPr/>
                  </pic:nvPicPr>
                  <pic:blipFill>
                    <a:blip r:embed="rId47"/>
                    <a:stretch>
                      <a:fillRect/>
                    </a:stretch>
                  </pic:blipFill>
                  <pic:spPr>
                    <a:xfrm>
                      <a:off x="0" y="0"/>
                      <a:ext cx="102870" cy="197485"/>
                    </a:xfrm>
                    <a:prstGeom prst="rect">
                      <a:avLst/>
                    </a:prstGeom>
                    <a:noFill/>
                    <a:ln>
                      <a:noFill/>
                    </a:ln>
                  </pic:spPr>
                </pic:pic>
              </a:graphicData>
            </a:graphic>
          </wp:inline>
        </w:drawing>
      </w:r>
      <w:r>
        <w:rPr>
          <w:rFonts w:hint="eastAsia" w:ascii="仿宋" w:hAnsi="仿宋" w:eastAsia="仿宋" w:cs="仿宋"/>
          <w:position w:val="-5"/>
          <w:sz w:val="28"/>
          <w:szCs w:val="28"/>
          <w:lang w:val="en-US" w:eastAsia="zh-CN"/>
        </w:rPr>
        <w:t xml:space="preserve"> </w:t>
      </w:r>
      <w:r>
        <w:rPr>
          <w:rFonts w:hint="default" w:ascii="仿宋_GB2312" w:hAnsi="仿宋_GB2312" w:eastAsia="仿宋_GB2312" w:cs="仿宋_GB2312"/>
          <w:spacing w:val="0"/>
          <w:sz w:val="28"/>
          <w:szCs w:val="28"/>
          <w:lang w:val="en-US" w:eastAsia="zh-CN"/>
        </w:rPr>
        <w:t>泉港区有关部门提供的其他相关资料。</w:t>
      </w:r>
    </w:p>
    <w:p w14:paraId="03B0E732">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1.5主要结论</w:t>
      </w:r>
    </w:p>
    <w:p w14:paraId="5B76876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1.5.1泉港高新区的战略定位</w:t>
      </w:r>
    </w:p>
    <w:p w14:paraId="2DB3087F">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116" name="图片 25"/>
            <wp:cNvGraphicFramePr/>
            <a:graphic xmlns:a="http://schemas.openxmlformats.org/drawingml/2006/main">
              <a:graphicData uri="http://schemas.openxmlformats.org/drawingml/2006/picture">
                <pic:pic xmlns:pic="http://schemas.openxmlformats.org/drawingml/2006/picture">
                  <pic:nvPicPr>
                    <pic:cNvPr id="116" name="图片 25"/>
                    <pic:cNvPicPr/>
                  </pic:nvPicPr>
                  <pic:blipFill>
                    <a:blip r:embed="rId48"/>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u w:val="single"/>
          <w:lang w:val="en-US" w:eastAsia="zh-CN"/>
        </w:rPr>
        <w:t>承接大石化的福厦泉城市群经济圈发展增长极</w:t>
      </w:r>
    </w:p>
    <w:p w14:paraId="7CBA526E">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构建以石化下游新材料为发展主体，以高端制造为特色的中高端产业体系，坚持“外引内培”双轮驱动，实现经济规模快速增长、经济效益显著提高，成为带动全市及福厦泉城市群经济圈产业结构调整和经济更快更好发展的增长极。</w:t>
      </w:r>
    </w:p>
    <w:p w14:paraId="5E3152DE">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839" w:leftChars="266" w:hanging="280" w:hangingChars="100"/>
        <w:jc w:val="both"/>
        <w:textAlignment w:val="auto"/>
        <w:rPr>
          <w:rFonts w:hint="default" w:ascii="仿宋_GB2312" w:hAnsi="仿宋_GB2312" w:eastAsia="仿宋_GB2312" w:cs="仿宋_GB2312"/>
          <w:spacing w:val="0"/>
          <w:sz w:val="28"/>
          <w:szCs w:val="28"/>
          <w:u w:val="single"/>
          <w:lang w:val="en-US" w:eastAsia="zh-CN"/>
        </w:rPr>
      </w:pPr>
      <w:r>
        <w:rPr>
          <w:rFonts w:ascii="仿宋" w:hAnsi="仿宋" w:eastAsia="仿宋" w:cs="仿宋"/>
          <w:position w:val="-5"/>
          <w:sz w:val="28"/>
          <w:szCs w:val="28"/>
        </w:rPr>
        <w:drawing>
          <wp:inline distT="0" distB="0" distL="114300" distR="114300">
            <wp:extent cx="111125" cy="197485"/>
            <wp:effectExtent l="0" t="0" r="7620" b="0"/>
            <wp:docPr id="117" name="图片 25"/>
            <wp:cNvGraphicFramePr/>
            <a:graphic xmlns:a="http://schemas.openxmlformats.org/drawingml/2006/main">
              <a:graphicData uri="http://schemas.openxmlformats.org/drawingml/2006/picture">
                <pic:pic xmlns:pic="http://schemas.openxmlformats.org/drawingml/2006/picture">
                  <pic:nvPicPr>
                    <pic:cNvPr id="117" name="图片 25"/>
                    <pic:cNvPicPr/>
                  </pic:nvPicPr>
                  <pic:blipFill>
                    <a:blip r:embed="rId48"/>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u w:val="single"/>
          <w:lang w:val="en-US" w:eastAsia="zh-CN"/>
        </w:rPr>
        <w:t>福建地区创新创业标杆区</w:t>
      </w:r>
    </w:p>
    <w:p w14:paraId="6183DECE">
      <w:pPr>
        <w:pStyle w:val="2"/>
        <w:keepNext w:val="0"/>
        <w:keepLines w:val="0"/>
        <w:pageBreakBefore w:val="0"/>
        <w:widowControl w:val="0"/>
        <w:kinsoku/>
        <w:wordWrap/>
        <w:overflowPunct/>
        <w:topLinePunct/>
        <w:autoSpaceDE/>
        <w:autoSpaceDN/>
        <w:bidi w:val="0"/>
        <w:adjustRightInd/>
        <w:snapToGrid/>
        <w:spacing w:before="0" w:beforeAutospacing="0" w:line="50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全面提升“创新、人才、金融”要素配置效率，完善“双创”服务，重点在创新服务、双创载体、双创主体、产业组织创新等层面实现突破，探索具有高新特色的创新发展道路，构建福建地区开放式创新创业标杆区。</w:t>
      </w:r>
    </w:p>
    <w:p w14:paraId="75B33F2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11125" cy="197485"/>
            <wp:effectExtent l="0" t="0" r="7620" b="0"/>
            <wp:docPr id="118" name="图片 25"/>
            <wp:cNvGraphicFramePr/>
            <a:graphic xmlns:a="http://schemas.openxmlformats.org/drawingml/2006/main">
              <a:graphicData uri="http://schemas.openxmlformats.org/drawingml/2006/picture">
                <pic:pic xmlns:pic="http://schemas.openxmlformats.org/drawingml/2006/picture">
                  <pic:nvPicPr>
                    <pic:cNvPr id="118" name="图片 25"/>
                    <pic:cNvPicPr/>
                  </pic:nvPicPr>
                  <pic:blipFill>
                    <a:blip r:embed="rId48"/>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u w:val="single"/>
          <w:lang w:val="en-US" w:eastAsia="zh-CN"/>
        </w:rPr>
        <w:t>福建省产城融合样板区</w:t>
      </w:r>
    </w:p>
    <w:p w14:paraId="51D4482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不断优化宜居宜业发展环境，推动高新区繁荣发展，构建“人业城和谐共生，产商居功能均衡”发展的新格局。</w:t>
      </w:r>
    </w:p>
    <w:p w14:paraId="1C186CF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1.5.2泉港高新区的规划目标</w:t>
      </w:r>
    </w:p>
    <w:p w14:paraId="3B4D078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依托泉州地区石化产业基础和优势，顺应新时代的发展特点和产业发展趋势，充分发挥泉港地区产业基础、区位、辐射市场等多方面优势，结合福厦泉地区产业发展特点及高新区发展侧重，以创新为驱动，以高水平、高附加值项目建设为重点，充分结合资源、市场发展方向、差异化等前提，以新材料为支柱，打造发展根基牢固、品牌优势突出、集群效应明显的新材料产业基地，辐射汽车和轨道交通、新能源、节能环保、大健康四大产业，打造科技成果孵化、培训教育、物联网和云服务数据信息、金融服务等四大公共服务平台，创新“官、产、学、研、资、介”合作模式，完善科技成果研发、转化和产业化机制，构筑泉港自主创新与高新技术产业发展的基础条件和支撑体系，推动泉港地区高技术产业高质量发展，最终将泉港新材料高新技术产业园建设成福建省一流的特色高新区。</w:t>
      </w:r>
    </w:p>
    <w:p w14:paraId="41C754A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可简要概括为“1144”：</w:t>
      </w:r>
    </w:p>
    <w:p w14:paraId="37A3F8B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1个目标：福建省一流的特色高新区</w:t>
      </w:r>
    </w:p>
    <w:p w14:paraId="226F110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1个中心：打造新材料产业为中心的产业集群</w:t>
      </w:r>
    </w:p>
    <w:p w14:paraId="0BDEF3D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1959" w:leftChars="266" w:hanging="1400" w:hangingChars="5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4个面向：面向下游汽车和轨道交通、新能源、节能环保、大健康四大</w:t>
      </w:r>
    </w:p>
    <w:p w14:paraId="33F68ED0">
      <w:pPr>
        <w:pStyle w:val="2"/>
        <w:keepNext w:val="0"/>
        <w:keepLines w:val="0"/>
        <w:pageBreakBefore w:val="0"/>
        <w:widowControl w:val="0"/>
        <w:kinsoku/>
        <w:wordWrap/>
        <w:overflowPunct/>
        <w:topLinePunct/>
        <w:autoSpaceDE/>
        <w:autoSpaceDN/>
        <w:bidi w:val="0"/>
        <w:adjustRightInd/>
        <w:snapToGrid/>
        <w:spacing w:before="0" w:beforeAutospacing="0" w:line="500" w:lineRule="exact"/>
        <w:ind w:firstLine="1873" w:firstLineChars="669"/>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产业</w:t>
      </w:r>
    </w:p>
    <w:p w14:paraId="6BEC424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1679" w:leftChars="266" w:hanging="1120" w:hangingChars="4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4个平台：科技成果孵化平台、培训教育基地、物联网和云服务数据信</w:t>
      </w:r>
    </w:p>
    <w:p w14:paraId="3C979F5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1873" w:firstLineChars="669"/>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息平台、金融服务平台等四大公共服务平台</w:t>
      </w:r>
    </w:p>
    <w:p w14:paraId="73A381E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泉港高新区建设成为构筑泉州先发优势的示范样板，为福建省区域创新发展提供可复制、可推广的模式和经验。泉港高新区基本形成持续稳定发展的体制机制和发展方式，构建区域创新中心，实现科技创新能力和经济创造能力持续较快增长。</w:t>
      </w:r>
    </w:p>
    <w:p w14:paraId="4D07255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形成具有省内竞争力的创新型产业格局。结构优化取得明显成效，发展动力实现根本转换，主要产业进入价值链中高端。知识密集型服务业增加值占区内生产总值25%以上，劳动生产率增幅达到60%以上。培育出数个国内先进的骨干企业。</w:t>
      </w:r>
    </w:p>
    <w:p w14:paraId="1A6CEF6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形成绿色协调发展的科技产业新城区。在引领创新型工业化和信息化方面的作用更加突出，高新区城市功能更趋完善，信息基础设施建设明显提升。向绿色生态方向更进一步，经济增长的综合性资源消耗显著降低，土地集约利用效率显著提高。经济社会发展质量和水平不断提高，新型社会治理服务体系日益健全。</w:t>
      </w:r>
    </w:p>
    <w:p w14:paraId="3E47187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辐射带动周边区域发展的机制探索取得较大突破，推动区域经济结构调整和发展方式转变的能力大幅增强。</w:t>
      </w:r>
    </w:p>
    <w:p w14:paraId="449D24C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上，在产业上以创新为动力，最终将泉港高新区打造为福建省内一流的创新型特色高新区，成为泉州市产业优化的“主引擎”和经济发展的增长极；在城市建设上将高新区打造成为城市化、现代化、智能化、科学化、国际化、高端化、生态化的新城区。</w:t>
      </w:r>
    </w:p>
    <w:p w14:paraId="3F1E5EA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1.5.3产业规划实施后的经济效益</w:t>
      </w:r>
    </w:p>
    <w:p w14:paraId="09128E6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对规划重点产业项目的预测，规划项目实施后，到2025年，泉港高新区产业项目新增总投资将达到53亿元，年新增产值将达到131亿元，年新增利税额约16亿元，年利润额11亿元左右；到2030年，泉港高新区产业项目新增总投资将达到89亿元，年产值将达到约219亿元，年利税额约27亿元，年利润额约18亿元；到规划期末(2035年)，泉港高新区实现新增总投资181亿元，年产值462亿元，年利税额57亿元，年利润额39亿元。</w:t>
      </w:r>
    </w:p>
    <w:p w14:paraId="7BA851F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1.5.4产业规划实施后的社会效益</w:t>
      </w:r>
    </w:p>
    <w:p w14:paraId="0A2A89C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(1)推动区域产业结构调整和升级</w:t>
      </w:r>
    </w:p>
    <w:p w14:paraId="4C4E2F3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珠三角地区是国内经济发达地区，也是国内实现经济发展方式转变和产业转型升级的先发区域。泉港高新区的产业发展将以新材料产业发展作为重点，可以为区域相关产业的升级和战略性新兴产业的发展提供更多的高端产品和服务。</w:t>
      </w:r>
    </w:p>
    <w:p w14:paraId="5E675A2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除了与相关产业融合发展外，泉港高新区的发展还可带动物流运输、商业贸易、金融、信息服务、科技等行业的发展，使区域内的现代服务业不断壮大。</w:t>
      </w:r>
    </w:p>
    <w:p w14:paraId="209EC2D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(2)促进区域经济和社会和谐发展。</w:t>
      </w:r>
    </w:p>
    <w:p w14:paraId="4B21D9B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泉港高新区产业发展将促进区内公共设施的完善，带动该地区城市化水平的提高，从而加快泉州地区的跨越式发展，在各方面缩小与珠三角等发达地区的差距。</w:t>
      </w:r>
    </w:p>
    <w:p w14:paraId="71FBBE3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泉港高新区的建设将提供大量的就业机会，项目建设将直接提供超过4000个就业岗位，而为高新区服务的相关产业将使就业岗位成几倍地增加，从而推动该地区人民生活水平和质量的提高，有利于社会的稳定。</w:t>
      </w:r>
    </w:p>
    <w:p w14:paraId="14D8DF2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高新技术产业除了需要大量资金，还是一个技术密集型的行业，泉港高新区的发展将为地区吸引人才和留住人才提供良好的平台，促进该地区文化、教育、科技事业的发展。</w:t>
      </w:r>
    </w:p>
    <w:p w14:paraId="31CE0E7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(3)为对外合作打开新的窗口</w:t>
      </w:r>
    </w:p>
    <w:p w14:paraId="53AFFC0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将采用合作共赢的理念，以新材料产业为主体，积极搭建四大平台，广泛吸引各类投资与专业企业合作，从而以产业发展为纽带，吸引更多的国内外企业将目光投向泉港。同时，高新区将突出高端化、特色化理念，使之成为对外展示泉港高新技术产业的窗口，对于泉港地区的招商引资工作将起到积极的推动作用。</w:t>
      </w:r>
    </w:p>
    <w:p w14:paraId="26E6812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031FBD47">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339EBAE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41863C6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15352CC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159F84F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6C60ABAD">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29895CB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33098FA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839" w:leftChars="266" w:hanging="280" w:hangingChars="100"/>
        <w:jc w:val="both"/>
        <w:textAlignment w:val="auto"/>
        <w:rPr>
          <w:rFonts w:hint="default" w:ascii="仿宋_GB2312" w:hAnsi="仿宋_GB2312" w:eastAsia="仿宋_GB2312" w:cs="仿宋_GB2312"/>
          <w:spacing w:val="0"/>
          <w:sz w:val="28"/>
          <w:szCs w:val="28"/>
          <w:lang w:val="en-US" w:eastAsia="zh-CN"/>
        </w:rPr>
      </w:pPr>
    </w:p>
    <w:p w14:paraId="37F5825A">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B8F358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4651E47C">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2国内外典型高新区发展论述</w:t>
      </w:r>
    </w:p>
    <w:p w14:paraId="58FAAE11">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3308868">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2.1国外典型高新区发展论述</w:t>
      </w:r>
    </w:p>
    <w:p w14:paraId="70A978F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2.1.1全球各地区高新区发展现状及特点</w:t>
      </w:r>
    </w:p>
    <w:p w14:paraId="1FC264A3">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2.1.1.1北美</w:t>
      </w:r>
    </w:p>
    <w:p w14:paraId="39F93A49">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自20世纪70年代兴起以来，美国和加拿大形成了诸多世界知名的高新产业集群。在美国，以各地区中心城市为依托，形成了若干具有强大竞争力的高新区，例如西海岸的硅谷、东海岸的杜勒斯科技走廊(Dulles Technology Corridor)、中北部的黄金走廊(Golden Corridor)、南部的硅山(Silicon Hill)等。加拿大的高新产业聚集区自20世纪70年代末开始形成，80年代中期逐步形成了以加拿大科技三角区(Canada’s Technology Triangle)、北方硅谷(Silicon Valley North)、蒙特利尔科技园(Montréal Technoparc)为代表的高新区发展模式。此外，墨西哥也形成了以瓜达拉哈拉科技园区(Guadalajara Tech&amp;Sci Park)为代表的高新区发展模式。北美典型的高新区案例如下：</w:t>
      </w:r>
    </w:p>
    <w:p w14:paraId="17DEA063">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硅谷。位于美国西海岸旧金山城市群南部，是全球高新技术、创新创业、风险投资、社交媒体的中心。《财富》杂志评选的美国1000大公司中有39家的总部在硅谷，包括苹果、西斯科(Cisco)、脸书(Facebook)、惠普、特斯拉等具有广泛国际影响力的企业，形成了以高端信息技术、电子科技、先进制造业为主导，以多元化的技术服务为支撑的产业体系，并引领了全球相关产业的发展。2016年，在硅谷的影响下，旧金山湾区的总产值达到4700亿美元，占美国总产值的约6%。</w:t>
      </w:r>
    </w:p>
    <w:p w14:paraId="57BF8020">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杜勒斯科技走廊。位于弗吉尼亚州北部，自西向东延展，临近华盛顿杜勒斯国际机场。杜勒斯科技走廊发展迅速，与西海岸的硅谷共同形成美国科技创新的两个并进的增长极，有“东海岸硅谷”之称。杜勒斯科技走廊目前落户了21家跨国高科技企业，以信息技术为主导产业，目前，全球超过70%的互联网流量在此通过。空间技术、人工智能、功能材料技术也是组成杜勒斯科技走廊产业结构的重要部分。</w:t>
      </w:r>
    </w:p>
    <w:p w14:paraId="2E3EDB86">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黄金走廊。位于中北部伊利诺伊州芝加哥市西北，沿美国西北高速公路布局，临近奥海尔国际机场，是美国中部地区最重要的高新技术产业区。超过50家大型企业的总部在此区域落户，黄金走廊涉及产业较多，产业结构中起支柱作用的产业包括航空、电子信息、生命科学、金融、保险、技术服务等。此外一些大型零售业巨头如Sears等也在此高新区落户，进一步丰富了该区的产业结构。芝加哥黄金走廊与硅谷和杜勒斯科技走廊不同点在于其没有形成集中的支柱产业，增长点分散在众多产业中，实现了多元化综合发展。</w:t>
      </w:r>
    </w:p>
    <w:p w14:paraId="3107BF20">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拿大科技三角区。位于多伦多城市群，以滑铁卢(Waterloo)、坎布里奇(Cambridge)、基彻拿(Kitchener)三座城市为支点形成三角形高新产业聚集区，临近皮尔森国际机场。加拿大科技三角的主要产业包括信息和通信产业、先进制造业、生物制药、食品加工、人工智能、量子科学、自</w:t>
      </w:r>
      <w:r>
        <w:rPr>
          <w:rFonts w:hint="default" w:ascii="仿宋_GB2312" w:hAnsi="仿宋_GB2312" w:eastAsia="仿宋_GB2312" w:cs="仿宋_GB2312"/>
          <w:spacing w:val="9"/>
          <w:sz w:val="28"/>
          <w:szCs w:val="28"/>
          <w:lang w:val="en-US" w:eastAsia="zh-CN"/>
        </w:rPr>
        <w:t>动化技术等，并辅以各类技术服务业，目前是加拿大高新产业最集中的区域。</w:t>
      </w:r>
    </w:p>
    <w:p w14:paraId="5653317E">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蒙特利尔科技园。位于蒙特利尔市西侧，紧邻特鲁多国际机场。该科技园于1987年形成，主要形成了三个支柱产业，即以庞巴迪(Bombardier)公司为主导的航空工业、安捷伦(Agilent)为核心的精密仪器制造业、安普利亚(Amplia)公司为代表的生物制药业以及生物琥珀(BioAmber)公司为代表的生物基材料产业。该高新区在北美范围内属于产业特点鲜明、产业结构多元化的高新产业聚集区。</w:t>
      </w:r>
    </w:p>
    <w:p w14:paraId="05AFBC7E">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总体而言，北美的高新区大多位于城市群或大型城市周边，并临近大型国际机场，交通十分发达。此外，这些园区均与高等学校有紧密联系，多个园区中有世界顶尖高等学校，拥有良好的人才环境。除上述园区外，一些新的园区也在兴起的过程中，这些园区在下表中一并呈现。</w:t>
      </w:r>
    </w:p>
    <w:p w14:paraId="45BD20D0">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7C1D9B1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3587B0C1">
      <w:pPr>
        <w:keepNext w:val="0"/>
        <w:keepLines w:val="0"/>
        <w:pageBreakBefore w:val="0"/>
        <w:widowControl w:val="0"/>
        <w:wordWrap/>
        <w:overflowPunct/>
        <w:bidi w:val="0"/>
        <w:spacing w:before="74" w:line="225" w:lineRule="auto"/>
        <w:ind w:left="3511"/>
        <w:rPr>
          <w:rFonts w:ascii="黑体" w:hAnsi="黑体" w:eastAsia="黑体" w:cs="黑体"/>
          <w:sz w:val="23"/>
          <w:szCs w:val="23"/>
        </w:rPr>
      </w:pPr>
      <w:r>
        <w:rPr>
          <w:rFonts w:ascii="黑体" w:hAnsi="黑体" w:eastAsia="黑体" w:cs="黑体"/>
          <w:spacing w:val="17"/>
          <w:sz w:val="23"/>
          <w:szCs w:val="23"/>
        </w:rPr>
        <w:t>北</w:t>
      </w:r>
      <w:r>
        <w:rPr>
          <w:rFonts w:ascii="黑体" w:hAnsi="黑体" w:eastAsia="黑体" w:cs="黑体"/>
          <w:spacing w:val="9"/>
          <w:sz w:val="23"/>
          <w:szCs w:val="23"/>
        </w:rPr>
        <w:t>美典型高新区及发展特点</w:t>
      </w:r>
    </w:p>
    <w:p w14:paraId="291C6B22">
      <w:pPr>
        <w:keepNext w:val="0"/>
        <w:keepLines w:val="0"/>
        <w:pageBreakBefore w:val="0"/>
        <w:widowControl w:val="0"/>
        <w:wordWrap/>
        <w:overflowPunct/>
        <w:bidi w:val="0"/>
        <w:spacing w:line="139" w:lineRule="exact"/>
      </w:pPr>
    </w:p>
    <w:tbl>
      <w:tblPr>
        <w:tblStyle w:val="9"/>
        <w:tblW w:w="98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1281"/>
        <w:gridCol w:w="876"/>
        <w:gridCol w:w="1677"/>
        <w:gridCol w:w="1366"/>
        <w:gridCol w:w="1676"/>
        <w:gridCol w:w="1719"/>
      </w:tblGrid>
      <w:tr w14:paraId="458599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275" w:type="dxa"/>
            <w:tcBorders>
              <w:tl2br w:val="nil"/>
              <w:tr2bl w:val="nil"/>
            </w:tcBorders>
            <w:noWrap w:val="0"/>
            <w:vAlign w:val="top"/>
          </w:tcPr>
          <w:p w14:paraId="06764FD4">
            <w:pPr>
              <w:keepNext w:val="0"/>
              <w:keepLines w:val="0"/>
              <w:pageBreakBefore w:val="0"/>
              <w:widowControl w:val="0"/>
              <w:kinsoku/>
              <w:wordWrap/>
              <w:overflowPunct/>
              <w:topLinePunct w:val="0"/>
              <w:autoSpaceDE/>
              <w:autoSpaceDN/>
              <w:bidi w:val="0"/>
              <w:adjustRightInd/>
              <w:snapToGrid/>
              <w:spacing w:line="300" w:lineRule="exact"/>
              <w:ind w:left="419"/>
              <w:textAlignment w:val="auto"/>
              <w:rPr>
                <w:rFonts w:ascii="仿宋" w:hAnsi="仿宋" w:eastAsia="仿宋" w:cs="仿宋"/>
                <w:sz w:val="22"/>
                <w:szCs w:val="22"/>
              </w:rPr>
            </w:pPr>
            <w:r>
              <w:rPr>
                <w:rFonts w:ascii="仿宋" w:hAnsi="仿宋" w:eastAsia="仿宋" w:cs="仿宋"/>
                <w:spacing w:val="-2"/>
                <w:sz w:val="22"/>
                <w:szCs w:val="22"/>
              </w:rPr>
              <w:t>名称</w:t>
            </w:r>
          </w:p>
        </w:tc>
        <w:tc>
          <w:tcPr>
            <w:tcW w:w="1281" w:type="dxa"/>
            <w:tcBorders>
              <w:tl2br w:val="nil"/>
              <w:tr2bl w:val="nil"/>
            </w:tcBorders>
            <w:noWrap w:val="0"/>
            <w:vAlign w:val="top"/>
          </w:tcPr>
          <w:p w14:paraId="7B1EEEC8">
            <w:pPr>
              <w:keepNext w:val="0"/>
              <w:keepLines w:val="0"/>
              <w:pageBreakBefore w:val="0"/>
              <w:widowControl w:val="0"/>
              <w:kinsoku/>
              <w:wordWrap/>
              <w:overflowPunct/>
              <w:topLinePunct w:val="0"/>
              <w:autoSpaceDE/>
              <w:autoSpaceDN/>
              <w:bidi w:val="0"/>
              <w:adjustRightInd/>
              <w:snapToGrid/>
              <w:spacing w:line="300" w:lineRule="exact"/>
              <w:ind w:left="200"/>
              <w:textAlignment w:val="auto"/>
              <w:rPr>
                <w:rFonts w:ascii="仿宋" w:hAnsi="仿宋" w:eastAsia="仿宋" w:cs="仿宋"/>
                <w:sz w:val="22"/>
                <w:szCs w:val="22"/>
              </w:rPr>
            </w:pPr>
            <w:r>
              <w:rPr>
                <w:rFonts w:ascii="仿宋" w:hAnsi="仿宋" w:eastAsia="仿宋" w:cs="仿宋"/>
                <w:sz w:val="22"/>
                <w:szCs w:val="22"/>
              </w:rPr>
              <w:t>形成时间</w:t>
            </w:r>
          </w:p>
        </w:tc>
        <w:tc>
          <w:tcPr>
            <w:tcW w:w="876" w:type="dxa"/>
            <w:tcBorders>
              <w:tl2br w:val="nil"/>
              <w:tr2bl w:val="nil"/>
            </w:tcBorders>
            <w:noWrap w:val="0"/>
            <w:vAlign w:val="top"/>
          </w:tcPr>
          <w:p w14:paraId="1C894AC5">
            <w:pPr>
              <w:keepNext w:val="0"/>
              <w:keepLines w:val="0"/>
              <w:pageBreakBefore w:val="0"/>
              <w:widowControl w:val="0"/>
              <w:kinsoku/>
              <w:wordWrap/>
              <w:overflowPunct/>
              <w:topLinePunct w:val="0"/>
              <w:autoSpaceDE/>
              <w:autoSpaceDN/>
              <w:bidi w:val="0"/>
              <w:adjustRightInd/>
              <w:snapToGrid/>
              <w:spacing w:line="300" w:lineRule="exact"/>
              <w:ind w:left="242"/>
              <w:textAlignment w:val="auto"/>
              <w:rPr>
                <w:rFonts w:ascii="仿宋" w:hAnsi="仿宋" w:eastAsia="仿宋" w:cs="仿宋"/>
                <w:sz w:val="22"/>
                <w:szCs w:val="22"/>
              </w:rPr>
            </w:pPr>
            <w:r>
              <w:rPr>
                <w:rFonts w:ascii="仿宋" w:hAnsi="仿宋" w:eastAsia="仿宋" w:cs="仿宋"/>
                <w:spacing w:val="-13"/>
                <w:sz w:val="22"/>
                <w:szCs w:val="22"/>
              </w:rPr>
              <w:t>国家</w:t>
            </w:r>
          </w:p>
        </w:tc>
        <w:tc>
          <w:tcPr>
            <w:tcW w:w="1677" w:type="dxa"/>
            <w:tcBorders>
              <w:tl2br w:val="nil"/>
              <w:tr2bl w:val="nil"/>
            </w:tcBorders>
            <w:noWrap w:val="0"/>
            <w:vAlign w:val="top"/>
          </w:tcPr>
          <w:p w14:paraId="49E8BA08">
            <w:pPr>
              <w:keepNext w:val="0"/>
              <w:keepLines w:val="0"/>
              <w:pageBreakBefore w:val="0"/>
              <w:widowControl w:val="0"/>
              <w:kinsoku/>
              <w:wordWrap/>
              <w:overflowPunct/>
              <w:topLinePunct w:val="0"/>
              <w:autoSpaceDE/>
              <w:autoSpaceDN/>
              <w:bidi w:val="0"/>
              <w:adjustRightInd/>
              <w:snapToGrid/>
              <w:spacing w:line="300" w:lineRule="exact"/>
              <w:ind w:left="412"/>
              <w:textAlignment w:val="auto"/>
              <w:rPr>
                <w:rFonts w:ascii="仿宋" w:hAnsi="仿宋" w:eastAsia="仿宋" w:cs="仿宋"/>
                <w:sz w:val="22"/>
                <w:szCs w:val="22"/>
              </w:rPr>
            </w:pPr>
            <w:r>
              <w:rPr>
                <w:rFonts w:ascii="仿宋" w:hAnsi="仿宋" w:eastAsia="仿宋" w:cs="仿宋"/>
                <w:spacing w:val="-6"/>
                <w:sz w:val="22"/>
                <w:szCs w:val="22"/>
              </w:rPr>
              <w:t>主</w:t>
            </w:r>
            <w:r>
              <w:rPr>
                <w:rFonts w:ascii="仿宋" w:hAnsi="仿宋" w:eastAsia="仿宋" w:cs="仿宋"/>
                <w:spacing w:val="-3"/>
                <w:sz w:val="22"/>
                <w:szCs w:val="22"/>
              </w:rPr>
              <w:t>导产业</w:t>
            </w:r>
          </w:p>
        </w:tc>
        <w:tc>
          <w:tcPr>
            <w:tcW w:w="1366" w:type="dxa"/>
            <w:tcBorders>
              <w:tl2br w:val="nil"/>
              <w:tr2bl w:val="nil"/>
            </w:tcBorders>
            <w:noWrap w:val="0"/>
            <w:vAlign w:val="top"/>
          </w:tcPr>
          <w:p w14:paraId="22D7DFE4">
            <w:pPr>
              <w:keepNext w:val="0"/>
              <w:keepLines w:val="0"/>
              <w:pageBreakBefore w:val="0"/>
              <w:widowControl w:val="0"/>
              <w:kinsoku/>
              <w:wordWrap/>
              <w:overflowPunct/>
              <w:topLinePunct w:val="0"/>
              <w:autoSpaceDE/>
              <w:autoSpaceDN/>
              <w:bidi w:val="0"/>
              <w:adjustRightInd/>
              <w:snapToGrid/>
              <w:spacing w:line="300" w:lineRule="exact"/>
              <w:ind w:left="249"/>
              <w:textAlignment w:val="auto"/>
              <w:rPr>
                <w:rFonts w:ascii="仿宋" w:hAnsi="仿宋" w:eastAsia="仿宋" w:cs="仿宋"/>
                <w:sz w:val="22"/>
                <w:szCs w:val="22"/>
              </w:rPr>
            </w:pPr>
            <w:r>
              <w:rPr>
                <w:rFonts w:ascii="仿宋" w:hAnsi="仿宋" w:eastAsia="仿宋" w:cs="仿宋"/>
                <w:spacing w:val="-2"/>
                <w:sz w:val="22"/>
                <w:szCs w:val="22"/>
              </w:rPr>
              <w:t>周</w:t>
            </w:r>
            <w:r>
              <w:rPr>
                <w:rFonts w:ascii="仿宋" w:hAnsi="仿宋" w:eastAsia="仿宋" w:cs="仿宋"/>
                <w:spacing w:val="-1"/>
                <w:sz w:val="22"/>
                <w:szCs w:val="22"/>
              </w:rPr>
              <w:t>边环境</w:t>
            </w:r>
          </w:p>
        </w:tc>
        <w:tc>
          <w:tcPr>
            <w:tcW w:w="1676" w:type="dxa"/>
            <w:tcBorders>
              <w:tl2br w:val="nil"/>
              <w:tr2bl w:val="nil"/>
            </w:tcBorders>
            <w:noWrap w:val="0"/>
            <w:vAlign w:val="top"/>
          </w:tcPr>
          <w:p w14:paraId="2782D540">
            <w:pPr>
              <w:keepNext w:val="0"/>
              <w:keepLines w:val="0"/>
              <w:pageBreakBefore w:val="0"/>
              <w:widowControl w:val="0"/>
              <w:kinsoku/>
              <w:wordWrap/>
              <w:overflowPunct/>
              <w:topLinePunct w:val="0"/>
              <w:autoSpaceDE/>
              <w:autoSpaceDN/>
              <w:bidi w:val="0"/>
              <w:adjustRightInd/>
              <w:snapToGrid/>
              <w:spacing w:line="300" w:lineRule="exact"/>
              <w:ind w:left="413"/>
              <w:textAlignment w:val="auto"/>
              <w:rPr>
                <w:rFonts w:ascii="仿宋" w:hAnsi="仿宋" w:eastAsia="仿宋" w:cs="仿宋"/>
                <w:sz w:val="22"/>
                <w:szCs w:val="22"/>
              </w:rPr>
            </w:pPr>
            <w:r>
              <w:rPr>
                <w:rFonts w:ascii="仿宋" w:hAnsi="仿宋" w:eastAsia="仿宋" w:cs="仿宋"/>
                <w:spacing w:val="-4"/>
                <w:sz w:val="22"/>
                <w:szCs w:val="22"/>
              </w:rPr>
              <w:t>交</w:t>
            </w:r>
            <w:r>
              <w:rPr>
                <w:rFonts w:ascii="仿宋" w:hAnsi="仿宋" w:eastAsia="仿宋" w:cs="仿宋"/>
                <w:spacing w:val="-3"/>
                <w:sz w:val="22"/>
                <w:szCs w:val="22"/>
              </w:rPr>
              <w:t>通条件</w:t>
            </w:r>
          </w:p>
        </w:tc>
        <w:tc>
          <w:tcPr>
            <w:tcW w:w="1719" w:type="dxa"/>
            <w:tcBorders>
              <w:tl2br w:val="nil"/>
              <w:tr2bl w:val="nil"/>
            </w:tcBorders>
            <w:noWrap w:val="0"/>
            <w:vAlign w:val="top"/>
          </w:tcPr>
          <w:p w14:paraId="593F7716">
            <w:pPr>
              <w:keepNext w:val="0"/>
              <w:keepLines w:val="0"/>
              <w:pageBreakBefore w:val="0"/>
              <w:widowControl w:val="0"/>
              <w:kinsoku/>
              <w:wordWrap/>
              <w:overflowPunct/>
              <w:topLinePunct w:val="0"/>
              <w:autoSpaceDE/>
              <w:autoSpaceDN/>
              <w:bidi w:val="0"/>
              <w:adjustRightInd/>
              <w:snapToGrid/>
              <w:spacing w:line="300" w:lineRule="exact"/>
              <w:ind w:left="426"/>
              <w:textAlignment w:val="auto"/>
              <w:rPr>
                <w:rFonts w:ascii="仿宋" w:hAnsi="仿宋" w:eastAsia="仿宋" w:cs="仿宋"/>
                <w:sz w:val="22"/>
                <w:szCs w:val="22"/>
              </w:rPr>
            </w:pPr>
            <w:r>
              <w:rPr>
                <w:rFonts w:ascii="仿宋" w:hAnsi="仿宋" w:eastAsia="仿宋" w:cs="仿宋"/>
                <w:spacing w:val="-2"/>
                <w:sz w:val="22"/>
                <w:szCs w:val="22"/>
              </w:rPr>
              <w:t>人才环</w:t>
            </w:r>
            <w:r>
              <w:rPr>
                <w:rFonts w:ascii="仿宋" w:hAnsi="仿宋" w:eastAsia="仿宋" w:cs="仿宋"/>
                <w:spacing w:val="-1"/>
                <w:sz w:val="22"/>
                <w:szCs w:val="22"/>
              </w:rPr>
              <w:t>境</w:t>
            </w:r>
          </w:p>
        </w:tc>
      </w:tr>
      <w:tr w14:paraId="4D0DDF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1275" w:type="dxa"/>
            <w:tcBorders>
              <w:tl2br w:val="nil"/>
              <w:tr2bl w:val="nil"/>
            </w:tcBorders>
            <w:noWrap w:val="0"/>
            <w:vAlign w:val="top"/>
          </w:tcPr>
          <w:p w14:paraId="4EA043B1">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73CEF1DC">
            <w:pPr>
              <w:keepNext w:val="0"/>
              <w:keepLines w:val="0"/>
              <w:pageBreakBefore w:val="0"/>
              <w:widowControl w:val="0"/>
              <w:kinsoku/>
              <w:wordWrap/>
              <w:overflowPunct/>
              <w:topLinePunct w:val="0"/>
              <w:autoSpaceDE/>
              <w:autoSpaceDN/>
              <w:bidi w:val="0"/>
              <w:adjustRightInd/>
              <w:snapToGrid/>
              <w:spacing w:line="300" w:lineRule="exact"/>
              <w:ind w:left="111"/>
              <w:textAlignment w:val="auto"/>
              <w:rPr>
                <w:rFonts w:ascii="仿宋" w:hAnsi="仿宋" w:eastAsia="仿宋" w:cs="仿宋"/>
                <w:sz w:val="22"/>
                <w:szCs w:val="22"/>
              </w:rPr>
            </w:pPr>
            <w:r>
              <w:rPr>
                <w:rFonts w:ascii="仿宋" w:hAnsi="仿宋" w:eastAsia="仿宋" w:cs="仿宋"/>
                <w:spacing w:val="-2"/>
                <w:sz w:val="22"/>
                <w:szCs w:val="22"/>
              </w:rPr>
              <w:t>硅谷</w:t>
            </w:r>
          </w:p>
        </w:tc>
        <w:tc>
          <w:tcPr>
            <w:tcW w:w="1281" w:type="dxa"/>
            <w:tcBorders>
              <w:tl2br w:val="nil"/>
              <w:tr2bl w:val="nil"/>
            </w:tcBorders>
            <w:noWrap w:val="0"/>
            <w:vAlign w:val="top"/>
          </w:tcPr>
          <w:p w14:paraId="442AC893">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70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初期</w:t>
            </w:r>
          </w:p>
        </w:tc>
        <w:tc>
          <w:tcPr>
            <w:tcW w:w="876" w:type="dxa"/>
            <w:tcBorders>
              <w:tl2br w:val="nil"/>
              <w:tr2bl w:val="nil"/>
            </w:tcBorders>
            <w:noWrap w:val="0"/>
            <w:vAlign w:val="top"/>
          </w:tcPr>
          <w:p w14:paraId="5E719AC4">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091089A1">
            <w:pPr>
              <w:keepNext w:val="0"/>
              <w:keepLines w:val="0"/>
              <w:pageBreakBefore w:val="0"/>
              <w:widowControl w:val="0"/>
              <w:kinsoku/>
              <w:wordWrap/>
              <w:overflowPunct/>
              <w:topLinePunct w:val="0"/>
              <w:autoSpaceDE/>
              <w:autoSpaceDN/>
              <w:bidi w:val="0"/>
              <w:adjustRightInd/>
              <w:snapToGrid/>
              <w:spacing w:line="300" w:lineRule="exact"/>
              <w:ind w:left="122"/>
              <w:textAlignment w:val="auto"/>
              <w:rPr>
                <w:rFonts w:ascii="仿宋" w:hAnsi="仿宋" w:eastAsia="仿宋" w:cs="仿宋"/>
                <w:sz w:val="22"/>
                <w:szCs w:val="22"/>
              </w:rPr>
            </w:pPr>
            <w:r>
              <w:rPr>
                <w:rFonts w:ascii="仿宋" w:hAnsi="仿宋" w:eastAsia="仿宋" w:cs="仿宋"/>
                <w:spacing w:val="-9"/>
                <w:sz w:val="22"/>
                <w:szCs w:val="22"/>
              </w:rPr>
              <w:t>美</w:t>
            </w:r>
            <w:r>
              <w:rPr>
                <w:rFonts w:ascii="仿宋" w:hAnsi="仿宋" w:eastAsia="仿宋" w:cs="仿宋"/>
                <w:spacing w:val="-8"/>
                <w:sz w:val="22"/>
                <w:szCs w:val="22"/>
              </w:rPr>
              <w:t>国</w:t>
            </w:r>
          </w:p>
        </w:tc>
        <w:tc>
          <w:tcPr>
            <w:tcW w:w="1677" w:type="dxa"/>
            <w:tcBorders>
              <w:tl2br w:val="nil"/>
              <w:tr2bl w:val="nil"/>
            </w:tcBorders>
            <w:noWrap w:val="0"/>
            <w:vAlign w:val="top"/>
          </w:tcPr>
          <w:p w14:paraId="4EB0B60A">
            <w:pPr>
              <w:keepNext w:val="0"/>
              <w:keepLines w:val="0"/>
              <w:pageBreakBefore w:val="0"/>
              <w:widowControl w:val="0"/>
              <w:kinsoku/>
              <w:wordWrap/>
              <w:overflowPunct/>
              <w:topLinePunct w:val="0"/>
              <w:autoSpaceDE/>
              <w:autoSpaceDN/>
              <w:bidi w:val="0"/>
              <w:adjustRightInd/>
              <w:snapToGrid/>
              <w:spacing w:line="300" w:lineRule="exact"/>
              <w:ind w:left="111" w:right="103" w:hanging="5"/>
              <w:textAlignment w:val="auto"/>
              <w:rPr>
                <w:rFonts w:ascii="仿宋" w:hAnsi="仿宋" w:eastAsia="仿宋" w:cs="仿宋"/>
                <w:sz w:val="22"/>
                <w:szCs w:val="22"/>
              </w:rPr>
            </w:pPr>
            <w:r>
              <w:rPr>
                <w:rFonts w:ascii="仿宋" w:hAnsi="仿宋" w:eastAsia="仿宋" w:cs="仿宋"/>
                <w:spacing w:val="-12"/>
                <w:sz w:val="22"/>
                <w:szCs w:val="22"/>
              </w:rPr>
              <w:t>信</w:t>
            </w:r>
            <w:r>
              <w:rPr>
                <w:rFonts w:ascii="仿宋" w:hAnsi="仿宋" w:eastAsia="仿宋" w:cs="仿宋"/>
                <w:spacing w:val="-11"/>
                <w:sz w:val="22"/>
                <w:szCs w:val="22"/>
              </w:rPr>
              <w:t>息技术、电子</w:t>
            </w:r>
            <w:r>
              <w:rPr>
                <w:rFonts w:ascii="仿宋" w:hAnsi="仿宋" w:eastAsia="仿宋" w:cs="仿宋"/>
                <w:spacing w:val="-12"/>
                <w:sz w:val="22"/>
                <w:szCs w:val="22"/>
              </w:rPr>
              <w:t>科技、金融、技</w:t>
            </w:r>
            <w:r>
              <w:rPr>
                <w:rFonts w:ascii="仿宋" w:hAnsi="仿宋" w:eastAsia="仿宋" w:cs="仿宋"/>
                <w:spacing w:val="-2"/>
                <w:sz w:val="22"/>
                <w:szCs w:val="22"/>
              </w:rPr>
              <w:t>术服务</w:t>
            </w:r>
          </w:p>
        </w:tc>
        <w:tc>
          <w:tcPr>
            <w:tcW w:w="1366" w:type="dxa"/>
            <w:tcBorders>
              <w:tl2br w:val="nil"/>
              <w:tr2bl w:val="nil"/>
            </w:tcBorders>
            <w:noWrap w:val="0"/>
            <w:vAlign w:val="top"/>
          </w:tcPr>
          <w:p w14:paraId="12AE0A8C">
            <w:pPr>
              <w:keepNext w:val="0"/>
              <w:keepLines w:val="0"/>
              <w:pageBreakBefore w:val="0"/>
              <w:widowControl w:val="0"/>
              <w:kinsoku/>
              <w:wordWrap/>
              <w:overflowPunct/>
              <w:topLinePunct w:val="0"/>
              <w:autoSpaceDE/>
              <w:autoSpaceDN/>
              <w:bidi w:val="0"/>
              <w:adjustRightInd/>
              <w:snapToGrid/>
              <w:spacing w:line="300" w:lineRule="exact"/>
              <w:ind w:right="103"/>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于美国旧</w:t>
            </w:r>
            <w:r>
              <w:rPr>
                <w:rFonts w:ascii="仿宋" w:hAnsi="仿宋" w:eastAsia="仿宋" w:cs="仿宋"/>
                <w:spacing w:val="-2"/>
                <w:sz w:val="22"/>
                <w:szCs w:val="22"/>
              </w:rPr>
              <w:t>金山城市</w:t>
            </w:r>
            <w:r>
              <w:rPr>
                <w:rFonts w:ascii="仿宋" w:hAnsi="仿宋" w:eastAsia="仿宋" w:cs="仿宋"/>
                <w:spacing w:val="-1"/>
                <w:sz w:val="22"/>
                <w:szCs w:val="22"/>
              </w:rPr>
              <w:t>群</w:t>
            </w:r>
          </w:p>
        </w:tc>
        <w:tc>
          <w:tcPr>
            <w:tcW w:w="1676" w:type="dxa"/>
            <w:tcBorders>
              <w:tl2br w:val="nil"/>
              <w:tr2bl w:val="nil"/>
            </w:tcBorders>
            <w:noWrap w:val="0"/>
            <w:vAlign w:val="top"/>
          </w:tcPr>
          <w:p w14:paraId="1C1CB54B">
            <w:pPr>
              <w:keepNext w:val="0"/>
              <w:keepLines w:val="0"/>
              <w:pageBreakBefore w:val="0"/>
              <w:widowControl w:val="0"/>
              <w:kinsoku/>
              <w:wordWrap/>
              <w:overflowPunct/>
              <w:topLinePunct w:val="0"/>
              <w:autoSpaceDE/>
              <w:autoSpaceDN/>
              <w:bidi w:val="0"/>
              <w:adjustRightInd/>
              <w:snapToGrid/>
              <w:spacing w:line="300" w:lineRule="exact"/>
              <w:ind w:left="120" w:right="102"/>
              <w:textAlignment w:val="auto"/>
              <w:rPr>
                <w:rFonts w:ascii="仿宋" w:hAnsi="仿宋" w:eastAsia="仿宋" w:cs="仿宋"/>
                <w:sz w:val="22"/>
                <w:szCs w:val="22"/>
              </w:rPr>
            </w:pPr>
            <w:r>
              <w:rPr>
                <w:rFonts w:ascii="仿宋" w:hAnsi="仿宋" w:eastAsia="仿宋" w:cs="仿宋"/>
                <w:spacing w:val="4"/>
                <w:sz w:val="22"/>
                <w:szCs w:val="22"/>
              </w:rPr>
              <w:t>海</w:t>
            </w:r>
            <w:r>
              <w:rPr>
                <w:rFonts w:ascii="仿宋" w:hAnsi="仿宋" w:eastAsia="仿宋" w:cs="仿宋"/>
                <w:spacing w:val="3"/>
                <w:sz w:val="22"/>
                <w:szCs w:val="22"/>
              </w:rPr>
              <w:t>陆</w:t>
            </w:r>
            <w:r>
              <w:rPr>
                <w:rFonts w:ascii="仿宋" w:hAnsi="仿宋" w:eastAsia="仿宋" w:cs="仿宋"/>
                <w:spacing w:val="2"/>
                <w:sz w:val="22"/>
                <w:szCs w:val="22"/>
              </w:rPr>
              <w:t>空立体交</w:t>
            </w:r>
            <w:r>
              <w:rPr>
                <w:rFonts w:ascii="仿宋" w:hAnsi="仿宋" w:eastAsia="仿宋" w:cs="仿宋"/>
                <w:spacing w:val="-5"/>
                <w:sz w:val="22"/>
                <w:szCs w:val="22"/>
              </w:rPr>
              <w:t>通</w:t>
            </w:r>
            <w:r>
              <w:rPr>
                <w:rFonts w:ascii="仿宋" w:hAnsi="仿宋" w:eastAsia="仿宋" w:cs="仿宋"/>
                <w:spacing w:val="-4"/>
                <w:sz w:val="22"/>
                <w:szCs w:val="22"/>
              </w:rPr>
              <w:t>网络</w:t>
            </w:r>
          </w:p>
        </w:tc>
        <w:tc>
          <w:tcPr>
            <w:tcW w:w="1719" w:type="dxa"/>
            <w:tcBorders>
              <w:tl2br w:val="nil"/>
              <w:tr2bl w:val="nil"/>
            </w:tcBorders>
            <w:noWrap w:val="0"/>
            <w:vAlign w:val="top"/>
          </w:tcPr>
          <w:p w14:paraId="1B0E72E9">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14"/>
                <w:sz w:val="22"/>
                <w:szCs w:val="22"/>
              </w:rPr>
              <w:t>世界顶尖高校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558301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1" w:hRule="atLeast"/>
          <w:jc w:val="center"/>
        </w:trPr>
        <w:tc>
          <w:tcPr>
            <w:tcW w:w="1275" w:type="dxa"/>
            <w:tcBorders>
              <w:tl2br w:val="nil"/>
              <w:tr2bl w:val="nil"/>
            </w:tcBorders>
            <w:noWrap w:val="0"/>
            <w:vAlign w:val="top"/>
          </w:tcPr>
          <w:p w14:paraId="01016CE3">
            <w:pPr>
              <w:keepNext w:val="0"/>
              <w:keepLines w:val="0"/>
              <w:pageBreakBefore w:val="0"/>
              <w:widowControl w:val="0"/>
              <w:kinsoku/>
              <w:wordWrap/>
              <w:overflowPunct/>
              <w:topLinePunct w:val="0"/>
              <w:autoSpaceDE/>
              <w:autoSpaceDN/>
              <w:bidi w:val="0"/>
              <w:adjustRightInd/>
              <w:snapToGrid/>
              <w:spacing w:line="300" w:lineRule="exact"/>
              <w:ind w:left="118" w:right="107"/>
              <w:textAlignment w:val="auto"/>
              <w:rPr>
                <w:rFonts w:ascii="仿宋" w:hAnsi="仿宋" w:eastAsia="仿宋" w:cs="仿宋"/>
                <w:sz w:val="22"/>
                <w:szCs w:val="22"/>
              </w:rPr>
            </w:pPr>
            <w:r>
              <w:rPr>
                <w:rFonts w:ascii="仿宋" w:hAnsi="仿宋" w:eastAsia="仿宋" w:cs="仿宋"/>
                <w:spacing w:val="-28"/>
                <w:sz w:val="22"/>
                <w:szCs w:val="22"/>
              </w:rPr>
              <w:t>杜</w:t>
            </w:r>
            <w:r>
              <w:rPr>
                <w:rFonts w:ascii="仿宋" w:hAnsi="仿宋" w:eastAsia="仿宋" w:cs="仿宋"/>
                <w:spacing w:val="-23"/>
                <w:sz w:val="22"/>
                <w:szCs w:val="22"/>
              </w:rPr>
              <w:t>勒斯科</w:t>
            </w:r>
            <w:r>
              <w:rPr>
                <w:rFonts w:ascii="仿宋" w:hAnsi="仿宋" w:eastAsia="仿宋" w:cs="仿宋"/>
                <w:spacing w:val="-4"/>
                <w:sz w:val="22"/>
                <w:szCs w:val="22"/>
              </w:rPr>
              <w:t>技</w:t>
            </w:r>
            <w:r>
              <w:rPr>
                <w:rFonts w:ascii="仿宋" w:hAnsi="仿宋" w:eastAsia="仿宋" w:cs="仿宋"/>
                <w:spacing w:val="-3"/>
                <w:sz w:val="22"/>
                <w:szCs w:val="22"/>
              </w:rPr>
              <w:t>走廊</w:t>
            </w:r>
          </w:p>
        </w:tc>
        <w:tc>
          <w:tcPr>
            <w:tcW w:w="1281" w:type="dxa"/>
            <w:tcBorders>
              <w:tl2br w:val="nil"/>
              <w:tr2bl w:val="nil"/>
            </w:tcBorders>
            <w:noWrap w:val="0"/>
            <w:vAlign w:val="top"/>
          </w:tcPr>
          <w:p w14:paraId="716EDAC3">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70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末期</w:t>
            </w:r>
          </w:p>
        </w:tc>
        <w:tc>
          <w:tcPr>
            <w:tcW w:w="876" w:type="dxa"/>
            <w:tcBorders>
              <w:tl2br w:val="nil"/>
              <w:tr2bl w:val="nil"/>
            </w:tcBorders>
            <w:noWrap w:val="0"/>
            <w:vAlign w:val="top"/>
          </w:tcPr>
          <w:p w14:paraId="42AB3750">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5EDC774B">
            <w:pPr>
              <w:keepNext w:val="0"/>
              <w:keepLines w:val="0"/>
              <w:pageBreakBefore w:val="0"/>
              <w:widowControl w:val="0"/>
              <w:kinsoku/>
              <w:wordWrap/>
              <w:overflowPunct/>
              <w:topLinePunct w:val="0"/>
              <w:autoSpaceDE/>
              <w:autoSpaceDN/>
              <w:bidi w:val="0"/>
              <w:adjustRightInd/>
              <w:snapToGrid/>
              <w:spacing w:line="300" w:lineRule="exact"/>
              <w:ind w:left="122"/>
              <w:textAlignment w:val="auto"/>
              <w:rPr>
                <w:rFonts w:ascii="仿宋" w:hAnsi="仿宋" w:eastAsia="仿宋" w:cs="仿宋"/>
                <w:sz w:val="22"/>
                <w:szCs w:val="22"/>
              </w:rPr>
            </w:pPr>
            <w:r>
              <w:rPr>
                <w:rFonts w:ascii="仿宋" w:hAnsi="仿宋" w:eastAsia="仿宋" w:cs="仿宋"/>
                <w:spacing w:val="-9"/>
                <w:sz w:val="22"/>
                <w:szCs w:val="22"/>
              </w:rPr>
              <w:t>美</w:t>
            </w:r>
            <w:r>
              <w:rPr>
                <w:rFonts w:ascii="仿宋" w:hAnsi="仿宋" w:eastAsia="仿宋" w:cs="仿宋"/>
                <w:spacing w:val="-8"/>
                <w:sz w:val="22"/>
                <w:szCs w:val="22"/>
              </w:rPr>
              <w:t>国</w:t>
            </w:r>
          </w:p>
        </w:tc>
        <w:tc>
          <w:tcPr>
            <w:tcW w:w="1677" w:type="dxa"/>
            <w:tcBorders>
              <w:tl2br w:val="nil"/>
              <w:tr2bl w:val="nil"/>
            </w:tcBorders>
            <w:noWrap w:val="0"/>
            <w:vAlign w:val="top"/>
          </w:tcPr>
          <w:p w14:paraId="776D4C5E">
            <w:pPr>
              <w:keepNext w:val="0"/>
              <w:keepLines w:val="0"/>
              <w:pageBreakBefore w:val="0"/>
              <w:widowControl w:val="0"/>
              <w:kinsoku/>
              <w:wordWrap/>
              <w:overflowPunct/>
              <w:topLinePunct w:val="0"/>
              <w:autoSpaceDE/>
              <w:autoSpaceDN/>
              <w:bidi w:val="0"/>
              <w:adjustRightInd/>
              <w:snapToGrid/>
              <w:spacing w:line="300" w:lineRule="exact"/>
              <w:ind w:left="113" w:right="103" w:firstLine="16"/>
              <w:textAlignment w:val="auto"/>
              <w:rPr>
                <w:rFonts w:ascii="仿宋" w:hAnsi="仿宋" w:eastAsia="仿宋" w:cs="仿宋"/>
                <w:sz w:val="22"/>
                <w:szCs w:val="22"/>
              </w:rPr>
            </w:pPr>
            <w:r>
              <w:rPr>
                <w:rFonts w:ascii="仿宋" w:hAnsi="仿宋" w:eastAsia="仿宋" w:cs="仿宋"/>
                <w:spacing w:val="-17"/>
                <w:sz w:val="22"/>
                <w:szCs w:val="22"/>
              </w:rPr>
              <w:t>空</w:t>
            </w:r>
            <w:r>
              <w:rPr>
                <w:rFonts w:ascii="仿宋" w:hAnsi="仿宋" w:eastAsia="仿宋" w:cs="仿宋"/>
                <w:spacing w:val="-14"/>
                <w:sz w:val="22"/>
                <w:szCs w:val="22"/>
              </w:rPr>
              <w:t>间技术、人工智能、功能材</w:t>
            </w:r>
            <w:r>
              <w:rPr>
                <w:rFonts w:ascii="仿宋" w:hAnsi="仿宋" w:eastAsia="仿宋" w:cs="仿宋"/>
                <w:spacing w:val="-2"/>
                <w:sz w:val="22"/>
                <w:szCs w:val="22"/>
              </w:rPr>
              <w:t>料</w:t>
            </w:r>
            <w:r>
              <w:rPr>
                <w:rFonts w:ascii="仿宋" w:hAnsi="仿宋" w:eastAsia="仿宋" w:cs="仿宋"/>
                <w:spacing w:val="-1"/>
                <w:sz w:val="22"/>
                <w:szCs w:val="22"/>
              </w:rPr>
              <w:t>、技术服务</w:t>
            </w:r>
          </w:p>
        </w:tc>
        <w:tc>
          <w:tcPr>
            <w:tcW w:w="1366" w:type="dxa"/>
            <w:tcBorders>
              <w:tl2br w:val="nil"/>
              <w:tr2bl w:val="nil"/>
            </w:tcBorders>
            <w:noWrap w:val="0"/>
            <w:vAlign w:val="top"/>
          </w:tcPr>
          <w:p w14:paraId="3EB35E86">
            <w:pPr>
              <w:keepNext w:val="0"/>
              <w:keepLines w:val="0"/>
              <w:pageBreakBefore w:val="0"/>
              <w:widowControl w:val="0"/>
              <w:kinsoku/>
              <w:wordWrap/>
              <w:overflowPunct/>
              <w:topLinePunct w:val="0"/>
              <w:autoSpaceDE/>
              <w:autoSpaceDN/>
              <w:bidi w:val="0"/>
              <w:adjustRightInd/>
              <w:snapToGrid/>
              <w:spacing w:line="300" w:lineRule="exact"/>
              <w:ind w:left="117" w:right="103" w:hanging="7"/>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于美国东</w:t>
            </w:r>
            <w:r>
              <w:rPr>
                <w:rFonts w:ascii="仿宋" w:hAnsi="仿宋" w:eastAsia="仿宋" w:cs="仿宋"/>
                <w:spacing w:val="8"/>
                <w:sz w:val="22"/>
                <w:szCs w:val="22"/>
              </w:rPr>
              <w:t>海岸城市</w:t>
            </w:r>
            <w:r>
              <w:rPr>
                <w:rFonts w:ascii="仿宋" w:hAnsi="仿宋" w:eastAsia="仿宋" w:cs="仿宋"/>
                <w:spacing w:val="7"/>
                <w:sz w:val="22"/>
                <w:szCs w:val="22"/>
              </w:rPr>
              <w:t>密</w:t>
            </w:r>
            <w:r>
              <w:rPr>
                <w:rFonts w:ascii="仿宋" w:hAnsi="仿宋" w:eastAsia="仿宋" w:cs="仿宋"/>
                <w:spacing w:val="-7"/>
                <w:sz w:val="22"/>
                <w:szCs w:val="22"/>
              </w:rPr>
              <w:t>集</w:t>
            </w:r>
            <w:r>
              <w:rPr>
                <w:rFonts w:ascii="仿宋" w:hAnsi="仿宋" w:eastAsia="仿宋" w:cs="仿宋"/>
                <w:spacing w:val="-5"/>
                <w:sz w:val="22"/>
                <w:szCs w:val="22"/>
              </w:rPr>
              <w:t>区</w:t>
            </w:r>
          </w:p>
        </w:tc>
        <w:tc>
          <w:tcPr>
            <w:tcW w:w="1676" w:type="dxa"/>
            <w:tcBorders>
              <w:tl2br w:val="nil"/>
              <w:tr2bl w:val="nil"/>
            </w:tcBorders>
            <w:noWrap w:val="0"/>
            <w:vAlign w:val="top"/>
          </w:tcPr>
          <w:p w14:paraId="13252261">
            <w:pPr>
              <w:keepNext w:val="0"/>
              <w:keepLines w:val="0"/>
              <w:pageBreakBefore w:val="0"/>
              <w:widowControl w:val="0"/>
              <w:kinsoku/>
              <w:wordWrap/>
              <w:overflowPunct/>
              <w:topLinePunct w:val="0"/>
              <w:autoSpaceDE/>
              <w:autoSpaceDN/>
              <w:bidi w:val="0"/>
              <w:adjustRightInd/>
              <w:snapToGrid/>
              <w:spacing w:line="300" w:lineRule="exact"/>
              <w:ind w:left="113" w:right="102" w:firstLine="14"/>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近大型国际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719" w:type="dxa"/>
            <w:tcBorders>
              <w:tl2br w:val="nil"/>
              <w:tr2bl w:val="nil"/>
            </w:tcBorders>
            <w:noWrap w:val="0"/>
            <w:vAlign w:val="top"/>
          </w:tcPr>
          <w:p w14:paraId="693FC50E">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20"/>
                <w:sz w:val="22"/>
                <w:szCs w:val="22"/>
              </w:rPr>
              <w:t>世</w:t>
            </w:r>
            <w:r>
              <w:rPr>
                <w:rFonts w:ascii="仿宋" w:hAnsi="仿宋" w:eastAsia="仿宋" w:cs="仿宋"/>
                <w:spacing w:val="-18"/>
                <w:sz w:val="22"/>
                <w:szCs w:val="22"/>
              </w:rPr>
              <w:t>界知名高校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62887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31" w:hRule="atLeast"/>
          <w:jc w:val="center"/>
        </w:trPr>
        <w:tc>
          <w:tcPr>
            <w:tcW w:w="1275" w:type="dxa"/>
            <w:tcBorders>
              <w:tl2br w:val="nil"/>
              <w:tr2bl w:val="nil"/>
            </w:tcBorders>
            <w:noWrap w:val="0"/>
            <w:vAlign w:val="top"/>
          </w:tcPr>
          <w:p w14:paraId="0B7F2899">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3F95EFE8">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5FA37C94">
            <w:pPr>
              <w:keepNext w:val="0"/>
              <w:keepLines w:val="0"/>
              <w:pageBreakBefore w:val="0"/>
              <w:widowControl w:val="0"/>
              <w:kinsoku/>
              <w:wordWrap/>
              <w:overflowPunct/>
              <w:topLinePunct w:val="0"/>
              <w:autoSpaceDE/>
              <w:autoSpaceDN/>
              <w:bidi w:val="0"/>
              <w:adjustRightInd/>
              <w:snapToGrid/>
              <w:spacing w:line="300" w:lineRule="exact"/>
              <w:ind w:left="120"/>
              <w:textAlignment w:val="auto"/>
              <w:rPr>
                <w:rFonts w:ascii="仿宋" w:hAnsi="仿宋" w:eastAsia="仿宋" w:cs="仿宋"/>
                <w:sz w:val="22"/>
                <w:szCs w:val="22"/>
              </w:rPr>
            </w:pPr>
            <w:r>
              <w:rPr>
                <w:rFonts w:ascii="仿宋" w:hAnsi="仿宋" w:eastAsia="仿宋" w:cs="仿宋"/>
                <w:spacing w:val="-4"/>
                <w:sz w:val="22"/>
                <w:szCs w:val="22"/>
              </w:rPr>
              <w:t>黄</w:t>
            </w:r>
            <w:r>
              <w:rPr>
                <w:rFonts w:ascii="仿宋" w:hAnsi="仿宋" w:eastAsia="仿宋" w:cs="仿宋"/>
                <w:spacing w:val="-3"/>
                <w:sz w:val="22"/>
                <w:szCs w:val="22"/>
              </w:rPr>
              <w:t>金走廊</w:t>
            </w:r>
          </w:p>
        </w:tc>
        <w:tc>
          <w:tcPr>
            <w:tcW w:w="1281" w:type="dxa"/>
            <w:tcBorders>
              <w:tl2br w:val="nil"/>
              <w:tr2bl w:val="nil"/>
            </w:tcBorders>
            <w:noWrap w:val="0"/>
            <w:vAlign w:val="top"/>
          </w:tcPr>
          <w:p w14:paraId="051083A6">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352E9A53">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80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中期</w:t>
            </w:r>
          </w:p>
        </w:tc>
        <w:tc>
          <w:tcPr>
            <w:tcW w:w="876" w:type="dxa"/>
            <w:tcBorders>
              <w:tl2br w:val="nil"/>
              <w:tr2bl w:val="nil"/>
            </w:tcBorders>
            <w:noWrap w:val="0"/>
            <w:vAlign w:val="top"/>
          </w:tcPr>
          <w:p w14:paraId="0E3D4066">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653FF0DE">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084516E0">
            <w:pPr>
              <w:keepNext w:val="0"/>
              <w:keepLines w:val="0"/>
              <w:pageBreakBefore w:val="0"/>
              <w:widowControl w:val="0"/>
              <w:kinsoku/>
              <w:wordWrap/>
              <w:overflowPunct/>
              <w:topLinePunct w:val="0"/>
              <w:autoSpaceDE/>
              <w:autoSpaceDN/>
              <w:bidi w:val="0"/>
              <w:adjustRightInd/>
              <w:snapToGrid/>
              <w:spacing w:line="300" w:lineRule="exact"/>
              <w:ind w:left="122"/>
              <w:textAlignment w:val="auto"/>
              <w:rPr>
                <w:rFonts w:ascii="仿宋" w:hAnsi="仿宋" w:eastAsia="仿宋" w:cs="仿宋"/>
                <w:sz w:val="22"/>
                <w:szCs w:val="22"/>
              </w:rPr>
            </w:pPr>
            <w:r>
              <w:rPr>
                <w:rFonts w:ascii="仿宋" w:hAnsi="仿宋" w:eastAsia="仿宋" w:cs="仿宋"/>
                <w:spacing w:val="-9"/>
                <w:sz w:val="22"/>
                <w:szCs w:val="22"/>
              </w:rPr>
              <w:t>美</w:t>
            </w:r>
            <w:r>
              <w:rPr>
                <w:rFonts w:ascii="仿宋" w:hAnsi="仿宋" w:eastAsia="仿宋" w:cs="仿宋"/>
                <w:spacing w:val="-8"/>
                <w:sz w:val="22"/>
                <w:szCs w:val="22"/>
              </w:rPr>
              <w:t>国</w:t>
            </w:r>
          </w:p>
        </w:tc>
        <w:tc>
          <w:tcPr>
            <w:tcW w:w="1677" w:type="dxa"/>
            <w:tcBorders>
              <w:tl2br w:val="nil"/>
              <w:tr2bl w:val="nil"/>
            </w:tcBorders>
            <w:noWrap w:val="0"/>
            <w:vAlign w:val="top"/>
          </w:tcPr>
          <w:p w14:paraId="1D7D3CD6">
            <w:pPr>
              <w:keepNext w:val="0"/>
              <w:keepLines w:val="0"/>
              <w:pageBreakBefore w:val="0"/>
              <w:widowControl w:val="0"/>
              <w:kinsoku/>
              <w:wordWrap/>
              <w:overflowPunct/>
              <w:topLinePunct w:val="0"/>
              <w:autoSpaceDE/>
              <w:autoSpaceDN/>
              <w:bidi w:val="0"/>
              <w:adjustRightInd/>
              <w:snapToGrid/>
              <w:spacing w:line="300" w:lineRule="exact"/>
              <w:ind w:left="114" w:right="67" w:hanging="3"/>
              <w:textAlignment w:val="auto"/>
              <w:rPr>
                <w:rFonts w:ascii="仿宋" w:hAnsi="仿宋" w:eastAsia="仿宋" w:cs="仿宋"/>
                <w:sz w:val="22"/>
                <w:szCs w:val="22"/>
              </w:rPr>
            </w:pPr>
            <w:r>
              <w:rPr>
                <w:rFonts w:ascii="仿宋" w:hAnsi="仿宋" w:eastAsia="仿宋" w:cs="仿宋"/>
                <w:spacing w:val="-16"/>
                <w:sz w:val="22"/>
                <w:szCs w:val="22"/>
              </w:rPr>
              <w:t>航</w:t>
            </w:r>
            <w:r>
              <w:rPr>
                <w:rFonts w:ascii="仿宋" w:hAnsi="仿宋" w:eastAsia="仿宋" w:cs="仿宋"/>
                <w:spacing w:val="-10"/>
                <w:sz w:val="22"/>
                <w:szCs w:val="22"/>
              </w:rPr>
              <w:t>空、电子信</w:t>
            </w:r>
            <w:r>
              <w:rPr>
                <w:rFonts w:ascii="仿宋" w:hAnsi="仿宋" w:eastAsia="仿宋" w:cs="仿宋"/>
                <w:spacing w:val="-9"/>
                <w:sz w:val="22"/>
                <w:szCs w:val="22"/>
              </w:rPr>
              <w:t>息</w:t>
            </w:r>
            <w:r>
              <w:rPr>
                <w:rFonts w:ascii="仿宋" w:hAnsi="仿宋" w:eastAsia="仿宋" w:cs="仿宋"/>
                <w:spacing w:val="-7"/>
                <w:sz w:val="22"/>
                <w:szCs w:val="22"/>
              </w:rPr>
              <w:t>、生命科学、</w:t>
            </w:r>
            <w:r>
              <w:rPr>
                <w:rFonts w:ascii="仿宋" w:hAnsi="仿宋" w:eastAsia="仿宋" w:cs="仿宋"/>
                <w:spacing w:val="-15"/>
                <w:sz w:val="22"/>
                <w:szCs w:val="22"/>
              </w:rPr>
              <w:t>金</w:t>
            </w:r>
            <w:r>
              <w:rPr>
                <w:rFonts w:ascii="仿宋" w:hAnsi="仿宋" w:eastAsia="仿宋" w:cs="仿宋"/>
                <w:spacing w:val="-12"/>
                <w:sz w:val="22"/>
                <w:szCs w:val="22"/>
              </w:rPr>
              <w:t>融、保险、技</w:t>
            </w:r>
            <w:r>
              <w:rPr>
                <w:rFonts w:ascii="仿宋" w:hAnsi="仿宋" w:eastAsia="仿宋" w:cs="仿宋"/>
                <w:spacing w:val="-3"/>
                <w:sz w:val="22"/>
                <w:szCs w:val="22"/>
              </w:rPr>
              <w:t>术服务</w:t>
            </w:r>
          </w:p>
        </w:tc>
        <w:tc>
          <w:tcPr>
            <w:tcW w:w="1366" w:type="dxa"/>
            <w:tcBorders>
              <w:tl2br w:val="nil"/>
              <w:tr2bl w:val="nil"/>
            </w:tcBorders>
            <w:noWrap w:val="0"/>
            <w:vAlign w:val="top"/>
          </w:tcPr>
          <w:p w14:paraId="51B4AE2A">
            <w:pPr>
              <w:keepNext w:val="0"/>
              <w:keepLines w:val="0"/>
              <w:pageBreakBefore w:val="0"/>
              <w:widowControl w:val="0"/>
              <w:kinsoku/>
              <w:wordWrap/>
              <w:overflowPunct/>
              <w:topLinePunct w:val="0"/>
              <w:autoSpaceDE/>
              <w:autoSpaceDN/>
              <w:bidi w:val="0"/>
              <w:adjustRightInd/>
              <w:snapToGrid/>
              <w:spacing w:line="300" w:lineRule="exact"/>
              <w:ind w:left="113" w:right="103" w:hanging="3"/>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于美国中</w:t>
            </w:r>
            <w:r>
              <w:rPr>
                <w:rFonts w:ascii="仿宋" w:hAnsi="仿宋" w:eastAsia="仿宋" w:cs="仿宋"/>
                <w:spacing w:val="-13"/>
                <w:sz w:val="22"/>
                <w:szCs w:val="22"/>
              </w:rPr>
              <w:t>北</w:t>
            </w:r>
            <w:r>
              <w:rPr>
                <w:rFonts w:ascii="仿宋" w:hAnsi="仿宋" w:eastAsia="仿宋" w:cs="仿宋"/>
                <w:spacing w:val="-9"/>
                <w:sz w:val="22"/>
                <w:szCs w:val="22"/>
              </w:rPr>
              <w:t>部芝加</w:t>
            </w:r>
            <w:r>
              <w:rPr>
                <w:rFonts w:ascii="仿宋" w:hAnsi="仿宋" w:eastAsia="仿宋" w:cs="仿宋"/>
                <w:spacing w:val="11"/>
                <w:sz w:val="22"/>
                <w:szCs w:val="22"/>
              </w:rPr>
              <w:t>哥</w:t>
            </w:r>
            <w:r>
              <w:rPr>
                <w:rFonts w:ascii="仿宋" w:hAnsi="仿宋" w:eastAsia="仿宋" w:cs="仿宋"/>
                <w:spacing w:val="8"/>
                <w:sz w:val="22"/>
                <w:szCs w:val="22"/>
              </w:rPr>
              <w:t>，属于地</w:t>
            </w:r>
            <w:r>
              <w:rPr>
                <w:rFonts w:ascii="仿宋" w:hAnsi="仿宋" w:eastAsia="仿宋" w:cs="仿宋"/>
                <w:spacing w:val="11"/>
                <w:sz w:val="22"/>
                <w:szCs w:val="22"/>
              </w:rPr>
              <w:t>区</w:t>
            </w:r>
            <w:r>
              <w:rPr>
                <w:rFonts w:ascii="仿宋" w:hAnsi="仿宋" w:eastAsia="仿宋" w:cs="仿宋"/>
                <w:spacing w:val="8"/>
                <w:sz w:val="22"/>
                <w:szCs w:val="22"/>
              </w:rPr>
              <w:t>经济集中</w:t>
            </w:r>
            <w:r>
              <w:rPr>
                <w:rFonts w:ascii="仿宋" w:hAnsi="仿宋" w:eastAsia="仿宋" w:cs="仿宋"/>
                <w:sz w:val="22"/>
                <w:szCs w:val="22"/>
              </w:rPr>
              <w:t>区</w:t>
            </w:r>
          </w:p>
        </w:tc>
        <w:tc>
          <w:tcPr>
            <w:tcW w:w="1676" w:type="dxa"/>
            <w:tcBorders>
              <w:tl2br w:val="nil"/>
              <w:tr2bl w:val="nil"/>
            </w:tcBorders>
            <w:noWrap w:val="0"/>
            <w:vAlign w:val="top"/>
          </w:tcPr>
          <w:p w14:paraId="5DCC7B08">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484D246A">
            <w:pPr>
              <w:keepNext w:val="0"/>
              <w:keepLines w:val="0"/>
              <w:pageBreakBefore w:val="0"/>
              <w:widowControl w:val="0"/>
              <w:kinsoku/>
              <w:wordWrap/>
              <w:overflowPunct/>
              <w:topLinePunct w:val="0"/>
              <w:autoSpaceDE/>
              <w:autoSpaceDN/>
              <w:bidi w:val="0"/>
              <w:adjustRightInd/>
              <w:snapToGrid/>
              <w:spacing w:line="300" w:lineRule="exact"/>
              <w:ind w:left="113" w:right="102" w:firstLine="14"/>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近大型国际</w:t>
            </w:r>
            <w:r>
              <w:rPr>
                <w:rFonts w:ascii="仿宋" w:hAnsi="仿宋" w:eastAsia="仿宋" w:cs="仿宋"/>
                <w:spacing w:val="-14"/>
                <w:sz w:val="22"/>
                <w:szCs w:val="22"/>
              </w:rPr>
              <w:t>机</w:t>
            </w:r>
            <w:r>
              <w:rPr>
                <w:rFonts w:ascii="仿宋" w:hAnsi="仿宋" w:eastAsia="仿宋" w:cs="仿宋"/>
                <w:spacing w:val="-12"/>
                <w:sz w:val="22"/>
                <w:szCs w:val="22"/>
              </w:rPr>
              <w:t>场，紧邻国家</w:t>
            </w:r>
            <w:r>
              <w:rPr>
                <w:rFonts w:ascii="仿宋" w:hAnsi="仿宋" w:eastAsia="仿宋" w:cs="仿宋"/>
                <w:spacing w:val="-2"/>
                <w:sz w:val="22"/>
                <w:szCs w:val="22"/>
              </w:rPr>
              <w:t>高速</w:t>
            </w:r>
            <w:r>
              <w:rPr>
                <w:rFonts w:ascii="仿宋" w:hAnsi="仿宋" w:eastAsia="仿宋" w:cs="仿宋"/>
                <w:spacing w:val="-1"/>
                <w:sz w:val="22"/>
                <w:szCs w:val="22"/>
              </w:rPr>
              <w:t>公路</w:t>
            </w:r>
          </w:p>
        </w:tc>
        <w:tc>
          <w:tcPr>
            <w:tcW w:w="1719" w:type="dxa"/>
            <w:tcBorders>
              <w:tl2br w:val="nil"/>
              <w:tr2bl w:val="nil"/>
            </w:tcBorders>
            <w:noWrap w:val="0"/>
            <w:vAlign w:val="top"/>
          </w:tcPr>
          <w:p w14:paraId="221D34D3">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6F89850D">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20"/>
                <w:sz w:val="22"/>
                <w:szCs w:val="22"/>
              </w:rPr>
              <w:t>世</w:t>
            </w:r>
            <w:r>
              <w:rPr>
                <w:rFonts w:ascii="仿宋" w:hAnsi="仿宋" w:eastAsia="仿宋" w:cs="仿宋"/>
                <w:spacing w:val="-18"/>
                <w:sz w:val="22"/>
                <w:szCs w:val="22"/>
              </w:rPr>
              <w:t>界知名高校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04794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05" w:hRule="atLeast"/>
          <w:jc w:val="center"/>
        </w:trPr>
        <w:tc>
          <w:tcPr>
            <w:tcW w:w="1275" w:type="dxa"/>
            <w:tcBorders>
              <w:tl2br w:val="nil"/>
              <w:tr2bl w:val="nil"/>
            </w:tcBorders>
            <w:noWrap w:val="0"/>
            <w:vAlign w:val="top"/>
          </w:tcPr>
          <w:p w14:paraId="0B6936EF">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779FA828">
            <w:pPr>
              <w:keepNext w:val="0"/>
              <w:keepLines w:val="0"/>
              <w:pageBreakBefore w:val="0"/>
              <w:widowControl w:val="0"/>
              <w:kinsoku/>
              <w:wordWrap/>
              <w:overflowPunct/>
              <w:topLinePunct w:val="0"/>
              <w:autoSpaceDE/>
              <w:autoSpaceDN/>
              <w:bidi w:val="0"/>
              <w:adjustRightInd/>
              <w:snapToGrid/>
              <w:spacing w:line="300" w:lineRule="exact"/>
              <w:ind w:left="111"/>
              <w:textAlignment w:val="auto"/>
              <w:rPr>
                <w:rFonts w:ascii="仿宋" w:hAnsi="仿宋" w:eastAsia="仿宋" w:cs="仿宋"/>
                <w:sz w:val="22"/>
                <w:szCs w:val="22"/>
              </w:rPr>
            </w:pPr>
            <w:r>
              <w:rPr>
                <w:rFonts w:ascii="仿宋" w:hAnsi="仿宋" w:eastAsia="仿宋" w:cs="仿宋"/>
                <w:spacing w:val="-2"/>
                <w:sz w:val="22"/>
                <w:szCs w:val="22"/>
              </w:rPr>
              <w:t>硅山</w:t>
            </w:r>
          </w:p>
        </w:tc>
        <w:tc>
          <w:tcPr>
            <w:tcW w:w="1281" w:type="dxa"/>
            <w:tcBorders>
              <w:tl2br w:val="nil"/>
              <w:tr2bl w:val="nil"/>
            </w:tcBorders>
            <w:noWrap w:val="0"/>
            <w:vAlign w:val="top"/>
          </w:tcPr>
          <w:p w14:paraId="4A0CEB88">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50D1FB15">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90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初期</w:t>
            </w:r>
          </w:p>
        </w:tc>
        <w:tc>
          <w:tcPr>
            <w:tcW w:w="876" w:type="dxa"/>
            <w:tcBorders>
              <w:tl2br w:val="nil"/>
              <w:tr2bl w:val="nil"/>
            </w:tcBorders>
            <w:noWrap w:val="0"/>
            <w:vAlign w:val="top"/>
          </w:tcPr>
          <w:p w14:paraId="40782F96">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42E071E0">
            <w:pPr>
              <w:keepNext w:val="0"/>
              <w:keepLines w:val="0"/>
              <w:pageBreakBefore w:val="0"/>
              <w:widowControl w:val="0"/>
              <w:kinsoku/>
              <w:wordWrap/>
              <w:overflowPunct/>
              <w:topLinePunct w:val="0"/>
              <w:autoSpaceDE/>
              <w:autoSpaceDN/>
              <w:bidi w:val="0"/>
              <w:adjustRightInd/>
              <w:snapToGrid/>
              <w:spacing w:line="300" w:lineRule="exact"/>
              <w:ind w:left="122"/>
              <w:textAlignment w:val="auto"/>
              <w:rPr>
                <w:rFonts w:ascii="仿宋" w:hAnsi="仿宋" w:eastAsia="仿宋" w:cs="仿宋"/>
                <w:sz w:val="22"/>
                <w:szCs w:val="22"/>
              </w:rPr>
            </w:pPr>
            <w:r>
              <w:rPr>
                <w:rFonts w:ascii="仿宋" w:hAnsi="仿宋" w:eastAsia="仿宋" w:cs="仿宋"/>
                <w:spacing w:val="-9"/>
                <w:sz w:val="22"/>
                <w:szCs w:val="22"/>
              </w:rPr>
              <w:t>美</w:t>
            </w:r>
            <w:r>
              <w:rPr>
                <w:rFonts w:ascii="仿宋" w:hAnsi="仿宋" w:eastAsia="仿宋" w:cs="仿宋"/>
                <w:spacing w:val="-8"/>
                <w:sz w:val="22"/>
                <w:szCs w:val="22"/>
              </w:rPr>
              <w:t>国</w:t>
            </w:r>
          </w:p>
        </w:tc>
        <w:tc>
          <w:tcPr>
            <w:tcW w:w="1677" w:type="dxa"/>
            <w:tcBorders>
              <w:tl2br w:val="nil"/>
              <w:tr2bl w:val="nil"/>
            </w:tcBorders>
            <w:noWrap w:val="0"/>
            <w:vAlign w:val="top"/>
          </w:tcPr>
          <w:p w14:paraId="32114DE2">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166C7292">
            <w:pPr>
              <w:keepNext w:val="0"/>
              <w:keepLines w:val="0"/>
              <w:pageBreakBefore w:val="0"/>
              <w:widowControl w:val="0"/>
              <w:kinsoku/>
              <w:wordWrap/>
              <w:overflowPunct/>
              <w:topLinePunct w:val="0"/>
              <w:autoSpaceDE/>
              <w:autoSpaceDN/>
              <w:bidi w:val="0"/>
              <w:adjustRightInd/>
              <w:snapToGrid/>
              <w:spacing w:line="300" w:lineRule="exact"/>
              <w:ind w:left="106" w:right="105" w:firstLine="32"/>
              <w:textAlignment w:val="auto"/>
              <w:rPr>
                <w:rFonts w:ascii="仿宋" w:hAnsi="仿宋" w:eastAsia="仿宋" w:cs="仿宋"/>
                <w:sz w:val="22"/>
                <w:szCs w:val="22"/>
              </w:rPr>
            </w:pPr>
            <w:r>
              <w:rPr>
                <w:rFonts w:ascii="仿宋" w:hAnsi="仿宋" w:eastAsia="仿宋" w:cs="仿宋"/>
                <w:spacing w:val="-15"/>
                <w:sz w:val="22"/>
                <w:szCs w:val="22"/>
              </w:rPr>
              <w:t>电</w:t>
            </w:r>
            <w:r>
              <w:rPr>
                <w:rFonts w:ascii="仿宋" w:hAnsi="仿宋" w:eastAsia="仿宋" w:cs="仿宋"/>
                <w:spacing w:val="-14"/>
                <w:sz w:val="22"/>
                <w:szCs w:val="22"/>
              </w:rPr>
              <w:t>子信息、通</w:t>
            </w:r>
            <w:r>
              <w:rPr>
                <w:rFonts w:ascii="仿宋" w:hAnsi="仿宋" w:eastAsia="仿宋" w:cs="仿宋"/>
                <w:spacing w:val="-1"/>
                <w:sz w:val="22"/>
                <w:szCs w:val="22"/>
              </w:rPr>
              <w:t>信</w:t>
            </w:r>
            <w:r>
              <w:rPr>
                <w:rFonts w:ascii="仿宋" w:hAnsi="仿宋" w:eastAsia="仿宋" w:cs="仿宋"/>
                <w:sz w:val="22"/>
                <w:szCs w:val="22"/>
              </w:rPr>
              <w:t>、金融</w:t>
            </w:r>
          </w:p>
        </w:tc>
        <w:tc>
          <w:tcPr>
            <w:tcW w:w="1366" w:type="dxa"/>
            <w:tcBorders>
              <w:tl2br w:val="nil"/>
              <w:tr2bl w:val="nil"/>
            </w:tcBorders>
            <w:noWrap w:val="0"/>
            <w:vAlign w:val="top"/>
          </w:tcPr>
          <w:p w14:paraId="6D7262B8">
            <w:pPr>
              <w:keepNext w:val="0"/>
              <w:keepLines w:val="0"/>
              <w:pageBreakBefore w:val="0"/>
              <w:widowControl w:val="0"/>
              <w:kinsoku/>
              <w:wordWrap/>
              <w:overflowPunct/>
              <w:topLinePunct w:val="0"/>
              <w:autoSpaceDE/>
              <w:autoSpaceDN/>
              <w:bidi w:val="0"/>
              <w:adjustRightInd/>
              <w:snapToGrid/>
              <w:spacing w:line="300" w:lineRule="exact"/>
              <w:ind w:left="109" w:right="103"/>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于美国得</w:t>
            </w:r>
            <w:r>
              <w:rPr>
                <w:rFonts w:ascii="仿宋" w:hAnsi="仿宋" w:eastAsia="仿宋" w:cs="仿宋"/>
                <w:spacing w:val="11"/>
                <w:sz w:val="22"/>
                <w:szCs w:val="22"/>
              </w:rPr>
              <w:t>克</w:t>
            </w:r>
            <w:r>
              <w:rPr>
                <w:rFonts w:ascii="仿宋" w:hAnsi="仿宋" w:eastAsia="仿宋" w:cs="仿宋"/>
                <w:spacing w:val="9"/>
                <w:sz w:val="22"/>
                <w:szCs w:val="22"/>
              </w:rPr>
              <w:t>萨斯州奥</w:t>
            </w:r>
            <w:r>
              <w:rPr>
                <w:rFonts w:ascii="仿宋" w:hAnsi="仿宋" w:eastAsia="仿宋" w:cs="仿宋"/>
                <w:spacing w:val="11"/>
                <w:sz w:val="22"/>
                <w:szCs w:val="22"/>
              </w:rPr>
              <w:t>斯</w:t>
            </w:r>
            <w:r>
              <w:rPr>
                <w:rFonts w:ascii="仿宋" w:hAnsi="仿宋" w:eastAsia="仿宋" w:cs="仿宋"/>
                <w:spacing w:val="9"/>
                <w:sz w:val="22"/>
                <w:szCs w:val="22"/>
              </w:rPr>
              <w:t>汀，属于</w:t>
            </w:r>
            <w:r>
              <w:rPr>
                <w:rFonts w:ascii="仿宋" w:hAnsi="仿宋" w:eastAsia="仿宋" w:cs="仿宋"/>
                <w:spacing w:val="-1"/>
                <w:sz w:val="22"/>
                <w:szCs w:val="22"/>
              </w:rPr>
              <w:t>德州城</w:t>
            </w:r>
            <w:r>
              <w:rPr>
                <w:rFonts w:ascii="仿宋" w:hAnsi="仿宋" w:eastAsia="仿宋" w:cs="仿宋"/>
                <w:sz w:val="22"/>
                <w:szCs w:val="22"/>
              </w:rPr>
              <w:t>市群</w:t>
            </w:r>
          </w:p>
        </w:tc>
        <w:tc>
          <w:tcPr>
            <w:tcW w:w="1676" w:type="dxa"/>
            <w:tcBorders>
              <w:tl2br w:val="nil"/>
              <w:tr2bl w:val="nil"/>
            </w:tcBorders>
            <w:noWrap w:val="0"/>
            <w:vAlign w:val="top"/>
          </w:tcPr>
          <w:p w14:paraId="6279253B">
            <w:pPr>
              <w:keepNext w:val="0"/>
              <w:keepLines w:val="0"/>
              <w:pageBreakBefore w:val="0"/>
              <w:widowControl w:val="0"/>
              <w:kinsoku/>
              <w:wordWrap/>
              <w:overflowPunct/>
              <w:topLinePunct w:val="0"/>
              <w:autoSpaceDE/>
              <w:autoSpaceDN/>
              <w:bidi w:val="0"/>
              <w:adjustRightInd/>
              <w:snapToGrid/>
              <w:spacing w:line="300" w:lineRule="exact"/>
              <w:ind w:left="113" w:right="102" w:firstLine="14"/>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近大型国际</w:t>
            </w:r>
            <w:r>
              <w:rPr>
                <w:rFonts w:ascii="仿宋" w:hAnsi="仿宋" w:eastAsia="仿宋" w:cs="仿宋"/>
                <w:spacing w:val="-14"/>
                <w:sz w:val="22"/>
                <w:szCs w:val="22"/>
              </w:rPr>
              <w:t>机</w:t>
            </w:r>
            <w:r>
              <w:rPr>
                <w:rFonts w:ascii="仿宋" w:hAnsi="仿宋" w:eastAsia="仿宋" w:cs="仿宋"/>
                <w:spacing w:val="-12"/>
                <w:sz w:val="22"/>
                <w:szCs w:val="22"/>
              </w:rPr>
              <w:t>场，水陆交通</w:t>
            </w:r>
            <w:r>
              <w:rPr>
                <w:rFonts w:ascii="仿宋" w:hAnsi="仿宋" w:eastAsia="仿宋" w:cs="仿宋"/>
                <w:spacing w:val="-4"/>
                <w:sz w:val="22"/>
                <w:szCs w:val="22"/>
              </w:rPr>
              <w:t>发</w:t>
            </w:r>
            <w:r>
              <w:rPr>
                <w:rFonts w:ascii="仿宋" w:hAnsi="仿宋" w:eastAsia="仿宋" w:cs="仿宋"/>
                <w:spacing w:val="-2"/>
                <w:sz w:val="22"/>
                <w:szCs w:val="22"/>
              </w:rPr>
              <w:t>达</w:t>
            </w:r>
          </w:p>
        </w:tc>
        <w:tc>
          <w:tcPr>
            <w:tcW w:w="1719" w:type="dxa"/>
            <w:tcBorders>
              <w:tl2br w:val="nil"/>
              <w:tr2bl w:val="nil"/>
            </w:tcBorders>
            <w:noWrap w:val="0"/>
            <w:vAlign w:val="top"/>
          </w:tcPr>
          <w:p w14:paraId="42106239">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387DA16A">
            <w:pPr>
              <w:keepNext w:val="0"/>
              <w:keepLines w:val="0"/>
              <w:pageBreakBefore w:val="0"/>
              <w:widowControl w:val="0"/>
              <w:kinsoku/>
              <w:wordWrap/>
              <w:overflowPunct/>
              <w:topLinePunct w:val="0"/>
              <w:autoSpaceDE/>
              <w:autoSpaceDN/>
              <w:bidi w:val="0"/>
              <w:adjustRightInd/>
              <w:snapToGrid/>
              <w:spacing w:line="300" w:lineRule="exact"/>
              <w:ind w:left="118" w:right="105" w:firstLine="8"/>
              <w:textAlignment w:val="auto"/>
              <w:rPr>
                <w:rFonts w:ascii="仿宋" w:hAnsi="仿宋" w:eastAsia="仿宋" w:cs="仿宋"/>
                <w:sz w:val="22"/>
                <w:szCs w:val="22"/>
              </w:rPr>
            </w:pPr>
            <w:r>
              <w:rPr>
                <w:rFonts w:ascii="仿宋" w:hAnsi="仿宋" w:eastAsia="仿宋" w:cs="仿宋"/>
                <w:spacing w:val="-17"/>
                <w:sz w:val="22"/>
                <w:szCs w:val="22"/>
              </w:rPr>
              <w:t>美国顶尖高校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61408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31" w:hRule="atLeast"/>
          <w:jc w:val="center"/>
        </w:trPr>
        <w:tc>
          <w:tcPr>
            <w:tcW w:w="1275" w:type="dxa"/>
            <w:tcBorders>
              <w:tl2br w:val="nil"/>
              <w:tr2bl w:val="nil"/>
            </w:tcBorders>
            <w:noWrap w:val="0"/>
            <w:vAlign w:val="top"/>
          </w:tcPr>
          <w:p w14:paraId="6EB3F32C">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5DE7D61E">
            <w:pPr>
              <w:keepNext w:val="0"/>
              <w:keepLines w:val="0"/>
              <w:pageBreakBefore w:val="0"/>
              <w:widowControl w:val="0"/>
              <w:kinsoku/>
              <w:wordWrap/>
              <w:overflowPunct/>
              <w:topLinePunct w:val="0"/>
              <w:autoSpaceDE/>
              <w:autoSpaceDN/>
              <w:bidi w:val="0"/>
              <w:adjustRightInd/>
              <w:snapToGrid/>
              <w:spacing w:line="300" w:lineRule="exact"/>
              <w:ind w:left="117" w:right="107" w:hanging="2"/>
              <w:textAlignment w:val="auto"/>
              <w:rPr>
                <w:rFonts w:ascii="仿宋" w:hAnsi="仿宋" w:eastAsia="仿宋" w:cs="仿宋"/>
                <w:sz w:val="22"/>
                <w:szCs w:val="22"/>
              </w:rPr>
            </w:pPr>
            <w:r>
              <w:rPr>
                <w:rFonts w:ascii="仿宋" w:hAnsi="仿宋" w:eastAsia="仿宋" w:cs="仿宋"/>
                <w:spacing w:val="-25"/>
                <w:sz w:val="22"/>
                <w:szCs w:val="22"/>
              </w:rPr>
              <w:t>加</w:t>
            </w:r>
            <w:r>
              <w:rPr>
                <w:rFonts w:ascii="仿宋" w:hAnsi="仿宋" w:eastAsia="仿宋" w:cs="仿宋"/>
                <w:spacing w:val="-23"/>
                <w:sz w:val="22"/>
                <w:szCs w:val="22"/>
              </w:rPr>
              <w:t>拿大科</w:t>
            </w:r>
            <w:r>
              <w:rPr>
                <w:rFonts w:ascii="仿宋" w:hAnsi="仿宋" w:eastAsia="仿宋" w:cs="仿宋"/>
                <w:spacing w:val="-4"/>
                <w:sz w:val="22"/>
                <w:szCs w:val="22"/>
              </w:rPr>
              <w:t>技</w:t>
            </w:r>
            <w:r>
              <w:rPr>
                <w:rFonts w:ascii="仿宋" w:hAnsi="仿宋" w:eastAsia="仿宋" w:cs="仿宋"/>
                <w:spacing w:val="-3"/>
                <w:sz w:val="22"/>
                <w:szCs w:val="22"/>
              </w:rPr>
              <w:t>三</w:t>
            </w:r>
            <w:r>
              <w:rPr>
                <w:rFonts w:ascii="仿宋" w:hAnsi="仿宋" w:eastAsia="仿宋" w:cs="仿宋"/>
                <w:spacing w:val="-2"/>
                <w:sz w:val="22"/>
                <w:szCs w:val="22"/>
              </w:rPr>
              <w:t>角区</w:t>
            </w:r>
          </w:p>
        </w:tc>
        <w:tc>
          <w:tcPr>
            <w:tcW w:w="1281" w:type="dxa"/>
            <w:tcBorders>
              <w:tl2br w:val="nil"/>
              <w:tr2bl w:val="nil"/>
            </w:tcBorders>
            <w:noWrap w:val="0"/>
            <w:vAlign w:val="top"/>
          </w:tcPr>
          <w:p w14:paraId="5EF40D19">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37889FCF">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80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中期</w:t>
            </w:r>
          </w:p>
        </w:tc>
        <w:tc>
          <w:tcPr>
            <w:tcW w:w="876" w:type="dxa"/>
            <w:tcBorders>
              <w:tl2br w:val="nil"/>
              <w:tr2bl w:val="nil"/>
            </w:tcBorders>
            <w:noWrap w:val="0"/>
            <w:vAlign w:val="top"/>
          </w:tcPr>
          <w:p w14:paraId="51D6CFE7">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778EDAA3">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4A83D738">
            <w:pPr>
              <w:keepNext w:val="0"/>
              <w:keepLines w:val="0"/>
              <w:pageBreakBefore w:val="0"/>
              <w:widowControl w:val="0"/>
              <w:kinsoku/>
              <w:wordWrap/>
              <w:overflowPunct/>
              <w:topLinePunct w:val="0"/>
              <w:autoSpaceDE/>
              <w:autoSpaceDN/>
              <w:bidi w:val="0"/>
              <w:adjustRightInd/>
              <w:snapToGrid/>
              <w:spacing w:line="300" w:lineRule="exact"/>
              <w:ind w:left="113"/>
              <w:textAlignment w:val="auto"/>
              <w:rPr>
                <w:rFonts w:ascii="仿宋" w:hAnsi="仿宋" w:eastAsia="仿宋" w:cs="仿宋"/>
                <w:sz w:val="22"/>
                <w:szCs w:val="22"/>
              </w:rPr>
            </w:pPr>
            <w:r>
              <w:rPr>
                <w:rFonts w:ascii="仿宋" w:hAnsi="仿宋" w:eastAsia="仿宋" w:cs="仿宋"/>
                <w:spacing w:val="-3"/>
                <w:sz w:val="22"/>
                <w:szCs w:val="22"/>
              </w:rPr>
              <w:t>加</w:t>
            </w:r>
            <w:r>
              <w:rPr>
                <w:rFonts w:ascii="仿宋" w:hAnsi="仿宋" w:eastAsia="仿宋" w:cs="仿宋"/>
                <w:spacing w:val="-2"/>
                <w:sz w:val="22"/>
                <w:szCs w:val="22"/>
              </w:rPr>
              <w:t>拿大</w:t>
            </w:r>
          </w:p>
        </w:tc>
        <w:tc>
          <w:tcPr>
            <w:tcW w:w="1677" w:type="dxa"/>
            <w:tcBorders>
              <w:tl2br w:val="nil"/>
              <w:tr2bl w:val="nil"/>
            </w:tcBorders>
            <w:noWrap w:val="0"/>
            <w:vAlign w:val="top"/>
          </w:tcPr>
          <w:p w14:paraId="19FB77E8">
            <w:pPr>
              <w:keepNext w:val="0"/>
              <w:keepLines w:val="0"/>
              <w:pageBreakBefore w:val="0"/>
              <w:widowControl w:val="0"/>
              <w:kinsoku/>
              <w:wordWrap/>
              <w:overflowPunct/>
              <w:topLinePunct w:val="0"/>
              <w:autoSpaceDE/>
              <w:autoSpaceDN/>
              <w:bidi w:val="0"/>
              <w:adjustRightInd/>
              <w:snapToGrid/>
              <w:spacing w:line="300" w:lineRule="exact"/>
              <w:ind w:left="114" w:right="67" w:hanging="8"/>
              <w:textAlignment w:val="auto"/>
              <w:rPr>
                <w:rFonts w:ascii="仿宋" w:hAnsi="仿宋" w:eastAsia="仿宋" w:cs="仿宋"/>
                <w:sz w:val="22"/>
                <w:szCs w:val="22"/>
              </w:rPr>
            </w:pPr>
            <w:r>
              <w:rPr>
                <w:rFonts w:ascii="仿宋" w:hAnsi="仿宋" w:eastAsia="仿宋" w:cs="仿宋"/>
                <w:spacing w:val="-6"/>
                <w:sz w:val="22"/>
                <w:szCs w:val="22"/>
              </w:rPr>
              <w:t>信息技术产业、</w:t>
            </w:r>
            <w:r>
              <w:rPr>
                <w:rFonts w:ascii="仿宋" w:hAnsi="仿宋" w:eastAsia="仿宋" w:cs="仿宋"/>
                <w:spacing w:val="-15"/>
                <w:sz w:val="22"/>
                <w:szCs w:val="22"/>
              </w:rPr>
              <w:t>通</w:t>
            </w:r>
            <w:r>
              <w:rPr>
                <w:rFonts w:ascii="仿宋" w:hAnsi="仿宋" w:eastAsia="仿宋" w:cs="仿宋"/>
                <w:spacing w:val="-12"/>
                <w:sz w:val="22"/>
                <w:szCs w:val="22"/>
              </w:rPr>
              <w:t>信产业、先进</w:t>
            </w:r>
            <w:r>
              <w:rPr>
                <w:rFonts w:ascii="仿宋" w:hAnsi="仿宋" w:eastAsia="仿宋" w:cs="仿宋"/>
                <w:spacing w:val="-17"/>
                <w:sz w:val="22"/>
                <w:szCs w:val="22"/>
              </w:rPr>
              <w:t>制</w:t>
            </w:r>
            <w:r>
              <w:rPr>
                <w:rFonts w:ascii="仿宋" w:hAnsi="仿宋" w:eastAsia="仿宋" w:cs="仿宋"/>
                <w:spacing w:val="-12"/>
                <w:sz w:val="22"/>
                <w:szCs w:val="22"/>
              </w:rPr>
              <w:t>造业、生物制</w:t>
            </w:r>
            <w:r>
              <w:rPr>
                <w:rFonts w:ascii="仿宋" w:hAnsi="仿宋" w:eastAsia="仿宋" w:cs="仿宋"/>
                <w:spacing w:val="-9"/>
                <w:sz w:val="22"/>
                <w:szCs w:val="22"/>
              </w:rPr>
              <w:t>药</w:t>
            </w:r>
            <w:r>
              <w:rPr>
                <w:rFonts w:ascii="仿宋" w:hAnsi="仿宋" w:eastAsia="仿宋" w:cs="仿宋"/>
                <w:spacing w:val="-7"/>
                <w:sz w:val="22"/>
                <w:szCs w:val="22"/>
              </w:rPr>
              <w:t>、食品加工、</w:t>
            </w:r>
            <w:r>
              <w:rPr>
                <w:rFonts w:ascii="仿宋" w:hAnsi="仿宋" w:eastAsia="仿宋" w:cs="仿宋"/>
                <w:spacing w:val="-4"/>
                <w:sz w:val="22"/>
                <w:szCs w:val="22"/>
              </w:rPr>
              <w:t>人</w:t>
            </w:r>
            <w:r>
              <w:rPr>
                <w:rFonts w:ascii="仿宋" w:hAnsi="仿宋" w:eastAsia="仿宋" w:cs="仿宋"/>
                <w:spacing w:val="-2"/>
                <w:sz w:val="22"/>
                <w:szCs w:val="22"/>
              </w:rPr>
              <w:t>工智能</w:t>
            </w:r>
          </w:p>
        </w:tc>
        <w:tc>
          <w:tcPr>
            <w:tcW w:w="1366" w:type="dxa"/>
            <w:tcBorders>
              <w:tl2br w:val="nil"/>
              <w:tr2bl w:val="nil"/>
            </w:tcBorders>
            <w:noWrap w:val="0"/>
            <w:vAlign w:val="top"/>
          </w:tcPr>
          <w:p w14:paraId="290D03E5">
            <w:pPr>
              <w:keepNext w:val="0"/>
              <w:keepLines w:val="0"/>
              <w:pageBreakBefore w:val="0"/>
              <w:widowControl w:val="0"/>
              <w:kinsoku/>
              <w:wordWrap/>
              <w:overflowPunct/>
              <w:topLinePunct w:val="0"/>
              <w:autoSpaceDE/>
              <w:autoSpaceDN/>
              <w:bidi w:val="0"/>
              <w:adjustRightInd/>
              <w:snapToGrid/>
              <w:spacing w:line="300" w:lineRule="exact"/>
              <w:ind w:left="110" w:right="103"/>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于加拿大</w:t>
            </w:r>
            <w:r>
              <w:rPr>
                <w:rFonts w:ascii="仿宋" w:hAnsi="仿宋" w:eastAsia="仿宋" w:cs="仿宋"/>
                <w:spacing w:val="11"/>
                <w:sz w:val="22"/>
                <w:szCs w:val="22"/>
              </w:rPr>
              <w:t>东</w:t>
            </w:r>
            <w:r>
              <w:rPr>
                <w:rFonts w:ascii="仿宋" w:hAnsi="仿宋" w:eastAsia="仿宋" w:cs="仿宋"/>
                <w:spacing w:val="9"/>
                <w:sz w:val="22"/>
                <w:szCs w:val="22"/>
              </w:rPr>
              <w:t>南部多伦</w:t>
            </w:r>
            <w:r>
              <w:rPr>
                <w:rFonts w:ascii="仿宋" w:hAnsi="仿宋" w:eastAsia="仿宋" w:cs="仿宋"/>
                <w:spacing w:val="11"/>
                <w:sz w:val="22"/>
                <w:szCs w:val="22"/>
              </w:rPr>
              <w:t>多</w:t>
            </w:r>
            <w:r>
              <w:rPr>
                <w:rFonts w:ascii="仿宋" w:hAnsi="仿宋" w:eastAsia="仿宋" w:cs="仿宋"/>
                <w:spacing w:val="9"/>
                <w:sz w:val="22"/>
                <w:szCs w:val="22"/>
              </w:rPr>
              <w:t>大区城市</w:t>
            </w:r>
            <w:r>
              <w:rPr>
                <w:rFonts w:ascii="仿宋" w:hAnsi="仿宋" w:eastAsia="仿宋" w:cs="仿宋"/>
                <w:sz w:val="22"/>
                <w:szCs w:val="22"/>
              </w:rPr>
              <w:t>群</w:t>
            </w:r>
          </w:p>
        </w:tc>
        <w:tc>
          <w:tcPr>
            <w:tcW w:w="1676" w:type="dxa"/>
            <w:tcBorders>
              <w:tl2br w:val="nil"/>
              <w:tr2bl w:val="nil"/>
            </w:tcBorders>
            <w:noWrap w:val="0"/>
            <w:vAlign w:val="top"/>
          </w:tcPr>
          <w:p w14:paraId="62E2EB87">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678A9389">
            <w:pPr>
              <w:keepNext w:val="0"/>
              <w:keepLines w:val="0"/>
              <w:pageBreakBefore w:val="0"/>
              <w:widowControl w:val="0"/>
              <w:kinsoku/>
              <w:wordWrap/>
              <w:overflowPunct/>
              <w:topLinePunct w:val="0"/>
              <w:autoSpaceDE/>
              <w:autoSpaceDN/>
              <w:bidi w:val="0"/>
              <w:adjustRightInd/>
              <w:snapToGrid/>
              <w:spacing w:line="300" w:lineRule="exact"/>
              <w:ind w:right="102"/>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近大型国际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719" w:type="dxa"/>
            <w:tcBorders>
              <w:tl2br w:val="nil"/>
              <w:tr2bl w:val="nil"/>
            </w:tcBorders>
            <w:noWrap w:val="0"/>
            <w:vAlign w:val="top"/>
          </w:tcPr>
          <w:p w14:paraId="527DD304">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74A011AB">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14"/>
                <w:sz w:val="22"/>
                <w:szCs w:val="22"/>
              </w:rPr>
              <w:t>世界顶尖高校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4BC5F2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75" w:type="dxa"/>
            <w:tcBorders>
              <w:tl2br w:val="nil"/>
              <w:tr2bl w:val="nil"/>
            </w:tcBorders>
            <w:noWrap w:val="0"/>
            <w:vAlign w:val="top"/>
          </w:tcPr>
          <w:p w14:paraId="53BD7789">
            <w:pPr>
              <w:keepNext w:val="0"/>
              <w:keepLines w:val="0"/>
              <w:pageBreakBefore w:val="0"/>
              <w:widowControl w:val="0"/>
              <w:kinsoku/>
              <w:wordWrap/>
              <w:overflowPunct/>
              <w:topLinePunct w:val="0"/>
              <w:autoSpaceDE/>
              <w:autoSpaceDN/>
              <w:bidi w:val="0"/>
              <w:adjustRightInd/>
              <w:snapToGrid/>
              <w:spacing w:line="300" w:lineRule="exact"/>
              <w:ind w:left="114" w:right="107" w:firstLine="13"/>
              <w:textAlignment w:val="auto"/>
              <w:rPr>
                <w:rFonts w:ascii="仿宋" w:hAnsi="仿宋" w:eastAsia="仿宋" w:cs="仿宋"/>
                <w:sz w:val="22"/>
                <w:szCs w:val="22"/>
              </w:rPr>
            </w:pPr>
            <w:r>
              <w:rPr>
                <w:rFonts w:ascii="仿宋" w:hAnsi="仿宋" w:eastAsia="仿宋" w:cs="仿宋"/>
                <w:spacing w:val="-25"/>
                <w:sz w:val="22"/>
                <w:szCs w:val="22"/>
              </w:rPr>
              <w:t>蒙特利尔</w:t>
            </w:r>
            <w:r>
              <w:rPr>
                <w:rFonts w:ascii="仿宋" w:hAnsi="仿宋" w:eastAsia="仿宋" w:cs="仿宋"/>
                <w:spacing w:val="-2"/>
                <w:sz w:val="22"/>
                <w:szCs w:val="22"/>
              </w:rPr>
              <w:t>科技园</w:t>
            </w:r>
          </w:p>
        </w:tc>
        <w:tc>
          <w:tcPr>
            <w:tcW w:w="1281" w:type="dxa"/>
            <w:tcBorders>
              <w:tl2br w:val="nil"/>
              <w:tr2bl w:val="nil"/>
            </w:tcBorders>
            <w:noWrap w:val="0"/>
            <w:vAlign w:val="top"/>
          </w:tcPr>
          <w:p w14:paraId="68EF1FCC">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80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中期</w:t>
            </w:r>
          </w:p>
        </w:tc>
        <w:tc>
          <w:tcPr>
            <w:tcW w:w="876" w:type="dxa"/>
            <w:tcBorders>
              <w:tl2br w:val="nil"/>
              <w:tr2bl w:val="nil"/>
            </w:tcBorders>
            <w:noWrap w:val="0"/>
            <w:vAlign w:val="top"/>
          </w:tcPr>
          <w:p w14:paraId="150AB2BE">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63DE88F2">
            <w:pPr>
              <w:keepNext w:val="0"/>
              <w:keepLines w:val="0"/>
              <w:pageBreakBefore w:val="0"/>
              <w:widowControl w:val="0"/>
              <w:kinsoku/>
              <w:wordWrap/>
              <w:overflowPunct/>
              <w:topLinePunct w:val="0"/>
              <w:autoSpaceDE/>
              <w:autoSpaceDN/>
              <w:bidi w:val="0"/>
              <w:adjustRightInd/>
              <w:snapToGrid/>
              <w:spacing w:line="300" w:lineRule="exact"/>
              <w:ind w:left="113"/>
              <w:textAlignment w:val="auto"/>
              <w:rPr>
                <w:rFonts w:ascii="仿宋" w:hAnsi="仿宋" w:eastAsia="仿宋" w:cs="仿宋"/>
                <w:sz w:val="22"/>
                <w:szCs w:val="22"/>
              </w:rPr>
            </w:pPr>
            <w:r>
              <w:rPr>
                <w:rFonts w:ascii="仿宋" w:hAnsi="仿宋" w:eastAsia="仿宋" w:cs="仿宋"/>
                <w:spacing w:val="-3"/>
                <w:sz w:val="22"/>
                <w:szCs w:val="22"/>
              </w:rPr>
              <w:t>加</w:t>
            </w:r>
            <w:r>
              <w:rPr>
                <w:rFonts w:ascii="仿宋" w:hAnsi="仿宋" w:eastAsia="仿宋" w:cs="仿宋"/>
                <w:spacing w:val="-2"/>
                <w:sz w:val="22"/>
                <w:szCs w:val="22"/>
              </w:rPr>
              <w:t>拿大</w:t>
            </w:r>
          </w:p>
        </w:tc>
        <w:tc>
          <w:tcPr>
            <w:tcW w:w="1677" w:type="dxa"/>
            <w:tcBorders>
              <w:tl2br w:val="nil"/>
              <w:tr2bl w:val="nil"/>
            </w:tcBorders>
            <w:noWrap w:val="0"/>
            <w:vAlign w:val="top"/>
          </w:tcPr>
          <w:p w14:paraId="5E9233C2">
            <w:pPr>
              <w:keepNext w:val="0"/>
              <w:keepLines w:val="0"/>
              <w:pageBreakBefore w:val="0"/>
              <w:widowControl w:val="0"/>
              <w:kinsoku/>
              <w:wordWrap/>
              <w:overflowPunct/>
              <w:topLinePunct w:val="0"/>
              <w:autoSpaceDE/>
              <w:autoSpaceDN/>
              <w:bidi w:val="0"/>
              <w:adjustRightInd/>
              <w:snapToGrid/>
              <w:spacing w:line="300" w:lineRule="exact"/>
              <w:ind w:right="67"/>
              <w:textAlignment w:val="auto"/>
              <w:rPr>
                <w:rFonts w:ascii="仿宋" w:hAnsi="仿宋" w:eastAsia="仿宋" w:cs="仿宋"/>
                <w:sz w:val="22"/>
                <w:szCs w:val="22"/>
              </w:rPr>
            </w:pPr>
            <w:r>
              <w:rPr>
                <w:rFonts w:ascii="仿宋" w:hAnsi="仿宋" w:eastAsia="仿宋" w:cs="仿宋"/>
                <w:spacing w:val="-16"/>
                <w:sz w:val="22"/>
                <w:szCs w:val="22"/>
              </w:rPr>
              <w:t>航</w:t>
            </w:r>
            <w:r>
              <w:rPr>
                <w:rFonts w:ascii="仿宋" w:hAnsi="仿宋" w:eastAsia="仿宋" w:cs="仿宋"/>
                <w:spacing w:val="-10"/>
                <w:sz w:val="22"/>
                <w:szCs w:val="22"/>
              </w:rPr>
              <w:t>空、精密仪器</w:t>
            </w:r>
            <w:r>
              <w:rPr>
                <w:rFonts w:ascii="仿宋" w:hAnsi="仿宋" w:eastAsia="仿宋" w:cs="仿宋"/>
                <w:spacing w:val="-6"/>
                <w:sz w:val="22"/>
                <w:szCs w:val="22"/>
              </w:rPr>
              <w:t>、生物制药、</w:t>
            </w:r>
            <w:r>
              <w:rPr>
                <w:rFonts w:ascii="仿宋" w:hAnsi="仿宋" w:eastAsia="仿宋" w:cs="仿宋"/>
                <w:spacing w:val="-2"/>
                <w:sz w:val="22"/>
                <w:szCs w:val="22"/>
              </w:rPr>
              <w:t>新</w:t>
            </w:r>
            <w:r>
              <w:rPr>
                <w:rFonts w:ascii="仿宋" w:hAnsi="仿宋" w:eastAsia="仿宋" w:cs="仿宋"/>
                <w:spacing w:val="-1"/>
                <w:sz w:val="22"/>
                <w:szCs w:val="22"/>
              </w:rPr>
              <w:t>材料</w:t>
            </w:r>
          </w:p>
        </w:tc>
        <w:tc>
          <w:tcPr>
            <w:tcW w:w="1366" w:type="dxa"/>
            <w:tcBorders>
              <w:tl2br w:val="nil"/>
              <w:tr2bl w:val="nil"/>
            </w:tcBorders>
            <w:noWrap w:val="0"/>
            <w:vAlign w:val="top"/>
          </w:tcPr>
          <w:p w14:paraId="1B1B77B5">
            <w:pPr>
              <w:keepNext w:val="0"/>
              <w:keepLines w:val="0"/>
              <w:pageBreakBefore w:val="0"/>
              <w:widowControl w:val="0"/>
              <w:kinsoku/>
              <w:wordWrap/>
              <w:overflowPunct/>
              <w:topLinePunct w:val="0"/>
              <w:autoSpaceDE/>
              <w:autoSpaceDN/>
              <w:bidi w:val="0"/>
              <w:adjustRightInd/>
              <w:snapToGrid/>
              <w:spacing w:line="300" w:lineRule="exact"/>
              <w:ind w:left="125" w:right="103" w:hanging="15"/>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于加拿大</w:t>
            </w:r>
            <w:r>
              <w:rPr>
                <w:rFonts w:ascii="仿宋" w:hAnsi="仿宋" w:eastAsia="仿宋" w:cs="仿宋"/>
                <w:spacing w:val="-5"/>
                <w:sz w:val="22"/>
                <w:szCs w:val="22"/>
              </w:rPr>
              <w:t>蒙特利尔</w:t>
            </w:r>
          </w:p>
        </w:tc>
        <w:tc>
          <w:tcPr>
            <w:tcW w:w="1676" w:type="dxa"/>
            <w:tcBorders>
              <w:tl2br w:val="nil"/>
              <w:tr2bl w:val="nil"/>
            </w:tcBorders>
            <w:noWrap w:val="0"/>
            <w:vAlign w:val="top"/>
          </w:tcPr>
          <w:p w14:paraId="45E6A4A7">
            <w:pPr>
              <w:keepNext w:val="0"/>
              <w:keepLines w:val="0"/>
              <w:pageBreakBefore w:val="0"/>
              <w:widowControl w:val="0"/>
              <w:kinsoku/>
              <w:wordWrap/>
              <w:overflowPunct/>
              <w:topLinePunct w:val="0"/>
              <w:autoSpaceDE/>
              <w:autoSpaceDN/>
              <w:bidi w:val="0"/>
              <w:adjustRightInd/>
              <w:snapToGrid/>
              <w:spacing w:line="300" w:lineRule="exact"/>
              <w:ind w:left="113" w:right="102" w:firstLine="14"/>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近大型国际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719" w:type="dxa"/>
            <w:tcBorders>
              <w:tl2br w:val="nil"/>
              <w:tr2bl w:val="nil"/>
            </w:tcBorders>
            <w:noWrap w:val="0"/>
            <w:vAlign w:val="top"/>
          </w:tcPr>
          <w:p w14:paraId="762A1D5D">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14"/>
                <w:sz w:val="22"/>
                <w:szCs w:val="22"/>
              </w:rPr>
              <w:t>世界顶尖高校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4DB69C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5" w:hRule="atLeast"/>
          <w:jc w:val="center"/>
        </w:trPr>
        <w:tc>
          <w:tcPr>
            <w:tcW w:w="1275" w:type="dxa"/>
            <w:tcBorders>
              <w:tl2br w:val="nil"/>
              <w:tr2bl w:val="nil"/>
            </w:tcBorders>
            <w:noWrap w:val="0"/>
            <w:vAlign w:val="top"/>
          </w:tcPr>
          <w:p w14:paraId="5F4EAAB4">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10924212">
            <w:pPr>
              <w:keepNext w:val="0"/>
              <w:keepLines w:val="0"/>
              <w:pageBreakBefore w:val="0"/>
              <w:widowControl w:val="0"/>
              <w:kinsoku/>
              <w:wordWrap/>
              <w:overflowPunct/>
              <w:topLinePunct w:val="0"/>
              <w:autoSpaceDE/>
              <w:autoSpaceDN/>
              <w:bidi w:val="0"/>
              <w:adjustRightInd/>
              <w:snapToGrid/>
              <w:spacing w:line="300" w:lineRule="exact"/>
              <w:ind w:left="119"/>
              <w:textAlignment w:val="auto"/>
              <w:rPr>
                <w:rFonts w:ascii="仿宋" w:hAnsi="仿宋" w:eastAsia="仿宋" w:cs="仿宋"/>
                <w:sz w:val="22"/>
                <w:szCs w:val="22"/>
              </w:rPr>
            </w:pPr>
            <w:r>
              <w:rPr>
                <w:rFonts w:ascii="仿宋" w:hAnsi="仿宋" w:eastAsia="仿宋" w:cs="仿宋"/>
                <w:spacing w:val="-4"/>
                <w:sz w:val="22"/>
                <w:szCs w:val="22"/>
              </w:rPr>
              <w:t>北</w:t>
            </w:r>
            <w:r>
              <w:rPr>
                <w:rFonts w:ascii="仿宋" w:hAnsi="仿宋" w:eastAsia="仿宋" w:cs="仿宋"/>
                <w:spacing w:val="-3"/>
                <w:sz w:val="22"/>
                <w:szCs w:val="22"/>
              </w:rPr>
              <w:t>方硅谷</w:t>
            </w:r>
          </w:p>
        </w:tc>
        <w:tc>
          <w:tcPr>
            <w:tcW w:w="1281" w:type="dxa"/>
            <w:tcBorders>
              <w:tl2br w:val="nil"/>
              <w:tr2bl w:val="nil"/>
            </w:tcBorders>
            <w:noWrap w:val="0"/>
            <w:vAlign w:val="top"/>
          </w:tcPr>
          <w:p w14:paraId="4DF150FC">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05CD19FF">
            <w:pPr>
              <w:keepNext w:val="0"/>
              <w:keepLines w:val="0"/>
              <w:pageBreakBefore w:val="0"/>
              <w:widowControl w:val="0"/>
              <w:kinsoku/>
              <w:wordWrap/>
              <w:overflowPunct/>
              <w:topLinePunct w:val="0"/>
              <w:autoSpaceDE/>
              <w:autoSpaceDN/>
              <w:bidi w:val="0"/>
              <w:adjustRightInd/>
              <w:snapToGrid/>
              <w:spacing w:line="300" w:lineRule="exact"/>
              <w:ind w:left="114" w:right="130" w:hanging="4"/>
              <w:textAlignment w:val="auto"/>
              <w:rPr>
                <w:rFonts w:ascii="仿宋" w:hAnsi="仿宋" w:eastAsia="仿宋" w:cs="仿宋"/>
                <w:sz w:val="22"/>
                <w:szCs w:val="22"/>
              </w:rPr>
            </w:pPr>
            <w:r>
              <w:rPr>
                <w:rFonts w:ascii="Arial" w:hAnsi="Arial" w:eastAsia="Arial" w:cs="Arial"/>
                <w:spacing w:val="-9"/>
                <w:sz w:val="22"/>
                <w:szCs w:val="22"/>
              </w:rPr>
              <w:t>2</w:t>
            </w:r>
            <w:r>
              <w:rPr>
                <w:rFonts w:ascii="Arial" w:hAnsi="Arial" w:eastAsia="Arial" w:cs="Arial"/>
                <w:spacing w:val="-8"/>
                <w:sz w:val="22"/>
                <w:szCs w:val="22"/>
              </w:rPr>
              <w:t>0</w:t>
            </w:r>
            <w:r>
              <w:rPr>
                <w:rFonts w:ascii="仿宋" w:hAnsi="仿宋" w:eastAsia="仿宋" w:cs="仿宋"/>
                <w:spacing w:val="-8"/>
                <w:sz w:val="22"/>
                <w:szCs w:val="22"/>
              </w:rPr>
              <w:t>世纪</w:t>
            </w:r>
            <w:r>
              <w:rPr>
                <w:rFonts w:ascii="Arial" w:hAnsi="Arial" w:eastAsia="Arial" w:cs="Arial"/>
                <w:spacing w:val="-8"/>
                <w:sz w:val="22"/>
                <w:szCs w:val="22"/>
              </w:rPr>
              <w:t>90</w:t>
            </w:r>
            <w:r>
              <w:rPr>
                <w:rFonts w:ascii="仿宋" w:hAnsi="仿宋" w:eastAsia="仿宋" w:cs="仿宋"/>
                <w:spacing w:val="-4"/>
                <w:sz w:val="22"/>
                <w:szCs w:val="22"/>
              </w:rPr>
              <w:t>年</w:t>
            </w:r>
            <w:r>
              <w:rPr>
                <w:rFonts w:ascii="仿宋" w:hAnsi="仿宋" w:eastAsia="仿宋" w:cs="仿宋"/>
                <w:spacing w:val="-3"/>
                <w:sz w:val="22"/>
                <w:szCs w:val="22"/>
              </w:rPr>
              <w:t>代</w:t>
            </w:r>
            <w:r>
              <w:rPr>
                <w:rFonts w:ascii="仿宋" w:hAnsi="仿宋" w:eastAsia="仿宋" w:cs="仿宋"/>
                <w:spacing w:val="-2"/>
                <w:sz w:val="22"/>
                <w:szCs w:val="22"/>
              </w:rPr>
              <w:t>中期</w:t>
            </w:r>
          </w:p>
        </w:tc>
        <w:tc>
          <w:tcPr>
            <w:tcW w:w="876" w:type="dxa"/>
            <w:tcBorders>
              <w:tl2br w:val="nil"/>
              <w:tr2bl w:val="nil"/>
            </w:tcBorders>
            <w:noWrap w:val="0"/>
            <w:vAlign w:val="top"/>
          </w:tcPr>
          <w:p w14:paraId="5DF08FF7">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3EBFE9CC">
            <w:pPr>
              <w:keepNext w:val="0"/>
              <w:keepLines w:val="0"/>
              <w:pageBreakBefore w:val="0"/>
              <w:widowControl w:val="0"/>
              <w:kinsoku/>
              <w:wordWrap/>
              <w:overflowPunct/>
              <w:topLinePunct w:val="0"/>
              <w:autoSpaceDE/>
              <w:autoSpaceDN/>
              <w:bidi w:val="0"/>
              <w:adjustRightInd/>
              <w:snapToGrid/>
              <w:spacing w:line="300" w:lineRule="exact"/>
              <w:ind w:left="113"/>
              <w:textAlignment w:val="auto"/>
              <w:rPr>
                <w:rFonts w:ascii="仿宋" w:hAnsi="仿宋" w:eastAsia="仿宋" w:cs="仿宋"/>
                <w:sz w:val="22"/>
                <w:szCs w:val="22"/>
              </w:rPr>
            </w:pPr>
            <w:r>
              <w:rPr>
                <w:rFonts w:ascii="仿宋" w:hAnsi="仿宋" w:eastAsia="仿宋" w:cs="仿宋"/>
                <w:spacing w:val="-3"/>
                <w:sz w:val="22"/>
                <w:szCs w:val="22"/>
              </w:rPr>
              <w:t>加</w:t>
            </w:r>
            <w:r>
              <w:rPr>
                <w:rFonts w:ascii="仿宋" w:hAnsi="仿宋" w:eastAsia="仿宋" w:cs="仿宋"/>
                <w:spacing w:val="-2"/>
                <w:sz w:val="22"/>
                <w:szCs w:val="22"/>
              </w:rPr>
              <w:t>拿大</w:t>
            </w:r>
          </w:p>
        </w:tc>
        <w:tc>
          <w:tcPr>
            <w:tcW w:w="1677" w:type="dxa"/>
            <w:tcBorders>
              <w:tl2br w:val="nil"/>
              <w:tr2bl w:val="nil"/>
            </w:tcBorders>
            <w:noWrap w:val="0"/>
            <w:vAlign w:val="top"/>
          </w:tcPr>
          <w:p w14:paraId="2ED743AA">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16053259">
            <w:pPr>
              <w:keepNext w:val="0"/>
              <w:keepLines w:val="0"/>
              <w:pageBreakBefore w:val="0"/>
              <w:widowControl w:val="0"/>
              <w:kinsoku/>
              <w:wordWrap/>
              <w:overflowPunct/>
              <w:topLinePunct w:val="0"/>
              <w:autoSpaceDE/>
              <w:autoSpaceDN/>
              <w:bidi w:val="0"/>
              <w:adjustRightInd/>
              <w:snapToGrid/>
              <w:spacing w:line="300" w:lineRule="exact"/>
              <w:ind w:left="125" w:right="105" w:firstLine="13"/>
              <w:textAlignment w:val="auto"/>
              <w:rPr>
                <w:rFonts w:ascii="仿宋" w:hAnsi="仿宋" w:eastAsia="仿宋" w:cs="仿宋"/>
                <w:sz w:val="22"/>
                <w:szCs w:val="22"/>
              </w:rPr>
            </w:pPr>
            <w:r>
              <w:rPr>
                <w:rFonts w:ascii="仿宋" w:hAnsi="仿宋" w:eastAsia="仿宋" w:cs="仿宋"/>
                <w:spacing w:val="-1"/>
                <w:sz w:val="22"/>
                <w:szCs w:val="22"/>
              </w:rPr>
              <w:t>电子信</w:t>
            </w:r>
            <w:r>
              <w:rPr>
                <w:rFonts w:ascii="仿宋" w:hAnsi="仿宋" w:eastAsia="仿宋" w:cs="仿宋"/>
                <w:sz w:val="22"/>
                <w:szCs w:val="22"/>
              </w:rPr>
              <w:t>息、金</w:t>
            </w:r>
            <w:r>
              <w:rPr>
                <w:rFonts w:ascii="仿宋" w:hAnsi="仿宋" w:eastAsia="仿宋" w:cs="仿宋"/>
                <w:spacing w:val="-4"/>
                <w:sz w:val="22"/>
                <w:szCs w:val="22"/>
              </w:rPr>
              <w:t>融</w:t>
            </w:r>
            <w:r>
              <w:rPr>
                <w:rFonts w:ascii="仿宋" w:hAnsi="仿宋" w:eastAsia="仿宋" w:cs="仿宋"/>
                <w:spacing w:val="-3"/>
                <w:sz w:val="22"/>
                <w:szCs w:val="22"/>
              </w:rPr>
              <w:t>、技术服务</w:t>
            </w:r>
          </w:p>
        </w:tc>
        <w:tc>
          <w:tcPr>
            <w:tcW w:w="1366" w:type="dxa"/>
            <w:tcBorders>
              <w:tl2br w:val="nil"/>
              <w:tr2bl w:val="nil"/>
            </w:tcBorders>
            <w:noWrap w:val="0"/>
            <w:vAlign w:val="top"/>
          </w:tcPr>
          <w:p w14:paraId="683F8B95">
            <w:pPr>
              <w:keepNext w:val="0"/>
              <w:keepLines w:val="0"/>
              <w:pageBreakBefore w:val="0"/>
              <w:widowControl w:val="0"/>
              <w:kinsoku/>
              <w:wordWrap/>
              <w:overflowPunct/>
              <w:topLinePunct w:val="0"/>
              <w:autoSpaceDE/>
              <w:autoSpaceDN/>
              <w:bidi w:val="0"/>
              <w:adjustRightInd/>
              <w:snapToGrid/>
              <w:spacing w:line="300" w:lineRule="exact"/>
              <w:ind w:left="112" w:right="103" w:hanging="2"/>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于加拿大</w:t>
            </w:r>
            <w:r>
              <w:rPr>
                <w:rFonts w:ascii="仿宋" w:hAnsi="仿宋" w:eastAsia="仿宋" w:cs="仿宋"/>
                <w:spacing w:val="-12"/>
                <w:sz w:val="22"/>
                <w:szCs w:val="22"/>
              </w:rPr>
              <w:t>首</w:t>
            </w:r>
            <w:r>
              <w:rPr>
                <w:rFonts w:ascii="仿宋" w:hAnsi="仿宋" w:eastAsia="仿宋" w:cs="仿宋"/>
                <w:spacing w:val="-9"/>
                <w:sz w:val="22"/>
                <w:szCs w:val="22"/>
              </w:rPr>
              <w:t>都渥太</w:t>
            </w:r>
            <w:r>
              <w:rPr>
                <w:rFonts w:ascii="仿宋" w:hAnsi="仿宋" w:eastAsia="仿宋" w:cs="仿宋"/>
                <w:spacing w:val="9"/>
                <w:sz w:val="22"/>
                <w:szCs w:val="22"/>
              </w:rPr>
              <w:t>华，临近</w:t>
            </w:r>
            <w:r>
              <w:rPr>
                <w:rFonts w:ascii="仿宋" w:hAnsi="仿宋" w:eastAsia="仿宋" w:cs="仿宋"/>
                <w:spacing w:val="8"/>
                <w:sz w:val="22"/>
                <w:szCs w:val="22"/>
              </w:rPr>
              <w:t>多</w:t>
            </w:r>
            <w:r>
              <w:rPr>
                <w:rFonts w:ascii="仿宋" w:hAnsi="仿宋" w:eastAsia="仿宋" w:cs="仿宋"/>
                <w:spacing w:val="-2"/>
                <w:sz w:val="22"/>
                <w:szCs w:val="22"/>
              </w:rPr>
              <w:t>伦</w:t>
            </w:r>
            <w:r>
              <w:rPr>
                <w:rFonts w:ascii="仿宋" w:hAnsi="仿宋" w:eastAsia="仿宋" w:cs="仿宋"/>
                <w:spacing w:val="-1"/>
                <w:sz w:val="22"/>
                <w:szCs w:val="22"/>
              </w:rPr>
              <w:t>多城市群</w:t>
            </w:r>
          </w:p>
        </w:tc>
        <w:tc>
          <w:tcPr>
            <w:tcW w:w="1676" w:type="dxa"/>
            <w:tcBorders>
              <w:tl2br w:val="nil"/>
              <w:tr2bl w:val="nil"/>
            </w:tcBorders>
            <w:noWrap w:val="0"/>
            <w:vAlign w:val="top"/>
          </w:tcPr>
          <w:p w14:paraId="06992363">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415E3ECB">
            <w:pPr>
              <w:keepNext w:val="0"/>
              <w:keepLines w:val="0"/>
              <w:pageBreakBefore w:val="0"/>
              <w:widowControl w:val="0"/>
              <w:kinsoku/>
              <w:wordWrap/>
              <w:overflowPunct/>
              <w:topLinePunct w:val="0"/>
              <w:autoSpaceDE/>
              <w:autoSpaceDN/>
              <w:bidi w:val="0"/>
              <w:adjustRightInd/>
              <w:snapToGrid/>
              <w:spacing w:line="300" w:lineRule="exact"/>
              <w:ind w:left="113" w:right="102" w:firstLine="14"/>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近中型国际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719" w:type="dxa"/>
            <w:tcBorders>
              <w:tl2br w:val="nil"/>
              <w:tr2bl w:val="nil"/>
            </w:tcBorders>
            <w:noWrap w:val="0"/>
            <w:vAlign w:val="top"/>
          </w:tcPr>
          <w:p w14:paraId="3508F8C4">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0F0CEDF2">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20"/>
                <w:sz w:val="22"/>
                <w:szCs w:val="22"/>
              </w:rPr>
              <w:t>世</w:t>
            </w:r>
            <w:r>
              <w:rPr>
                <w:rFonts w:ascii="仿宋" w:hAnsi="仿宋" w:eastAsia="仿宋" w:cs="仿宋"/>
                <w:spacing w:val="-18"/>
                <w:sz w:val="22"/>
                <w:szCs w:val="22"/>
              </w:rPr>
              <w:t>界知名高校</w:t>
            </w:r>
            <w:r>
              <w:rPr>
                <w:rFonts w:ascii="仿宋" w:hAnsi="仿宋" w:eastAsia="仿宋" w:cs="仿宋"/>
                <w:spacing w:val="-4"/>
                <w:sz w:val="22"/>
                <w:szCs w:val="22"/>
              </w:rPr>
              <w:t>所</w:t>
            </w:r>
            <w:r>
              <w:rPr>
                <w:rFonts w:ascii="仿宋" w:hAnsi="仿宋" w:eastAsia="仿宋" w:cs="仿宋"/>
                <w:spacing w:val="-2"/>
                <w:sz w:val="22"/>
                <w:szCs w:val="22"/>
              </w:rPr>
              <w:t>在地</w:t>
            </w:r>
          </w:p>
        </w:tc>
      </w:tr>
      <w:tr w14:paraId="15B9C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5" w:hRule="atLeast"/>
          <w:jc w:val="center"/>
        </w:trPr>
        <w:tc>
          <w:tcPr>
            <w:tcW w:w="1275" w:type="dxa"/>
            <w:tcBorders>
              <w:tl2br w:val="nil"/>
              <w:tr2bl w:val="nil"/>
            </w:tcBorders>
            <w:noWrap w:val="0"/>
            <w:vAlign w:val="top"/>
          </w:tcPr>
          <w:p w14:paraId="616CA166">
            <w:pPr>
              <w:keepNext w:val="0"/>
              <w:keepLines w:val="0"/>
              <w:pageBreakBefore w:val="0"/>
              <w:widowControl w:val="0"/>
              <w:kinsoku/>
              <w:wordWrap/>
              <w:overflowPunct/>
              <w:topLinePunct w:val="0"/>
              <w:autoSpaceDE/>
              <w:autoSpaceDN/>
              <w:bidi w:val="0"/>
              <w:adjustRightInd/>
              <w:snapToGrid/>
              <w:spacing w:line="300" w:lineRule="exact"/>
              <w:ind w:left="114" w:right="107" w:hanging="1"/>
              <w:textAlignment w:val="auto"/>
              <w:rPr>
                <w:rFonts w:ascii="仿宋" w:hAnsi="仿宋" w:eastAsia="仿宋" w:cs="仿宋"/>
                <w:sz w:val="22"/>
                <w:szCs w:val="22"/>
              </w:rPr>
            </w:pPr>
            <w:r>
              <w:rPr>
                <w:rFonts w:ascii="仿宋" w:hAnsi="仿宋" w:eastAsia="仿宋" w:cs="仿宋"/>
                <w:spacing w:val="-23"/>
                <w:sz w:val="22"/>
                <w:szCs w:val="22"/>
              </w:rPr>
              <w:t>瓜达拉哈</w:t>
            </w:r>
            <w:r>
              <w:rPr>
                <w:rFonts w:ascii="仿宋" w:hAnsi="仿宋" w:eastAsia="仿宋" w:cs="仿宋"/>
                <w:spacing w:val="-25"/>
                <w:sz w:val="22"/>
                <w:szCs w:val="22"/>
              </w:rPr>
              <w:t>拉</w:t>
            </w:r>
            <w:r>
              <w:rPr>
                <w:rFonts w:ascii="仿宋" w:hAnsi="仿宋" w:eastAsia="仿宋" w:cs="仿宋"/>
                <w:spacing w:val="-23"/>
                <w:sz w:val="22"/>
                <w:szCs w:val="22"/>
              </w:rPr>
              <w:t>科技园</w:t>
            </w:r>
            <w:r>
              <w:rPr>
                <w:rFonts w:ascii="仿宋" w:hAnsi="仿宋" w:eastAsia="仿宋" w:cs="仿宋"/>
                <w:sz w:val="22"/>
                <w:szCs w:val="22"/>
              </w:rPr>
              <w:t>区</w:t>
            </w:r>
          </w:p>
        </w:tc>
        <w:tc>
          <w:tcPr>
            <w:tcW w:w="1281" w:type="dxa"/>
            <w:tcBorders>
              <w:tl2br w:val="nil"/>
              <w:tr2bl w:val="nil"/>
            </w:tcBorders>
            <w:noWrap w:val="0"/>
            <w:vAlign w:val="top"/>
          </w:tcPr>
          <w:p w14:paraId="6D756874">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7C17E932">
            <w:pPr>
              <w:keepNext w:val="0"/>
              <w:keepLines w:val="0"/>
              <w:pageBreakBefore w:val="0"/>
              <w:widowControl w:val="0"/>
              <w:kinsoku/>
              <w:wordWrap/>
              <w:overflowPunct/>
              <w:topLinePunct w:val="0"/>
              <w:autoSpaceDE/>
              <w:autoSpaceDN/>
              <w:bidi w:val="0"/>
              <w:adjustRightInd/>
              <w:snapToGrid/>
              <w:spacing w:line="300" w:lineRule="exact"/>
              <w:ind w:left="110"/>
              <w:textAlignment w:val="auto"/>
              <w:rPr>
                <w:rFonts w:ascii="仿宋" w:hAnsi="仿宋" w:eastAsia="仿宋" w:cs="仿宋"/>
                <w:sz w:val="22"/>
                <w:szCs w:val="22"/>
              </w:rPr>
            </w:pPr>
            <w:r>
              <w:rPr>
                <w:rFonts w:ascii="Arial" w:hAnsi="Arial" w:eastAsia="Arial" w:cs="Arial"/>
                <w:spacing w:val="-2"/>
                <w:sz w:val="22"/>
                <w:szCs w:val="22"/>
              </w:rPr>
              <w:t>2010</w:t>
            </w:r>
            <w:r>
              <w:rPr>
                <w:rFonts w:ascii="仿宋" w:hAnsi="仿宋" w:eastAsia="仿宋" w:cs="仿宋"/>
                <w:spacing w:val="-1"/>
                <w:sz w:val="22"/>
                <w:szCs w:val="22"/>
              </w:rPr>
              <w:t>年代</w:t>
            </w:r>
          </w:p>
        </w:tc>
        <w:tc>
          <w:tcPr>
            <w:tcW w:w="876" w:type="dxa"/>
            <w:tcBorders>
              <w:tl2br w:val="nil"/>
              <w:tr2bl w:val="nil"/>
            </w:tcBorders>
            <w:noWrap w:val="0"/>
            <w:vAlign w:val="top"/>
          </w:tcPr>
          <w:p w14:paraId="484A2758">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sz w:val="21"/>
              </w:rPr>
            </w:pPr>
          </w:p>
          <w:p w14:paraId="29C4777E">
            <w:pPr>
              <w:keepNext w:val="0"/>
              <w:keepLines w:val="0"/>
              <w:pageBreakBefore w:val="0"/>
              <w:widowControl w:val="0"/>
              <w:kinsoku/>
              <w:wordWrap/>
              <w:overflowPunct/>
              <w:topLinePunct w:val="0"/>
              <w:autoSpaceDE/>
              <w:autoSpaceDN/>
              <w:bidi w:val="0"/>
              <w:adjustRightInd/>
              <w:snapToGrid/>
              <w:spacing w:line="300" w:lineRule="exact"/>
              <w:ind w:left="129"/>
              <w:textAlignment w:val="auto"/>
              <w:rPr>
                <w:rFonts w:ascii="仿宋" w:hAnsi="仿宋" w:eastAsia="仿宋" w:cs="仿宋"/>
                <w:sz w:val="22"/>
                <w:szCs w:val="22"/>
              </w:rPr>
            </w:pPr>
            <w:r>
              <w:rPr>
                <w:rFonts w:ascii="仿宋" w:hAnsi="仿宋" w:eastAsia="仿宋" w:cs="仿宋"/>
                <w:spacing w:val="-10"/>
                <w:sz w:val="22"/>
                <w:szCs w:val="22"/>
              </w:rPr>
              <w:t>墨</w:t>
            </w:r>
            <w:r>
              <w:rPr>
                <w:rFonts w:ascii="仿宋" w:hAnsi="仿宋" w:eastAsia="仿宋" w:cs="仿宋"/>
                <w:spacing w:val="-7"/>
                <w:sz w:val="22"/>
                <w:szCs w:val="22"/>
              </w:rPr>
              <w:t>西哥</w:t>
            </w:r>
          </w:p>
        </w:tc>
        <w:tc>
          <w:tcPr>
            <w:tcW w:w="1677" w:type="dxa"/>
            <w:tcBorders>
              <w:tl2br w:val="nil"/>
              <w:tr2bl w:val="nil"/>
            </w:tcBorders>
            <w:noWrap w:val="0"/>
            <w:vAlign w:val="top"/>
          </w:tcPr>
          <w:p w14:paraId="3BDA632B">
            <w:pPr>
              <w:keepNext w:val="0"/>
              <w:keepLines w:val="0"/>
              <w:pageBreakBefore w:val="0"/>
              <w:widowControl w:val="0"/>
              <w:kinsoku/>
              <w:wordWrap/>
              <w:overflowPunct/>
              <w:topLinePunct w:val="0"/>
              <w:autoSpaceDE/>
              <w:autoSpaceDN/>
              <w:bidi w:val="0"/>
              <w:adjustRightInd/>
              <w:snapToGrid/>
              <w:spacing w:line="300" w:lineRule="exact"/>
              <w:ind w:left="111" w:right="105" w:firstLine="27"/>
              <w:textAlignment w:val="auto"/>
              <w:rPr>
                <w:rFonts w:ascii="仿宋" w:hAnsi="仿宋" w:eastAsia="仿宋" w:cs="仿宋"/>
                <w:sz w:val="22"/>
                <w:szCs w:val="22"/>
              </w:rPr>
            </w:pPr>
            <w:r>
              <w:rPr>
                <w:rFonts w:ascii="仿宋" w:hAnsi="仿宋" w:eastAsia="仿宋" w:cs="仿宋"/>
                <w:spacing w:val="-1"/>
                <w:sz w:val="22"/>
                <w:szCs w:val="22"/>
              </w:rPr>
              <w:t>电子信</w:t>
            </w:r>
            <w:r>
              <w:rPr>
                <w:rFonts w:ascii="仿宋" w:hAnsi="仿宋" w:eastAsia="仿宋" w:cs="仿宋"/>
                <w:sz w:val="22"/>
                <w:szCs w:val="22"/>
              </w:rPr>
              <w:t>息、船</w:t>
            </w:r>
            <w:r>
              <w:rPr>
                <w:rFonts w:ascii="仿宋" w:hAnsi="仿宋" w:eastAsia="仿宋" w:cs="仿宋"/>
                <w:spacing w:val="-1"/>
                <w:sz w:val="22"/>
                <w:szCs w:val="22"/>
              </w:rPr>
              <w:t>舶、零件制造</w:t>
            </w:r>
          </w:p>
        </w:tc>
        <w:tc>
          <w:tcPr>
            <w:tcW w:w="1366" w:type="dxa"/>
            <w:tcBorders>
              <w:tl2br w:val="nil"/>
              <w:tr2bl w:val="nil"/>
            </w:tcBorders>
            <w:noWrap w:val="0"/>
            <w:vAlign w:val="top"/>
          </w:tcPr>
          <w:p w14:paraId="724049E8">
            <w:pPr>
              <w:keepNext w:val="0"/>
              <w:keepLines w:val="0"/>
              <w:pageBreakBefore w:val="0"/>
              <w:widowControl w:val="0"/>
              <w:kinsoku/>
              <w:wordWrap/>
              <w:overflowPunct/>
              <w:topLinePunct w:val="0"/>
              <w:autoSpaceDE/>
              <w:autoSpaceDN/>
              <w:bidi w:val="0"/>
              <w:adjustRightInd/>
              <w:snapToGrid/>
              <w:spacing w:line="300" w:lineRule="exact"/>
              <w:ind w:left="111" w:right="103" w:hanging="1"/>
              <w:textAlignment w:val="auto"/>
              <w:rPr>
                <w:rFonts w:ascii="仿宋" w:hAnsi="仿宋" w:eastAsia="仿宋" w:cs="仿宋"/>
                <w:sz w:val="22"/>
                <w:szCs w:val="22"/>
              </w:rPr>
            </w:pPr>
            <w:r>
              <w:rPr>
                <w:rFonts w:ascii="仿宋" w:hAnsi="仿宋" w:eastAsia="仿宋" w:cs="仿宋"/>
                <w:spacing w:val="11"/>
                <w:sz w:val="22"/>
                <w:szCs w:val="22"/>
              </w:rPr>
              <w:t>位</w:t>
            </w:r>
            <w:r>
              <w:rPr>
                <w:rFonts w:ascii="仿宋" w:hAnsi="仿宋" w:eastAsia="仿宋" w:cs="仿宋"/>
                <w:spacing w:val="9"/>
                <w:sz w:val="22"/>
                <w:szCs w:val="22"/>
              </w:rPr>
              <w:t>于墨西哥瓜达拉哈拉</w:t>
            </w:r>
            <w:r>
              <w:rPr>
                <w:rFonts w:ascii="仿宋" w:hAnsi="仿宋" w:eastAsia="仿宋" w:cs="仿宋"/>
                <w:sz w:val="22"/>
                <w:szCs w:val="22"/>
              </w:rPr>
              <w:t>市</w:t>
            </w:r>
          </w:p>
        </w:tc>
        <w:tc>
          <w:tcPr>
            <w:tcW w:w="1676" w:type="dxa"/>
            <w:tcBorders>
              <w:tl2br w:val="nil"/>
              <w:tr2bl w:val="nil"/>
            </w:tcBorders>
            <w:noWrap w:val="0"/>
            <w:vAlign w:val="top"/>
          </w:tcPr>
          <w:p w14:paraId="2BFABE9D">
            <w:pPr>
              <w:keepNext w:val="0"/>
              <w:keepLines w:val="0"/>
              <w:pageBreakBefore w:val="0"/>
              <w:widowControl w:val="0"/>
              <w:kinsoku/>
              <w:wordWrap/>
              <w:overflowPunct/>
              <w:topLinePunct w:val="0"/>
              <w:autoSpaceDE/>
              <w:autoSpaceDN/>
              <w:bidi w:val="0"/>
              <w:adjustRightInd/>
              <w:snapToGrid/>
              <w:spacing w:line="300" w:lineRule="exact"/>
              <w:ind w:left="113" w:right="102" w:firstLine="14"/>
              <w:textAlignment w:val="auto"/>
              <w:rPr>
                <w:rFonts w:ascii="仿宋" w:hAnsi="仿宋" w:eastAsia="仿宋" w:cs="仿宋"/>
                <w:sz w:val="22"/>
                <w:szCs w:val="22"/>
              </w:rPr>
            </w:pPr>
            <w:r>
              <w:rPr>
                <w:rFonts w:ascii="仿宋" w:hAnsi="仿宋" w:eastAsia="仿宋" w:cs="仿宋"/>
                <w:spacing w:val="-16"/>
                <w:sz w:val="22"/>
                <w:szCs w:val="22"/>
              </w:rPr>
              <w:t>临</w:t>
            </w:r>
            <w:r>
              <w:rPr>
                <w:rFonts w:ascii="仿宋" w:hAnsi="仿宋" w:eastAsia="仿宋" w:cs="仿宋"/>
                <w:spacing w:val="-12"/>
                <w:sz w:val="22"/>
                <w:szCs w:val="22"/>
              </w:rPr>
              <w:t>近大型国际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719" w:type="dxa"/>
            <w:tcBorders>
              <w:tl2br w:val="nil"/>
              <w:tr2bl w:val="nil"/>
            </w:tcBorders>
            <w:noWrap w:val="0"/>
            <w:vAlign w:val="top"/>
          </w:tcPr>
          <w:p w14:paraId="0611A291">
            <w:pPr>
              <w:keepNext w:val="0"/>
              <w:keepLines w:val="0"/>
              <w:pageBreakBefore w:val="0"/>
              <w:widowControl w:val="0"/>
              <w:kinsoku/>
              <w:wordWrap/>
              <w:overflowPunct/>
              <w:topLinePunct w:val="0"/>
              <w:autoSpaceDE/>
              <w:autoSpaceDN/>
              <w:bidi w:val="0"/>
              <w:adjustRightInd/>
              <w:snapToGrid/>
              <w:spacing w:line="300" w:lineRule="exact"/>
              <w:ind w:left="118" w:right="105" w:firstLine="4"/>
              <w:textAlignment w:val="auto"/>
              <w:rPr>
                <w:rFonts w:ascii="仿宋" w:hAnsi="仿宋" w:eastAsia="仿宋" w:cs="仿宋"/>
                <w:sz w:val="22"/>
                <w:szCs w:val="22"/>
              </w:rPr>
            </w:pPr>
            <w:r>
              <w:rPr>
                <w:rFonts w:ascii="仿宋" w:hAnsi="仿宋" w:eastAsia="仿宋" w:cs="仿宋"/>
                <w:spacing w:val="-20"/>
                <w:sz w:val="22"/>
                <w:szCs w:val="22"/>
              </w:rPr>
              <w:t>世</w:t>
            </w:r>
            <w:r>
              <w:rPr>
                <w:rFonts w:ascii="仿宋" w:hAnsi="仿宋" w:eastAsia="仿宋" w:cs="仿宋"/>
                <w:spacing w:val="-18"/>
                <w:sz w:val="22"/>
                <w:szCs w:val="22"/>
              </w:rPr>
              <w:t>界知名高校</w:t>
            </w:r>
            <w:r>
              <w:rPr>
                <w:rFonts w:ascii="仿宋" w:hAnsi="仿宋" w:eastAsia="仿宋" w:cs="仿宋"/>
                <w:spacing w:val="-4"/>
                <w:sz w:val="22"/>
                <w:szCs w:val="22"/>
              </w:rPr>
              <w:t>所</w:t>
            </w:r>
            <w:r>
              <w:rPr>
                <w:rFonts w:ascii="仿宋" w:hAnsi="仿宋" w:eastAsia="仿宋" w:cs="仿宋"/>
                <w:spacing w:val="-2"/>
                <w:sz w:val="22"/>
                <w:szCs w:val="22"/>
              </w:rPr>
              <w:t>在地</w:t>
            </w:r>
          </w:p>
        </w:tc>
      </w:tr>
    </w:tbl>
    <w:p w14:paraId="4836D141">
      <w:pPr>
        <w:pStyle w:val="2"/>
        <w:keepNext w:val="0"/>
        <w:keepLines w:val="0"/>
        <w:pageBreakBefore w:val="0"/>
        <w:widowControl w:val="0"/>
        <w:kinsoku/>
        <w:wordWrap/>
        <w:overflowPunct/>
        <w:topLinePunct/>
        <w:autoSpaceDE/>
        <w:autoSpaceDN/>
        <w:bidi w:val="0"/>
        <w:adjustRightInd/>
        <w:snapToGrid/>
        <w:spacing w:before="157" w:beforeLines="5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2.1.1.2西欧</w:t>
      </w:r>
    </w:p>
    <w:p w14:paraId="78065600">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战后恢复阶段，欧洲继北美之后也开始出现高新技术产业的集聚，高新区性质的产业聚集中心在德国、法国、英国、荷兰、瑞典等国家相继出现，经历40年的发展，几乎每个西欧国家都形成了具有独特性的高新区，出现“百花齐放”的景象。欧洲的高新区与北美相比，其技术密集程度和科学研究的聚集更为突出。欧洲典型高新区发展案例如下：</w:t>
      </w:r>
    </w:p>
    <w:p w14:paraId="7C0C990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巴黎-萨克雷科技区(Paris-Saclay)。位于法国巴黎南部，最早在20</w:t>
      </w:r>
    </w:p>
    <w:p w14:paraId="09FBBB86">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世纪50年代开始出现技术聚集，70年代中期正式形成了以技术密集和商业团簇为支柱特点的高新产业集群，形成了一批应用研究实力极强的企业。巴黎-萨克雷科技区形成了以法液空(Air Liquide)为代表的工程服务产业，出现了以阿尔斯通(Alstom)、空中客车(Airbus)、雪铁龙(PSA Peugeot Citroën)等世界领先的交通装备制造企业。此外，该科技区吸引了霍尼韦尔(Honeywell)、埃尼(Eni)、奔驰、沃尔沃、西门子等跨国企业落户，使科技区形成了以高端制造、工程服务为核心的支柱产业。该科技区目前聚集了超过10500名教授/研究员、5700名博士、25000名硕士从事研究工作，高端人才的密集程度很高，每年能完成全法国约15%的科研比例，具有长期高端化发展的基础。</w:t>
      </w:r>
    </w:p>
    <w:p w14:paraId="2191B40A">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维斯塔科技园区(WISTA Science&amp;Technology Park)。位于德国柏林，二战后开始出现小规模产业集聚，1991年两德统一后，在德国科学院的基础上正式设立科技园区，目前其总面积达到4.2平方千米，是德国境内最大的科技园区。园区目前拥有11个研究中心、399家科技公司、139家媒体公司和281家技术服务公司，总员工数量超过15000人，形成了以基础科学研究、显示技术、新材料、工程技术服务、传媒为核心的产业结构。</w:t>
      </w:r>
    </w:p>
    <w:p w14:paraId="2E748A09">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M4科技走廊(M4 Corridor)。位于英国南部，分布于从伦敦至南威尔士的M4高速两侧。20世纪80年代，在M4公路的两端，伦敦城市群形成了托马斯谷科技产业集群、威尔士形成了斯旺西产业园，随着进一步发展，两个科技园连成一片形成了现今的M4科技走廊。目前，M4科技走廊形成了由西斯科(Cisco)、微软、甲骨文公司(Oracle)等公司为代表的信息技术产业，由爱立信(Eriksson)为代表的电子产业，以及由Vodafone、O2为代表的通信产业。总体而言，M4科技走廊与硅谷的产业结构类似，是以信息技术及相关配套产业为基础，以技术服务业为支撑的产业体系。</w:t>
      </w:r>
    </w:p>
    <w:p w14:paraId="36E9EC0F">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埃因霍温高科技园区(High Tech Campus Eindhoven)。位于荷兰埃因霍温市南部。埃因霍温高科技园区是在飞利浦公司(Philips)建设的飞利浦高科技园区的基础上逐步发展形成的，2003年埃因霍温高科技园区正式形成。目前该高科技园区总面积达1平方千米，其中45000平方米用于研发、6000平方米用于技术放大、150000平方米用于技术应用推广。全区已集聚了超过140家公司，其人才结构多元化特点明显，有来自超过85个国家和地区的超过1万名研发人员、企业家在此工作。目前，埃因霍温高科技园区除原有的电子电气产业外，形成了纳米科技、自控系统、生命科学、生态科学、安全工程、加密技术为特色的高新产业集群。</w:t>
      </w:r>
    </w:p>
    <w:p w14:paraId="1AF8246B">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基斯塔科学城(Kista Science City)。位于瑞典斯德哥尔摩市林克比-基斯塔区，临近瑞典最大的国际机场。该科学城是瑞典最大的通信和信息技术产业园区，最典型的企业是瑞典本土的爱立信公司(Eriksson Corporation)。该园区基于强大的通信技术实力，为全球开发了4G/LTE通信构架，形成了全欧洲技术实力最强的通信产业集群。</w:t>
      </w:r>
    </w:p>
    <w:p w14:paraId="79D6F0FC">
      <w:pPr>
        <w:pStyle w:val="2"/>
        <w:keepNext w:val="0"/>
        <w:keepLines w:val="0"/>
        <w:pageBreakBefore w:val="0"/>
        <w:widowControl w:val="0"/>
        <w:kinsoku/>
        <w:wordWrap/>
        <w:overflowPunct/>
        <w:topLinePunct/>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总体而言，西欧的高新区发展模式与北美有一定区别，西欧的高新区以科技研发和技术服务为核心产业，很多园区不以信息技术为核心，并且，对制造业、生命科学、材料科学等产业投入较大。除上述园区外，西欧还拥有众多特点鲜明的高新区，一并在下表中列出。</w:t>
      </w:r>
    </w:p>
    <w:p w14:paraId="164FD4EC">
      <w:pPr>
        <w:keepNext w:val="0"/>
        <w:keepLines w:val="0"/>
        <w:pageBreakBefore w:val="0"/>
        <w:widowControl w:val="0"/>
        <w:wordWrap/>
        <w:overflowPunct/>
        <w:bidi w:val="0"/>
        <w:spacing w:before="75" w:line="225" w:lineRule="auto"/>
        <w:ind w:left="3509"/>
      </w:pPr>
      <w:r>
        <w:rPr>
          <w:rFonts w:ascii="黑体" w:hAnsi="黑体" w:eastAsia="黑体" w:cs="黑体"/>
          <w:spacing w:val="10"/>
          <w:sz w:val="23"/>
          <w:szCs w:val="23"/>
        </w:rPr>
        <w:t>西欧典型高新区及发展特</w:t>
      </w:r>
      <w:r>
        <w:rPr>
          <w:rFonts w:ascii="黑体" w:hAnsi="黑体" w:eastAsia="黑体" w:cs="黑体"/>
          <w:spacing w:val="8"/>
          <w:sz w:val="23"/>
          <w:szCs w:val="23"/>
        </w:rPr>
        <w:t>点</w:t>
      </w:r>
    </w:p>
    <w:tbl>
      <w:tblPr>
        <w:tblStyle w:val="9"/>
        <w:tblW w:w="98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35"/>
        <w:gridCol w:w="1133"/>
        <w:gridCol w:w="992"/>
        <w:gridCol w:w="1558"/>
        <w:gridCol w:w="1417"/>
        <w:gridCol w:w="1558"/>
        <w:gridCol w:w="1577"/>
      </w:tblGrid>
      <w:tr w14:paraId="59C65E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tblHeader/>
          <w:jc w:val="center"/>
        </w:trPr>
        <w:tc>
          <w:tcPr>
            <w:tcW w:w="1635" w:type="dxa"/>
            <w:tcBorders>
              <w:tl2br w:val="nil"/>
              <w:tr2bl w:val="nil"/>
            </w:tcBorders>
            <w:noWrap w:val="0"/>
            <w:vAlign w:val="top"/>
          </w:tcPr>
          <w:p w14:paraId="2C6BA16D">
            <w:pPr>
              <w:keepNext w:val="0"/>
              <w:keepLines w:val="0"/>
              <w:pageBreakBefore w:val="0"/>
              <w:widowControl w:val="0"/>
              <w:kinsoku/>
              <w:wordWrap/>
              <w:overflowPunct/>
              <w:autoSpaceDE/>
              <w:autoSpaceDN/>
              <w:bidi w:val="0"/>
              <w:spacing w:line="217" w:lineRule="auto"/>
              <w:ind w:left="599"/>
              <w:jc w:val="center"/>
              <w:rPr>
                <w:rFonts w:ascii="仿宋" w:hAnsi="仿宋" w:eastAsia="仿宋" w:cs="仿宋"/>
                <w:sz w:val="22"/>
                <w:szCs w:val="22"/>
              </w:rPr>
            </w:pPr>
            <w:r>
              <w:rPr>
                <w:rFonts w:ascii="仿宋" w:hAnsi="仿宋" w:eastAsia="仿宋" w:cs="仿宋"/>
                <w:spacing w:val="-2"/>
                <w:sz w:val="22"/>
                <w:szCs w:val="22"/>
              </w:rPr>
              <w:t>名称</w:t>
            </w:r>
          </w:p>
        </w:tc>
        <w:tc>
          <w:tcPr>
            <w:tcW w:w="1133" w:type="dxa"/>
            <w:tcBorders>
              <w:tl2br w:val="nil"/>
              <w:tr2bl w:val="nil"/>
            </w:tcBorders>
            <w:noWrap w:val="0"/>
            <w:vAlign w:val="top"/>
          </w:tcPr>
          <w:p w14:paraId="24CA92C2">
            <w:pPr>
              <w:keepNext w:val="0"/>
              <w:keepLines w:val="0"/>
              <w:pageBreakBefore w:val="0"/>
              <w:widowControl w:val="0"/>
              <w:kinsoku/>
              <w:wordWrap/>
              <w:overflowPunct/>
              <w:autoSpaceDE/>
              <w:autoSpaceDN/>
              <w:bidi w:val="0"/>
              <w:spacing w:line="219" w:lineRule="auto"/>
              <w:ind w:left="125"/>
              <w:jc w:val="center"/>
              <w:rPr>
                <w:rFonts w:ascii="仿宋" w:hAnsi="仿宋" w:eastAsia="仿宋" w:cs="仿宋"/>
                <w:sz w:val="22"/>
                <w:szCs w:val="22"/>
              </w:rPr>
            </w:pPr>
            <w:r>
              <w:rPr>
                <w:rFonts w:ascii="仿宋" w:hAnsi="仿宋" w:eastAsia="仿宋" w:cs="仿宋"/>
                <w:sz w:val="22"/>
                <w:szCs w:val="22"/>
              </w:rPr>
              <w:t>形成时间</w:t>
            </w:r>
          </w:p>
        </w:tc>
        <w:tc>
          <w:tcPr>
            <w:tcW w:w="992" w:type="dxa"/>
            <w:tcBorders>
              <w:tl2br w:val="nil"/>
              <w:tr2bl w:val="nil"/>
            </w:tcBorders>
            <w:noWrap w:val="0"/>
            <w:vAlign w:val="top"/>
          </w:tcPr>
          <w:p w14:paraId="1C46DA75">
            <w:pPr>
              <w:keepNext w:val="0"/>
              <w:keepLines w:val="0"/>
              <w:pageBreakBefore w:val="0"/>
              <w:widowControl w:val="0"/>
              <w:kinsoku/>
              <w:wordWrap/>
              <w:overflowPunct/>
              <w:autoSpaceDE/>
              <w:autoSpaceDN/>
              <w:bidi w:val="0"/>
              <w:spacing w:line="219" w:lineRule="auto"/>
              <w:ind w:left="299"/>
              <w:jc w:val="center"/>
              <w:rPr>
                <w:rFonts w:ascii="仿宋" w:hAnsi="仿宋" w:eastAsia="仿宋" w:cs="仿宋"/>
                <w:sz w:val="22"/>
                <w:szCs w:val="22"/>
              </w:rPr>
            </w:pPr>
            <w:r>
              <w:rPr>
                <w:rFonts w:ascii="仿宋" w:hAnsi="仿宋" w:eastAsia="仿宋" w:cs="仿宋"/>
                <w:spacing w:val="-13"/>
                <w:sz w:val="22"/>
                <w:szCs w:val="22"/>
              </w:rPr>
              <w:t>国家</w:t>
            </w:r>
          </w:p>
        </w:tc>
        <w:tc>
          <w:tcPr>
            <w:tcW w:w="1558" w:type="dxa"/>
            <w:tcBorders>
              <w:tl2br w:val="nil"/>
              <w:tr2bl w:val="nil"/>
            </w:tcBorders>
            <w:noWrap w:val="0"/>
            <w:vAlign w:val="top"/>
          </w:tcPr>
          <w:p w14:paraId="301C9502">
            <w:pPr>
              <w:keepNext w:val="0"/>
              <w:keepLines w:val="0"/>
              <w:pageBreakBefore w:val="0"/>
              <w:widowControl w:val="0"/>
              <w:kinsoku/>
              <w:wordWrap/>
              <w:overflowPunct/>
              <w:autoSpaceDE/>
              <w:autoSpaceDN/>
              <w:bidi w:val="0"/>
              <w:spacing w:line="219" w:lineRule="auto"/>
              <w:ind w:left="353"/>
              <w:jc w:val="center"/>
              <w:rPr>
                <w:rFonts w:ascii="仿宋" w:hAnsi="仿宋" w:eastAsia="仿宋" w:cs="仿宋"/>
                <w:sz w:val="22"/>
                <w:szCs w:val="22"/>
              </w:rPr>
            </w:pPr>
            <w:r>
              <w:rPr>
                <w:rFonts w:ascii="仿宋" w:hAnsi="仿宋" w:eastAsia="仿宋" w:cs="仿宋"/>
                <w:spacing w:val="-6"/>
                <w:sz w:val="22"/>
                <w:szCs w:val="22"/>
              </w:rPr>
              <w:t>主</w:t>
            </w:r>
            <w:r>
              <w:rPr>
                <w:rFonts w:ascii="仿宋" w:hAnsi="仿宋" w:eastAsia="仿宋" w:cs="仿宋"/>
                <w:spacing w:val="-3"/>
                <w:sz w:val="22"/>
                <w:szCs w:val="22"/>
              </w:rPr>
              <w:t>导产业</w:t>
            </w:r>
          </w:p>
        </w:tc>
        <w:tc>
          <w:tcPr>
            <w:tcW w:w="1417" w:type="dxa"/>
            <w:tcBorders>
              <w:tl2br w:val="nil"/>
              <w:tr2bl w:val="nil"/>
            </w:tcBorders>
            <w:noWrap w:val="0"/>
            <w:vAlign w:val="top"/>
          </w:tcPr>
          <w:p w14:paraId="3C476889">
            <w:pPr>
              <w:keepNext w:val="0"/>
              <w:keepLines w:val="0"/>
              <w:pageBreakBefore w:val="0"/>
              <w:widowControl w:val="0"/>
              <w:kinsoku/>
              <w:wordWrap/>
              <w:overflowPunct/>
              <w:autoSpaceDE/>
              <w:autoSpaceDN/>
              <w:bidi w:val="0"/>
              <w:spacing w:line="218" w:lineRule="auto"/>
              <w:ind w:left="273"/>
              <w:jc w:val="center"/>
              <w:rPr>
                <w:rFonts w:ascii="仿宋" w:hAnsi="仿宋" w:eastAsia="仿宋" w:cs="仿宋"/>
                <w:sz w:val="22"/>
                <w:szCs w:val="22"/>
              </w:rPr>
            </w:pPr>
            <w:r>
              <w:rPr>
                <w:rFonts w:ascii="仿宋" w:hAnsi="仿宋" w:eastAsia="仿宋" w:cs="仿宋"/>
                <w:spacing w:val="-2"/>
                <w:sz w:val="22"/>
                <w:szCs w:val="22"/>
              </w:rPr>
              <w:t>周</w:t>
            </w:r>
            <w:r>
              <w:rPr>
                <w:rFonts w:ascii="仿宋" w:hAnsi="仿宋" w:eastAsia="仿宋" w:cs="仿宋"/>
                <w:spacing w:val="-1"/>
                <w:sz w:val="22"/>
                <w:szCs w:val="22"/>
              </w:rPr>
              <w:t>边环境</w:t>
            </w:r>
          </w:p>
        </w:tc>
        <w:tc>
          <w:tcPr>
            <w:tcW w:w="1558" w:type="dxa"/>
            <w:tcBorders>
              <w:tl2br w:val="nil"/>
              <w:tr2bl w:val="nil"/>
            </w:tcBorders>
            <w:noWrap w:val="0"/>
            <w:vAlign w:val="top"/>
          </w:tcPr>
          <w:p w14:paraId="67E5B067">
            <w:pPr>
              <w:keepNext w:val="0"/>
              <w:keepLines w:val="0"/>
              <w:pageBreakBefore w:val="0"/>
              <w:widowControl w:val="0"/>
              <w:kinsoku/>
              <w:wordWrap/>
              <w:overflowPunct/>
              <w:autoSpaceDE/>
              <w:autoSpaceDN/>
              <w:bidi w:val="0"/>
              <w:spacing w:line="218" w:lineRule="auto"/>
              <w:ind w:left="352"/>
              <w:jc w:val="center"/>
              <w:rPr>
                <w:rFonts w:ascii="仿宋" w:hAnsi="仿宋" w:eastAsia="仿宋" w:cs="仿宋"/>
                <w:sz w:val="22"/>
                <w:szCs w:val="22"/>
              </w:rPr>
            </w:pPr>
            <w:r>
              <w:rPr>
                <w:rFonts w:ascii="仿宋" w:hAnsi="仿宋" w:eastAsia="仿宋" w:cs="仿宋"/>
                <w:spacing w:val="-4"/>
                <w:sz w:val="22"/>
                <w:szCs w:val="22"/>
              </w:rPr>
              <w:t>交</w:t>
            </w:r>
            <w:r>
              <w:rPr>
                <w:rFonts w:ascii="仿宋" w:hAnsi="仿宋" w:eastAsia="仿宋" w:cs="仿宋"/>
                <w:spacing w:val="-3"/>
                <w:sz w:val="22"/>
                <w:szCs w:val="22"/>
              </w:rPr>
              <w:t>通条件</w:t>
            </w:r>
          </w:p>
        </w:tc>
        <w:tc>
          <w:tcPr>
            <w:tcW w:w="1577" w:type="dxa"/>
            <w:tcBorders>
              <w:tl2br w:val="nil"/>
              <w:tr2bl w:val="nil"/>
            </w:tcBorders>
            <w:noWrap w:val="0"/>
            <w:vAlign w:val="top"/>
          </w:tcPr>
          <w:p w14:paraId="623F72A0">
            <w:pPr>
              <w:keepNext w:val="0"/>
              <w:keepLines w:val="0"/>
              <w:pageBreakBefore w:val="0"/>
              <w:widowControl w:val="0"/>
              <w:kinsoku/>
              <w:wordWrap/>
              <w:overflowPunct/>
              <w:autoSpaceDE/>
              <w:autoSpaceDN/>
              <w:bidi w:val="0"/>
              <w:spacing w:line="218" w:lineRule="auto"/>
              <w:ind w:left="356"/>
              <w:jc w:val="center"/>
              <w:rPr>
                <w:rFonts w:ascii="仿宋" w:hAnsi="仿宋" w:eastAsia="仿宋" w:cs="仿宋"/>
                <w:sz w:val="22"/>
                <w:szCs w:val="22"/>
              </w:rPr>
            </w:pPr>
            <w:r>
              <w:rPr>
                <w:rFonts w:ascii="仿宋" w:hAnsi="仿宋" w:eastAsia="仿宋" w:cs="仿宋"/>
                <w:spacing w:val="-2"/>
                <w:sz w:val="22"/>
                <w:szCs w:val="22"/>
              </w:rPr>
              <w:t>人才环</w:t>
            </w:r>
            <w:r>
              <w:rPr>
                <w:rFonts w:ascii="仿宋" w:hAnsi="仿宋" w:eastAsia="仿宋" w:cs="仿宋"/>
                <w:spacing w:val="-1"/>
                <w:sz w:val="22"/>
                <w:szCs w:val="22"/>
              </w:rPr>
              <w:t>境</w:t>
            </w:r>
          </w:p>
        </w:tc>
      </w:tr>
      <w:tr w14:paraId="667CE4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8" w:hRule="atLeast"/>
          <w:jc w:val="center"/>
        </w:trPr>
        <w:tc>
          <w:tcPr>
            <w:tcW w:w="1635" w:type="dxa"/>
            <w:tcBorders>
              <w:tl2br w:val="nil"/>
              <w:tr2bl w:val="nil"/>
            </w:tcBorders>
            <w:noWrap w:val="0"/>
            <w:vAlign w:val="top"/>
          </w:tcPr>
          <w:p w14:paraId="0919732A">
            <w:pPr>
              <w:keepNext w:val="0"/>
              <w:keepLines w:val="0"/>
              <w:pageBreakBefore w:val="0"/>
              <w:widowControl w:val="0"/>
              <w:kinsoku/>
              <w:wordWrap/>
              <w:overflowPunct/>
              <w:autoSpaceDE/>
              <w:autoSpaceDN/>
              <w:bidi w:val="0"/>
              <w:spacing w:line="254" w:lineRule="auto"/>
              <w:ind w:left="118" w:right="104" w:firstLine="30"/>
              <w:jc w:val="center"/>
              <w:rPr>
                <w:rFonts w:ascii="仿宋" w:hAnsi="仿宋" w:eastAsia="仿宋" w:cs="仿宋"/>
                <w:sz w:val="22"/>
                <w:szCs w:val="22"/>
              </w:rPr>
            </w:pPr>
            <w:r>
              <w:rPr>
                <w:rFonts w:ascii="仿宋" w:hAnsi="仿宋" w:eastAsia="仿宋" w:cs="仿宋"/>
                <w:spacing w:val="-4"/>
                <w:sz w:val="22"/>
                <w:szCs w:val="22"/>
              </w:rPr>
              <w:t>巴</w:t>
            </w:r>
            <w:r>
              <w:rPr>
                <w:rFonts w:ascii="仿宋" w:hAnsi="仿宋" w:eastAsia="仿宋" w:cs="仿宋"/>
                <w:spacing w:val="-3"/>
                <w:sz w:val="22"/>
                <w:szCs w:val="22"/>
              </w:rPr>
              <w:t>黎</w:t>
            </w:r>
            <w:r>
              <w:rPr>
                <w:rFonts w:ascii="Arial" w:hAnsi="Arial" w:eastAsia="Arial" w:cs="Arial"/>
                <w:spacing w:val="-2"/>
                <w:sz w:val="22"/>
                <w:szCs w:val="22"/>
              </w:rPr>
              <w:t>-</w:t>
            </w:r>
            <w:r>
              <w:rPr>
                <w:rFonts w:ascii="仿宋" w:hAnsi="仿宋" w:eastAsia="仿宋" w:cs="仿宋"/>
                <w:spacing w:val="-2"/>
                <w:sz w:val="22"/>
                <w:szCs w:val="22"/>
              </w:rPr>
              <w:t>萨克雷科</w:t>
            </w:r>
            <w:r>
              <w:rPr>
                <w:rFonts w:ascii="仿宋" w:hAnsi="仿宋" w:eastAsia="仿宋" w:cs="仿宋"/>
                <w:spacing w:val="-6"/>
                <w:sz w:val="22"/>
                <w:szCs w:val="22"/>
              </w:rPr>
              <w:t>技</w:t>
            </w:r>
            <w:r>
              <w:rPr>
                <w:rFonts w:ascii="仿宋" w:hAnsi="仿宋" w:eastAsia="仿宋" w:cs="仿宋"/>
                <w:spacing w:val="-4"/>
                <w:sz w:val="22"/>
                <w:szCs w:val="22"/>
              </w:rPr>
              <w:t>区</w:t>
            </w:r>
          </w:p>
        </w:tc>
        <w:tc>
          <w:tcPr>
            <w:tcW w:w="1133" w:type="dxa"/>
            <w:tcBorders>
              <w:tl2br w:val="nil"/>
              <w:tr2bl w:val="nil"/>
            </w:tcBorders>
            <w:noWrap w:val="0"/>
            <w:vAlign w:val="top"/>
          </w:tcPr>
          <w:p w14:paraId="22F614EE">
            <w:pPr>
              <w:keepNext w:val="0"/>
              <w:keepLines w:val="0"/>
              <w:pageBreakBefore w:val="0"/>
              <w:widowControl w:val="0"/>
              <w:kinsoku/>
              <w:wordWrap/>
              <w:overflowPunct/>
              <w:autoSpaceDE/>
              <w:autoSpaceDN/>
              <w:bidi w:val="0"/>
              <w:spacing w:line="222" w:lineRule="auto"/>
              <w:ind w:left="110"/>
              <w:jc w:val="center"/>
              <w:rPr>
                <w:rFonts w:ascii="仿宋" w:hAnsi="仿宋" w:eastAsia="仿宋" w:cs="仿宋"/>
                <w:sz w:val="22"/>
                <w:szCs w:val="22"/>
              </w:rPr>
            </w:pPr>
            <w:r>
              <w:rPr>
                <w:rFonts w:ascii="Arial" w:hAnsi="Arial" w:eastAsia="Arial" w:cs="Arial"/>
                <w:spacing w:val="2"/>
                <w:sz w:val="22"/>
                <w:szCs w:val="22"/>
              </w:rPr>
              <w:t>20</w:t>
            </w:r>
            <w:r>
              <w:rPr>
                <w:rFonts w:ascii="仿宋" w:hAnsi="仿宋" w:eastAsia="仿宋" w:cs="仿宋"/>
                <w:spacing w:val="1"/>
                <w:sz w:val="22"/>
                <w:szCs w:val="22"/>
              </w:rPr>
              <w:t>世纪</w:t>
            </w:r>
          </w:p>
          <w:p w14:paraId="19249BE5">
            <w:pPr>
              <w:keepNext w:val="0"/>
              <w:keepLines w:val="0"/>
              <w:pageBreakBefore w:val="0"/>
              <w:widowControl w:val="0"/>
              <w:kinsoku/>
              <w:wordWrap/>
              <w:overflowPunct/>
              <w:autoSpaceDE/>
              <w:autoSpaceDN/>
              <w:bidi w:val="0"/>
              <w:spacing w:line="218" w:lineRule="auto"/>
              <w:ind w:left="114"/>
              <w:jc w:val="center"/>
              <w:rPr>
                <w:rFonts w:ascii="仿宋" w:hAnsi="仿宋" w:eastAsia="仿宋" w:cs="仿宋"/>
                <w:sz w:val="22"/>
                <w:szCs w:val="22"/>
              </w:rPr>
            </w:pPr>
            <w:r>
              <w:rPr>
                <w:rFonts w:ascii="Arial" w:hAnsi="Arial" w:eastAsia="Arial" w:cs="Arial"/>
                <w:spacing w:val="-3"/>
                <w:sz w:val="22"/>
                <w:szCs w:val="22"/>
              </w:rPr>
              <w:t>70</w:t>
            </w:r>
            <w:r>
              <w:rPr>
                <w:rFonts w:ascii="仿宋" w:hAnsi="仿宋" w:eastAsia="仿宋" w:cs="仿宋"/>
                <w:spacing w:val="-3"/>
                <w:sz w:val="22"/>
                <w:szCs w:val="22"/>
              </w:rPr>
              <w:t>年代</w:t>
            </w:r>
          </w:p>
        </w:tc>
        <w:tc>
          <w:tcPr>
            <w:tcW w:w="992" w:type="dxa"/>
            <w:tcBorders>
              <w:tl2br w:val="nil"/>
              <w:tr2bl w:val="nil"/>
            </w:tcBorders>
            <w:noWrap w:val="0"/>
            <w:vAlign w:val="top"/>
          </w:tcPr>
          <w:p w14:paraId="6A8929A5">
            <w:pPr>
              <w:keepNext w:val="0"/>
              <w:keepLines w:val="0"/>
              <w:pageBreakBefore w:val="0"/>
              <w:widowControl w:val="0"/>
              <w:kinsoku/>
              <w:wordWrap/>
              <w:overflowPunct/>
              <w:autoSpaceDE/>
              <w:autoSpaceDN/>
              <w:bidi w:val="0"/>
              <w:spacing w:line="305" w:lineRule="auto"/>
              <w:jc w:val="center"/>
              <w:rPr>
                <w:rFonts w:ascii="Arial"/>
                <w:sz w:val="21"/>
              </w:rPr>
            </w:pPr>
          </w:p>
          <w:p w14:paraId="3EA1353C">
            <w:pPr>
              <w:keepNext w:val="0"/>
              <w:keepLines w:val="0"/>
              <w:pageBreakBefore w:val="0"/>
              <w:widowControl w:val="0"/>
              <w:kinsoku/>
              <w:wordWrap/>
              <w:overflowPunct/>
              <w:autoSpaceDE/>
              <w:autoSpaceDN/>
              <w:bidi w:val="0"/>
              <w:spacing w:line="219" w:lineRule="auto"/>
              <w:ind w:left="119"/>
              <w:jc w:val="center"/>
              <w:rPr>
                <w:rFonts w:ascii="仿宋" w:hAnsi="仿宋" w:eastAsia="仿宋" w:cs="仿宋"/>
                <w:sz w:val="22"/>
                <w:szCs w:val="22"/>
              </w:rPr>
            </w:pPr>
            <w:r>
              <w:rPr>
                <w:rFonts w:ascii="仿宋" w:hAnsi="仿宋" w:eastAsia="仿宋" w:cs="仿宋"/>
                <w:spacing w:val="-8"/>
                <w:sz w:val="22"/>
                <w:szCs w:val="22"/>
              </w:rPr>
              <w:t>法</w:t>
            </w:r>
            <w:r>
              <w:rPr>
                <w:rFonts w:ascii="仿宋" w:hAnsi="仿宋" w:eastAsia="仿宋" w:cs="仿宋"/>
                <w:spacing w:val="-7"/>
                <w:sz w:val="22"/>
                <w:szCs w:val="22"/>
              </w:rPr>
              <w:t>国</w:t>
            </w:r>
          </w:p>
        </w:tc>
        <w:tc>
          <w:tcPr>
            <w:tcW w:w="1558" w:type="dxa"/>
            <w:tcBorders>
              <w:tl2br w:val="nil"/>
              <w:tr2bl w:val="nil"/>
            </w:tcBorders>
            <w:noWrap w:val="0"/>
            <w:vAlign w:val="top"/>
          </w:tcPr>
          <w:p w14:paraId="636B2B6E">
            <w:pPr>
              <w:keepNext w:val="0"/>
              <w:keepLines w:val="0"/>
              <w:pageBreakBefore w:val="0"/>
              <w:widowControl w:val="0"/>
              <w:kinsoku/>
              <w:wordWrap/>
              <w:overflowPunct/>
              <w:topLinePunct/>
              <w:autoSpaceDE/>
              <w:autoSpaceDN/>
              <w:bidi w:val="0"/>
              <w:adjustRightInd w:val="0"/>
              <w:snapToGrid w:val="0"/>
              <w:spacing w:line="252" w:lineRule="auto"/>
              <w:ind w:left="116" w:right="103" w:firstLine="6"/>
              <w:jc w:val="center"/>
              <w:textAlignment w:val="baseline"/>
              <w:rPr>
                <w:rFonts w:ascii="仿宋" w:hAnsi="仿宋" w:eastAsia="仿宋" w:cs="仿宋"/>
                <w:sz w:val="22"/>
                <w:szCs w:val="22"/>
              </w:rPr>
            </w:pPr>
            <w:r>
              <w:rPr>
                <w:rFonts w:ascii="仿宋" w:hAnsi="仿宋" w:eastAsia="仿宋" w:cs="仿宋"/>
                <w:spacing w:val="1"/>
                <w:sz w:val="22"/>
                <w:szCs w:val="22"/>
              </w:rPr>
              <w:t>高端制造、工</w:t>
            </w:r>
            <w:r>
              <w:rPr>
                <w:rFonts w:ascii="仿宋" w:hAnsi="仿宋" w:eastAsia="仿宋" w:cs="仿宋"/>
                <w:spacing w:val="-2"/>
                <w:sz w:val="22"/>
                <w:szCs w:val="22"/>
              </w:rPr>
              <w:t>程技术服务</w:t>
            </w:r>
          </w:p>
        </w:tc>
        <w:tc>
          <w:tcPr>
            <w:tcW w:w="1417" w:type="dxa"/>
            <w:tcBorders>
              <w:tl2br w:val="nil"/>
              <w:tr2bl w:val="nil"/>
            </w:tcBorders>
            <w:noWrap w:val="0"/>
            <w:vAlign w:val="top"/>
          </w:tcPr>
          <w:p w14:paraId="75A0087E">
            <w:pPr>
              <w:keepNext w:val="0"/>
              <w:keepLines w:val="0"/>
              <w:pageBreakBefore w:val="0"/>
              <w:widowControl w:val="0"/>
              <w:kinsoku/>
              <w:wordWrap/>
              <w:overflowPunct/>
              <w:topLinePunct/>
              <w:autoSpaceDE/>
              <w:autoSpaceDN/>
              <w:bidi w:val="0"/>
              <w:adjustRightInd w:val="0"/>
              <w:snapToGrid w:val="0"/>
              <w:spacing w:line="252" w:lineRule="auto"/>
              <w:ind w:left="142" w:right="104" w:hanging="33"/>
              <w:jc w:val="center"/>
              <w:textAlignment w:val="baseline"/>
              <w:rPr>
                <w:rFonts w:ascii="仿宋" w:hAnsi="仿宋" w:eastAsia="仿宋" w:cs="仿宋"/>
                <w:sz w:val="22"/>
                <w:szCs w:val="22"/>
              </w:rPr>
            </w:pPr>
            <w:r>
              <w:rPr>
                <w:rFonts w:ascii="仿宋" w:hAnsi="仿宋" w:eastAsia="仿宋" w:cs="仿宋"/>
                <w:spacing w:val="-3"/>
                <w:sz w:val="22"/>
                <w:szCs w:val="22"/>
              </w:rPr>
              <w:t>位</w:t>
            </w:r>
            <w:r>
              <w:rPr>
                <w:rFonts w:ascii="仿宋" w:hAnsi="仿宋" w:eastAsia="仿宋" w:cs="仿宋"/>
                <w:spacing w:val="-2"/>
                <w:sz w:val="22"/>
                <w:szCs w:val="22"/>
              </w:rPr>
              <w:t>于巴黎大</w:t>
            </w:r>
            <w:r>
              <w:rPr>
                <w:rFonts w:ascii="仿宋" w:hAnsi="仿宋" w:eastAsia="仿宋" w:cs="仿宋"/>
                <w:spacing w:val="-11"/>
                <w:sz w:val="22"/>
                <w:szCs w:val="22"/>
              </w:rPr>
              <w:t>区</w:t>
            </w:r>
            <w:r>
              <w:rPr>
                <w:rFonts w:ascii="仿宋" w:hAnsi="仿宋" w:eastAsia="仿宋" w:cs="仿宋"/>
                <w:spacing w:val="-9"/>
                <w:sz w:val="22"/>
                <w:szCs w:val="22"/>
              </w:rPr>
              <w:t>城市群</w:t>
            </w:r>
          </w:p>
        </w:tc>
        <w:tc>
          <w:tcPr>
            <w:tcW w:w="1558" w:type="dxa"/>
            <w:tcBorders>
              <w:tl2br w:val="nil"/>
              <w:tr2bl w:val="nil"/>
            </w:tcBorders>
            <w:noWrap w:val="0"/>
            <w:vAlign w:val="top"/>
          </w:tcPr>
          <w:p w14:paraId="5A97D6CD">
            <w:pPr>
              <w:keepNext w:val="0"/>
              <w:keepLines w:val="0"/>
              <w:pageBreakBefore w:val="0"/>
              <w:widowControl w:val="0"/>
              <w:kinsoku/>
              <w:wordWrap/>
              <w:overflowPunct/>
              <w:topLinePunct/>
              <w:autoSpaceDE/>
              <w:autoSpaceDN/>
              <w:bidi w:val="0"/>
              <w:adjustRightInd w:val="0"/>
              <w:snapToGrid w:val="0"/>
              <w:spacing w:line="252" w:lineRule="auto"/>
              <w:ind w:left="119" w:right="102" w:hanging="6"/>
              <w:jc w:val="center"/>
              <w:textAlignment w:val="baseline"/>
              <w:rPr>
                <w:rFonts w:ascii="仿宋" w:hAnsi="仿宋" w:eastAsia="仿宋" w:cs="仿宋"/>
                <w:sz w:val="22"/>
                <w:szCs w:val="22"/>
              </w:rPr>
            </w:pPr>
            <w:r>
              <w:rPr>
                <w:rFonts w:ascii="仿宋" w:hAnsi="仿宋" w:eastAsia="仿宋" w:cs="仿宋"/>
                <w:spacing w:val="4"/>
                <w:sz w:val="22"/>
                <w:szCs w:val="22"/>
              </w:rPr>
              <w:t>公路</w:t>
            </w:r>
            <w:r>
              <w:rPr>
                <w:rFonts w:ascii="仿宋" w:hAnsi="仿宋" w:eastAsia="仿宋" w:cs="仿宋"/>
                <w:spacing w:val="2"/>
                <w:sz w:val="22"/>
                <w:szCs w:val="22"/>
              </w:rPr>
              <w:t>、轨道交</w:t>
            </w:r>
            <w:r>
              <w:rPr>
                <w:rFonts w:ascii="仿宋" w:hAnsi="仿宋" w:eastAsia="仿宋" w:cs="仿宋"/>
                <w:spacing w:val="-5"/>
                <w:sz w:val="22"/>
                <w:szCs w:val="22"/>
              </w:rPr>
              <w:t>通</w:t>
            </w:r>
            <w:r>
              <w:rPr>
                <w:rFonts w:ascii="仿宋" w:hAnsi="仿宋" w:eastAsia="仿宋" w:cs="仿宋"/>
                <w:spacing w:val="-4"/>
                <w:sz w:val="22"/>
                <w:szCs w:val="22"/>
              </w:rPr>
              <w:t>发达</w:t>
            </w:r>
          </w:p>
        </w:tc>
        <w:tc>
          <w:tcPr>
            <w:tcW w:w="1577" w:type="dxa"/>
            <w:tcBorders>
              <w:tl2br w:val="nil"/>
              <w:tr2bl w:val="nil"/>
            </w:tcBorders>
            <w:noWrap w:val="0"/>
            <w:vAlign w:val="top"/>
          </w:tcPr>
          <w:p w14:paraId="16C75A5A">
            <w:pPr>
              <w:keepNext w:val="0"/>
              <w:keepLines w:val="0"/>
              <w:pageBreakBefore w:val="0"/>
              <w:widowControl w:val="0"/>
              <w:kinsoku/>
              <w:wordWrap/>
              <w:overflowPunct/>
              <w:topLinePunct/>
              <w:autoSpaceDE/>
              <w:autoSpaceDN/>
              <w:bidi w:val="0"/>
              <w:adjustRightInd w:val="0"/>
              <w:snapToGrid w:val="0"/>
              <w:spacing w:line="242" w:lineRule="auto"/>
              <w:ind w:left="118" w:right="105" w:firstLine="7"/>
              <w:jc w:val="center"/>
              <w:textAlignment w:val="baseline"/>
              <w:rPr>
                <w:rFonts w:ascii="仿宋" w:hAnsi="仿宋" w:eastAsia="仿宋" w:cs="仿宋"/>
                <w:sz w:val="22"/>
                <w:szCs w:val="22"/>
              </w:rPr>
            </w:pPr>
            <w:r>
              <w:rPr>
                <w:rFonts w:ascii="仿宋" w:hAnsi="仿宋" w:eastAsia="仿宋" w:cs="仿宋"/>
                <w:spacing w:val="5"/>
                <w:sz w:val="22"/>
                <w:szCs w:val="22"/>
              </w:rPr>
              <w:t>高</w:t>
            </w:r>
            <w:r>
              <w:rPr>
                <w:rFonts w:ascii="仿宋" w:hAnsi="仿宋" w:eastAsia="仿宋" w:cs="仿宋"/>
                <w:spacing w:val="3"/>
                <w:sz w:val="22"/>
                <w:szCs w:val="22"/>
              </w:rPr>
              <w:t>校、研究中</w:t>
            </w:r>
            <w:r>
              <w:rPr>
                <w:rFonts w:ascii="仿宋" w:hAnsi="仿宋" w:eastAsia="仿宋" w:cs="仿宋"/>
                <w:spacing w:val="8"/>
                <w:sz w:val="22"/>
                <w:szCs w:val="22"/>
              </w:rPr>
              <w:t>心</w:t>
            </w:r>
            <w:r>
              <w:rPr>
                <w:rFonts w:ascii="仿宋" w:hAnsi="仿宋" w:eastAsia="仿宋" w:cs="仿宋"/>
                <w:spacing w:val="4"/>
                <w:sz w:val="22"/>
                <w:szCs w:val="22"/>
              </w:rPr>
              <w:t>密集，研究</w:t>
            </w:r>
            <w:r>
              <w:rPr>
                <w:rFonts w:ascii="仿宋" w:hAnsi="仿宋" w:eastAsia="仿宋" w:cs="仿宋"/>
                <w:spacing w:val="-4"/>
                <w:sz w:val="22"/>
                <w:szCs w:val="22"/>
              </w:rPr>
              <w:t>人</w:t>
            </w:r>
            <w:r>
              <w:rPr>
                <w:rFonts w:ascii="仿宋" w:hAnsi="仿宋" w:eastAsia="仿宋" w:cs="仿宋"/>
                <w:spacing w:val="-2"/>
                <w:sz w:val="22"/>
                <w:szCs w:val="22"/>
              </w:rPr>
              <w:t>员众多</w:t>
            </w:r>
          </w:p>
        </w:tc>
      </w:tr>
      <w:tr w14:paraId="14836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93" w:hRule="atLeast"/>
          <w:jc w:val="center"/>
        </w:trPr>
        <w:tc>
          <w:tcPr>
            <w:tcW w:w="1635" w:type="dxa"/>
            <w:tcBorders>
              <w:tl2br w:val="nil"/>
              <w:tr2bl w:val="nil"/>
            </w:tcBorders>
            <w:noWrap w:val="0"/>
            <w:vAlign w:val="top"/>
          </w:tcPr>
          <w:p w14:paraId="58F49B93">
            <w:pPr>
              <w:keepNext w:val="0"/>
              <w:keepLines w:val="0"/>
              <w:pageBreakBefore w:val="0"/>
              <w:widowControl w:val="0"/>
              <w:kinsoku/>
              <w:wordWrap/>
              <w:overflowPunct/>
              <w:autoSpaceDE/>
              <w:autoSpaceDN/>
              <w:bidi w:val="0"/>
              <w:spacing w:line="254" w:lineRule="auto"/>
              <w:ind w:left="107" w:right="203" w:firstLine="19"/>
              <w:jc w:val="center"/>
              <w:rPr>
                <w:rFonts w:ascii="仿宋" w:hAnsi="仿宋" w:eastAsia="仿宋" w:cs="仿宋"/>
                <w:sz w:val="22"/>
                <w:szCs w:val="22"/>
              </w:rPr>
            </w:pPr>
            <w:r>
              <w:rPr>
                <w:rFonts w:ascii="仿宋" w:hAnsi="仿宋" w:eastAsia="仿宋" w:cs="仿宋"/>
                <w:spacing w:val="-5"/>
                <w:sz w:val="22"/>
                <w:szCs w:val="22"/>
              </w:rPr>
              <w:t>多</w:t>
            </w:r>
            <w:r>
              <w:rPr>
                <w:rFonts w:ascii="仿宋" w:hAnsi="仿宋" w:eastAsia="仿宋" w:cs="仿宋"/>
                <w:spacing w:val="-3"/>
                <w:sz w:val="22"/>
                <w:szCs w:val="22"/>
              </w:rPr>
              <w:t>边形科技园</w:t>
            </w:r>
            <w:r>
              <w:rPr>
                <w:rFonts w:ascii="仿宋" w:hAnsi="仿宋" w:eastAsia="仿宋" w:cs="仿宋"/>
                <w:sz w:val="22"/>
                <w:szCs w:val="22"/>
              </w:rPr>
              <w:t>(</w:t>
            </w:r>
            <w:r>
              <w:rPr>
                <w:rFonts w:ascii="Arial" w:hAnsi="Arial" w:eastAsia="Arial" w:cs="Arial"/>
                <w:sz w:val="22"/>
                <w:szCs w:val="22"/>
              </w:rPr>
              <w:t>Scientific Polygone</w:t>
            </w:r>
            <w:r>
              <w:rPr>
                <w:rFonts w:ascii="仿宋" w:hAnsi="仿宋" w:eastAsia="仿宋" w:cs="仿宋"/>
                <w:spacing w:val="1"/>
                <w:sz w:val="22"/>
                <w:szCs w:val="22"/>
              </w:rPr>
              <w:t>)</w:t>
            </w:r>
          </w:p>
        </w:tc>
        <w:tc>
          <w:tcPr>
            <w:tcW w:w="1133" w:type="dxa"/>
            <w:tcBorders>
              <w:tl2br w:val="nil"/>
              <w:tr2bl w:val="nil"/>
            </w:tcBorders>
            <w:noWrap w:val="0"/>
            <w:vAlign w:val="top"/>
          </w:tcPr>
          <w:p w14:paraId="34359E4A">
            <w:pPr>
              <w:keepNext w:val="0"/>
              <w:keepLines w:val="0"/>
              <w:pageBreakBefore w:val="0"/>
              <w:widowControl w:val="0"/>
              <w:kinsoku/>
              <w:wordWrap/>
              <w:overflowPunct/>
              <w:autoSpaceDE/>
              <w:autoSpaceDN/>
              <w:bidi w:val="0"/>
              <w:spacing w:line="222" w:lineRule="auto"/>
              <w:ind w:left="110"/>
              <w:jc w:val="center"/>
              <w:rPr>
                <w:rFonts w:ascii="仿宋" w:hAnsi="仿宋" w:eastAsia="仿宋" w:cs="仿宋"/>
                <w:sz w:val="22"/>
                <w:szCs w:val="22"/>
              </w:rPr>
            </w:pPr>
            <w:r>
              <w:rPr>
                <w:rFonts w:ascii="Arial" w:hAnsi="Arial" w:eastAsia="Arial" w:cs="Arial"/>
                <w:spacing w:val="2"/>
                <w:sz w:val="22"/>
                <w:szCs w:val="22"/>
              </w:rPr>
              <w:t>20</w:t>
            </w:r>
            <w:r>
              <w:rPr>
                <w:rFonts w:ascii="仿宋" w:hAnsi="仿宋" w:eastAsia="仿宋" w:cs="仿宋"/>
                <w:spacing w:val="1"/>
                <w:sz w:val="22"/>
                <w:szCs w:val="22"/>
              </w:rPr>
              <w:t>世纪</w:t>
            </w:r>
          </w:p>
          <w:p w14:paraId="7DF4487F">
            <w:pPr>
              <w:keepNext w:val="0"/>
              <w:keepLines w:val="0"/>
              <w:pageBreakBefore w:val="0"/>
              <w:widowControl w:val="0"/>
              <w:kinsoku/>
              <w:wordWrap/>
              <w:overflowPunct/>
              <w:autoSpaceDE/>
              <w:autoSpaceDN/>
              <w:bidi w:val="0"/>
              <w:spacing w:line="218" w:lineRule="auto"/>
              <w:ind w:left="114"/>
              <w:jc w:val="center"/>
              <w:rPr>
                <w:rFonts w:ascii="仿宋" w:hAnsi="仿宋" w:eastAsia="仿宋" w:cs="仿宋"/>
                <w:sz w:val="22"/>
                <w:szCs w:val="22"/>
              </w:rPr>
            </w:pPr>
            <w:r>
              <w:rPr>
                <w:rFonts w:ascii="Arial" w:hAnsi="Arial" w:eastAsia="Arial" w:cs="Arial"/>
                <w:spacing w:val="-3"/>
                <w:sz w:val="22"/>
                <w:szCs w:val="22"/>
              </w:rPr>
              <w:t>70</w:t>
            </w:r>
            <w:r>
              <w:rPr>
                <w:rFonts w:ascii="仿宋" w:hAnsi="仿宋" w:eastAsia="仿宋" w:cs="仿宋"/>
                <w:spacing w:val="-3"/>
                <w:sz w:val="22"/>
                <w:szCs w:val="22"/>
              </w:rPr>
              <w:t>年代</w:t>
            </w:r>
          </w:p>
        </w:tc>
        <w:tc>
          <w:tcPr>
            <w:tcW w:w="992" w:type="dxa"/>
            <w:tcBorders>
              <w:tl2br w:val="nil"/>
              <w:tr2bl w:val="nil"/>
            </w:tcBorders>
            <w:noWrap w:val="0"/>
            <w:vAlign w:val="top"/>
          </w:tcPr>
          <w:p w14:paraId="17E05BD0">
            <w:pPr>
              <w:keepNext w:val="0"/>
              <w:keepLines w:val="0"/>
              <w:pageBreakBefore w:val="0"/>
              <w:widowControl w:val="0"/>
              <w:kinsoku/>
              <w:wordWrap/>
              <w:overflowPunct/>
              <w:autoSpaceDE/>
              <w:autoSpaceDN/>
              <w:bidi w:val="0"/>
              <w:spacing w:line="336" w:lineRule="auto"/>
              <w:jc w:val="center"/>
              <w:rPr>
                <w:rFonts w:ascii="Arial"/>
                <w:sz w:val="21"/>
              </w:rPr>
            </w:pPr>
          </w:p>
          <w:p w14:paraId="0871C017">
            <w:pPr>
              <w:keepNext w:val="0"/>
              <w:keepLines w:val="0"/>
              <w:pageBreakBefore w:val="0"/>
              <w:widowControl w:val="0"/>
              <w:kinsoku/>
              <w:wordWrap/>
              <w:overflowPunct/>
              <w:autoSpaceDE/>
              <w:autoSpaceDN/>
              <w:bidi w:val="0"/>
              <w:spacing w:line="219" w:lineRule="auto"/>
              <w:ind w:left="119"/>
              <w:jc w:val="center"/>
              <w:rPr>
                <w:rFonts w:ascii="仿宋" w:hAnsi="仿宋" w:eastAsia="仿宋" w:cs="仿宋"/>
                <w:sz w:val="22"/>
                <w:szCs w:val="22"/>
              </w:rPr>
            </w:pPr>
            <w:r>
              <w:rPr>
                <w:rFonts w:ascii="仿宋" w:hAnsi="仿宋" w:eastAsia="仿宋" w:cs="仿宋"/>
                <w:spacing w:val="-8"/>
                <w:sz w:val="22"/>
                <w:szCs w:val="22"/>
              </w:rPr>
              <w:t>法</w:t>
            </w:r>
            <w:r>
              <w:rPr>
                <w:rFonts w:ascii="仿宋" w:hAnsi="仿宋" w:eastAsia="仿宋" w:cs="仿宋"/>
                <w:spacing w:val="-7"/>
                <w:sz w:val="22"/>
                <w:szCs w:val="22"/>
              </w:rPr>
              <w:t>国</w:t>
            </w:r>
          </w:p>
        </w:tc>
        <w:tc>
          <w:tcPr>
            <w:tcW w:w="1558" w:type="dxa"/>
            <w:tcBorders>
              <w:tl2br w:val="nil"/>
              <w:tr2bl w:val="nil"/>
            </w:tcBorders>
            <w:noWrap w:val="0"/>
            <w:vAlign w:val="top"/>
          </w:tcPr>
          <w:p w14:paraId="37B2CCB6">
            <w:pPr>
              <w:keepNext w:val="0"/>
              <w:keepLines w:val="0"/>
              <w:pageBreakBefore w:val="0"/>
              <w:widowControl w:val="0"/>
              <w:kinsoku/>
              <w:wordWrap/>
              <w:overflowPunct/>
              <w:topLinePunct/>
              <w:autoSpaceDE/>
              <w:autoSpaceDN/>
              <w:bidi w:val="0"/>
              <w:adjustRightInd w:val="0"/>
              <w:snapToGrid w:val="0"/>
              <w:spacing w:line="249" w:lineRule="auto"/>
              <w:ind w:left="119" w:right="103"/>
              <w:jc w:val="center"/>
              <w:textAlignment w:val="baseline"/>
              <w:rPr>
                <w:rFonts w:ascii="仿宋" w:hAnsi="仿宋" w:eastAsia="仿宋" w:cs="仿宋"/>
                <w:sz w:val="22"/>
                <w:szCs w:val="22"/>
              </w:rPr>
            </w:pPr>
            <w:r>
              <w:rPr>
                <w:rFonts w:ascii="仿宋" w:hAnsi="仿宋" w:eastAsia="仿宋" w:cs="仿宋"/>
                <w:spacing w:val="2"/>
                <w:sz w:val="22"/>
                <w:szCs w:val="22"/>
              </w:rPr>
              <w:t>纳米技</w:t>
            </w:r>
            <w:r>
              <w:rPr>
                <w:rFonts w:ascii="仿宋" w:hAnsi="仿宋" w:eastAsia="仿宋" w:cs="仿宋"/>
                <w:spacing w:val="1"/>
                <w:sz w:val="22"/>
                <w:szCs w:val="22"/>
              </w:rPr>
              <w:t>术、分</w:t>
            </w:r>
            <w:r>
              <w:rPr>
                <w:rFonts w:ascii="仿宋" w:hAnsi="仿宋" w:eastAsia="仿宋" w:cs="仿宋"/>
                <w:spacing w:val="2"/>
                <w:sz w:val="22"/>
                <w:szCs w:val="22"/>
              </w:rPr>
              <w:t>子生物科</w:t>
            </w:r>
            <w:r>
              <w:rPr>
                <w:rFonts w:ascii="仿宋" w:hAnsi="仿宋" w:eastAsia="仿宋" w:cs="仿宋"/>
                <w:spacing w:val="1"/>
                <w:sz w:val="22"/>
                <w:szCs w:val="22"/>
              </w:rPr>
              <w:t>学、</w:t>
            </w:r>
            <w:r>
              <w:rPr>
                <w:rFonts w:ascii="仿宋" w:hAnsi="仿宋" w:eastAsia="仿宋" w:cs="仿宋"/>
                <w:spacing w:val="-4"/>
                <w:sz w:val="22"/>
                <w:szCs w:val="22"/>
              </w:rPr>
              <w:t>可</w:t>
            </w:r>
            <w:r>
              <w:rPr>
                <w:rFonts w:ascii="仿宋" w:hAnsi="仿宋" w:eastAsia="仿宋" w:cs="仿宋"/>
                <w:spacing w:val="-3"/>
                <w:sz w:val="22"/>
                <w:szCs w:val="22"/>
              </w:rPr>
              <w:t>再</w:t>
            </w:r>
            <w:r>
              <w:rPr>
                <w:rFonts w:ascii="仿宋" w:hAnsi="仿宋" w:eastAsia="仿宋" w:cs="仿宋"/>
                <w:spacing w:val="-2"/>
                <w:sz w:val="22"/>
                <w:szCs w:val="22"/>
              </w:rPr>
              <w:t>生能源</w:t>
            </w:r>
          </w:p>
        </w:tc>
        <w:tc>
          <w:tcPr>
            <w:tcW w:w="1417" w:type="dxa"/>
            <w:tcBorders>
              <w:tl2br w:val="nil"/>
              <w:tr2bl w:val="nil"/>
            </w:tcBorders>
            <w:noWrap w:val="0"/>
            <w:vAlign w:val="top"/>
          </w:tcPr>
          <w:p w14:paraId="376F372A">
            <w:pPr>
              <w:keepNext w:val="0"/>
              <w:keepLines w:val="0"/>
              <w:pageBreakBefore w:val="0"/>
              <w:widowControl w:val="0"/>
              <w:kinsoku/>
              <w:wordWrap/>
              <w:overflowPunct/>
              <w:topLinePunct/>
              <w:autoSpaceDE/>
              <w:autoSpaceDN/>
              <w:bidi w:val="0"/>
              <w:adjustRightInd w:val="0"/>
              <w:snapToGrid w:val="0"/>
              <w:spacing w:line="252" w:lineRule="auto"/>
              <w:ind w:left="142" w:right="104" w:hanging="33"/>
              <w:jc w:val="center"/>
              <w:textAlignment w:val="baseline"/>
              <w:rPr>
                <w:rFonts w:ascii="仿宋" w:hAnsi="仿宋" w:eastAsia="仿宋" w:cs="仿宋"/>
                <w:sz w:val="22"/>
                <w:szCs w:val="22"/>
              </w:rPr>
            </w:pPr>
            <w:r>
              <w:rPr>
                <w:rFonts w:ascii="仿宋" w:hAnsi="仿宋" w:eastAsia="仿宋" w:cs="仿宋"/>
                <w:spacing w:val="-3"/>
                <w:sz w:val="22"/>
                <w:szCs w:val="22"/>
              </w:rPr>
              <w:t>位</w:t>
            </w:r>
            <w:r>
              <w:rPr>
                <w:rFonts w:ascii="仿宋" w:hAnsi="仿宋" w:eastAsia="仿宋" w:cs="仿宋"/>
                <w:spacing w:val="-2"/>
                <w:sz w:val="22"/>
                <w:szCs w:val="22"/>
              </w:rPr>
              <w:t>于巴黎大</w:t>
            </w:r>
            <w:r>
              <w:rPr>
                <w:rFonts w:ascii="仿宋" w:hAnsi="仿宋" w:eastAsia="仿宋" w:cs="仿宋"/>
                <w:spacing w:val="-11"/>
                <w:sz w:val="22"/>
                <w:szCs w:val="22"/>
              </w:rPr>
              <w:t>区</w:t>
            </w:r>
            <w:r>
              <w:rPr>
                <w:rFonts w:ascii="仿宋" w:hAnsi="仿宋" w:eastAsia="仿宋" w:cs="仿宋"/>
                <w:spacing w:val="-9"/>
                <w:sz w:val="22"/>
                <w:szCs w:val="22"/>
              </w:rPr>
              <w:t>城市群</w:t>
            </w:r>
          </w:p>
        </w:tc>
        <w:tc>
          <w:tcPr>
            <w:tcW w:w="1558" w:type="dxa"/>
            <w:tcBorders>
              <w:tl2br w:val="nil"/>
              <w:tr2bl w:val="nil"/>
            </w:tcBorders>
            <w:noWrap w:val="0"/>
            <w:vAlign w:val="top"/>
          </w:tcPr>
          <w:p w14:paraId="695E1656">
            <w:pPr>
              <w:keepNext w:val="0"/>
              <w:keepLines w:val="0"/>
              <w:pageBreakBefore w:val="0"/>
              <w:widowControl w:val="0"/>
              <w:kinsoku/>
              <w:wordWrap/>
              <w:overflowPunct/>
              <w:topLinePunct/>
              <w:autoSpaceDE/>
              <w:autoSpaceDN/>
              <w:bidi w:val="0"/>
              <w:adjustRightInd w:val="0"/>
              <w:snapToGrid w:val="0"/>
              <w:spacing w:line="252" w:lineRule="auto"/>
              <w:ind w:left="119" w:right="102" w:hanging="6"/>
              <w:jc w:val="center"/>
              <w:textAlignment w:val="baseline"/>
              <w:rPr>
                <w:rFonts w:ascii="仿宋" w:hAnsi="仿宋" w:eastAsia="仿宋" w:cs="仿宋"/>
                <w:sz w:val="22"/>
                <w:szCs w:val="22"/>
              </w:rPr>
            </w:pPr>
            <w:r>
              <w:rPr>
                <w:rFonts w:ascii="仿宋" w:hAnsi="仿宋" w:eastAsia="仿宋" w:cs="仿宋"/>
                <w:spacing w:val="4"/>
                <w:sz w:val="22"/>
                <w:szCs w:val="22"/>
              </w:rPr>
              <w:t>公路</w:t>
            </w:r>
            <w:r>
              <w:rPr>
                <w:rFonts w:ascii="仿宋" w:hAnsi="仿宋" w:eastAsia="仿宋" w:cs="仿宋"/>
                <w:spacing w:val="2"/>
                <w:sz w:val="22"/>
                <w:szCs w:val="22"/>
              </w:rPr>
              <w:t>、轨道交</w:t>
            </w:r>
            <w:r>
              <w:rPr>
                <w:rFonts w:ascii="仿宋" w:hAnsi="仿宋" w:eastAsia="仿宋" w:cs="仿宋"/>
                <w:spacing w:val="-5"/>
                <w:sz w:val="22"/>
                <w:szCs w:val="22"/>
              </w:rPr>
              <w:t>通</w:t>
            </w:r>
            <w:r>
              <w:rPr>
                <w:rFonts w:ascii="仿宋" w:hAnsi="仿宋" w:eastAsia="仿宋" w:cs="仿宋"/>
                <w:spacing w:val="-4"/>
                <w:sz w:val="22"/>
                <w:szCs w:val="22"/>
              </w:rPr>
              <w:t>发达</w:t>
            </w:r>
          </w:p>
        </w:tc>
        <w:tc>
          <w:tcPr>
            <w:tcW w:w="1577" w:type="dxa"/>
            <w:tcBorders>
              <w:tl2br w:val="nil"/>
              <w:tr2bl w:val="nil"/>
            </w:tcBorders>
            <w:noWrap w:val="0"/>
            <w:vAlign w:val="top"/>
          </w:tcPr>
          <w:p w14:paraId="06FE7675">
            <w:pPr>
              <w:keepNext w:val="0"/>
              <w:keepLines w:val="0"/>
              <w:pageBreakBefore w:val="0"/>
              <w:widowControl w:val="0"/>
              <w:kinsoku/>
              <w:wordWrap/>
              <w:overflowPunct/>
              <w:topLinePunct/>
              <w:autoSpaceDE/>
              <w:autoSpaceDN/>
              <w:bidi w:val="0"/>
              <w:adjustRightInd w:val="0"/>
              <w:snapToGrid w:val="0"/>
              <w:spacing w:line="249" w:lineRule="auto"/>
              <w:ind w:left="117" w:right="105" w:hanging="7"/>
              <w:jc w:val="center"/>
              <w:textAlignment w:val="baseline"/>
              <w:rPr>
                <w:rFonts w:ascii="仿宋" w:hAnsi="仿宋" w:eastAsia="仿宋" w:cs="仿宋"/>
                <w:sz w:val="22"/>
                <w:szCs w:val="22"/>
              </w:rPr>
            </w:pPr>
            <w:r>
              <w:rPr>
                <w:rFonts w:ascii="仿宋" w:hAnsi="仿宋" w:eastAsia="仿宋" w:cs="仿宋"/>
                <w:spacing w:val="-25"/>
                <w:sz w:val="22"/>
                <w:szCs w:val="22"/>
              </w:rPr>
              <w:t>研</w:t>
            </w:r>
            <w:r>
              <w:rPr>
                <w:rFonts w:ascii="仿宋" w:hAnsi="仿宋" w:eastAsia="仿宋" w:cs="仿宋"/>
                <w:spacing w:val="-20"/>
                <w:sz w:val="22"/>
                <w:szCs w:val="22"/>
              </w:rPr>
              <w:t>究中心密</w:t>
            </w:r>
            <w:r>
              <w:rPr>
                <w:rFonts w:ascii="仿宋" w:hAnsi="仿宋" w:eastAsia="仿宋" w:cs="仿宋"/>
                <w:spacing w:val="8"/>
                <w:sz w:val="22"/>
                <w:szCs w:val="22"/>
              </w:rPr>
              <w:t>集</w:t>
            </w:r>
            <w:r>
              <w:rPr>
                <w:rFonts w:ascii="仿宋" w:hAnsi="仿宋" w:eastAsia="仿宋" w:cs="仿宋"/>
                <w:spacing w:val="4"/>
                <w:sz w:val="22"/>
                <w:szCs w:val="22"/>
              </w:rPr>
              <w:t>，研究人员</w:t>
            </w:r>
            <w:r>
              <w:rPr>
                <w:rFonts w:ascii="仿宋" w:hAnsi="仿宋" w:eastAsia="仿宋" w:cs="仿宋"/>
                <w:spacing w:val="-5"/>
                <w:sz w:val="22"/>
                <w:szCs w:val="22"/>
              </w:rPr>
              <w:t>众</w:t>
            </w:r>
            <w:r>
              <w:rPr>
                <w:rFonts w:ascii="仿宋" w:hAnsi="仿宋" w:eastAsia="仿宋" w:cs="仿宋"/>
                <w:spacing w:val="-4"/>
                <w:sz w:val="22"/>
                <w:szCs w:val="22"/>
              </w:rPr>
              <w:t>多</w:t>
            </w:r>
          </w:p>
        </w:tc>
      </w:tr>
      <w:tr w14:paraId="2E38B7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98" w:hRule="atLeast"/>
          <w:jc w:val="center"/>
        </w:trPr>
        <w:tc>
          <w:tcPr>
            <w:tcW w:w="1635" w:type="dxa"/>
            <w:tcBorders>
              <w:tl2br w:val="nil"/>
              <w:tr2bl w:val="nil"/>
            </w:tcBorders>
            <w:noWrap w:val="0"/>
            <w:vAlign w:val="top"/>
          </w:tcPr>
          <w:p w14:paraId="0160A413">
            <w:pPr>
              <w:keepNext w:val="0"/>
              <w:keepLines w:val="0"/>
              <w:pageBreakBefore w:val="0"/>
              <w:widowControl w:val="0"/>
              <w:kinsoku/>
              <w:wordWrap/>
              <w:overflowPunct/>
              <w:topLinePunct/>
              <w:autoSpaceDE/>
              <w:autoSpaceDN/>
              <w:bidi w:val="0"/>
              <w:adjustRightInd w:val="0"/>
              <w:snapToGrid w:val="0"/>
              <w:spacing w:line="448" w:lineRule="auto"/>
              <w:jc w:val="center"/>
              <w:textAlignment w:val="baseline"/>
              <w:rPr>
                <w:rFonts w:ascii="Arial"/>
                <w:sz w:val="21"/>
              </w:rPr>
            </w:pPr>
          </w:p>
          <w:p w14:paraId="7D28E4E9">
            <w:pPr>
              <w:keepNext w:val="0"/>
              <w:keepLines w:val="0"/>
              <w:pageBreakBefore w:val="0"/>
              <w:widowControl w:val="0"/>
              <w:kinsoku/>
              <w:wordWrap/>
              <w:overflowPunct/>
              <w:topLinePunct/>
              <w:autoSpaceDE/>
              <w:autoSpaceDN/>
              <w:bidi w:val="0"/>
              <w:adjustRightInd w:val="0"/>
              <w:snapToGrid w:val="0"/>
              <w:spacing w:line="259" w:lineRule="auto"/>
              <w:ind w:left="145" w:right="107" w:hanging="23"/>
              <w:jc w:val="center"/>
              <w:textAlignment w:val="baseline"/>
              <w:rPr>
                <w:rFonts w:ascii="仿宋" w:hAnsi="仿宋" w:eastAsia="仿宋" w:cs="仿宋"/>
                <w:sz w:val="22"/>
                <w:szCs w:val="22"/>
              </w:rPr>
            </w:pPr>
            <w:r>
              <w:rPr>
                <w:rFonts w:ascii="仿宋" w:hAnsi="仿宋" w:eastAsia="仿宋" w:cs="仿宋"/>
                <w:spacing w:val="15"/>
                <w:sz w:val="22"/>
                <w:szCs w:val="22"/>
              </w:rPr>
              <w:t>维</w:t>
            </w:r>
            <w:r>
              <w:rPr>
                <w:rFonts w:ascii="仿宋" w:hAnsi="仿宋" w:eastAsia="仿宋" w:cs="仿宋"/>
                <w:spacing w:val="13"/>
                <w:sz w:val="22"/>
                <w:szCs w:val="22"/>
              </w:rPr>
              <w:t>斯塔科技园</w:t>
            </w:r>
            <w:r>
              <w:rPr>
                <w:rFonts w:ascii="仿宋" w:hAnsi="仿宋" w:eastAsia="仿宋" w:cs="仿宋"/>
                <w:sz w:val="22"/>
                <w:szCs w:val="22"/>
              </w:rPr>
              <w:t>区</w:t>
            </w:r>
          </w:p>
        </w:tc>
        <w:tc>
          <w:tcPr>
            <w:tcW w:w="1133" w:type="dxa"/>
            <w:tcBorders>
              <w:tl2br w:val="nil"/>
              <w:tr2bl w:val="nil"/>
            </w:tcBorders>
            <w:noWrap w:val="0"/>
            <w:vAlign w:val="top"/>
          </w:tcPr>
          <w:p w14:paraId="0090A7EA">
            <w:pPr>
              <w:keepNext w:val="0"/>
              <w:keepLines w:val="0"/>
              <w:pageBreakBefore w:val="0"/>
              <w:widowControl w:val="0"/>
              <w:kinsoku/>
              <w:wordWrap/>
              <w:overflowPunct/>
              <w:topLinePunct/>
              <w:autoSpaceDE/>
              <w:autoSpaceDN/>
              <w:bidi w:val="0"/>
              <w:adjustRightInd w:val="0"/>
              <w:snapToGrid w:val="0"/>
              <w:spacing w:line="295" w:lineRule="auto"/>
              <w:jc w:val="center"/>
              <w:textAlignment w:val="baseline"/>
              <w:rPr>
                <w:rFonts w:ascii="Arial"/>
                <w:sz w:val="21"/>
              </w:rPr>
            </w:pPr>
          </w:p>
          <w:p w14:paraId="5CF83156">
            <w:pPr>
              <w:keepNext w:val="0"/>
              <w:keepLines w:val="0"/>
              <w:pageBreakBefore w:val="0"/>
              <w:widowControl w:val="0"/>
              <w:kinsoku/>
              <w:wordWrap/>
              <w:overflowPunct/>
              <w:topLinePunct/>
              <w:autoSpaceDE/>
              <w:autoSpaceDN/>
              <w:bidi w:val="0"/>
              <w:adjustRightInd w:val="0"/>
              <w:snapToGrid w:val="0"/>
              <w:spacing w:line="296" w:lineRule="auto"/>
              <w:jc w:val="center"/>
              <w:textAlignment w:val="baseline"/>
              <w:rPr>
                <w:rFonts w:ascii="Arial"/>
                <w:sz w:val="21"/>
              </w:rPr>
            </w:pPr>
          </w:p>
          <w:p w14:paraId="592547C8">
            <w:pPr>
              <w:keepNext w:val="0"/>
              <w:keepLines w:val="0"/>
              <w:pageBreakBefore w:val="0"/>
              <w:widowControl w:val="0"/>
              <w:kinsoku/>
              <w:wordWrap/>
              <w:overflowPunct/>
              <w:topLinePunct/>
              <w:autoSpaceDE/>
              <w:autoSpaceDN/>
              <w:bidi w:val="0"/>
              <w:adjustRightInd w:val="0"/>
              <w:snapToGrid w:val="0"/>
              <w:spacing w:line="218" w:lineRule="auto"/>
              <w:ind w:left="127"/>
              <w:jc w:val="center"/>
              <w:textAlignment w:val="baseline"/>
              <w:rPr>
                <w:rFonts w:ascii="仿宋" w:hAnsi="仿宋" w:eastAsia="仿宋" w:cs="仿宋"/>
                <w:sz w:val="22"/>
                <w:szCs w:val="22"/>
              </w:rPr>
            </w:pPr>
            <w:r>
              <w:rPr>
                <w:rFonts w:ascii="Arial" w:hAnsi="Arial" w:eastAsia="Arial" w:cs="Arial"/>
                <w:spacing w:val="-4"/>
                <w:sz w:val="22"/>
                <w:szCs w:val="22"/>
              </w:rPr>
              <w:t>1</w:t>
            </w:r>
            <w:r>
              <w:rPr>
                <w:rFonts w:ascii="Arial" w:hAnsi="Arial" w:eastAsia="Arial" w:cs="Arial"/>
                <w:spacing w:val="-3"/>
                <w:sz w:val="22"/>
                <w:szCs w:val="22"/>
              </w:rPr>
              <w:t>991</w:t>
            </w:r>
            <w:r>
              <w:rPr>
                <w:rFonts w:ascii="仿宋" w:hAnsi="仿宋" w:eastAsia="仿宋" w:cs="仿宋"/>
                <w:spacing w:val="-3"/>
                <w:sz w:val="22"/>
                <w:szCs w:val="22"/>
              </w:rPr>
              <w:t>年</w:t>
            </w:r>
          </w:p>
        </w:tc>
        <w:tc>
          <w:tcPr>
            <w:tcW w:w="992" w:type="dxa"/>
            <w:tcBorders>
              <w:tl2br w:val="nil"/>
              <w:tr2bl w:val="nil"/>
            </w:tcBorders>
            <w:noWrap w:val="0"/>
            <w:vAlign w:val="top"/>
          </w:tcPr>
          <w:p w14:paraId="6FE153DC">
            <w:pPr>
              <w:keepNext w:val="0"/>
              <w:keepLines w:val="0"/>
              <w:pageBreakBefore w:val="0"/>
              <w:widowControl w:val="0"/>
              <w:kinsoku/>
              <w:wordWrap/>
              <w:overflowPunct/>
              <w:topLinePunct/>
              <w:autoSpaceDE/>
              <w:autoSpaceDN/>
              <w:bidi w:val="0"/>
              <w:adjustRightInd w:val="0"/>
              <w:snapToGrid w:val="0"/>
              <w:spacing w:line="295" w:lineRule="auto"/>
              <w:jc w:val="center"/>
              <w:textAlignment w:val="baseline"/>
              <w:rPr>
                <w:rFonts w:ascii="Arial"/>
                <w:sz w:val="21"/>
              </w:rPr>
            </w:pPr>
          </w:p>
          <w:p w14:paraId="71E1B4D5">
            <w:pPr>
              <w:keepNext w:val="0"/>
              <w:keepLines w:val="0"/>
              <w:pageBreakBefore w:val="0"/>
              <w:widowControl w:val="0"/>
              <w:kinsoku/>
              <w:wordWrap/>
              <w:overflowPunct/>
              <w:topLinePunct/>
              <w:autoSpaceDE/>
              <w:autoSpaceDN/>
              <w:bidi w:val="0"/>
              <w:adjustRightInd w:val="0"/>
              <w:snapToGrid w:val="0"/>
              <w:spacing w:line="296" w:lineRule="auto"/>
              <w:jc w:val="center"/>
              <w:textAlignment w:val="baseline"/>
              <w:rPr>
                <w:rFonts w:ascii="Arial"/>
                <w:sz w:val="21"/>
              </w:rPr>
            </w:pPr>
          </w:p>
          <w:p w14:paraId="686D10F7">
            <w:pPr>
              <w:keepNext w:val="0"/>
              <w:keepLines w:val="0"/>
              <w:pageBreakBefore w:val="0"/>
              <w:widowControl w:val="0"/>
              <w:kinsoku/>
              <w:wordWrap/>
              <w:overflowPunct/>
              <w:topLinePunct/>
              <w:autoSpaceDE/>
              <w:autoSpaceDN/>
              <w:bidi w:val="0"/>
              <w:adjustRightInd w:val="0"/>
              <w:snapToGrid w:val="0"/>
              <w:spacing w:line="219" w:lineRule="auto"/>
              <w:ind w:left="108"/>
              <w:jc w:val="center"/>
              <w:textAlignment w:val="baseline"/>
              <w:rPr>
                <w:rFonts w:ascii="仿宋" w:hAnsi="仿宋" w:eastAsia="仿宋" w:cs="仿宋"/>
                <w:sz w:val="22"/>
                <w:szCs w:val="22"/>
              </w:rPr>
            </w:pPr>
            <w:r>
              <w:rPr>
                <w:rFonts w:ascii="仿宋" w:hAnsi="仿宋" w:eastAsia="仿宋" w:cs="仿宋"/>
                <w:spacing w:val="-2"/>
                <w:sz w:val="22"/>
                <w:szCs w:val="22"/>
              </w:rPr>
              <w:t>德</w:t>
            </w:r>
            <w:r>
              <w:rPr>
                <w:rFonts w:ascii="仿宋" w:hAnsi="仿宋" w:eastAsia="仿宋" w:cs="仿宋"/>
                <w:spacing w:val="-1"/>
                <w:sz w:val="22"/>
                <w:szCs w:val="22"/>
              </w:rPr>
              <w:t>国</w:t>
            </w:r>
          </w:p>
        </w:tc>
        <w:tc>
          <w:tcPr>
            <w:tcW w:w="1558" w:type="dxa"/>
            <w:tcBorders>
              <w:tl2br w:val="nil"/>
              <w:tr2bl w:val="nil"/>
            </w:tcBorders>
            <w:noWrap w:val="0"/>
            <w:vAlign w:val="top"/>
          </w:tcPr>
          <w:p w14:paraId="7830B095">
            <w:pPr>
              <w:keepNext w:val="0"/>
              <w:keepLines w:val="0"/>
              <w:pageBreakBefore w:val="0"/>
              <w:widowControl w:val="0"/>
              <w:kinsoku/>
              <w:wordWrap/>
              <w:overflowPunct/>
              <w:topLinePunct/>
              <w:autoSpaceDE/>
              <w:autoSpaceDN/>
              <w:bidi w:val="0"/>
              <w:adjustRightInd w:val="0"/>
              <w:snapToGrid w:val="0"/>
              <w:spacing w:line="241" w:lineRule="auto"/>
              <w:ind w:left="113" w:right="34" w:hanging="3"/>
              <w:jc w:val="center"/>
              <w:textAlignment w:val="baseline"/>
              <w:rPr>
                <w:rFonts w:ascii="仿宋" w:hAnsi="仿宋" w:eastAsia="仿宋" w:cs="仿宋"/>
                <w:sz w:val="22"/>
                <w:szCs w:val="22"/>
              </w:rPr>
            </w:pPr>
            <w:r>
              <w:rPr>
                <w:rFonts w:ascii="仿宋" w:hAnsi="仿宋" w:eastAsia="仿宋" w:cs="仿宋"/>
                <w:spacing w:val="-25"/>
                <w:sz w:val="22"/>
                <w:szCs w:val="22"/>
              </w:rPr>
              <w:t>基</w:t>
            </w:r>
            <w:r>
              <w:rPr>
                <w:rFonts w:ascii="仿宋" w:hAnsi="仿宋" w:eastAsia="仿宋" w:cs="仿宋"/>
                <w:spacing w:val="-22"/>
                <w:sz w:val="22"/>
                <w:szCs w:val="22"/>
              </w:rPr>
              <w:t>础科学研究</w:t>
            </w:r>
            <w:r>
              <w:rPr>
                <w:rFonts w:ascii="仿宋" w:hAnsi="仿宋" w:eastAsia="仿宋" w:cs="仿宋"/>
                <w:spacing w:val="-19"/>
                <w:sz w:val="22"/>
                <w:szCs w:val="22"/>
              </w:rPr>
              <w:t>、显示技术、</w:t>
            </w:r>
            <w:r>
              <w:rPr>
                <w:rFonts w:ascii="仿宋" w:hAnsi="仿宋" w:eastAsia="仿宋" w:cs="仿宋"/>
                <w:spacing w:val="4"/>
                <w:sz w:val="22"/>
                <w:szCs w:val="22"/>
              </w:rPr>
              <w:t>新</w:t>
            </w:r>
            <w:r>
              <w:rPr>
                <w:rFonts w:ascii="仿宋" w:hAnsi="仿宋" w:eastAsia="仿宋" w:cs="仿宋"/>
                <w:spacing w:val="3"/>
                <w:sz w:val="22"/>
                <w:szCs w:val="22"/>
              </w:rPr>
              <w:t>材</w:t>
            </w:r>
            <w:r>
              <w:rPr>
                <w:rFonts w:ascii="仿宋" w:hAnsi="仿宋" w:eastAsia="仿宋" w:cs="仿宋"/>
                <w:spacing w:val="2"/>
                <w:sz w:val="22"/>
                <w:szCs w:val="22"/>
              </w:rPr>
              <w:t>料、工程</w:t>
            </w:r>
            <w:r>
              <w:rPr>
                <w:rFonts w:ascii="仿宋" w:hAnsi="仿宋" w:eastAsia="仿宋" w:cs="仿宋"/>
                <w:spacing w:val="4"/>
                <w:sz w:val="22"/>
                <w:szCs w:val="22"/>
              </w:rPr>
              <w:t>技</w:t>
            </w:r>
            <w:r>
              <w:rPr>
                <w:rFonts w:ascii="仿宋" w:hAnsi="仿宋" w:eastAsia="仿宋" w:cs="仿宋"/>
                <w:spacing w:val="3"/>
                <w:sz w:val="22"/>
                <w:szCs w:val="22"/>
              </w:rPr>
              <w:t>术</w:t>
            </w:r>
            <w:r>
              <w:rPr>
                <w:rFonts w:ascii="仿宋" w:hAnsi="仿宋" w:eastAsia="仿宋" w:cs="仿宋"/>
                <w:spacing w:val="2"/>
                <w:sz w:val="22"/>
                <w:szCs w:val="22"/>
              </w:rPr>
              <w:t>服务、传</w:t>
            </w:r>
            <w:r>
              <w:rPr>
                <w:rFonts w:ascii="仿宋" w:hAnsi="仿宋" w:eastAsia="仿宋" w:cs="仿宋"/>
                <w:sz w:val="22"/>
                <w:szCs w:val="22"/>
              </w:rPr>
              <w:t>媒</w:t>
            </w:r>
          </w:p>
        </w:tc>
        <w:tc>
          <w:tcPr>
            <w:tcW w:w="1417" w:type="dxa"/>
            <w:tcBorders>
              <w:tl2br w:val="nil"/>
              <w:tr2bl w:val="nil"/>
            </w:tcBorders>
            <w:noWrap w:val="0"/>
            <w:vAlign w:val="top"/>
          </w:tcPr>
          <w:p w14:paraId="7FEB2B4C">
            <w:pPr>
              <w:keepNext w:val="0"/>
              <w:keepLines w:val="0"/>
              <w:pageBreakBefore w:val="0"/>
              <w:widowControl w:val="0"/>
              <w:kinsoku/>
              <w:wordWrap/>
              <w:overflowPunct/>
              <w:topLinePunct/>
              <w:autoSpaceDE/>
              <w:autoSpaceDN/>
              <w:bidi w:val="0"/>
              <w:adjustRightInd w:val="0"/>
              <w:snapToGrid w:val="0"/>
              <w:spacing w:line="296" w:lineRule="auto"/>
              <w:jc w:val="center"/>
              <w:textAlignment w:val="baseline"/>
              <w:rPr>
                <w:rFonts w:ascii="Arial"/>
                <w:sz w:val="21"/>
              </w:rPr>
            </w:pPr>
          </w:p>
          <w:p w14:paraId="57408DFE">
            <w:pPr>
              <w:keepNext w:val="0"/>
              <w:keepLines w:val="0"/>
              <w:pageBreakBefore w:val="0"/>
              <w:widowControl w:val="0"/>
              <w:kinsoku/>
              <w:wordWrap/>
              <w:overflowPunct/>
              <w:topLinePunct/>
              <w:autoSpaceDE/>
              <w:autoSpaceDN/>
              <w:bidi w:val="0"/>
              <w:adjustRightInd w:val="0"/>
              <w:snapToGrid w:val="0"/>
              <w:spacing w:line="296" w:lineRule="auto"/>
              <w:jc w:val="center"/>
              <w:textAlignment w:val="baseline"/>
              <w:rPr>
                <w:rFonts w:ascii="Arial"/>
                <w:sz w:val="21"/>
              </w:rPr>
            </w:pPr>
          </w:p>
          <w:p w14:paraId="120B8B47">
            <w:pPr>
              <w:keepNext w:val="0"/>
              <w:keepLines w:val="0"/>
              <w:pageBreakBefore w:val="0"/>
              <w:widowControl w:val="0"/>
              <w:kinsoku/>
              <w:wordWrap/>
              <w:overflowPunct/>
              <w:topLinePunct/>
              <w:autoSpaceDE/>
              <w:autoSpaceDN/>
              <w:bidi w:val="0"/>
              <w:adjustRightInd w:val="0"/>
              <w:snapToGrid w:val="0"/>
              <w:spacing w:line="217" w:lineRule="auto"/>
              <w:ind w:left="109"/>
              <w:jc w:val="center"/>
              <w:textAlignment w:val="baseline"/>
              <w:rPr>
                <w:rFonts w:ascii="仿宋" w:hAnsi="仿宋" w:eastAsia="仿宋" w:cs="仿宋"/>
                <w:sz w:val="22"/>
                <w:szCs w:val="22"/>
              </w:rPr>
            </w:pPr>
            <w:r>
              <w:rPr>
                <w:rFonts w:ascii="仿宋" w:hAnsi="仿宋" w:eastAsia="仿宋" w:cs="仿宋"/>
                <w:spacing w:val="-2"/>
                <w:sz w:val="22"/>
                <w:szCs w:val="22"/>
              </w:rPr>
              <w:t>位</w:t>
            </w:r>
            <w:r>
              <w:rPr>
                <w:rFonts w:ascii="仿宋" w:hAnsi="仿宋" w:eastAsia="仿宋" w:cs="仿宋"/>
                <w:spacing w:val="-1"/>
                <w:sz w:val="22"/>
                <w:szCs w:val="22"/>
              </w:rPr>
              <w:t>于柏林</w:t>
            </w:r>
          </w:p>
        </w:tc>
        <w:tc>
          <w:tcPr>
            <w:tcW w:w="1558" w:type="dxa"/>
            <w:tcBorders>
              <w:tl2br w:val="nil"/>
              <w:tr2bl w:val="nil"/>
            </w:tcBorders>
            <w:noWrap w:val="0"/>
            <w:vAlign w:val="top"/>
          </w:tcPr>
          <w:p w14:paraId="5B9B99B5">
            <w:pPr>
              <w:keepNext w:val="0"/>
              <w:keepLines w:val="0"/>
              <w:pageBreakBefore w:val="0"/>
              <w:widowControl w:val="0"/>
              <w:kinsoku/>
              <w:wordWrap/>
              <w:overflowPunct/>
              <w:topLinePunct/>
              <w:autoSpaceDE/>
              <w:autoSpaceDN/>
              <w:bidi w:val="0"/>
              <w:adjustRightInd w:val="0"/>
              <w:snapToGrid w:val="0"/>
              <w:spacing w:line="307" w:lineRule="auto"/>
              <w:jc w:val="center"/>
              <w:textAlignment w:val="baseline"/>
              <w:rPr>
                <w:rFonts w:ascii="Arial"/>
                <w:sz w:val="21"/>
              </w:rPr>
            </w:pPr>
          </w:p>
          <w:p w14:paraId="1FD9DFC0">
            <w:pPr>
              <w:keepNext w:val="0"/>
              <w:keepLines w:val="0"/>
              <w:pageBreakBefore w:val="0"/>
              <w:widowControl w:val="0"/>
              <w:kinsoku/>
              <w:wordWrap/>
              <w:overflowPunct/>
              <w:topLinePunct/>
              <w:autoSpaceDE/>
              <w:autoSpaceDN/>
              <w:bidi w:val="0"/>
              <w:adjustRightInd w:val="0"/>
              <w:snapToGrid w:val="0"/>
              <w:spacing w:line="249" w:lineRule="auto"/>
              <w:ind w:left="113" w:right="102"/>
              <w:jc w:val="center"/>
              <w:textAlignment w:val="baseline"/>
              <w:rPr>
                <w:rFonts w:ascii="仿宋" w:hAnsi="仿宋" w:eastAsia="仿宋" w:cs="仿宋"/>
                <w:sz w:val="22"/>
                <w:szCs w:val="22"/>
              </w:rPr>
            </w:pPr>
            <w:r>
              <w:rPr>
                <w:rFonts w:ascii="仿宋" w:hAnsi="仿宋" w:eastAsia="仿宋" w:cs="仿宋"/>
                <w:spacing w:val="-28"/>
                <w:sz w:val="22"/>
                <w:szCs w:val="22"/>
              </w:rPr>
              <w:t>公</w:t>
            </w:r>
            <w:r>
              <w:rPr>
                <w:rFonts w:ascii="仿宋" w:hAnsi="仿宋" w:eastAsia="仿宋" w:cs="仿宋"/>
                <w:spacing w:val="-22"/>
                <w:sz w:val="22"/>
                <w:szCs w:val="22"/>
              </w:rPr>
              <w:t>路网络发</w:t>
            </w:r>
            <w:r>
              <w:rPr>
                <w:rFonts w:ascii="仿宋" w:hAnsi="仿宋" w:eastAsia="仿宋" w:cs="仿宋"/>
                <w:spacing w:val="4"/>
                <w:sz w:val="22"/>
                <w:szCs w:val="22"/>
              </w:rPr>
              <w:t>达</w:t>
            </w:r>
            <w:r>
              <w:rPr>
                <w:rFonts w:ascii="仿宋" w:hAnsi="仿宋" w:eastAsia="仿宋" w:cs="仿宋"/>
                <w:spacing w:val="3"/>
                <w:sz w:val="22"/>
                <w:szCs w:val="22"/>
              </w:rPr>
              <w:t>、</w:t>
            </w:r>
            <w:r>
              <w:rPr>
                <w:rFonts w:ascii="仿宋" w:hAnsi="仿宋" w:eastAsia="仿宋" w:cs="仿宋"/>
                <w:spacing w:val="2"/>
                <w:sz w:val="22"/>
                <w:szCs w:val="22"/>
              </w:rPr>
              <w:t>轨道交通</w:t>
            </w:r>
            <w:r>
              <w:rPr>
                <w:rFonts w:ascii="仿宋" w:hAnsi="仿宋" w:eastAsia="仿宋" w:cs="仿宋"/>
                <w:spacing w:val="-4"/>
                <w:sz w:val="22"/>
                <w:szCs w:val="22"/>
              </w:rPr>
              <w:t>便</w:t>
            </w:r>
            <w:r>
              <w:rPr>
                <w:rFonts w:ascii="仿宋" w:hAnsi="仿宋" w:eastAsia="仿宋" w:cs="仿宋"/>
                <w:spacing w:val="-3"/>
                <w:sz w:val="22"/>
                <w:szCs w:val="22"/>
              </w:rPr>
              <w:t>利</w:t>
            </w:r>
          </w:p>
        </w:tc>
        <w:tc>
          <w:tcPr>
            <w:tcW w:w="1577" w:type="dxa"/>
            <w:tcBorders>
              <w:tl2br w:val="nil"/>
              <w:tr2bl w:val="nil"/>
            </w:tcBorders>
            <w:noWrap w:val="0"/>
            <w:vAlign w:val="top"/>
          </w:tcPr>
          <w:p w14:paraId="30C40C1E">
            <w:pPr>
              <w:keepNext w:val="0"/>
              <w:keepLines w:val="0"/>
              <w:pageBreakBefore w:val="0"/>
              <w:widowControl w:val="0"/>
              <w:kinsoku/>
              <w:wordWrap/>
              <w:overflowPunct/>
              <w:topLinePunct/>
              <w:autoSpaceDE/>
              <w:autoSpaceDN/>
              <w:bidi w:val="0"/>
              <w:adjustRightInd w:val="0"/>
              <w:snapToGrid w:val="0"/>
              <w:spacing w:line="296" w:lineRule="auto"/>
              <w:jc w:val="center"/>
              <w:textAlignment w:val="baseline"/>
              <w:rPr>
                <w:rFonts w:ascii="Arial"/>
                <w:sz w:val="21"/>
              </w:rPr>
            </w:pPr>
          </w:p>
          <w:p w14:paraId="153A9D90">
            <w:pPr>
              <w:keepNext w:val="0"/>
              <w:keepLines w:val="0"/>
              <w:pageBreakBefore w:val="0"/>
              <w:widowControl w:val="0"/>
              <w:kinsoku/>
              <w:wordWrap/>
              <w:overflowPunct/>
              <w:topLinePunct/>
              <w:autoSpaceDE/>
              <w:autoSpaceDN/>
              <w:bidi w:val="0"/>
              <w:adjustRightInd w:val="0"/>
              <w:snapToGrid w:val="0"/>
              <w:spacing w:line="296" w:lineRule="auto"/>
              <w:jc w:val="center"/>
              <w:textAlignment w:val="baseline"/>
              <w:rPr>
                <w:rFonts w:ascii="Arial"/>
                <w:sz w:val="21"/>
              </w:rPr>
            </w:pPr>
          </w:p>
          <w:p w14:paraId="30BF071D">
            <w:pPr>
              <w:keepNext w:val="0"/>
              <w:keepLines w:val="0"/>
              <w:pageBreakBefore w:val="0"/>
              <w:widowControl w:val="0"/>
              <w:kinsoku/>
              <w:wordWrap/>
              <w:overflowPunct/>
              <w:topLinePunct/>
              <w:autoSpaceDE/>
              <w:autoSpaceDN/>
              <w:bidi w:val="0"/>
              <w:adjustRightInd w:val="0"/>
              <w:snapToGrid w:val="0"/>
              <w:spacing w:line="217" w:lineRule="auto"/>
              <w:ind w:left="110"/>
              <w:jc w:val="center"/>
              <w:textAlignment w:val="baseline"/>
              <w:rPr>
                <w:rFonts w:ascii="仿宋" w:hAnsi="仿宋" w:eastAsia="仿宋" w:cs="仿宋"/>
                <w:sz w:val="22"/>
                <w:szCs w:val="22"/>
              </w:rPr>
            </w:pPr>
            <w:r>
              <w:rPr>
                <w:rFonts w:ascii="仿宋" w:hAnsi="仿宋" w:eastAsia="仿宋" w:cs="仿宋"/>
                <w:spacing w:val="-1"/>
                <w:sz w:val="22"/>
                <w:szCs w:val="22"/>
              </w:rPr>
              <w:t>研</w:t>
            </w:r>
            <w:r>
              <w:rPr>
                <w:rFonts w:ascii="仿宋" w:hAnsi="仿宋" w:eastAsia="仿宋" w:cs="仿宋"/>
                <w:sz w:val="22"/>
                <w:szCs w:val="22"/>
              </w:rPr>
              <w:t>究中心密集</w:t>
            </w:r>
          </w:p>
        </w:tc>
      </w:tr>
      <w:tr w14:paraId="61FE5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5C2A4F96">
            <w:pPr>
              <w:keepNext w:val="0"/>
              <w:keepLines w:val="0"/>
              <w:pageBreakBefore w:val="0"/>
              <w:widowControl w:val="0"/>
              <w:kinsoku/>
              <w:wordWrap/>
              <w:overflowPunct/>
              <w:topLinePunct/>
              <w:autoSpaceDE/>
              <w:autoSpaceDN/>
              <w:bidi w:val="0"/>
              <w:adjustRightInd w:val="0"/>
              <w:snapToGrid w:val="0"/>
              <w:spacing w:line="218" w:lineRule="auto"/>
              <w:ind w:left="123" w:leftChars="0"/>
              <w:jc w:val="center"/>
              <w:textAlignment w:val="baseline"/>
              <w:rPr>
                <w:rFonts w:ascii="仿宋" w:hAnsi="仿宋" w:eastAsia="仿宋" w:cs="仿宋"/>
                <w:spacing w:val="15"/>
                <w:sz w:val="22"/>
                <w:szCs w:val="22"/>
              </w:rPr>
            </w:pPr>
            <w:r>
              <w:rPr>
                <w:rFonts w:ascii="Arial" w:hAnsi="Arial" w:eastAsia="Arial" w:cs="Arial"/>
                <w:spacing w:val="-3"/>
                <w:sz w:val="22"/>
                <w:szCs w:val="22"/>
              </w:rPr>
              <w:t>M</w:t>
            </w:r>
            <w:r>
              <w:rPr>
                <w:rFonts w:ascii="Arial" w:hAnsi="Arial" w:eastAsia="Arial" w:cs="Arial"/>
                <w:spacing w:val="-5"/>
                <w:sz w:val="22"/>
                <w:szCs w:val="22"/>
              </w:rPr>
              <w:t>4</w:t>
            </w:r>
            <w:r>
              <w:rPr>
                <w:rFonts w:ascii="仿宋" w:hAnsi="仿宋" w:eastAsia="仿宋" w:cs="仿宋"/>
                <w:spacing w:val="-3"/>
                <w:sz w:val="22"/>
                <w:szCs w:val="22"/>
              </w:rPr>
              <w:t>科技走廊</w:t>
            </w:r>
          </w:p>
        </w:tc>
        <w:tc>
          <w:tcPr>
            <w:tcW w:w="1133" w:type="dxa"/>
            <w:tcBorders>
              <w:tl2br w:val="nil"/>
              <w:tr2bl w:val="nil"/>
            </w:tcBorders>
            <w:noWrap w:val="0"/>
            <w:vAlign w:val="top"/>
          </w:tcPr>
          <w:p w14:paraId="635F491B">
            <w:pPr>
              <w:keepNext w:val="0"/>
              <w:keepLines w:val="0"/>
              <w:pageBreakBefore w:val="0"/>
              <w:widowControl w:val="0"/>
              <w:kinsoku/>
              <w:wordWrap/>
              <w:overflowPunct/>
              <w:topLinePunct/>
              <w:autoSpaceDE/>
              <w:autoSpaceDN/>
              <w:bidi w:val="0"/>
              <w:adjustRightInd w:val="0"/>
              <w:snapToGrid w:val="0"/>
              <w:spacing w:line="222" w:lineRule="auto"/>
              <w:ind w:left="110"/>
              <w:jc w:val="center"/>
              <w:textAlignment w:val="baseline"/>
              <w:rPr>
                <w:rFonts w:ascii="仿宋" w:hAnsi="仿宋" w:eastAsia="仿宋" w:cs="仿宋"/>
                <w:sz w:val="22"/>
                <w:szCs w:val="22"/>
              </w:rPr>
            </w:pPr>
            <w:r>
              <w:rPr>
                <w:rFonts w:ascii="Arial" w:hAnsi="Arial" w:eastAsia="Arial" w:cs="Arial"/>
                <w:spacing w:val="2"/>
                <w:sz w:val="22"/>
                <w:szCs w:val="22"/>
              </w:rPr>
              <w:t>20</w:t>
            </w:r>
            <w:r>
              <w:rPr>
                <w:rFonts w:ascii="仿宋" w:hAnsi="仿宋" w:eastAsia="仿宋" w:cs="仿宋"/>
                <w:spacing w:val="1"/>
                <w:sz w:val="22"/>
                <w:szCs w:val="22"/>
              </w:rPr>
              <w:t>世纪</w:t>
            </w:r>
          </w:p>
          <w:p w14:paraId="60041EFE">
            <w:pPr>
              <w:keepNext w:val="0"/>
              <w:keepLines w:val="0"/>
              <w:pageBreakBefore w:val="0"/>
              <w:widowControl w:val="0"/>
              <w:kinsoku/>
              <w:wordWrap/>
              <w:overflowPunct/>
              <w:topLinePunct/>
              <w:autoSpaceDE/>
              <w:autoSpaceDN/>
              <w:bidi w:val="0"/>
              <w:adjustRightInd w:val="0"/>
              <w:snapToGrid w:val="0"/>
              <w:spacing w:line="218" w:lineRule="auto"/>
              <w:ind w:left="112" w:leftChars="0"/>
              <w:jc w:val="center"/>
              <w:textAlignment w:val="baseline"/>
              <w:rPr>
                <w:rFonts w:ascii="Arial" w:hAnsi="Arial" w:eastAsia="Arial" w:cs="Arial"/>
                <w:spacing w:val="-4"/>
                <w:sz w:val="22"/>
                <w:szCs w:val="22"/>
              </w:rPr>
            </w:pPr>
            <w:r>
              <w:rPr>
                <w:rFonts w:ascii="Arial" w:hAnsi="Arial" w:eastAsia="Arial" w:cs="Arial"/>
                <w:spacing w:val="-4"/>
                <w:sz w:val="22"/>
                <w:szCs w:val="22"/>
              </w:rPr>
              <w:t>80</w:t>
            </w:r>
            <w:r>
              <w:rPr>
                <w:rFonts w:ascii="仿宋" w:hAnsi="仿宋" w:eastAsia="仿宋" w:cs="仿宋"/>
                <w:spacing w:val="-2"/>
                <w:sz w:val="22"/>
                <w:szCs w:val="22"/>
              </w:rPr>
              <w:t>年代</w:t>
            </w:r>
          </w:p>
        </w:tc>
        <w:tc>
          <w:tcPr>
            <w:tcW w:w="992" w:type="dxa"/>
            <w:tcBorders>
              <w:tl2br w:val="nil"/>
              <w:tr2bl w:val="nil"/>
            </w:tcBorders>
            <w:noWrap w:val="0"/>
            <w:vAlign w:val="top"/>
          </w:tcPr>
          <w:p w14:paraId="616715F1">
            <w:pPr>
              <w:keepNext w:val="0"/>
              <w:keepLines w:val="0"/>
              <w:pageBreakBefore w:val="0"/>
              <w:widowControl w:val="0"/>
              <w:kinsoku/>
              <w:wordWrap/>
              <w:overflowPunct/>
              <w:topLinePunct/>
              <w:autoSpaceDE/>
              <w:autoSpaceDN/>
              <w:bidi w:val="0"/>
              <w:adjustRightInd w:val="0"/>
              <w:snapToGrid w:val="0"/>
              <w:spacing w:line="219" w:lineRule="auto"/>
              <w:ind w:left="119" w:leftChars="0"/>
              <w:jc w:val="center"/>
              <w:textAlignment w:val="baseline"/>
              <w:rPr>
                <w:rFonts w:ascii="仿宋" w:hAnsi="仿宋" w:eastAsia="仿宋" w:cs="仿宋"/>
                <w:spacing w:val="-2"/>
                <w:sz w:val="22"/>
                <w:szCs w:val="22"/>
              </w:rPr>
            </w:pPr>
            <w:r>
              <w:rPr>
                <w:rFonts w:ascii="仿宋" w:hAnsi="仿宋" w:eastAsia="仿宋" w:cs="仿宋"/>
                <w:spacing w:val="-8"/>
                <w:sz w:val="22"/>
                <w:szCs w:val="22"/>
              </w:rPr>
              <w:t>英</w:t>
            </w:r>
            <w:r>
              <w:rPr>
                <w:rFonts w:ascii="仿宋" w:hAnsi="仿宋" w:eastAsia="仿宋" w:cs="仿宋"/>
                <w:spacing w:val="-7"/>
                <w:sz w:val="22"/>
                <w:szCs w:val="22"/>
              </w:rPr>
              <w:t>国</w:t>
            </w:r>
          </w:p>
        </w:tc>
        <w:tc>
          <w:tcPr>
            <w:tcW w:w="1558" w:type="dxa"/>
            <w:tcBorders>
              <w:tl2br w:val="nil"/>
              <w:tr2bl w:val="nil"/>
            </w:tcBorders>
            <w:noWrap w:val="0"/>
            <w:vAlign w:val="top"/>
          </w:tcPr>
          <w:p w14:paraId="595F18C4">
            <w:pPr>
              <w:keepNext w:val="0"/>
              <w:keepLines w:val="0"/>
              <w:pageBreakBefore w:val="0"/>
              <w:widowControl w:val="0"/>
              <w:kinsoku/>
              <w:wordWrap/>
              <w:overflowPunct/>
              <w:topLinePunct/>
              <w:autoSpaceDE/>
              <w:autoSpaceDN/>
              <w:bidi w:val="0"/>
              <w:adjustRightInd w:val="0"/>
              <w:snapToGrid w:val="0"/>
              <w:spacing w:line="244" w:lineRule="auto"/>
              <w:ind w:left="118" w:leftChars="0" w:right="103" w:rightChars="0" w:hanging="12" w:firstLineChars="0"/>
              <w:jc w:val="center"/>
              <w:textAlignment w:val="baseline"/>
              <w:rPr>
                <w:rFonts w:ascii="仿宋" w:hAnsi="仿宋" w:eastAsia="仿宋" w:cs="仿宋"/>
                <w:spacing w:val="-25"/>
                <w:sz w:val="22"/>
                <w:szCs w:val="22"/>
              </w:rPr>
            </w:pPr>
            <w:r>
              <w:rPr>
                <w:rFonts w:ascii="仿宋" w:hAnsi="仿宋" w:eastAsia="仿宋" w:cs="仿宋"/>
                <w:spacing w:val="-16"/>
                <w:sz w:val="22"/>
                <w:szCs w:val="22"/>
              </w:rPr>
              <w:t>信</w:t>
            </w:r>
            <w:r>
              <w:rPr>
                <w:rFonts w:ascii="仿宋" w:hAnsi="仿宋" w:eastAsia="仿宋" w:cs="仿宋"/>
                <w:spacing w:val="-12"/>
                <w:sz w:val="22"/>
                <w:szCs w:val="22"/>
              </w:rPr>
              <w:t>息技术、电</w:t>
            </w:r>
            <w:r>
              <w:rPr>
                <w:rFonts w:ascii="仿宋" w:hAnsi="仿宋" w:eastAsia="仿宋" w:cs="仿宋"/>
                <w:spacing w:val="-4"/>
                <w:sz w:val="22"/>
                <w:szCs w:val="22"/>
              </w:rPr>
              <w:t>子</w:t>
            </w:r>
            <w:r>
              <w:rPr>
                <w:rFonts w:ascii="仿宋" w:hAnsi="仿宋" w:eastAsia="仿宋" w:cs="仿宋"/>
                <w:spacing w:val="-3"/>
                <w:sz w:val="22"/>
                <w:szCs w:val="22"/>
              </w:rPr>
              <w:t>、通信</w:t>
            </w:r>
          </w:p>
        </w:tc>
        <w:tc>
          <w:tcPr>
            <w:tcW w:w="1417" w:type="dxa"/>
            <w:tcBorders>
              <w:tl2br w:val="nil"/>
              <w:tr2bl w:val="nil"/>
            </w:tcBorders>
            <w:noWrap w:val="0"/>
            <w:vAlign w:val="top"/>
          </w:tcPr>
          <w:p w14:paraId="1BE47682">
            <w:pPr>
              <w:keepNext w:val="0"/>
              <w:keepLines w:val="0"/>
              <w:pageBreakBefore w:val="0"/>
              <w:widowControl w:val="0"/>
              <w:kinsoku/>
              <w:wordWrap/>
              <w:overflowPunct/>
              <w:topLinePunct/>
              <w:autoSpaceDE/>
              <w:autoSpaceDN/>
              <w:bidi w:val="0"/>
              <w:adjustRightInd w:val="0"/>
              <w:snapToGrid w:val="0"/>
              <w:spacing w:line="244" w:lineRule="auto"/>
              <w:ind w:left="112" w:leftChars="0" w:right="104" w:rightChars="0" w:hanging="3" w:firstLineChars="0"/>
              <w:jc w:val="center"/>
              <w:textAlignment w:val="baseline"/>
              <w:rPr>
                <w:rFonts w:ascii="仿宋" w:hAnsi="仿宋" w:eastAsia="仿宋" w:cs="仿宋"/>
                <w:spacing w:val="-2"/>
                <w:sz w:val="22"/>
                <w:szCs w:val="22"/>
              </w:rPr>
            </w:pPr>
            <w:r>
              <w:rPr>
                <w:rFonts w:ascii="仿宋" w:hAnsi="仿宋" w:eastAsia="仿宋" w:cs="仿宋"/>
                <w:spacing w:val="21"/>
                <w:sz w:val="22"/>
                <w:szCs w:val="22"/>
              </w:rPr>
              <w:t>位</w:t>
            </w:r>
            <w:r>
              <w:rPr>
                <w:rFonts w:ascii="仿宋" w:hAnsi="仿宋" w:eastAsia="仿宋" w:cs="仿宋"/>
                <w:spacing w:val="19"/>
                <w:sz w:val="22"/>
                <w:szCs w:val="22"/>
              </w:rPr>
              <w:t>于英国南</w:t>
            </w:r>
            <w:r>
              <w:rPr>
                <w:rFonts w:ascii="仿宋" w:hAnsi="仿宋" w:eastAsia="仿宋" w:cs="仿宋"/>
                <w:spacing w:val="-2"/>
                <w:sz w:val="22"/>
                <w:szCs w:val="22"/>
              </w:rPr>
              <w:t>部城市群</w:t>
            </w:r>
          </w:p>
        </w:tc>
        <w:tc>
          <w:tcPr>
            <w:tcW w:w="1558" w:type="dxa"/>
            <w:tcBorders>
              <w:tl2br w:val="nil"/>
              <w:tr2bl w:val="nil"/>
            </w:tcBorders>
            <w:noWrap w:val="0"/>
            <w:vAlign w:val="top"/>
          </w:tcPr>
          <w:p w14:paraId="74D66A3E">
            <w:pPr>
              <w:keepNext w:val="0"/>
              <w:keepLines w:val="0"/>
              <w:pageBreakBefore w:val="0"/>
              <w:widowControl w:val="0"/>
              <w:kinsoku/>
              <w:wordWrap/>
              <w:overflowPunct/>
              <w:topLinePunct/>
              <w:autoSpaceDE/>
              <w:autoSpaceDN/>
              <w:bidi w:val="0"/>
              <w:adjustRightInd w:val="0"/>
              <w:snapToGrid w:val="0"/>
              <w:spacing w:line="244" w:lineRule="auto"/>
              <w:ind w:left="126" w:leftChars="0" w:right="102" w:rightChars="0" w:hanging="15" w:firstLineChars="0"/>
              <w:jc w:val="center"/>
              <w:textAlignment w:val="baseline"/>
              <w:rPr>
                <w:rFonts w:ascii="仿宋" w:hAnsi="仿宋" w:eastAsia="仿宋" w:cs="仿宋"/>
                <w:spacing w:val="-28"/>
                <w:sz w:val="22"/>
                <w:szCs w:val="22"/>
              </w:rPr>
            </w:pPr>
            <w:r>
              <w:rPr>
                <w:rFonts w:ascii="仿宋" w:hAnsi="仿宋" w:eastAsia="仿宋" w:cs="仿宋"/>
                <w:spacing w:val="4"/>
                <w:sz w:val="22"/>
                <w:szCs w:val="22"/>
              </w:rPr>
              <w:t>位</w:t>
            </w:r>
            <w:r>
              <w:rPr>
                <w:rFonts w:ascii="仿宋" w:hAnsi="仿宋" w:eastAsia="仿宋" w:cs="仿宋"/>
                <w:spacing w:val="3"/>
                <w:sz w:val="22"/>
                <w:szCs w:val="22"/>
              </w:rPr>
              <w:t>于高速公路</w:t>
            </w:r>
            <w:r>
              <w:rPr>
                <w:rFonts w:ascii="仿宋" w:hAnsi="仿宋" w:eastAsia="仿宋" w:cs="仿宋"/>
                <w:spacing w:val="-10"/>
                <w:sz w:val="22"/>
                <w:szCs w:val="22"/>
              </w:rPr>
              <w:t>两</w:t>
            </w:r>
            <w:r>
              <w:rPr>
                <w:rFonts w:ascii="仿宋" w:hAnsi="仿宋" w:eastAsia="仿宋" w:cs="仿宋"/>
                <w:spacing w:val="-9"/>
                <w:sz w:val="22"/>
                <w:szCs w:val="22"/>
              </w:rPr>
              <w:t>侧</w:t>
            </w:r>
          </w:p>
        </w:tc>
        <w:tc>
          <w:tcPr>
            <w:tcW w:w="1577" w:type="dxa"/>
            <w:tcBorders>
              <w:tl2br w:val="nil"/>
              <w:tr2bl w:val="nil"/>
            </w:tcBorders>
            <w:noWrap w:val="0"/>
            <w:vAlign w:val="top"/>
          </w:tcPr>
          <w:p w14:paraId="578AAFF9">
            <w:pPr>
              <w:keepNext w:val="0"/>
              <w:keepLines w:val="0"/>
              <w:pageBreakBefore w:val="0"/>
              <w:widowControl w:val="0"/>
              <w:kinsoku/>
              <w:wordWrap/>
              <w:overflowPunct/>
              <w:topLinePunct/>
              <w:autoSpaceDE/>
              <w:autoSpaceDN/>
              <w:bidi w:val="0"/>
              <w:adjustRightInd w:val="0"/>
              <w:snapToGrid w:val="0"/>
              <w:spacing w:line="244" w:lineRule="auto"/>
              <w:ind w:left="115" w:leftChars="0" w:right="105" w:rightChars="0" w:firstLine="4" w:firstLineChars="0"/>
              <w:jc w:val="center"/>
              <w:textAlignment w:val="baseline"/>
              <w:rPr>
                <w:rFonts w:ascii="仿宋" w:hAnsi="仿宋" w:eastAsia="仿宋" w:cs="仿宋"/>
                <w:spacing w:val="-1"/>
                <w:sz w:val="22"/>
                <w:szCs w:val="22"/>
              </w:rPr>
            </w:pPr>
            <w:r>
              <w:rPr>
                <w:rFonts w:ascii="仿宋" w:hAnsi="仿宋" w:eastAsia="仿宋" w:cs="仿宋"/>
                <w:spacing w:val="7"/>
                <w:sz w:val="22"/>
                <w:szCs w:val="22"/>
              </w:rPr>
              <w:t>知</w:t>
            </w:r>
            <w:r>
              <w:rPr>
                <w:rFonts w:ascii="仿宋" w:hAnsi="仿宋" w:eastAsia="仿宋" w:cs="仿宋"/>
                <w:spacing w:val="4"/>
                <w:sz w:val="22"/>
                <w:szCs w:val="22"/>
              </w:rPr>
              <w:t>名高校所在</w:t>
            </w:r>
            <w:r>
              <w:rPr>
                <w:rFonts w:ascii="仿宋" w:hAnsi="仿宋" w:eastAsia="仿宋" w:cs="仿宋"/>
                <w:sz w:val="22"/>
                <w:szCs w:val="22"/>
              </w:rPr>
              <w:t>地</w:t>
            </w:r>
          </w:p>
        </w:tc>
      </w:tr>
      <w:tr w14:paraId="035B3F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3D605442">
            <w:pPr>
              <w:keepNext w:val="0"/>
              <w:keepLines w:val="0"/>
              <w:pageBreakBefore w:val="0"/>
              <w:widowControl w:val="0"/>
              <w:kinsoku/>
              <w:wordWrap/>
              <w:overflowPunct/>
              <w:topLinePunct/>
              <w:autoSpaceDE/>
              <w:autoSpaceDN/>
              <w:bidi w:val="0"/>
              <w:adjustRightInd w:val="0"/>
              <w:snapToGrid w:val="0"/>
              <w:spacing w:line="303" w:lineRule="auto"/>
              <w:jc w:val="center"/>
              <w:textAlignment w:val="baseline"/>
              <w:rPr>
                <w:rFonts w:ascii="Arial"/>
                <w:sz w:val="21"/>
              </w:rPr>
            </w:pPr>
          </w:p>
          <w:p w14:paraId="4CB75ACB">
            <w:pPr>
              <w:keepNext w:val="0"/>
              <w:keepLines w:val="0"/>
              <w:pageBreakBefore w:val="0"/>
              <w:widowControl w:val="0"/>
              <w:kinsoku/>
              <w:wordWrap/>
              <w:overflowPunct/>
              <w:topLinePunct/>
              <w:autoSpaceDE/>
              <w:autoSpaceDN/>
              <w:bidi w:val="0"/>
              <w:adjustRightInd w:val="0"/>
              <w:snapToGrid w:val="0"/>
              <w:spacing w:line="218" w:lineRule="auto"/>
              <w:ind w:left="122" w:leftChars="0"/>
              <w:jc w:val="center"/>
              <w:textAlignment w:val="baseline"/>
              <w:rPr>
                <w:rFonts w:ascii="仿宋" w:hAnsi="仿宋" w:eastAsia="仿宋" w:cs="仿宋"/>
                <w:kern w:val="2"/>
                <w:sz w:val="22"/>
                <w:szCs w:val="22"/>
                <w:lang w:val="en-US" w:eastAsia="zh-CN" w:bidi="ar-SA"/>
              </w:rPr>
            </w:pPr>
            <w:r>
              <w:rPr>
                <w:rFonts w:ascii="仿宋" w:hAnsi="仿宋" w:eastAsia="仿宋" w:cs="仿宋"/>
                <w:spacing w:val="-4"/>
                <w:sz w:val="22"/>
                <w:szCs w:val="22"/>
              </w:rPr>
              <w:t>牛津</w:t>
            </w:r>
            <w:r>
              <w:rPr>
                <w:rFonts w:ascii="仿宋" w:hAnsi="仿宋" w:eastAsia="仿宋" w:cs="仿宋"/>
                <w:spacing w:val="-2"/>
                <w:sz w:val="22"/>
                <w:szCs w:val="22"/>
              </w:rPr>
              <w:t>科技园</w:t>
            </w:r>
          </w:p>
        </w:tc>
        <w:tc>
          <w:tcPr>
            <w:tcW w:w="1133" w:type="dxa"/>
            <w:tcBorders>
              <w:tl2br w:val="nil"/>
              <w:tr2bl w:val="nil"/>
            </w:tcBorders>
            <w:noWrap w:val="0"/>
            <w:vAlign w:val="top"/>
          </w:tcPr>
          <w:p w14:paraId="29CA4B9F">
            <w:pPr>
              <w:keepNext w:val="0"/>
              <w:keepLines w:val="0"/>
              <w:pageBreakBefore w:val="0"/>
              <w:widowControl w:val="0"/>
              <w:kinsoku/>
              <w:wordWrap/>
              <w:overflowPunct/>
              <w:topLinePunct/>
              <w:autoSpaceDE/>
              <w:autoSpaceDN/>
              <w:bidi w:val="0"/>
              <w:adjustRightInd w:val="0"/>
              <w:snapToGrid w:val="0"/>
              <w:spacing w:line="303" w:lineRule="auto"/>
              <w:jc w:val="center"/>
              <w:textAlignment w:val="baseline"/>
              <w:rPr>
                <w:rFonts w:ascii="Arial"/>
                <w:sz w:val="21"/>
              </w:rPr>
            </w:pPr>
          </w:p>
          <w:p w14:paraId="45E4160C">
            <w:pPr>
              <w:keepNext w:val="0"/>
              <w:keepLines w:val="0"/>
              <w:pageBreakBefore w:val="0"/>
              <w:widowControl w:val="0"/>
              <w:kinsoku/>
              <w:wordWrap/>
              <w:overflowPunct/>
              <w:topLinePunct/>
              <w:autoSpaceDE/>
              <w:autoSpaceDN/>
              <w:bidi w:val="0"/>
              <w:adjustRightInd w:val="0"/>
              <w:snapToGrid w:val="0"/>
              <w:spacing w:line="218" w:lineRule="auto"/>
              <w:ind w:left="127" w:leftChars="0"/>
              <w:jc w:val="center"/>
              <w:textAlignment w:val="baseline"/>
              <w:rPr>
                <w:rFonts w:ascii="仿宋" w:hAnsi="仿宋" w:eastAsia="仿宋" w:cs="仿宋"/>
                <w:kern w:val="2"/>
                <w:sz w:val="22"/>
                <w:szCs w:val="22"/>
                <w:lang w:val="en-US" w:eastAsia="zh-CN" w:bidi="ar-SA"/>
              </w:rPr>
            </w:pPr>
            <w:r>
              <w:rPr>
                <w:rFonts w:ascii="Arial" w:hAnsi="Arial" w:eastAsia="Arial" w:cs="Arial"/>
                <w:spacing w:val="-4"/>
                <w:sz w:val="22"/>
                <w:szCs w:val="22"/>
              </w:rPr>
              <w:t>1</w:t>
            </w:r>
            <w:r>
              <w:rPr>
                <w:rFonts w:ascii="Arial" w:hAnsi="Arial" w:eastAsia="Arial" w:cs="Arial"/>
                <w:spacing w:val="-3"/>
                <w:sz w:val="22"/>
                <w:szCs w:val="22"/>
              </w:rPr>
              <w:t>991</w:t>
            </w:r>
            <w:r>
              <w:rPr>
                <w:rFonts w:ascii="仿宋" w:hAnsi="仿宋" w:eastAsia="仿宋" w:cs="仿宋"/>
                <w:spacing w:val="-3"/>
                <w:sz w:val="22"/>
                <w:szCs w:val="22"/>
              </w:rPr>
              <w:t>年</w:t>
            </w:r>
          </w:p>
        </w:tc>
        <w:tc>
          <w:tcPr>
            <w:tcW w:w="992" w:type="dxa"/>
            <w:tcBorders>
              <w:tl2br w:val="nil"/>
              <w:tr2bl w:val="nil"/>
            </w:tcBorders>
            <w:noWrap w:val="0"/>
            <w:vAlign w:val="top"/>
          </w:tcPr>
          <w:p w14:paraId="49459838">
            <w:pPr>
              <w:keepNext w:val="0"/>
              <w:keepLines w:val="0"/>
              <w:pageBreakBefore w:val="0"/>
              <w:widowControl w:val="0"/>
              <w:kinsoku/>
              <w:wordWrap/>
              <w:overflowPunct/>
              <w:topLinePunct/>
              <w:autoSpaceDE/>
              <w:autoSpaceDN/>
              <w:bidi w:val="0"/>
              <w:adjustRightInd w:val="0"/>
              <w:snapToGrid w:val="0"/>
              <w:spacing w:line="302" w:lineRule="auto"/>
              <w:jc w:val="center"/>
              <w:textAlignment w:val="baseline"/>
              <w:rPr>
                <w:rFonts w:ascii="Arial"/>
                <w:sz w:val="21"/>
              </w:rPr>
            </w:pPr>
          </w:p>
          <w:p w14:paraId="784F215F">
            <w:pPr>
              <w:keepNext w:val="0"/>
              <w:keepLines w:val="0"/>
              <w:pageBreakBefore w:val="0"/>
              <w:widowControl w:val="0"/>
              <w:kinsoku/>
              <w:wordWrap/>
              <w:overflowPunct/>
              <w:topLinePunct/>
              <w:autoSpaceDE/>
              <w:autoSpaceDN/>
              <w:bidi w:val="0"/>
              <w:adjustRightInd w:val="0"/>
              <w:snapToGrid w:val="0"/>
              <w:spacing w:line="219" w:lineRule="auto"/>
              <w:ind w:left="119" w:leftChars="0"/>
              <w:jc w:val="center"/>
              <w:textAlignment w:val="baseline"/>
              <w:rPr>
                <w:rFonts w:ascii="仿宋" w:hAnsi="仿宋" w:eastAsia="仿宋" w:cs="仿宋"/>
                <w:kern w:val="2"/>
                <w:sz w:val="22"/>
                <w:szCs w:val="22"/>
                <w:lang w:val="en-US" w:eastAsia="zh-CN" w:bidi="ar-SA"/>
              </w:rPr>
            </w:pPr>
            <w:r>
              <w:rPr>
                <w:rFonts w:ascii="仿宋" w:hAnsi="仿宋" w:eastAsia="仿宋" w:cs="仿宋"/>
                <w:spacing w:val="-8"/>
                <w:sz w:val="22"/>
                <w:szCs w:val="22"/>
              </w:rPr>
              <w:t>英</w:t>
            </w:r>
            <w:r>
              <w:rPr>
                <w:rFonts w:ascii="仿宋" w:hAnsi="仿宋" w:eastAsia="仿宋" w:cs="仿宋"/>
                <w:spacing w:val="-7"/>
                <w:sz w:val="22"/>
                <w:szCs w:val="22"/>
              </w:rPr>
              <w:t>国</w:t>
            </w:r>
          </w:p>
        </w:tc>
        <w:tc>
          <w:tcPr>
            <w:tcW w:w="1558" w:type="dxa"/>
            <w:tcBorders>
              <w:tl2br w:val="nil"/>
              <w:tr2bl w:val="nil"/>
            </w:tcBorders>
            <w:noWrap w:val="0"/>
            <w:vAlign w:val="top"/>
          </w:tcPr>
          <w:p w14:paraId="4C1E06A1">
            <w:pPr>
              <w:keepNext w:val="0"/>
              <w:keepLines w:val="0"/>
              <w:pageBreakBefore w:val="0"/>
              <w:widowControl w:val="0"/>
              <w:kinsoku/>
              <w:wordWrap/>
              <w:overflowPunct/>
              <w:topLinePunct/>
              <w:autoSpaceDE/>
              <w:autoSpaceDN/>
              <w:bidi w:val="0"/>
              <w:adjustRightInd w:val="0"/>
              <w:snapToGrid w:val="0"/>
              <w:spacing w:line="242" w:lineRule="auto"/>
              <w:ind w:left="120" w:leftChars="0" w:right="103" w:rightChars="0" w:firstLine="7" w:firstLineChars="0"/>
              <w:jc w:val="center"/>
              <w:textAlignment w:val="baseline"/>
              <w:rPr>
                <w:rFonts w:ascii="仿宋" w:hAnsi="仿宋" w:eastAsia="仿宋" w:cs="仿宋"/>
                <w:kern w:val="2"/>
                <w:sz w:val="22"/>
                <w:szCs w:val="22"/>
                <w:lang w:val="en-US" w:eastAsia="zh-CN" w:bidi="ar-SA"/>
              </w:rPr>
            </w:pPr>
            <w:r>
              <w:rPr>
                <w:rFonts w:ascii="仿宋" w:hAnsi="仿宋" w:eastAsia="仿宋" w:cs="仿宋"/>
                <w:spacing w:val="1"/>
                <w:sz w:val="22"/>
                <w:szCs w:val="22"/>
              </w:rPr>
              <w:t>生</w:t>
            </w:r>
            <w:r>
              <w:rPr>
                <w:rFonts w:ascii="仿宋" w:hAnsi="仿宋" w:eastAsia="仿宋" w:cs="仿宋"/>
                <w:sz w:val="22"/>
                <w:szCs w:val="22"/>
              </w:rPr>
              <w:t>命科学、信</w:t>
            </w:r>
            <w:r>
              <w:rPr>
                <w:rFonts w:ascii="仿宋" w:hAnsi="仿宋" w:eastAsia="仿宋" w:cs="仿宋"/>
                <w:spacing w:val="2"/>
                <w:sz w:val="22"/>
                <w:szCs w:val="22"/>
              </w:rPr>
              <w:t>息技</w:t>
            </w:r>
            <w:r>
              <w:rPr>
                <w:rFonts w:ascii="仿宋" w:hAnsi="仿宋" w:eastAsia="仿宋" w:cs="仿宋"/>
                <w:spacing w:val="1"/>
                <w:sz w:val="22"/>
                <w:szCs w:val="22"/>
              </w:rPr>
              <w:t>术、新能</w:t>
            </w:r>
            <w:r>
              <w:rPr>
                <w:rFonts w:ascii="仿宋" w:hAnsi="仿宋" w:eastAsia="仿宋" w:cs="仿宋"/>
                <w:spacing w:val="-4"/>
                <w:sz w:val="22"/>
                <w:szCs w:val="22"/>
              </w:rPr>
              <w:t>源、</w:t>
            </w:r>
            <w:r>
              <w:rPr>
                <w:rFonts w:ascii="仿宋" w:hAnsi="仿宋" w:eastAsia="仿宋" w:cs="仿宋"/>
                <w:spacing w:val="-2"/>
                <w:sz w:val="22"/>
                <w:szCs w:val="22"/>
              </w:rPr>
              <w:t>数字化</w:t>
            </w:r>
          </w:p>
        </w:tc>
        <w:tc>
          <w:tcPr>
            <w:tcW w:w="1417" w:type="dxa"/>
            <w:tcBorders>
              <w:tl2br w:val="nil"/>
              <w:tr2bl w:val="nil"/>
            </w:tcBorders>
            <w:noWrap w:val="0"/>
            <w:vAlign w:val="top"/>
          </w:tcPr>
          <w:p w14:paraId="1CB88AD6">
            <w:pPr>
              <w:keepNext w:val="0"/>
              <w:keepLines w:val="0"/>
              <w:pageBreakBefore w:val="0"/>
              <w:widowControl w:val="0"/>
              <w:kinsoku/>
              <w:wordWrap/>
              <w:overflowPunct/>
              <w:topLinePunct/>
              <w:autoSpaceDE/>
              <w:autoSpaceDN/>
              <w:bidi w:val="0"/>
              <w:adjustRightInd w:val="0"/>
              <w:snapToGrid w:val="0"/>
              <w:spacing w:line="254" w:lineRule="auto"/>
              <w:ind w:right="104" w:rightChars="0"/>
              <w:jc w:val="center"/>
              <w:textAlignment w:val="baseline"/>
              <w:rPr>
                <w:rFonts w:ascii="仿宋" w:hAnsi="仿宋" w:eastAsia="仿宋" w:cs="仿宋"/>
                <w:kern w:val="2"/>
                <w:sz w:val="22"/>
                <w:szCs w:val="22"/>
                <w:lang w:val="en-US" w:eastAsia="zh-CN" w:bidi="ar-SA"/>
              </w:rPr>
            </w:pPr>
            <w:r>
              <w:rPr>
                <w:rFonts w:ascii="仿宋" w:hAnsi="仿宋" w:eastAsia="仿宋" w:cs="仿宋"/>
                <w:spacing w:val="15"/>
                <w:sz w:val="22"/>
                <w:szCs w:val="22"/>
              </w:rPr>
              <w:t>以</w:t>
            </w:r>
            <w:r>
              <w:rPr>
                <w:rFonts w:ascii="仿宋" w:hAnsi="仿宋" w:eastAsia="仿宋" w:cs="仿宋"/>
                <w:spacing w:val="12"/>
                <w:sz w:val="22"/>
                <w:szCs w:val="22"/>
              </w:rPr>
              <w:t>牛津大学</w:t>
            </w:r>
            <w:r>
              <w:rPr>
                <w:rFonts w:ascii="仿宋" w:hAnsi="仿宋" w:eastAsia="仿宋" w:cs="仿宋"/>
                <w:spacing w:val="-4"/>
                <w:sz w:val="22"/>
                <w:szCs w:val="22"/>
              </w:rPr>
              <w:t>为建</w:t>
            </w:r>
            <w:r>
              <w:rPr>
                <w:rFonts w:ascii="仿宋" w:hAnsi="仿宋" w:eastAsia="仿宋" w:cs="仿宋"/>
                <w:spacing w:val="-2"/>
                <w:sz w:val="22"/>
                <w:szCs w:val="22"/>
              </w:rPr>
              <w:t>设基础</w:t>
            </w:r>
          </w:p>
        </w:tc>
        <w:tc>
          <w:tcPr>
            <w:tcW w:w="1558" w:type="dxa"/>
            <w:tcBorders>
              <w:tl2br w:val="nil"/>
              <w:tr2bl w:val="nil"/>
            </w:tcBorders>
            <w:noWrap w:val="0"/>
            <w:vAlign w:val="top"/>
          </w:tcPr>
          <w:p w14:paraId="64B304FE">
            <w:pPr>
              <w:keepNext w:val="0"/>
              <w:keepLines w:val="0"/>
              <w:pageBreakBefore w:val="0"/>
              <w:widowControl w:val="0"/>
              <w:kinsoku/>
              <w:wordWrap/>
              <w:overflowPunct/>
              <w:topLinePunct/>
              <w:autoSpaceDE/>
              <w:autoSpaceDN/>
              <w:bidi w:val="0"/>
              <w:adjustRightInd w:val="0"/>
              <w:snapToGrid w:val="0"/>
              <w:spacing w:line="303" w:lineRule="auto"/>
              <w:jc w:val="center"/>
              <w:textAlignment w:val="baseline"/>
              <w:rPr>
                <w:rFonts w:ascii="Arial"/>
                <w:sz w:val="21"/>
              </w:rPr>
            </w:pPr>
          </w:p>
          <w:p w14:paraId="0D6C9B47">
            <w:pPr>
              <w:keepNext w:val="0"/>
              <w:keepLines w:val="0"/>
              <w:pageBreakBefore w:val="0"/>
              <w:widowControl w:val="0"/>
              <w:kinsoku/>
              <w:wordWrap/>
              <w:overflowPunct/>
              <w:topLinePunct/>
              <w:autoSpaceDE/>
              <w:autoSpaceDN/>
              <w:bidi w:val="0"/>
              <w:adjustRightInd w:val="0"/>
              <w:snapToGrid w:val="0"/>
              <w:spacing w:line="217" w:lineRule="auto"/>
              <w:ind w:left="113" w:leftChars="0"/>
              <w:jc w:val="center"/>
              <w:textAlignment w:val="baseline"/>
              <w:rPr>
                <w:rFonts w:ascii="仿宋" w:hAnsi="仿宋" w:eastAsia="仿宋" w:cs="仿宋"/>
                <w:kern w:val="2"/>
                <w:sz w:val="22"/>
                <w:szCs w:val="22"/>
                <w:lang w:val="en-US" w:eastAsia="zh-CN" w:bidi="ar-SA"/>
              </w:rPr>
            </w:pPr>
            <w:r>
              <w:rPr>
                <w:rFonts w:ascii="仿宋" w:hAnsi="仿宋" w:eastAsia="仿宋" w:cs="仿宋"/>
                <w:spacing w:val="-1"/>
                <w:sz w:val="22"/>
                <w:szCs w:val="22"/>
              </w:rPr>
              <w:t>公路网络发达</w:t>
            </w:r>
          </w:p>
        </w:tc>
        <w:tc>
          <w:tcPr>
            <w:tcW w:w="1577" w:type="dxa"/>
            <w:tcBorders>
              <w:tl2br w:val="nil"/>
              <w:tr2bl w:val="nil"/>
            </w:tcBorders>
            <w:noWrap w:val="0"/>
            <w:vAlign w:val="top"/>
          </w:tcPr>
          <w:p w14:paraId="39E92CA0">
            <w:pPr>
              <w:keepNext w:val="0"/>
              <w:keepLines w:val="0"/>
              <w:pageBreakBefore w:val="0"/>
              <w:widowControl w:val="0"/>
              <w:kinsoku/>
              <w:wordWrap/>
              <w:overflowPunct/>
              <w:topLinePunct/>
              <w:autoSpaceDE/>
              <w:autoSpaceDN/>
              <w:bidi w:val="0"/>
              <w:adjustRightInd w:val="0"/>
              <w:snapToGrid w:val="0"/>
              <w:spacing w:line="254" w:lineRule="auto"/>
              <w:ind w:right="105" w:rightChars="0"/>
              <w:jc w:val="center"/>
              <w:textAlignment w:val="baseline"/>
              <w:rPr>
                <w:rFonts w:ascii="仿宋" w:hAnsi="仿宋" w:eastAsia="仿宋" w:cs="仿宋"/>
                <w:kern w:val="2"/>
                <w:sz w:val="22"/>
                <w:szCs w:val="22"/>
                <w:lang w:val="en-US" w:eastAsia="zh-CN" w:bidi="ar-SA"/>
              </w:rPr>
            </w:pPr>
            <w:r>
              <w:rPr>
                <w:rFonts w:ascii="仿宋" w:hAnsi="仿宋" w:eastAsia="仿宋" w:cs="仿宋"/>
                <w:spacing w:val="4"/>
                <w:sz w:val="22"/>
                <w:szCs w:val="22"/>
              </w:rPr>
              <w:t>世界顶尖高校</w:t>
            </w:r>
            <w:r>
              <w:rPr>
                <w:rFonts w:ascii="仿宋" w:hAnsi="仿宋" w:eastAsia="仿宋" w:cs="仿宋"/>
                <w:spacing w:val="-4"/>
                <w:sz w:val="22"/>
                <w:szCs w:val="22"/>
              </w:rPr>
              <w:t>为发</w:t>
            </w:r>
            <w:r>
              <w:rPr>
                <w:rFonts w:ascii="仿宋" w:hAnsi="仿宋" w:eastAsia="仿宋" w:cs="仿宋"/>
                <w:spacing w:val="-2"/>
                <w:sz w:val="22"/>
                <w:szCs w:val="22"/>
              </w:rPr>
              <w:t>展基础</w:t>
            </w:r>
          </w:p>
        </w:tc>
      </w:tr>
      <w:tr w14:paraId="580630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1CCD742E">
            <w:pPr>
              <w:keepNext w:val="0"/>
              <w:keepLines w:val="0"/>
              <w:pageBreakBefore w:val="0"/>
              <w:widowControl w:val="0"/>
              <w:kinsoku/>
              <w:wordWrap/>
              <w:overflowPunct/>
              <w:topLinePunct/>
              <w:autoSpaceDE/>
              <w:autoSpaceDN/>
              <w:bidi w:val="0"/>
              <w:adjustRightInd w:val="0"/>
              <w:snapToGrid w:val="0"/>
              <w:spacing w:line="305" w:lineRule="auto"/>
              <w:jc w:val="center"/>
              <w:textAlignment w:val="baseline"/>
              <w:rPr>
                <w:rFonts w:ascii="Arial"/>
                <w:sz w:val="21"/>
              </w:rPr>
            </w:pPr>
          </w:p>
          <w:p w14:paraId="50619AC2">
            <w:pPr>
              <w:keepNext w:val="0"/>
              <w:keepLines w:val="0"/>
              <w:pageBreakBefore w:val="0"/>
              <w:widowControl w:val="0"/>
              <w:kinsoku/>
              <w:wordWrap/>
              <w:overflowPunct/>
              <w:topLinePunct/>
              <w:autoSpaceDE/>
              <w:autoSpaceDN/>
              <w:bidi w:val="0"/>
              <w:adjustRightInd w:val="0"/>
              <w:snapToGrid w:val="0"/>
              <w:spacing w:line="254" w:lineRule="auto"/>
              <w:ind w:left="117" w:leftChars="0" w:right="107" w:rightChars="0" w:hanging="2" w:firstLineChars="0"/>
              <w:jc w:val="center"/>
              <w:textAlignment w:val="baseline"/>
              <w:rPr>
                <w:rFonts w:ascii="仿宋" w:hAnsi="仿宋" w:eastAsia="仿宋" w:cs="仿宋"/>
                <w:spacing w:val="-4"/>
                <w:sz w:val="22"/>
                <w:szCs w:val="22"/>
              </w:rPr>
            </w:pPr>
            <w:r>
              <w:rPr>
                <w:rFonts w:ascii="仿宋" w:hAnsi="仿宋" w:eastAsia="仿宋" w:cs="仿宋"/>
                <w:spacing w:val="17"/>
                <w:sz w:val="22"/>
                <w:szCs w:val="22"/>
              </w:rPr>
              <w:t>埃</w:t>
            </w:r>
            <w:r>
              <w:rPr>
                <w:rFonts w:ascii="仿宋" w:hAnsi="仿宋" w:eastAsia="仿宋" w:cs="仿宋"/>
                <w:spacing w:val="14"/>
                <w:sz w:val="22"/>
                <w:szCs w:val="22"/>
              </w:rPr>
              <w:t>因霍温高科</w:t>
            </w:r>
            <w:r>
              <w:rPr>
                <w:rFonts w:ascii="仿宋" w:hAnsi="仿宋" w:eastAsia="仿宋" w:cs="仿宋"/>
                <w:spacing w:val="-4"/>
                <w:sz w:val="22"/>
                <w:szCs w:val="22"/>
              </w:rPr>
              <w:t>技</w:t>
            </w:r>
            <w:r>
              <w:rPr>
                <w:rFonts w:ascii="仿宋" w:hAnsi="仿宋" w:eastAsia="仿宋" w:cs="仿宋"/>
                <w:spacing w:val="-3"/>
                <w:sz w:val="22"/>
                <w:szCs w:val="22"/>
              </w:rPr>
              <w:t>园区</w:t>
            </w:r>
          </w:p>
        </w:tc>
        <w:tc>
          <w:tcPr>
            <w:tcW w:w="1133" w:type="dxa"/>
            <w:tcBorders>
              <w:tl2br w:val="nil"/>
              <w:tr2bl w:val="nil"/>
            </w:tcBorders>
            <w:noWrap w:val="0"/>
            <w:vAlign w:val="top"/>
          </w:tcPr>
          <w:p w14:paraId="172BCBEE">
            <w:pPr>
              <w:keepNext w:val="0"/>
              <w:keepLines w:val="0"/>
              <w:pageBreakBefore w:val="0"/>
              <w:widowControl w:val="0"/>
              <w:kinsoku/>
              <w:wordWrap/>
              <w:overflowPunct/>
              <w:topLinePunct/>
              <w:autoSpaceDE/>
              <w:autoSpaceDN/>
              <w:bidi w:val="0"/>
              <w:adjustRightInd w:val="0"/>
              <w:snapToGrid w:val="0"/>
              <w:spacing w:line="445" w:lineRule="auto"/>
              <w:jc w:val="center"/>
              <w:textAlignment w:val="baseline"/>
              <w:rPr>
                <w:rFonts w:ascii="Arial"/>
                <w:sz w:val="21"/>
              </w:rPr>
            </w:pPr>
          </w:p>
          <w:p w14:paraId="3A51BC89">
            <w:pPr>
              <w:keepNext w:val="0"/>
              <w:keepLines w:val="0"/>
              <w:pageBreakBefore w:val="0"/>
              <w:widowControl w:val="0"/>
              <w:kinsoku/>
              <w:wordWrap/>
              <w:overflowPunct/>
              <w:topLinePunct/>
              <w:autoSpaceDE/>
              <w:autoSpaceDN/>
              <w:bidi w:val="0"/>
              <w:adjustRightInd w:val="0"/>
              <w:snapToGrid w:val="0"/>
              <w:spacing w:line="218" w:lineRule="auto"/>
              <w:ind w:left="110" w:leftChars="0"/>
              <w:jc w:val="center"/>
              <w:textAlignment w:val="baseline"/>
              <w:rPr>
                <w:rFonts w:ascii="Arial" w:hAnsi="Arial" w:eastAsia="Arial" w:cs="Arial"/>
                <w:spacing w:val="-4"/>
                <w:sz w:val="22"/>
                <w:szCs w:val="22"/>
              </w:rPr>
            </w:pPr>
            <w:r>
              <w:rPr>
                <w:rFonts w:ascii="Arial" w:hAnsi="Arial" w:eastAsia="Arial" w:cs="Arial"/>
                <w:spacing w:val="-1"/>
                <w:sz w:val="22"/>
                <w:szCs w:val="22"/>
              </w:rPr>
              <w:t>2</w:t>
            </w:r>
            <w:r>
              <w:rPr>
                <w:rFonts w:ascii="Arial" w:hAnsi="Arial" w:eastAsia="Arial" w:cs="Arial"/>
                <w:sz w:val="22"/>
                <w:szCs w:val="22"/>
              </w:rPr>
              <w:t>003</w:t>
            </w:r>
            <w:r>
              <w:rPr>
                <w:rFonts w:ascii="仿宋" w:hAnsi="仿宋" w:eastAsia="仿宋" w:cs="仿宋"/>
                <w:sz w:val="22"/>
                <w:szCs w:val="22"/>
              </w:rPr>
              <w:t>年</w:t>
            </w:r>
          </w:p>
        </w:tc>
        <w:tc>
          <w:tcPr>
            <w:tcW w:w="992" w:type="dxa"/>
            <w:tcBorders>
              <w:tl2br w:val="nil"/>
              <w:tr2bl w:val="nil"/>
            </w:tcBorders>
            <w:noWrap w:val="0"/>
            <w:vAlign w:val="top"/>
          </w:tcPr>
          <w:p w14:paraId="5DAFED60">
            <w:pPr>
              <w:keepNext w:val="0"/>
              <w:keepLines w:val="0"/>
              <w:pageBreakBefore w:val="0"/>
              <w:widowControl w:val="0"/>
              <w:kinsoku/>
              <w:wordWrap/>
              <w:overflowPunct/>
              <w:topLinePunct/>
              <w:autoSpaceDE/>
              <w:autoSpaceDN/>
              <w:bidi w:val="0"/>
              <w:adjustRightInd w:val="0"/>
              <w:snapToGrid w:val="0"/>
              <w:spacing w:line="445" w:lineRule="auto"/>
              <w:jc w:val="center"/>
              <w:textAlignment w:val="baseline"/>
              <w:rPr>
                <w:rFonts w:ascii="Arial"/>
                <w:sz w:val="21"/>
              </w:rPr>
            </w:pPr>
          </w:p>
          <w:p w14:paraId="1235F5B5">
            <w:pPr>
              <w:keepNext w:val="0"/>
              <w:keepLines w:val="0"/>
              <w:pageBreakBefore w:val="0"/>
              <w:widowControl w:val="0"/>
              <w:kinsoku/>
              <w:wordWrap/>
              <w:overflowPunct/>
              <w:topLinePunct/>
              <w:autoSpaceDE/>
              <w:autoSpaceDN/>
              <w:bidi w:val="0"/>
              <w:adjustRightInd w:val="0"/>
              <w:snapToGrid w:val="0"/>
              <w:spacing w:line="217" w:lineRule="auto"/>
              <w:ind w:left="108" w:leftChars="0"/>
              <w:jc w:val="center"/>
              <w:textAlignment w:val="baseline"/>
              <w:rPr>
                <w:rFonts w:ascii="仿宋" w:hAnsi="仿宋" w:eastAsia="仿宋" w:cs="仿宋"/>
                <w:spacing w:val="-8"/>
                <w:sz w:val="22"/>
                <w:szCs w:val="22"/>
              </w:rPr>
            </w:pPr>
            <w:r>
              <w:rPr>
                <w:rFonts w:ascii="仿宋" w:hAnsi="仿宋" w:eastAsia="仿宋" w:cs="仿宋"/>
                <w:spacing w:val="-2"/>
                <w:sz w:val="22"/>
                <w:szCs w:val="22"/>
              </w:rPr>
              <w:t>荷</w:t>
            </w:r>
            <w:r>
              <w:rPr>
                <w:rFonts w:ascii="仿宋" w:hAnsi="仿宋" w:eastAsia="仿宋" w:cs="仿宋"/>
                <w:spacing w:val="-1"/>
                <w:sz w:val="22"/>
                <w:szCs w:val="22"/>
              </w:rPr>
              <w:t>兰</w:t>
            </w:r>
          </w:p>
        </w:tc>
        <w:tc>
          <w:tcPr>
            <w:tcW w:w="1558" w:type="dxa"/>
            <w:tcBorders>
              <w:tl2br w:val="nil"/>
              <w:tr2bl w:val="nil"/>
            </w:tcBorders>
            <w:noWrap w:val="0"/>
            <w:vAlign w:val="top"/>
          </w:tcPr>
          <w:p w14:paraId="2F5236D2">
            <w:pPr>
              <w:keepNext w:val="0"/>
              <w:keepLines w:val="0"/>
              <w:pageBreakBefore w:val="0"/>
              <w:widowControl w:val="0"/>
              <w:kinsoku/>
              <w:wordWrap/>
              <w:overflowPunct/>
              <w:topLinePunct/>
              <w:autoSpaceDE/>
              <w:autoSpaceDN/>
              <w:bidi w:val="0"/>
              <w:adjustRightInd w:val="0"/>
              <w:snapToGrid w:val="0"/>
              <w:spacing w:line="242" w:lineRule="auto"/>
              <w:ind w:left="119" w:leftChars="0" w:right="103" w:rightChars="0" w:firstLine="19" w:firstLineChars="0"/>
              <w:jc w:val="center"/>
              <w:textAlignment w:val="baseline"/>
              <w:rPr>
                <w:rFonts w:ascii="仿宋" w:hAnsi="仿宋" w:eastAsia="仿宋" w:cs="仿宋"/>
                <w:spacing w:val="1"/>
                <w:sz w:val="22"/>
                <w:szCs w:val="22"/>
              </w:rPr>
            </w:pPr>
            <w:r>
              <w:rPr>
                <w:rFonts w:ascii="仿宋" w:hAnsi="仿宋" w:eastAsia="仿宋" w:cs="仿宋"/>
                <w:spacing w:val="-2"/>
                <w:sz w:val="22"/>
                <w:szCs w:val="22"/>
              </w:rPr>
              <w:t>电子电气、</w:t>
            </w:r>
            <w:r>
              <w:rPr>
                <w:rFonts w:ascii="仿宋" w:hAnsi="仿宋" w:eastAsia="仿宋" w:cs="仿宋"/>
                <w:spacing w:val="-1"/>
                <w:sz w:val="22"/>
                <w:szCs w:val="22"/>
              </w:rPr>
              <w:t>纳</w:t>
            </w:r>
            <w:r>
              <w:rPr>
                <w:rFonts w:ascii="仿宋" w:hAnsi="仿宋" w:eastAsia="仿宋" w:cs="仿宋"/>
                <w:spacing w:val="-17"/>
                <w:sz w:val="22"/>
                <w:szCs w:val="22"/>
              </w:rPr>
              <w:t>米</w:t>
            </w:r>
            <w:r>
              <w:rPr>
                <w:rFonts w:ascii="仿宋" w:hAnsi="仿宋" w:eastAsia="仿宋" w:cs="仿宋"/>
                <w:spacing w:val="-14"/>
                <w:sz w:val="22"/>
                <w:szCs w:val="22"/>
              </w:rPr>
              <w:t>科技、自控</w:t>
            </w:r>
            <w:r>
              <w:rPr>
                <w:rFonts w:ascii="仿宋" w:hAnsi="仿宋" w:eastAsia="仿宋" w:cs="仿宋"/>
                <w:spacing w:val="2"/>
                <w:sz w:val="22"/>
                <w:szCs w:val="22"/>
              </w:rPr>
              <w:t>系统、</w:t>
            </w:r>
            <w:r>
              <w:rPr>
                <w:rFonts w:ascii="仿宋" w:hAnsi="仿宋" w:eastAsia="仿宋" w:cs="仿宋"/>
                <w:spacing w:val="1"/>
                <w:sz w:val="22"/>
                <w:szCs w:val="22"/>
              </w:rPr>
              <w:t>生命科</w:t>
            </w:r>
            <w:r>
              <w:rPr>
                <w:rFonts w:ascii="仿宋" w:hAnsi="仿宋" w:eastAsia="仿宋" w:cs="仿宋"/>
                <w:sz w:val="22"/>
                <w:szCs w:val="22"/>
              </w:rPr>
              <w:t>学</w:t>
            </w:r>
          </w:p>
        </w:tc>
        <w:tc>
          <w:tcPr>
            <w:tcW w:w="1417" w:type="dxa"/>
            <w:tcBorders>
              <w:tl2br w:val="nil"/>
              <w:tr2bl w:val="nil"/>
            </w:tcBorders>
            <w:noWrap w:val="0"/>
            <w:vAlign w:val="top"/>
          </w:tcPr>
          <w:p w14:paraId="3EE93E9E">
            <w:pPr>
              <w:keepNext w:val="0"/>
              <w:keepLines w:val="0"/>
              <w:pageBreakBefore w:val="0"/>
              <w:widowControl w:val="0"/>
              <w:kinsoku/>
              <w:wordWrap/>
              <w:overflowPunct/>
              <w:topLinePunct/>
              <w:autoSpaceDE/>
              <w:autoSpaceDN/>
              <w:bidi w:val="0"/>
              <w:adjustRightInd w:val="0"/>
              <w:snapToGrid w:val="0"/>
              <w:spacing w:line="305" w:lineRule="auto"/>
              <w:jc w:val="center"/>
              <w:textAlignment w:val="baseline"/>
              <w:rPr>
                <w:rFonts w:ascii="Arial"/>
                <w:sz w:val="21"/>
              </w:rPr>
            </w:pPr>
          </w:p>
          <w:p w14:paraId="5540F862">
            <w:pPr>
              <w:keepNext w:val="0"/>
              <w:keepLines w:val="0"/>
              <w:pageBreakBefore w:val="0"/>
              <w:widowControl w:val="0"/>
              <w:kinsoku/>
              <w:wordWrap/>
              <w:overflowPunct/>
              <w:topLinePunct/>
              <w:autoSpaceDE/>
              <w:autoSpaceDN/>
              <w:bidi w:val="0"/>
              <w:adjustRightInd w:val="0"/>
              <w:snapToGrid w:val="0"/>
              <w:spacing w:line="258" w:lineRule="auto"/>
              <w:ind w:left="124" w:leftChars="0" w:right="104" w:rightChars="0" w:hanging="15" w:firstLineChars="0"/>
              <w:jc w:val="center"/>
              <w:textAlignment w:val="baseline"/>
              <w:rPr>
                <w:rFonts w:ascii="仿宋" w:hAnsi="仿宋" w:eastAsia="仿宋" w:cs="仿宋"/>
                <w:spacing w:val="15"/>
                <w:sz w:val="22"/>
                <w:szCs w:val="22"/>
              </w:rPr>
            </w:pPr>
            <w:r>
              <w:rPr>
                <w:rFonts w:ascii="仿宋" w:hAnsi="仿宋" w:eastAsia="仿宋" w:cs="仿宋"/>
                <w:spacing w:val="21"/>
                <w:sz w:val="22"/>
                <w:szCs w:val="22"/>
              </w:rPr>
              <w:t>位</w:t>
            </w:r>
            <w:r>
              <w:rPr>
                <w:rFonts w:ascii="仿宋" w:hAnsi="仿宋" w:eastAsia="仿宋" w:cs="仿宋"/>
                <w:spacing w:val="19"/>
                <w:sz w:val="22"/>
                <w:szCs w:val="22"/>
              </w:rPr>
              <w:t>于埃因霍</w:t>
            </w:r>
            <w:r>
              <w:rPr>
                <w:rFonts w:ascii="仿宋" w:hAnsi="仿宋" w:eastAsia="仿宋" w:cs="仿宋"/>
                <w:sz w:val="22"/>
                <w:szCs w:val="22"/>
              </w:rPr>
              <w:t>温</w:t>
            </w:r>
          </w:p>
        </w:tc>
        <w:tc>
          <w:tcPr>
            <w:tcW w:w="1558" w:type="dxa"/>
            <w:tcBorders>
              <w:tl2br w:val="nil"/>
              <w:tr2bl w:val="nil"/>
            </w:tcBorders>
            <w:noWrap w:val="0"/>
            <w:vAlign w:val="top"/>
          </w:tcPr>
          <w:p w14:paraId="5A37D6FC">
            <w:pPr>
              <w:keepNext w:val="0"/>
              <w:keepLines w:val="0"/>
              <w:pageBreakBefore w:val="0"/>
              <w:widowControl w:val="0"/>
              <w:kinsoku/>
              <w:wordWrap/>
              <w:overflowPunct/>
              <w:topLinePunct/>
              <w:autoSpaceDE/>
              <w:autoSpaceDN/>
              <w:bidi w:val="0"/>
              <w:adjustRightInd w:val="0"/>
              <w:snapToGrid w:val="0"/>
              <w:spacing w:line="446" w:lineRule="auto"/>
              <w:jc w:val="center"/>
              <w:textAlignment w:val="baseline"/>
              <w:rPr>
                <w:rFonts w:ascii="Arial"/>
                <w:sz w:val="21"/>
              </w:rPr>
            </w:pPr>
          </w:p>
          <w:p w14:paraId="3509BDAE">
            <w:pPr>
              <w:keepNext w:val="0"/>
              <w:keepLines w:val="0"/>
              <w:pageBreakBefore w:val="0"/>
              <w:widowControl w:val="0"/>
              <w:kinsoku/>
              <w:wordWrap/>
              <w:overflowPunct/>
              <w:topLinePunct/>
              <w:autoSpaceDE/>
              <w:autoSpaceDN/>
              <w:bidi w:val="0"/>
              <w:adjustRightInd w:val="0"/>
              <w:snapToGrid w:val="0"/>
              <w:spacing w:line="217" w:lineRule="auto"/>
              <w:ind w:left="113" w:leftChars="0"/>
              <w:jc w:val="center"/>
              <w:textAlignment w:val="baseline"/>
              <w:rPr>
                <w:rFonts w:ascii="仿宋" w:hAnsi="仿宋" w:eastAsia="仿宋" w:cs="仿宋"/>
                <w:spacing w:val="-1"/>
                <w:sz w:val="22"/>
                <w:szCs w:val="22"/>
              </w:rPr>
            </w:pPr>
            <w:r>
              <w:rPr>
                <w:rFonts w:ascii="仿宋" w:hAnsi="仿宋" w:eastAsia="仿宋" w:cs="仿宋"/>
                <w:spacing w:val="-1"/>
                <w:sz w:val="22"/>
                <w:szCs w:val="22"/>
              </w:rPr>
              <w:t>公路网络发达</w:t>
            </w:r>
          </w:p>
        </w:tc>
        <w:tc>
          <w:tcPr>
            <w:tcW w:w="1577" w:type="dxa"/>
            <w:tcBorders>
              <w:tl2br w:val="nil"/>
              <w:tr2bl w:val="nil"/>
            </w:tcBorders>
            <w:noWrap w:val="0"/>
            <w:vAlign w:val="top"/>
          </w:tcPr>
          <w:p w14:paraId="4EDCF300">
            <w:pPr>
              <w:keepNext w:val="0"/>
              <w:keepLines w:val="0"/>
              <w:pageBreakBefore w:val="0"/>
              <w:widowControl w:val="0"/>
              <w:kinsoku/>
              <w:wordWrap/>
              <w:overflowPunct/>
              <w:topLinePunct/>
              <w:autoSpaceDE/>
              <w:autoSpaceDN/>
              <w:bidi w:val="0"/>
              <w:adjustRightInd w:val="0"/>
              <w:snapToGrid w:val="0"/>
              <w:spacing w:line="248" w:lineRule="auto"/>
              <w:ind w:right="105" w:rightChars="0"/>
              <w:jc w:val="center"/>
              <w:textAlignment w:val="baseline"/>
              <w:rPr>
                <w:rFonts w:ascii="仿宋" w:hAnsi="仿宋" w:eastAsia="仿宋" w:cs="仿宋"/>
                <w:spacing w:val="4"/>
                <w:sz w:val="22"/>
                <w:szCs w:val="22"/>
              </w:rPr>
            </w:pPr>
            <w:r>
              <w:rPr>
                <w:rFonts w:ascii="仿宋" w:hAnsi="仿宋" w:eastAsia="仿宋" w:cs="仿宋"/>
                <w:spacing w:val="-25"/>
                <w:sz w:val="22"/>
                <w:szCs w:val="22"/>
              </w:rPr>
              <w:t>研</w:t>
            </w:r>
            <w:r>
              <w:rPr>
                <w:rFonts w:ascii="仿宋" w:hAnsi="仿宋" w:eastAsia="仿宋" w:cs="仿宋"/>
                <w:spacing w:val="-20"/>
                <w:sz w:val="22"/>
                <w:szCs w:val="22"/>
              </w:rPr>
              <w:t>发人员密</w:t>
            </w:r>
            <w:r>
              <w:rPr>
                <w:rFonts w:ascii="仿宋" w:hAnsi="仿宋" w:eastAsia="仿宋" w:cs="仿宋"/>
                <w:spacing w:val="5"/>
                <w:sz w:val="22"/>
                <w:szCs w:val="22"/>
              </w:rPr>
              <w:t>集</w:t>
            </w:r>
            <w:r>
              <w:rPr>
                <w:rFonts w:ascii="仿宋" w:hAnsi="仿宋" w:eastAsia="仿宋" w:cs="仿宋"/>
                <w:spacing w:val="4"/>
                <w:sz w:val="22"/>
                <w:szCs w:val="22"/>
              </w:rPr>
              <w:t>，人员构成</w:t>
            </w:r>
            <w:r>
              <w:rPr>
                <w:rFonts w:ascii="仿宋" w:hAnsi="仿宋" w:eastAsia="仿宋" w:cs="仿宋"/>
                <w:spacing w:val="-6"/>
                <w:sz w:val="22"/>
                <w:szCs w:val="22"/>
              </w:rPr>
              <w:t>多</w:t>
            </w:r>
            <w:r>
              <w:rPr>
                <w:rFonts w:ascii="仿宋" w:hAnsi="仿宋" w:eastAsia="仿宋" w:cs="仿宋"/>
                <w:spacing w:val="-3"/>
                <w:sz w:val="22"/>
                <w:szCs w:val="22"/>
              </w:rPr>
              <w:t>元化</w:t>
            </w:r>
          </w:p>
        </w:tc>
      </w:tr>
      <w:tr w14:paraId="5D6BA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784793F2">
            <w:pPr>
              <w:keepNext w:val="0"/>
              <w:keepLines w:val="0"/>
              <w:pageBreakBefore w:val="0"/>
              <w:widowControl w:val="0"/>
              <w:kinsoku/>
              <w:wordWrap/>
              <w:overflowPunct/>
              <w:topLinePunct/>
              <w:autoSpaceDE/>
              <w:autoSpaceDN/>
              <w:bidi w:val="0"/>
              <w:adjustRightInd w:val="0"/>
              <w:snapToGrid w:val="0"/>
              <w:spacing w:line="305" w:lineRule="auto"/>
              <w:jc w:val="center"/>
              <w:textAlignment w:val="baseline"/>
              <w:rPr>
                <w:rFonts w:ascii="Arial"/>
                <w:sz w:val="21"/>
              </w:rPr>
            </w:pPr>
          </w:p>
          <w:p w14:paraId="2310732A">
            <w:pPr>
              <w:keepNext w:val="0"/>
              <w:keepLines w:val="0"/>
              <w:pageBreakBefore w:val="0"/>
              <w:widowControl w:val="0"/>
              <w:kinsoku/>
              <w:wordWrap/>
              <w:overflowPunct/>
              <w:topLinePunct/>
              <w:autoSpaceDE/>
              <w:autoSpaceDN/>
              <w:bidi w:val="0"/>
              <w:adjustRightInd w:val="0"/>
              <w:snapToGrid w:val="0"/>
              <w:spacing w:line="217" w:lineRule="auto"/>
              <w:ind w:left="111" w:leftChars="0"/>
              <w:jc w:val="center"/>
              <w:textAlignment w:val="baseline"/>
              <w:rPr>
                <w:rFonts w:ascii="仿宋" w:hAnsi="仿宋" w:eastAsia="仿宋" w:cs="仿宋"/>
                <w:spacing w:val="17"/>
                <w:sz w:val="22"/>
                <w:szCs w:val="22"/>
              </w:rPr>
            </w:pPr>
            <w:r>
              <w:rPr>
                <w:rFonts w:ascii="仿宋" w:hAnsi="仿宋" w:eastAsia="仿宋" w:cs="仿宋"/>
                <w:spacing w:val="-1"/>
                <w:sz w:val="22"/>
                <w:szCs w:val="22"/>
              </w:rPr>
              <w:t>基斯塔科</w:t>
            </w:r>
            <w:r>
              <w:rPr>
                <w:rFonts w:ascii="仿宋" w:hAnsi="仿宋" w:eastAsia="仿宋" w:cs="仿宋"/>
                <w:sz w:val="22"/>
                <w:szCs w:val="22"/>
              </w:rPr>
              <w:t>学城</w:t>
            </w:r>
          </w:p>
        </w:tc>
        <w:tc>
          <w:tcPr>
            <w:tcW w:w="1133" w:type="dxa"/>
            <w:tcBorders>
              <w:tl2br w:val="nil"/>
              <w:tr2bl w:val="nil"/>
            </w:tcBorders>
            <w:noWrap w:val="0"/>
            <w:vAlign w:val="top"/>
          </w:tcPr>
          <w:p w14:paraId="163C2D0E">
            <w:pPr>
              <w:keepNext w:val="0"/>
              <w:keepLines w:val="0"/>
              <w:pageBreakBefore w:val="0"/>
              <w:widowControl w:val="0"/>
              <w:kinsoku/>
              <w:wordWrap/>
              <w:overflowPunct/>
              <w:topLinePunct/>
              <w:autoSpaceDE/>
              <w:autoSpaceDN/>
              <w:bidi w:val="0"/>
              <w:adjustRightInd w:val="0"/>
              <w:snapToGrid w:val="0"/>
              <w:spacing w:line="222" w:lineRule="auto"/>
              <w:ind w:left="110"/>
              <w:jc w:val="center"/>
              <w:textAlignment w:val="baseline"/>
              <w:rPr>
                <w:rFonts w:ascii="仿宋" w:hAnsi="仿宋" w:eastAsia="仿宋" w:cs="仿宋"/>
                <w:sz w:val="22"/>
                <w:szCs w:val="22"/>
              </w:rPr>
            </w:pPr>
            <w:r>
              <w:rPr>
                <w:rFonts w:ascii="Arial" w:hAnsi="Arial" w:eastAsia="Arial" w:cs="Arial"/>
                <w:spacing w:val="2"/>
                <w:sz w:val="22"/>
                <w:szCs w:val="22"/>
              </w:rPr>
              <w:t>20</w:t>
            </w:r>
            <w:r>
              <w:rPr>
                <w:rFonts w:ascii="仿宋" w:hAnsi="仿宋" w:eastAsia="仿宋" w:cs="仿宋"/>
                <w:spacing w:val="1"/>
                <w:sz w:val="22"/>
                <w:szCs w:val="22"/>
              </w:rPr>
              <w:t>世纪</w:t>
            </w:r>
          </w:p>
          <w:p w14:paraId="213E622C">
            <w:pPr>
              <w:keepNext w:val="0"/>
              <w:keepLines w:val="0"/>
              <w:pageBreakBefore w:val="0"/>
              <w:widowControl w:val="0"/>
              <w:kinsoku/>
              <w:wordWrap/>
              <w:overflowPunct/>
              <w:topLinePunct/>
              <w:autoSpaceDE/>
              <w:autoSpaceDN/>
              <w:bidi w:val="0"/>
              <w:adjustRightInd w:val="0"/>
              <w:snapToGrid w:val="0"/>
              <w:spacing w:line="218" w:lineRule="auto"/>
              <w:ind w:left="114" w:leftChars="0"/>
              <w:jc w:val="center"/>
              <w:textAlignment w:val="baseline"/>
              <w:rPr>
                <w:rFonts w:ascii="Arial" w:hAnsi="Arial" w:eastAsia="Arial" w:cs="Arial"/>
                <w:spacing w:val="-1"/>
                <w:sz w:val="22"/>
                <w:szCs w:val="22"/>
              </w:rPr>
            </w:pPr>
            <w:r>
              <w:rPr>
                <w:rFonts w:ascii="Arial" w:hAnsi="Arial" w:eastAsia="Arial" w:cs="Arial"/>
                <w:spacing w:val="-3"/>
                <w:sz w:val="22"/>
                <w:szCs w:val="22"/>
              </w:rPr>
              <w:t>70</w:t>
            </w:r>
            <w:r>
              <w:rPr>
                <w:rFonts w:ascii="仿宋" w:hAnsi="仿宋" w:eastAsia="仿宋" w:cs="仿宋"/>
                <w:spacing w:val="-3"/>
                <w:sz w:val="22"/>
                <w:szCs w:val="22"/>
              </w:rPr>
              <w:t>年代</w:t>
            </w:r>
          </w:p>
        </w:tc>
        <w:tc>
          <w:tcPr>
            <w:tcW w:w="992" w:type="dxa"/>
            <w:tcBorders>
              <w:tl2br w:val="nil"/>
              <w:tr2bl w:val="nil"/>
            </w:tcBorders>
            <w:noWrap w:val="0"/>
            <w:vAlign w:val="top"/>
          </w:tcPr>
          <w:p w14:paraId="1AE67BBE">
            <w:pPr>
              <w:keepNext w:val="0"/>
              <w:keepLines w:val="0"/>
              <w:pageBreakBefore w:val="0"/>
              <w:widowControl w:val="0"/>
              <w:kinsoku/>
              <w:wordWrap/>
              <w:overflowPunct/>
              <w:topLinePunct/>
              <w:autoSpaceDE/>
              <w:autoSpaceDN/>
              <w:bidi w:val="0"/>
              <w:adjustRightInd w:val="0"/>
              <w:snapToGrid w:val="0"/>
              <w:spacing w:line="305" w:lineRule="auto"/>
              <w:jc w:val="center"/>
              <w:textAlignment w:val="baseline"/>
              <w:rPr>
                <w:rFonts w:ascii="Arial"/>
                <w:sz w:val="21"/>
              </w:rPr>
            </w:pPr>
          </w:p>
          <w:p w14:paraId="2B416F29">
            <w:pPr>
              <w:keepNext w:val="0"/>
              <w:keepLines w:val="0"/>
              <w:pageBreakBefore w:val="0"/>
              <w:widowControl w:val="0"/>
              <w:kinsoku/>
              <w:wordWrap/>
              <w:overflowPunct/>
              <w:topLinePunct/>
              <w:autoSpaceDE/>
              <w:autoSpaceDN/>
              <w:bidi w:val="0"/>
              <w:adjustRightInd w:val="0"/>
              <w:snapToGrid w:val="0"/>
              <w:spacing w:line="218" w:lineRule="auto"/>
              <w:ind w:left="117" w:leftChars="0"/>
              <w:jc w:val="center"/>
              <w:textAlignment w:val="baseline"/>
              <w:rPr>
                <w:rFonts w:ascii="仿宋" w:hAnsi="仿宋" w:eastAsia="仿宋" w:cs="仿宋"/>
                <w:spacing w:val="-2"/>
                <w:sz w:val="22"/>
                <w:szCs w:val="22"/>
              </w:rPr>
            </w:pPr>
            <w:r>
              <w:rPr>
                <w:rFonts w:ascii="仿宋" w:hAnsi="仿宋" w:eastAsia="仿宋" w:cs="仿宋"/>
                <w:spacing w:val="-7"/>
                <w:sz w:val="22"/>
                <w:szCs w:val="22"/>
              </w:rPr>
              <w:t>瑞</w:t>
            </w:r>
            <w:r>
              <w:rPr>
                <w:rFonts w:ascii="仿宋" w:hAnsi="仿宋" w:eastAsia="仿宋" w:cs="仿宋"/>
                <w:spacing w:val="-6"/>
                <w:sz w:val="22"/>
                <w:szCs w:val="22"/>
              </w:rPr>
              <w:t>典</w:t>
            </w:r>
          </w:p>
        </w:tc>
        <w:tc>
          <w:tcPr>
            <w:tcW w:w="1558" w:type="dxa"/>
            <w:tcBorders>
              <w:tl2br w:val="nil"/>
              <w:tr2bl w:val="nil"/>
            </w:tcBorders>
            <w:noWrap w:val="0"/>
            <w:vAlign w:val="top"/>
          </w:tcPr>
          <w:p w14:paraId="60D072EB">
            <w:pPr>
              <w:keepNext w:val="0"/>
              <w:keepLines w:val="0"/>
              <w:pageBreakBefore w:val="0"/>
              <w:widowControl w:val="0"/>
              <w:kinsoku/>
              <w:wordWrap/>
              <w:overflowPunct/>
              <w:topLinePunct/>
              <w:autoSpaceDE/>
              <w:autoSpaceDN/>
              <w:bidi w:val="0"/>
              <w:adjustRightInd w:val="0"/>
              <w:snapToGrid w:val="0"/>
              <w:spacing w:line="254" w:lineRule="auto"/>
              <w:ind w:left="119" w:leftChars="0" w:right="103" w:rightChars="0"/>
              <w:jc w:val="center"/>
              <w:textAlignment w:val="baseline"/>
              <w:rPr>
                <w:rFonts w:ascii="仿宋" w:hAnsi="仿宋" w:eastAsia="仿宋" w:cs="仿宋"/>
                <w:spacing w:val="-2"/>
                <w:sz w:val="22"/>
                <w:szCs w:val="22"/>
              </w:rPr>
            </w:pPr>
            <w:r>
              <w:rPr>
                <w:rFonts w:hint="eastAsia" w:ascii="仿宋" w:hAnsi="仿宋" w:eastAsia="仿宋" w:cs="仿宋"/>
                <w:spacing w:val="-16"/>
                <w:sz w:val="22"/>
                <w:szCs w:val="22"/>
                <w:lang w:eastAsia="zh-CN"/>
              </w:rPr>
              <w:t>通信</w:t>
            </w:r>
            <w:r>
              <w:rPr>
                <w:rFonts w:ascii="仿宋" w:hAnsi="仿宋" w:eastAsia="仿宋" w:cs="仿宋"/>
                <w:spacing w:val="-14"/>
                <w:sz w:val="22"/>
                <w:szCs w:val="22"/>
              </w:rPr>
              <w:t>技术、电</w:t>
            </w:r>
            <w:r>
              <w:rPr>
                <w:rFonts w:ascii="仿宋" w:hAnsi="仿宋" w:eastAsia="仿宋" w:cs="仿宋"/>
                <w:spacing w:val="-5"/>
                <w:sz w:val="22"/>
                <w:szCs w:val="22"/>
              </w:rPr>
              <w:t>子</w:t>
            </w:r>
            <w:r>
              <w:rPr>
                <w:rFonts w:ascii="仿宋" w:hAnsi="仿宋" w:eastAsia="仿宋" w:cs="仿宋"/>
                <w:spacing w:val="-3"/>
                <w:sz w:val="22"/>
                <w:szCs w:val="22"/>
              </w:rPr>
              <w:t>电气、</w:t>
            </w:r>
          </w:p>
        </w:tc>
        <w:tc>
          <w:tcPr>
            <w:tcW w:w="1417" w:type="dxa"/>
            <w:tcBorders>
              <w:tl2br w:val="nil"/>
              <w:tr2bl w:val="nil"/>
            </w:tcBorders>
            <w:noWrap w:val="0"/>
            <w:vAlign w:val="top"/>
          </w:tcPr>
          <w:p w14:paraId="5C27218D">
            <w:pPr>
              <w:keepNext w:val="0"/>
              <w:keepLines w:val="0"/>
              <w:pageBreakBefore w:val="0"/>
              <w:widowControl w:val="0"/>
              <w:kinsoku/>
              <w:wordWrap/>
              <w:overflowPunct/>
              <w:topLinePunct/>
              <w:autoSpaceDE/>
              <w:autoSpaceDN/>
              <w:bidi w:val="0"/>
              <w:adjustRightInd w:val="0"/>
              <w:snapToGrid w:val="0"/>
              <w:spacing w:line="242" w:lineRule="auto"/>
              <w:ind w:right="104" w:rightChars="0"/>
              <w:jc w:val="center"/>
              <w:textAlignment w:val="baseline"/>
              <w:rPr>
                <w:rFonts w:ascii="仿宋" w:hAnsi="仿宋" w:eastAsia="仿宋" w:cs="仿宋"/>
                <w:spacing w:val="21"/>
                <w:sz w:val="22"/>
                <w:szCs w:val="22"/>
              </w:rPr>
            </w:pPr>
            <w:r>
              <w:rPr>
                <w:rFonts w:ascii="仿宋" w:hAnsi="仿宋" w:eastAsia="仿宋" w:cs="仿宋"/>
                <w:spacing w:val="21"/>
                <w:sz w:val="22"/>
                <w:szCs w:val="22"/>
              </w:rPr>
              <w:t>位</w:t>
            </w:r>
            <w:r>
              <w:rPr>
                <w:rFonts w:ascii="仿宋" w:hAnsi="仿宋" w:eastAsia="仿宋" w:cs="仿宋"/>
                <w:spacing w:val="19"/>
                <w:sz w:val="22"/>
                <w:szCs w:val="22"/>
              </w:rPr>
              <w:t>于斯德哥</w:t>
            </w:r>
            <w:r>
              <w:rPr>
                <w:rFonts w:ascii="仿宋" w:hAnsi="仿宋" w:eastAsia="仿宋" w:cs="仿宋"/>
                <w:spacing w:val="21"/>
                <w:sz w:val="22"/>
                <w:szCs w:val="22"/>
              </w:rPr>
              <w:t>尔</w:t>
            </w:r>
            <w:r>
              <w:rPr>
                <w:rFonts w:ascii="仿宋" w:hAnsi="仿宋" w:eastAsia="仿宋" w:cs="仿宋"/>
                <w:spacing w:val="18"/>
                <w:sz w:val="22"/>
                <w:szCs w:val="22"/>
              </w:rPr>
              <w:t>摩及东南</w:t>
            </w:r>
            <w:r>
              <w:rPr>
                <w:rFonts w:ascii="仿宋" w:hAnsi="仿宋" w:eastAsia="仿宋" w:cs="仿宋"/>
                <w:spacing w:val="-2"/>
                <w:sz w:val="22"/>
                <w:szCs w:val="22"/>
              </w:rPr>
              <w:t>部城市群</w:t>
            </w:r>
          </w:p>
        </w:tc>
        <w:tc>
          <w:tcPr>
            <w:tcW w:w="1558" w:type="dxa"/>
            <w:tcBorders>
              <w:tl2br w:val="nil"/>
              <w:tr2bl w:val="nil"/>
            </w:tcBorders>
            <w:noWrap w:val="0"/>
            <w:vAlign w:val="top"/>
          </w:tcPr>
          <w:p w14:paraId="3C643A3B">
            <w:pPr>
              <w:keepNext w:val="0"/>
              <w:keepLines w:val="0"/>
              <w:pageBreakBefore w:val="0"/>
              <w:widowControl w:val="0"/>
              <w:kinsoku/>
              <w:wordWrap/>
              <w:overflowPunct/>
              <w:topLinePunct/>
              <w:autoSpaceDE/>
              <w:autoSpaceDN/>
              <w:bidi w:val="0"/>
              <w:adjustRightInd w:val="0"/>
              <w:snapToGrid w:val="0"/>
              <w:spacing w:line="254" w:lineRule="auto"/>
              <w:ind w:left="113" w:leftChars="0" w:right="102" w:rightChars="0" w:firstLine="14" w:firstLineChars="0"/>
              <w:jc w:val="center"/>
              <w:textAlignment w:val="baseline"/>
              <w:rPr>
                <w:rFonts w:ascii="仿宋" w:hAnsi="仿宋" w:eastAsia="仿宋" w:cs="仿宋"/>
                <w:spacing w:val="-1"/>
                <w:sz w:val="22"/>
                <w:szCs w:val="22"/>
              </w:rPr>
            </w:pPr>
            <w:r>
              <w:rPr>
                <w:rFonts w:ascii="仿宋" w:hAnsi="仿宋" w:eastAsia="仿宋" w:cs="仿宋"/>
                <w:spacing w:val="1"/>
                <w:sz w:val="22"/>
                <w:szCs w:val="22"/>
              </w:rPr>
              <w:t>临近</w:t>
            </w:r>
            <w:r>
              <w:rPr>
                <w:rFonts w:ascii="仿宋" w:hAnsi="仿宋" w:eastAsia="仿宋" w:cs="仿宋"/>
                <w:sz w:val="22"/>
                <w:szCs w:val="22"/>
              </w:rPr>
              <w:t>大型国际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577" w:type="dxa"/>
            <w:tcBorders>
              <w:tl2br w:val="nil"/>
              <w:tr2bl w:val="nil"/>
            </w:tcBorders>
            <w:noWrap w:val="0"/>
            <w:vAlign w:val="top"/>
          </w:tcPr>
          <w:p w14:paraId="7AFB7A0F">
            <w:pPr>
              <w:keepNext w:val="0"/>
              <w:keepLines w:val="0"/>
              <w:pageBreakBefore w:val="0"/>
              <w:widowControl w:val="0"/>
              <w:kinsoku/>
              <w:wordWrap/>
              <w:overflowPunct/>
              <w:topLinePunct/>
              <w:autoSpaceDE/>
              <w:autoSpaceDN/>
              <w:bidi w:val="0"/>
              <w:adjustRightInd w:val="0"/>
              <w:snapToGrid w:val="0"/>
              <w:spacing w:line="242" w:lineRule="auto"/>
              <w:ind w:left="117" w:leftChars="0" w:right="105" w:rightChars="0" w:firstLine="4" w:firstLineChars="0"/>
              <w:jc w:val="center"/>
              <w:textAlignment w:val="baseline"/>
              <w:rPr>
                <w:rFonts w:ascii="仿宋" w:hAnsi="仿宋" w:eastAsia="仿宋" w:cs="仿宋"/>
                <w:spacing w:val="-25"/>
                <w:sz w:val="22"/>
                <w:szCs w:val="22"/>
              </w:rPr>
            </w:pPr>
            <w:r>
              <w:rPr>
                <w:rFonts w:ascii="仿宋" w:hAnsi="仿宋" w:eastAsia="仿宋" w:cs="仿宋"/>
                <w:spacing w:val="4"/>
                <w:sz w:val="22"/>
                <w:szCs w:val="22"/>
              </w:rPr>
              <w:t>世界顶尖高校</w:t>
            </w:r>
            <w:r>
              <w:rPr>
                <w:rFonts w:ascii="仿宋" w:hAnsi="仿宋" w:eastAsia="仿宋" w:cs="仿宋"/>
                <w:spacing w:val="5"/>
                <w:sz w:val="22"/>
                <w:szCs w:val="22"/>
              </w:rPr>
              <w:t>所在地，研</w:t>
            </w:r>
            <w:r>
              <w:rPr>
                <w:rFonts w:ascii="仿宋" w:hAnsi="仿宋" w:eastAsia="仿宋" w:cs="仿宋"/>
                <w:spacing w:val="4"/>
                <w:sz w:val="22"/>
                <w:szCs w:val="22"/>
              </w:rPr>
              <w:t>发</w:t>
            </w:r>
            <w:r>
              <w:rPr>
                <w:rFonts w:ascii="仿宋" w:hAnsi="仿宋" w:eastAsia="仿宋" w:cs="仿宋"/>
                <w:spacing w:val="-3"/>
                <w:sz w:val="22"/>
                <w:szCs w:val="22"/>
              </w:rPr>
              <w:t>人</w:t>
            </w:r>
            <w:r>
              <w:rPr>
                <w:rFonts w:ascii="仿宋" w:hAnsi="仿宋" w:eastAsia="仿宋" w:cs="仿宋"/>
                <w:spacing w:val="-2"/>
                <w:sz w:val="22"/>
                <w:szCs w:val="22"/>
              </w:rPr>
              <w:t>员密集</w:t>
            </w:r>
          </w:p>
        </w:tc>
      </w:tr>
      <w:tr w14:paraId="75937B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1AACCED6">
            <w:pPr>
              <w:keepNext w:val="0"/>
              <w:keepLines w:val="0"/>
              <w:pageBreakBefore w:val="0"/>
              <w:widowControl w:val="0"/>
              <w:kinsoku/>
              <w:wordWrap/>
              <w:overflowPunct/>
              <w:topLinePunct/>
              <w:autoSpaceDE/>
              <w:autoSpaceDN/>
              <w:bidi w:val="0"/>
              <w:adjustRightInd w:val="0"/>
              <w:snapToGrid w:val="0"/>
              <w:spacing w:line="257" w:lineRule="auto"/>
              <w:ind w:left="122" w:leftChars="0" w:right="104" w:rightChars="0" w:hanging="11" w:firstLineChars="0"/>
              <w:jc w:val="center"/>
              <w:textAlignment w:val="baseline"/>
              <w:rPr>
                <w:rFonts w:ascii="仿宋" w:hAnsi="仿宋" w:eastAsia="仿宋" w:cs="仿宋"/>
                <w:spacing w:val="17"/>
                <w:sz w:val="22"/>
                <w:szCs w:val="22"/>
              </w:rPr>
            </w:pPr>
            <w:r>
              <w:rPr>
                <w:rFonts w:ascii="仿宋" w:hAnsi="仿宋" w:eastAsia="仿宋" w:cs="仿宋"/>
                <w:spacing w:val="-16"/>
                <w:sz w:val="22"/>
                <w:szCs w:val="22"/>
              </w:rPr>
              <w:t>硅</w:t>
            </w:r>
            <w:r>
              <w:rPr>
                <w:rFonts w:ascii="仿宋" w:hAnsi="仿宋" w:eastAsia="仿宋" w:cs="仿宋"/>
                <w:spacing w:val="-8"/>
                <w:sz w:val="22"/>
                <w:szCs w:val="22"/>
              </w:rPr>
              <w:t>湾(</w:t>
            </w:r>
            <w:r>
              <w:rPr>
                <w:rFonts w:ascii="Arial" w:hAnsi="Arial" w:eastAsia="Arial" w:cs="Arial"/>
                <w:spacing w:val="-8"/>
                <w:sz w:val="22"/>
                <w:szCs w:val="22"/>
              </w:rPr>
              <w:t>Silicon</w:t>
            </w:r>
            <w:r>
              <w:rPr>
                <w:rFonts w:ascii="Arial" w:hAnsi="Arial" w:eastAsia="Arial" w:cs="Arial"/>
                <w:sz w:val="22"/>
                <w:szCs w:val="22"/>
              </w:rPr>
              <w:t xml:space="preserve"> </w:t>
            </w:r>
            <w:r>
              <w:rPr>
                <w:rFonts w:ascii="Arial" w:hAnsi="Arial" w:eastAsia="Arial" w:cs="Arial"/>
                <w:spacing w:val="-4"/>
                <w:sz w:val="22"/>
                <w:szCs w:val="22"/>
              </w:rPr>
              <w:t>D</w:t>
            </w:r>
            <w:r>
              <w:rPr>
                <w:rFonts w:ascii="Arial" w:hAnsi="Arial" w:eastAsia="Arial" w:cs="Arial"/>
                <w:spacing w:val="-2"/>
                <w:sz w:val="22"/>
                <w:szCs w:val="22"/>
              </w:rPr>
              <w:t>ocks</w:t>
            </w:r>
            <w:r>
              <w:rPr>
                <w:rFonts w:ascii="仿宋" w:hAnsi="仿宋" w:eastAsia="仿宋" w:cs="仿宋"/>
                <w:spacing w:val="-4"/>
                <w:sz w:val="22"/>
                <w:szCs w:val="22"/>
              </w:rPr>
              <w:t>)</w:t>
            </w:r>
          </w:p>
        </w:tc>
        <w:tc>
          <w:tcPr>
            <w:tcW w:w="1133" w:type="dxa"/>
            <w:tcBorders>
              <w:tl2br w:val="nil"/>
              <w:tr2bl w:val="nil"/>
            </w:tcBorders>
            <w:noWrap w:val="0"/>
            <w:vAlign w:val="top"/>
          </w:tcPr>
          <w:p w14:paraId="7062DF2B">
            <w:pPr>
              <w:keepNext w:val="0"/>
              <w:keepLines w:val="0"/>
              <w:pageBreakBefore w:val="0"/>
              <w:widowControl w:val="0"/>
              <w:kinsoku/>
              <w:wordWrap/>
              <w:overflowPunct/>
              <w:topLinePunct/>
              <w:autoSpaceDE/>
              <w:autoSpaceDN/>
              <w:bidi w:val="0"/>
              <w:adjustRightInd w:val="0"/>
              <w:snapToGrid w:val="0"/>
              <w:spacing w:line="218" w:lineRule="auto"/>
              <w:ind w:left="127" w:leftChars="0"/>
              <w:jc w:val="center"/>
              <w:textAlignment w:val="baseline"/>
              <w:rPr>
                <w:rFonts w:ascii="Arial" w:hAnsi="Arial" w:eastAsia="Arial" w:cs="Arial"/>
                <w:spacing w:val="-1"/>
                <w:sz w:val="22"/>
                <w:szCs w:val="22"/>
              </w:rPr>
            </w:pPr>
            <w:r>
              <w:rPr>
                <w:rFonts w:ascii="Arial" w:hAnsi="Arial" w:eastAsia="Arial" w:cs="Arial"/>
                <w:spacing w:val="-4"/>
                <w:sz w:val="22"/>
                <w:szCs w:val="22"/>
              </w:rPr>
              <w:t>1</w:t>
            </w:r>
            <w:r>
              <w:rPr>
                <w:rFonts w:ascii="Arial" w:hAnsi="Arial" w:eastAsia="Arial" w:cs="Arial"/>
                <w:spacing w:val="-3"/>
                <w:sz w:val="22"/>
                <w:szCs w:val="22"/>
              </w:rPr>
              <w:t>999</w:t>
            </w:r>
            <w:r>
              <w:rPr>
                <w:rFonts w:ascii="仿宋" w:hAnsi="仿宋" w:eastAsia="仿宋" w:cs="仿宋"/>
                <w:spacing w:val="-3"/>
                <w:sz w:val="22"/>
                <w:szCs w:val="22"/>
              </w:rPr>
              <w:t>年</w:t>
            </w:r>
          </w:p>
        </w:tc>
        <w:tc>
          <w:tcPr>
            <w:tcW w:w="992" w:type="dxa"/>
            <w:tcBorders>
              <w:tl2br w:val="nil"/>
              <w:tr2bl w:val="nil"/>
            </w:tcBorders>
            <w:noWrap w:val="0"/>
            <w:vAlign w:val="top"/>
          </w:tcPr>
          <w:p w14:paraId="5F67D948">
            <w:pPr>
              <w:keepNext w:val="0"/>
              <w:keepLines w:val="0"/>
              <w:pageBreakBefore w:val="0"/>
              <w:widowControl w:val="0"/>
              <w:kinsoku/>
              <w:wordWrap/>
              <w:overflowPunct/>
              <w:topLinePunct/>
              <w:autoSpaceDE/>
              <w:autoSpaceDN/>
              <w:bidi w:val="0"/>
              <w:adjustRightInd w:val="0"/>
              <w:snapToGrid w:val="0"/>
              <w:spacing w:line="219" w:lineRule="auto"/>
              <w:ind w:left="121" w:leftChars="0"/>
              <w:jc w:val="center"/>
              <w:textAlignment w:val="baseline"/>
              <w:rPr>
                <w:rFonts w:ascii="仿宋" w:hAnsi="仿宋" w:eastAsia="仿宋" w:cs="仿宋"/>
                <w:spacing w:val="-2"/>
                <w:sz w:val="22"/>
                <w:szCs w:val="22"/>
              </w:rPr>
            </w:pPr>
            <w:r>
              <w:rPr>
                <w:rFonts w:ascii="仿宋" w:hAnsi="仿宋" w:eastAsia="仿宋" w:cs="仿宋"/>
                <w:spacing w:val="-7"/>
                <w:sz w:val="22"/>
                <w:szCs w:val="22"/>
              </w:rPr>
              <w:t>爱</w:t>
            </w:r>
            <w:r>
              <w:rPr>
                <w:rFonts w:ascii="仿宋" w:hAnsi="仿宋" w:eastAsia="仿宋" w:cs="仿宋"/>
                <w:spacing w:val="-5"/>
                <w:sz w:val="22"/>
                <w:szCs w:val="22"/>
              </w:rPr>
              <w:t>尔兰</w:t>
            </w:r>
          </w:p>
        </w:tc>
        <w:tc>
          <w:tcPr>
            <w:tcW w:w="1558" w:type="dxa"/>
            <w:tcBorders>
              <w:tl2br w:val="nil"/>
              <w:tr2bl w:val="nil"/>
            </w:tcBorders>
            <w:noWrap w:val="0"/>
            <w:vAlign w:val="top"/>
          </w:tcPr>
          <w:p w14:paraId="06A74F71">
            <w:pPr>
              <w:keepNext w:val="0"/>
              <w:keepLines w:val="0"/>
              <w:pageBreakBefore w:val="0"/>
              <w:widowControl w:val="0"/>
              <w:kinsoku/>
              <w:wordWrap/>
              <w:overflowPunct/>
              <w:topLinePunct/>
              <w:autoSpaceDE/>
              <w:autoSpaceDN/>
              <w:bidi w:val="0"/>
              <w:adjustRightInd w:val="0"/>
              <w:snapToGrid w:val="0"/>
              <w:spacing w:line="242" w:lineRule="auto"/>
              <w:ind w:left="114" w:leftChars="0" w:right="103" w:rightChars="0" w:hanging="8" w:firstLineChars="0"/>
              <w:jc w:val="center"/>
              <w:textAlignment w:val="baseline"/>
              <w:rPr>
                <w:rFonts w:ascii="仿宋" w:hAnsi="仿宋" w:eastAsia="仿宋" w:cs="仿宋"/>
                <w:spacing w:val="-2"/>
                <w:sz w:val="22"/>
                <w:szCs w:val="22"/>
              </w:rPr>
            </w:pPr>
            <w:r>
              <w:rPr>
                <w:rFonts w:ascii="仿宋" w:hAnsi="仿宋" w:eastAsia="仿宋" w:cs="仿宋"/>
                <w:spacing w:val="6"/>
                <w:sz w:val="22"/>
                <w:szCs w:val="22"/>
              </w:rPr>
              <w:t>信</w:t>
            </w:r>
            <w:r>
              <w:rPr>
                <w:rFonts w:ascii="仿宋" w:hAnsi="仿宋" w:eastAsia="仿宋" w:cs="仿宋"/>
                <w:spacing w:val="4"/>
                <w:sz w:val="22"/>
                <w:szCs w:val="22"/>
              </w:rPr>
              <w:t>息</w:t>
            </w:r>
            <w:r>
              <w:rPr>
                <w:rFonts w:ascii="仿宋" w:hAnsi="仿宋" w:eastAsia="仿宋" w:cs="仿宋"/>
                <w:spacing w:val="3"/>
                <w:sz w:val="22"/>
                <w:szCs w:val="22"/>
              </w:rPr>
              <w:t>技术、技</w:t>
            </w:r>
            <w:r>
              <w:rPr>
                <w:rFonts w:ascii="仿宋" w:hAnsi="仿宋" w:eastAsia="仿宋" w:cs="仿宋"/>
                <w:spacing w:val="-3"/>
                <w:sz w:val="22"/>
                <w:szCs w:val="22"/>
              </w:rPr>
              <w:t>术服务</w:t>
            </w:r>
          </w:p>
        </w:tc>
        <w:tc>
          <w:tcPr>
            <w:tcW w:w="1417" w:type="dxa"/>
            <w:tcBorders>
              <w:tl2br w:val="nil"/>
              <w:tr2bl w:val="nil"/>
            </w:tcBorders>
            <w:noWrap w:val="0"/>
            <w:vAlign w:val="top"/>
          </w:tcPr>
          <w:p w14:paraId="03C2EA81">
            <w:pPr>
              <w:keepNext w:val="0"/>
              <w:keepLines w:val="0"/>
              <w:pageBreakBefore w:val="0"/>
              <w:widowControl w:val="0"/>
              <w:kinsoku/>
              <w:wordWrap/>
              <w:overflowPunct/>
              <w:topLinePunct/>
              <w:autoSpaceDE/>
              <w:autoSpaceDN/>
              <w:bidi w:val="0"/>
              <w:adjustRightInd w:val="0"/>
              <w:snapToGrid w:val="0"/>
              <w:spacing w:line="217" w:lineRule="auto"/>
              <w:ind w:left="109" w:leftChars="0"/>
              <w:jc w:val="center"/>
              <w:textAlignment w:val="baseline"/>
              <w:rPr>
                <w:rFonts w:ascii="仿宋" w:hAnsi="仿宋" w:eastAsia="仿宋" w:cs="仿宋"/>
                <w:spacing w:val="21"/>
                <w:sz w:val="22"/>
                <w:szCs w:val="22"/>
              </w:rPr>
            </w:pPr>
            <w:r>
              <w:rPr>
                <w:rFonts w:ascii="仿宋" w:hAnsi="仿宋" w:eastAsia="仿宋" w:cs="仿宋"/>
                <w:spacing w:val="-1"/>
                <w:sz w:val="22"/>
                <w:szCs w:val="22"/>
              </w:rPr>
              <w:t>位于都柏</w:t>
            </w:r>
            <w:r>
              <w:rPr>
                <w:rFonts w:ascii="仿宋" w:hAnsi="仿宋" w:eastAsia="仿宋" w:cs="仿宋"/>
                <w:sz w:val="22"/>
                <w:szCs w:val="22"/>
              </w:rPr>
              <w:t>林</w:t>
            </w:r>
          </w:p>
        </w:tc>
        <w:tc>
          <w:tcPr>
            <w:tcW w:w="1558" w:type="dxa"/>
            <w:tcBorders>
              <w:tl2br w:val="nil"/>
              <w:tr2bl w:val="nil"/>
            </w:tcBorders>
            <w:noWrap w:val="0"/>
            <w:vAlign w:val="top"/>
          </w:tcPr>
          <w:p w14:paraId="25CED1E0">
            <w:pPr>
              <w:keepNext w:val="0"/>
              <w:keepLines w:val="0"/>
              <w:pageBreakBefore w:val="0"/>
              <w:widowControl w:val="0"/>
              <w:kinsoku/>
              <w:wordWrap/>
              <w:overflowPunct/>
              <w:topLinePunct/>
              <w:autoSpaceDE/>
              <w:autoSpaceDN/>
              <w:bidi w:val="0"/>
              <w:adjustRightInd w:val="0"/>
              <w:snapToGrid w:val="0"/>
              <w:spacing w:line="242" w:lineRule="auto"/>
              <w:ind w:left="112" w:leftChars="0" w:right="102" w:rightChars="0" w:firstLine="5" w:firstLineChars="0"/>
              <w:jc w:val="center"/>
              <w:textAlignment w:val="baseline"/>
              <w:rPr>
                <w:rFonts w:ascii="仿宋" w:hAnsi="仿宋" w:eastAsia="仿宋" w:cs="仿宋"/>
                <w:spacing w:val="-1"/>
                <w:sz w:val="22"/>
                <w:szCs w:val="22"/>
              </w:rPr>
            </w:pPr>
            <w:r>
              <w:rPr>
                <w:rFonts w:ascii="仿宋" w:hAnsi="仿宋" w:eastAsia="仿宋" w:cs="仿宋"/>
                <w:spacing w:val="2"/>
                <w:sz w:val="22"/>
                <w:szCs w:val="22"/>
              </w:rPr>
              <w:t>在运河两边分</w:t>
            </w:r>
            <w:r>
              <w:rPr>
                <w:rFonts w:ascii="仿宋" w:hAnsi="仿宋" w:eastAsia="仿宋" w:cs="仿宋"/>
                <w:spacing w:val="-1"/>
                <w:sz w:val="22"/>
                <w:szCs w:val="22"/>
              </w:rPr>
              <w:t>布，公路发</w:t>
            </w:r>
            <w:r>
              <w:rPr>
                <w:rFonts w:ascii="仿宋" w:hAnsi="仿宋" w:eastAsia="仿宋" w:cs="仿宋"/>
                <w:sz w:val="22"/>
                <w:szCs w:val="22"/>
              </w:rPr>
              <w:t>达</w:t>
            </w:r>
          </w:p>
        </w:tc>
        <w:tc>
          <w:tcPr>
            <w:tcW w:w="1577" w:type="dxa"/>
            <w:tcBorders>
              <w:tl2br w:val="nil"/>
              <w:tr2bl w:val="nil"/>
            </w:tcBorders>
            <w:noWrap w:val="0"/>
            <w:vAlign w:val="top"/>
          </w:tcPr>
          <w:p w14:paraId="7B84C99C">
            <w:pPr>
              <w:keepNext w:val="0"/>
              <w:keepLines w:val="0"/>
              <w:pageBreakBefore w:val="0"/>
              <w:widowControl w:val="0"/>
              <w:kinsoku/>
              <w:wordWrap/>
              <w:overflowPunct/>
              <w:topLinePunct/>
              <w:autoSpaceDE/>
              <w:autoSpaceDN/>
              <w:bidi w:val="0"/>
              <w:adjustRightInd w:val="0"/>
              <w:snapToGrid w:val="0"/>
              <w:spacing w:line="217" w:lineRule="auto"/>
              <w:ind w:left="110" w:leftChars="0"/>
              <w:jc w:val="center"/>
              <w:textAlignment w:val="baseline"/>
              <w:rPr>
                <w:rFonts w:ascii="仿宋" w:hAnsi="仿宋" w:eastAsia="仿宋" w:cs="仿宋"/>
                <w:spacing w:val="-25"/>
                <w:sz w:val="22"/>
                <w:szCs w:val="22"/>
              </w:rPr>
            </w:pPr>
            <w:r>
              <w:rPr>
                <w:rFonts w:ascii="仿宋" w:hAnsi="仿宋" w:eastAsia="仿宋" w:cs="仿宋"/>
                <w:spacing w:val="-1"/>
                <w:sz w:val="22"/>
                <w:szCs w:val="22"/>
              </w:rPr>
              <w:t>研</w:t>
            </w:r>
            <w:r>
              <w:rPr>
                <w:rFonts w:ascii="仿宋" w:hAnsi="仿宋" w:eastAsia="仿宋" w:cs="仿宋"/>
                <w:sz w:val="22"/>
                <w:szCs w:val="22"/>
              </w:rPr>
              <w:t>发人员密集</w:t>
            </w:r>
          </w:p>
        </w:tc>
      </w:tr>
      <w:tr w14:paraId="450C5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2F919ACD">
            <w:pPr>
              <w:keepNext w:val="0"/>
              <w:keepLines w:val="0"/>
              <w:pageBreakBefore w:val="0"/>
              <w:widowControl w:val="0"/>
              <w:kinsoku/>
              <w:wordWrap/>
              <w:overflowPunct/>
              <w:topLinePunct/>
              <w:autoSpaceDE/>
              <w:autoSpaceDN/>
              <w:bidi w:val="0"/>
              <w:adjustRightInd w:val="0"/>
              <w:snapToGrid w:val="0"/>
              <w:spacing w:line="243" w:lineRule="auto"/>
              <w:ind w:left="118" w:right="104"/>
              <w:jc w:val="center"/>
              <w:textAlignment w:val="baseline"/>
              <w:rPr>
                <w:rFonts w:ascii="Arial" w:hAnsi="Arial" w:eastAsia="Arial" w:cs="Arial"/>
                <w:sz w:val="22"/>
                <w:szCs w:val="22"/>
              </w:rPr>
            </w:pPr>
            <w:r>
              <w:rPr>
                <w:rFonts w:ascii="仿宋" w:hAnsi="仿宋" w:eastAsia="仿宋" w:cs="仿宋"/>
                <w:spacing w:val="14"/>
                <w:sz w:val="22"/>
                <w:szCs w:val="22"/>
              </w:rPr>
              <w:t>特里亚斯特科</w:t>
            </w:r>
            <w:r>
              <w:rPr>
                <w:rFonts w:ascii="仿宋" w:hAnsi="仿宋" w:eastAsia="仿宋" w:cs="仿宋"/>
                <w:spacing w:val="-13"/>
                <w:sz w:val="22"/>
                <w:szCs w:val="22"/>
              </w:rPr>
              <w:t>技</w:t>
            </w:r>
            <w:r>
              <w:rPr>
                <w:rFonts w:ascii="仿宋" w:hAnsi="仿宋" w:eastAsia="仿宋" w:cs="仿宋"/>
                <w:spacing w:val="-11"/>
                <w:sz w:val="22"/>
                <w:szCs w:val="22"/>
              </w:rPr>
              <w:t>园(</w:t>
            </w:r>
            <w:r>
              <w:rPr>
                <w:rFonts w:ascii="Arial" w:hAnsi="Arial" w:eastAsia="Arial" w:cs="Arial"/>
                <w:spacing w:val="-11"/>
                <w:sz w:val="22"/>
                <w:szCs w:val="22"/>
              </w:rPr>
              <w:t>Trieste</w:t>
            </w:r>
          </w:p>
          <w:p w14:paraId="008FBBCF">
            <w:pPr>
              <w:keepNext w:val="0"/>
              <w:keepLines w:val="0"/>
              <w:pageBreakBefore w:val="0"/>
              <w:widowControl w:val="0"/>
              <w:kinsoku/>
              <w:wordWrap/>
              <w:overflowPunct/>
              <w:topLinePunct/>
              <w:autoSpaceDE/>
              <w:autoSpaceDN/>
              <w:bidi w:val="0"/>
              <w:adjustRightInd w:val="0"/>
              <w:snapToGrid w:val="0"/>
              <w:spacing w:line="196" w:lineRule="auto"/>
              <w:ind w:left="106"/>
              <w:jc w:val="center"/>
              <w:textAlignment w:val="baseline"/>
              <w:rPr>
                <w:rFonts w:ascii="Arial" w:hAnsi="Arial" w:eastAsia="Arial" w:cs="Arial"/>
                <w:sz w:val="22"/>
                <w:szCs w:val="22"/>
              </w:rPr>
            </w:pPr>
            <w:r>
              <w:rPr>
                <w:rFonts w:ascii="Arial" w:hAnsi="Arial" w:eastAsia="Arial" w:cs="Arial"/>
                <w:spacing w:val="-1"/>
                <w:sz w:val="22"/>
                <w:szCs w:val="22"/>
              </w:rPr>
              <w:t>A</w:t>
            </w:r>
            <w:r>
              <w:rPr>
                <w:rFonts w:ascii="Arial" w:hAnsi="Arial" w:eastAsia="Arial" w:cs="Arial"/>
                <w:sz w:val="22"/>
                <w:szCs w:val="22"/>
              </w:rPr>
              <w:t>REA</w:t>
            </w:r>
          </w:p>
          <w:p w14:paraId="2E229001">
            <w:pPr>
              <w:keepNext w:val="0"/>
              <w:keepLines w:val="0"/>
              <w:pageBreakBefore w:val="0"/>
              <w:widowControl w:val="0"/>
              <w:kinsoku/>
              <w:wordWrap/>
              <w:overflowPunct/>
              <w:topLinePunct/>
              <w:autoSpaceDE/>
              <w:autoSpaceDN/>
              <w:bidi w:val="0"/>
              <w:adjustRightInd w:val="0"/>
              <w:snapToGrid w:val="0"/>
              <w:spacing w:line="293" w:lineRule="exact"/>
              <w:ind w:left="116" w:leftChars="0"/>
              <w:jc w:val="center"/>
              <w:textAlignment w:val="baseline"/>
              <w:rPr>
                <w:rFonts w:ascii="仿宋" w:hAnsi="仿宋" w:eastAsia="仿宋" w:cs="仿宋"/>
                <w:spacing w:val="17"/>
                <w:sz w:val="22"/>
                <w:szCs w:val="22"/>
              </w:rPr>
            </w:pPr>
            <w:r>
              <w:rPr>
                <w:rFonts w:ascii="Arial" w:hAnsi="Arial" w:eastAsia="Arial" w:cs="Arial"/>
                <w:spacing w:val="-1"/>
                <w:position w:val="1"/>
                <w:sz w:val="22"/>
                <w:szCs w:val="22"/>
              </w:rPr>
              <w:t>Scienc</w:t>
            </w:r>
            <w:r>
              <w:rPr>
                <w:rFonts w:ascii="Arial" w:hAnsi="Arial" w:eastAsia="Arial" w:cs="Arial"/>
                <w:position w:val="1"/>
                <w:sz w:val="22"/>
                <w:szCs w:val="22"/>
              </w:rPr>
              <w:t>e</w:t>
            </w:r>
            <w:r>
              <w:rPr>
                <w:rFonts w:ascii="Arial" w:hAnsi="Arial" w:eastAsia="Arial" w:cs="Arial"/>
                <w:spacing w:val="-1"/>
                <w:position w:val="1"/>
                <w:sz w:val="22"/>
                <w:szCs w:val="22"/>
              </w:rPr>
              <w:t xml:space="preserve"> </w:t>
            </w:r>
            <w:r>
              <w:rPr>
                <w:rFonts w:ascii="Arial" w:hAnsi="Arial" w:eastAsia="Arial" w:cs="Arial"/>
                <w:position w:val="1"/>
                <w:sz w:val="22"/>
                <w:szCs w:val="22"/>
              </w:rPr>
              <w:t>Park</w:t>
            </w:r>
            <w:r>
              <w:rPr>
                <w:rFonts w:ascii="仿宋" w:hAnsi="仿宋" w:eastAsia="仿宋" w:cs="仿宋"/>
                <w:spacing w:val="-1"/>
                <w:position w:val="1"/>
                <w:sz w:val="22"/>
                <w:szCs w:val="22"/>
              </w:rPr>
              <w:t>)</w:t>
            </w:r>
          </w:p>
        </w:tc>
        <w:tc>
          <w:tcPr>
            <w:tcW w:w="1133" w:type="dxa"/>
            <w:tcBorders>
              <w:tl2br w:val="nil"/>
              <w:tr2bl w:val="nil"/>
            </w:tcBorders>
            <w:noWrap w:val="0"/>
            <w:vAlign w:val="top"/>
          </w:tcPr>
          <w:p w14:paraId="2F3C71C8">
            <w:pPr>
              <w:keepNext w:val="0"/>
              <w:keepLines w:val="0"/>
              <w:pageBreakBefore w:val="0"/>
              <w:widowControl w:val="0"/>
              <w:kinsoku/>
              <w:wordWrap/>
              <w:overflowPunct/>
              <w:topLinePunct/>
              <w:autoSpaceDE/>
              <w:autoSpaceDN/>
              <w:bidi w:val="0"/>
              <w:adjustRightInd w:val="0"/>
              <w:snapToGrid w:val="0"/>
              <w:spacing w:line="449" w:lineRule="auto"/>
              <w:jc w:val="center"/>
              <w:textAlignment w:val="baseline"/>
              <w:rPr>
                <w:rFonts w:ascii="Arial"/>
                <w:sz w:val="21"/>
              </w:rPr>
            </w:pPr>
          </w:p>
          <w:p w14:paraId="7DEEA152">
            <w:pPr>
              <w:keepNext w:val="0"/>
              <w:keepLines w:val="0"/>
              <w:pageBreakBefore w:val="0"/>
              <w:widowControl w:val="0"/>
              <w:kinsoku/>
              <w:wordWrap/>
              <w:overflowPunct/>
              <w:topLinePunct/>
              <w:autoSpaceDE/>
              <w:autoSpaceDN/>
              <w:bidi w:val="0"/>
              <w:adjustRightInd w:val="0"/>
              <w:snapToGrid w:val="0"/>
              <w:spacing w:line="218" w:lineRule="auto"/>
              <w:ind w:left="127" w:leftChars="0"/>
              <w:jc w:val="center"/>
              <w:textAlignment w:val="baseline"/>
              <w:rPr>
                <w:rFonts w:ascii="Arial" w:hAnsi="Arial" w:eastAsia="Arial" w:cs="Arial"/>
                <w:spacing w:val="-1"/>
                <w:sz w:val="22"/>
                <w:szCs w:val="22"/>
              </w:rPr>
            </w:pPr>
            <w:r>
              <w:rPr>
                <w:rFonts w:ascii="Arial" w:hAnsi="Arial" w:eastAsia="Arial" w:cs="Arial"/>
                <w:spacing w:val="-4"/>
                <w:sz w:val="22"/>
                <w:szCs w:val="22"/>
              </w:rPr>
              <w:t>1</w:t>
            </w:r>
            <w:r>
              <w:rPr>
                <w:rFonts w:ascii="Arial" w:hAnsi="Arial" w:eastAsia="Arial" w:cs="Arial"/>
                <w:spacing w:val="-3"/>
                <w:sz w:val="22"/>
                <w:szCs w:val="22"/>
              </w:rPr>
              <w:t>982</w:t>
            </w:r>
            <w:r>
              <w:rPr>
                <w:rFonts w:ascii="仿宋" w:hAnsi="仿宋" w:eastAsia="仿宋" w:cs="仿宋"/>
                <w:spacing w:val="-3"/>
                <w:sz w:val="22"/>
                <w:szCs w:val="22"/>
              </w:rPr>
              <w:t>年</w:t>
            </w:r>
          </w:p>
        </w:tc>
        <w:tc>
          <w:tcPr>
            <w:tcW w:w="992" w:type="dxa"/>
            <w:tcBorders>
              <w:tl2br w:val="nil"/>
              <w:tr2bl w:val="nil"/>
            </w:tcBorders>
            <w:noWrap w:val="0"/>
            <w:vAlign w:val="top"/>
          </w:tcPr>
          <w:p w14:paraId="0AC49063">
            <w:pPr>
              <w:keepNext w:val="0"/>
              <w:keepLines w:val="0"/>
              <w:pageBreakBefore w:val="0"/>
              <w:widowControl w:val="0"/>
              <w:kinsoku/>
              <w:wordWrap/>
              <w:overflowPunct/>
              <w:topLinePunct/>
              <w:autoSpaceDE/>
              <w:autoSpaceDN/>
              <w:bidi w:val="0"/>
              <w:adjustRightInd w:val="0"/>
              <w:snapToGrid w:val="0"/>
              <w:spacing w:line="449" w:lineRule="auto"/>
              <w:jc w:val="center"/>
              <w:textAlignment w:val="baseline"/>
              <w:rPr>
                <w:rFonts w:ascii="Arial"/>
                <w:sz w:val="21"/>
              </w:rPr>
            </w:pPr>
          </w:p>
          <w:p w14:paraId="5A3D34C9">
            <w:pPr>
              <w:keepNext w:val="0"/>
              <w:keepLines w:val="0"/>
              <w:pageBreakBefore w:val="0"/>
              <w:widowControl w:val="0"/>
              <w:kinsoku/>
              <w:wordWrap/>
              <w:overflowPunct/>
              <w:topLinePunct/>
              <w:autoSpaceDE/>
              <w:autoSpaceDN/>
              <w:bidi w:val="0"/>
              <w:adjustRightInd w:val="0"/>
              <w:snapToGrid w:val="0"/>
              <w:spacing w:line="218" w:lineRule="auto"/>
              <w:ind w:left="126" w:leftChars="0"/>
              <w:jc w:val="center"/>
              <w:textAlignment w:val="baseline"/>
              <w:rPr>
                <w:rFonts w:ascii="仿宋" w:hAnsi="仿宋" w:eastAsia="仿宋" w:cs="仿宋"/>
                <w:spacing w:val="-2"/>
                <w:sz w:val="22"/>
                <w:szCs w:val="22"/>
              </w:rPr>
            </w:pPr>
            <w:r>
              <w:rPr>
                <w:rFonts w:ascii="仿宋" w:hAnsi="仿宋" w:eastAsia="仿宋" w:cs="仿宋"/>
                <w:spacing w:val="-7"/>
                <w:sz w:val="22"/>
                <w:szCs w:val="22"/>
              </w:rPr>
              <w:t>意大利</w:t>
            </w:r>
          </w:p>
        </w:tc>
        <w:tc>
          <w:tcPr>
            <w:tcW w:w="1558" w:type="dxa"/>
            <w:tcBorders>
              <w:tl2br w:val="nil"/>
              <w:tr2bl w:val="nil"/>
            </w:tcBorders>
            <w:noWrap w:val="0"/>
            <w:vAlign w:val="top"/>
          </w:tcPr>
          <w:p w14:paraId="1CB53BEB">
            <w:pPr>
              <w:keepNext w:val="0"/>
              <w:keepLines w:val="0"/>
              <w:pageBreakBefore w:val="0"/>
              <w:widowControl w:val="0"/>
              <w:kinsoku/>
              <w:wordWrap/>
              <w:overflowPunct/>
              <w:topLinePunct/>
              <w:autoSpaceDE/>
              <w:autoSpaceDN/>
              <w:bidi w:val="0"/>
              <w:adjustRightInd w:val="0"/>
              <w:snapToGrid w:val="0"/>
              <w:spacing w:line="241" w:lineRule="auto"/>
              <w:ind w:left="112" w:leftChars="0" w:right="103" w:rightChars="0" w:firstLine="15" w:firstLineChars="0"/>
              <w:jc w:val="center"/>
              <w:textAlignment w:val="baseline"/>
              <w:rPr>
                <w:rFonts w:ascii="仿宋" w:hAnsi="仿宋" w:eastAsia="仿宋" w:cs="仿宋"/>
                <w:spacing w:val="-2"/>
                <w:sz w:val="22"/>
                <w:szCs w:val="22"/>
              </w:rPr>
            </w:pPr>
            <w:r>
              <w:rPr>
                <w:rFonts w:ascii="仿宋" w:hAnsi="仿宋" w:eastAsia="仿宋" w:cs="仿宋"/>
                <w:sz w:val="22"/>
                <w:szCs w:val="22"/>
              </w:rPr>
              <w:t>咨询服务、工</w:t>
            </w:r>
            <w:r>
              <w:rPr>
                <w:rFonts w:ascii="仿宋" w:hAnsi="仿宋" w:eastAsia="仿宋" w:cs="仿宋"/>
                <w:spacing w:val="4"/>
                <w:sz w:val="22"/>
                <w:szCs w:val="22"/>
              </w:rPr>
              <w:t>程放</w:t>
            </w:r>
            <w:r>
              <w:rPr>
                <w:rFonts w:ascii="仿宋" w:hAnsi="仿宋" w:eastAsia="仿宋" w:cs="仿宋"/>
                <w:spacing w:val="2"/>
                <w:sz w:val="22"/>
                <w:szCs w:val="22"/>
              </w:rPr>
              <w:t>大、生命</w:t>
            </w:r>
            <w:r>
              <w:rPr>
                <w:rFonts w:ascii="仿宋" w:hAnsi="仿宋" w:eastAsia="仿宋" w:cs="仿宋"/>
                <w:spacing w:val="4"/>
                <w:sz w:val="22"/>
                <w:szCs w:val="22"/>
              </w:rPr>
              <w:t>科学</w:t>
            </w:r>
            <w:r>
              <w:rPr>
                <w:rFonts w:ascii="仿宋" w:hAnsi="仿宋" w:eastAsia="仿宋" w:cs="仿宋"/>
                <w:spacing w:val="2"/>
                <w:sz w:val="22"/>
                <w:szCs w:val="22"/>
              </w:rPr>
              <w:t>、信息技</w:t>
            </w:r>
            <w:r>
              <w:rPr>
                <w:rFonts w:ascii="仿宋" w:hAnsi="仿宋" w:eastAsia="仿宋" w:cs="仿宋"/>
                <w:sz w:val="22"/>
                <w:szCs w:val="22"/>
              </w:rPr>
              <w:t>术</w:t>
            </w:r>
          </w:p>
        </w:tc>
        <w:tc>
          <w:tcPr>
            <w:tcW w:w="1417" w:type="dxa"/>
            <w:tcBorders>
              <w:tl2br w:val="nil"/>
              <w:tr2bl w:val="nil"/>
            </w:tcBorders>
            <w:noWrap w:val="0"/>
            <w:vAlign w:val="top"/>
          </w:tcPr>
          <w:p w14:paraId="76A9CBE1">
            <w:pPr>
              <w:keepNext w:val="0"/>
              <w:keepLines w:val="0"/>
              <w:pageBreakBefore w:val="0"/>
              <w:widowControl w:val="0"/>
              <w:kinsoku/>
              <w:wordWrap/>
              <w:overflowPunct/>
              <w:topLinePunct/>
              <w:autoSpaceDE/>
              <w:autoSpaceDN/>
              <w:bidi w:val="0"/>
              <w:adjustRightInd w:val="0"/>
              <w:snapToGrid w:val="0"/>
              <w:spacing w:line="241" w:lineRule="auto"/>
              <w:ind w:left="110" w:leftChars="0" w:right="104" w:rightChars="0" w:hanging="1" w:firstLineChars="0"/>
              <w:jc w:val="center"/>
              <w:textAlignment w:val="baseline"/>
              <w:rPr>
                <w:rFonts w:ascii="仿宋" w:hAnsi="仿宋" w:eastAsia="仿宋" w:cs="仿宋"/>
                <w:spacing w:val="21"/>
                <w:sz w:val="22"/>
                <w:szCs w:val="22"/>
              </w:rPr>
            </w:pPr>
            <w:r>
              <w:rPr>
                <w:rFonts w:ascii="仿宋" w:hAnsi="仿宋" w:eastAsia="仿宋" w:cs="仿宋"/>
                <w:spacing w:val="-2"/>
                <w:sz w:val="22"/>
                <w:szCs w:val="22"/>
              </w:rPr>
              <w:t>位于威</w:t>
            </w:r>
            <w:r>
              <w:rPr>
                <w:rFonts w:ascii="仿宋" w:hAnsi="仿宋" w:eastAsia="仿宋" w:cs="仿宋"/>
                <w:spacing w:val="-1"/>
                <w:sz w:val="22"/>
                <w:szCs w:val="22"/>
              </w:rPr>
              <w:t>尼</w:t>
            </w:r>
            <w:r>
              <w:rPr>
                <w:rFonts w:ascii="仿宋" w:hAnsi="仿宋" w:eastAsia="仿宋" w:cs="仿宋"/>
                <w:spacing w:val="-4"/>
                <w:sz w:val="22"/>
                <w:szCs w:val="22"/>
              </w:rPr>
              <w:t>斯</w:t>
            </w:r>
            <w:r>
              <w:rPr>
                <w:rFonts w:ascii="仿宋" w:hAnsi="仿宋" w:eastAsia="仿宋" w:cs="仿宋"/>
                <w:spacing w:val="-3"/>
                <w:sz w:val="22"/>
                <w:szCs w:val="22"/>
              </w:rPr>
              <w:t>，</w:t>
            </w:r>
            <w:r>
              <w:rPr>
                <w:rFonts w:ascii="仿宋" w:hAnsi="仿宋" w:eastAsia="仿宋" w:cs="仿宋"/>
                <w:spacing w:val="-2"/>
                <w:sz w:val="22"/>
                <w:szCs w:val="22"/>
              </w:rPr>
              <w:t>临近奥</w:t>
            </w:r>
            <w:r>
              <w:rPr>
                <w:rFonts w:ascii="仿宋" w:hAnsi="仿宋" w:eastAsia="仿宋" w:cs="仿宋"/>
                <w:spacing w:val="19"/>
                <w:sz w:val="22"/>
                <w:szCs w:val="22"/>
              </w:rPr>
              <w:t>地利和斯洛</w:t>
            </w:r>
            <w:r>
              <w:rPr>
                <w:rFonts w:ascii="仿宋" w:hAnsi="仿宋" w:eastAsia="仿宋" w:cs="仿宋"/>
                <w:spacing w:val="-2"/>
                <w:sz w:val="22"/>
                <w:szCs w:val="22"/>
              </w:rPr>
              <w:t>文尼亚</w:t>
            </w:r>
          </w:p>
        </w:tc>
        <w:tc>
          <w:tcPr>
            <w:tcW w:w="1558" w:type="dxa"/>
            <w:tcBorders>
              <w:tl2br w:val="nil"/>
              <w:tr2bl w:val="nil"/>
            </w:tcBorders>
            <w:noWrap w:val="0"/>
            <w:vAlign w:val="top"/>
          </w:tcPr>
          <w:p w14:paraId="69B0FBA7">
            <w:pPr>
              <w:keepNext w:val="0"/>
              <w:keepLines w:val="0"/>
              <w:pageBreakBefore w:val="0"/>
              <w:widowControl w:val="0"/>
              <w:kinsoku/>
              <w:wordWrap/>
              <w:overflowPunct/>
              <w:topLinePunct/>
              <w:autoSpaceDE/>
              <w:autoSpaceDN/>
              <w:bidi w:val="0"/>
              <w:adjustRightInd w:val="0"/>
              <w:snapToGrid w:val="0"/>
              <w:spacing w:line="307" w:lineRule="auto"/>
              <w:jc w:val="center"/>
              <w:textAlignment w:val="baseline"/>
              <w:rPr>
                <w:rFonts w:ascii="Arial"/>
                <w:sz w:val="21"/>
              </w:rPr>
            </w:pPr>
          </w:p>
          <w:p w14:paraId="4142FCE0">
            <w:pPr>
              <w:keepNext w:val="0"/>
              <w:keepLines w:val="0"/>
              <w:pageBreakBefore w:val="0"/>
              <w:widowControl w:val="0"/>
              <w:kinsoku/>
              <w:wordWrap/>
              <w:overflowPunct/>
              <w:topLinePunct/>
              <w:autoSpaceDE/>
              <w:autoSpaceDN/>
              <w:bidi w:val="0"/>
              <w:adjustRightInd w:val="0"/>
              <w:snapToGrid w:val="0"/>
              <w:spacing w:line="252" w:lineRule="auto"/>
              <w:ind w:left="113" w:leftChars="0" w:right="102" w:rightChars="0" w:firstLine="14" w:firstLineChars="0"/>
              <w:jc w:val="center"/>
              <w:textAlignment w:val="baseline"/>
              <w:rPr>
                <w:rFonts w:ascii="仿宋" w:hAnsi="仿宋" w:eastAsia="仿宋" w:cs="仿宋"/>
                <w:spacing w:val="-1"/>
                <w:sz w:val="22"/>
                <w:szCs w:val="22"/>
              </w:rPr>
            </w:pPr>
            <w:r>
              <w:rPr>
                <w:rFonts w:ascii="仿宋" w:hAnsi="仿宋" w:eastAsia="仿宋" w:cs="仿宋"/>
                <w:spacing w:val="1"/>
                <w:sz w:val="22"/>
                <w:szCs w:val="22"/>
              </w:rPr>
              <w:t>临近</w:t>
            </w:r>
            <w:r>
              <w:rPr>
                <w:rFonts w:ascii="仿宋" w:hAnsi="仿宋" w:eastAsia="仿宋" w:cs="仿宋"/>
                <w:sz w:val="22"/>
                <w:szCs w:val="22"/>
              </w:rPr>
              <w:t>大型国际</w:t>
            </w:r>
            <w:r>
              <w:rPr>
                <w:rFonts w:ascii="仿宋" w:hAnsi="仿宋" w:eastAsia="仿宋" w:cs="仿宋"/>
                <w:spacing w:val="-4"/>
                <w:sz w:val="22"/>
                <w:szCs w:val="22"/>
              </w:rPr>
              <w:t>机</w:t>
            </w:r>
            <w:r>
              <w:rPr>
                <w:rFonts w:ascii="仿宋" w:hAnsi="仿宋" w:eastAsia="仿宋" w:cs="仿宋"/>
                <w:spacing w:val="-2"/>
                <w:sz w:val="22"/>
                <w:szCs w:val="22"/>
              </w:rPr>
              <w:t>场</w:t>
            </w:r>
          </w:p>
        </w:tc>
        <w:tc>
          <w:tcPr>
            <w:tcW w:w="1577" w:type="dxa"/>
            <w:tcBorders>
              <w:tl2br w:val="nil"/>
              <w:tr2bl w:val="nil"/>
            </w:tcBorders>
            <w:noWrap w:val="0"/>
            <w:vAlign w:val="top"/>
          </w:tcPr>
          <w:p w14:paraId="5854EDDC">
            <w:pPr>
              <w:keepNext w:val="0"/>
              <w:keepLines w:val="0"/>
              <w:pageBreakBefore w:val="0"/>
              <w:widowControl w:val="0"/>
              <w:kinsoku/>
              <w:wordWrap/>
              <w:overflowPunct/>
              <w:topLinePunct/>
              <w:autoSpaceDE/>
              <w:autoSpaceDN/>
              <w:bidi w:val="0"/>
              <w:adjustRightInd w:val="0"/>
              <w:snapToGrid w:val="0"/>
              <w:spacing w:line="309" w:lineRule="auto"/>
              <w:jc w:val="center"/>
              <w:textAlignment w:val="baseline"/>
              <w:rPr>
                <w:rFonts w:ascii="Arial"/>
                <w:sz w:val="21"/>
              </w:rPr>
            </w:pPr>
          </w:p>
          <w:p w14:paraId="3B50DA13">
            <w:pPr>
              <w:keepNext w:val="0"/>
              <w:keepLines w:val="0"/>
              <w:pageBreakBefore w:val="0"/>
              <w:widowControl w:val="0"/>
              <w:kinsoku/>
              <w:wordWrap/>
              <w:overflowPunct/>
              <w:topLinePunct/>
              <w:autoSpaceDE/>
              <w:autoSpaceDN/>
              <w:bidi w:val="0"/>
              <w:adjustRightInd w:val="0"/>
              <w:snapToGrid w:val="0"/>
              <w:spacing w:line="250" w:lineRule="auto"/>
              <w:ind w:left="117" w:leftChars="0" w:right="105" w:rightChars="0" w:firstLine="8" w:firstLineChars="0"/>
              <w:jc w:val="center"/>
              <w:textAlignment w:val="baseline"/>
              <w:rPr>
                <w:rFonts w:ascii="仿宋" w:hAnsi="仿宋" w:eastAsia="仿宋" w:cs="仿宋"/>
                <w:spacing w:val="-25"/>
                <w:sz w:val="22"/>
                <w:szCs w:val="22"/>
              </w:rPr>
            </w:pPr>
            <w:r>
              <w:rPr>
                <w:rFonts w:ascii="仿宋" w:hAnsi="仿宋" w:eastAsia="仿宋" w:cs="仿宋"/>
                <w:spacing w:val="5"/>
                <w:sz w:val="22"/>
                <w:szCs w:val="22"/>
              </w:rPr>
              <w:t>大</w:t>
            </w:r>
            <w:r>
              <w:rPr>
                <w:rFonts w:ascii="仿宋" w:hAnsi="仿宋" w:eastAsia="仿宋" w:cs="仿宋"/>
                <w:spacing w:val="3"/>
                <w:sz w:val="22"/>
                <w:szCs w:val="22"/>
              </w:rPr>
              <w:t>型研发中心</w:t>
            </w:r>
            <w:r>
              <w:rPr>
                <w:rFonts w:ascii="仿宋" w:hAnsi="仿宋" w:eastAsia="仿宋" w:cs="仿宋"/>
                <w:spacing w:val="-4"/>
                <w:sz w:val="22"/>
                <w:szCs w:val="22"/>
              </w:rPr>
              <w:t>所</w:t>
            </w:r>
            <w:r>
              <w:rPr>
                <w:rFonts w:ascii="仿宋" w:hAnsi="仿宋" w:eastAsia="仿宋" w:cs="仿宋"/>
                <w:spacing w:val="-2"/>
                <w:sz w:val="22"/>
                <w:szCs w:val="22"/>
              </w:rPr>
              <w:t>在地</w:t>
            </w:r>
          </w:p>
        </w:tc>
      </w:tr>
      <w:tr w14:paraId="15013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1635" w:type="dxa"/>
            <w:tcBorders>
              <w:tl2br w:val="nil"/>
              <w:tr2bl w:val="nil"/>
            </w:tcBorders>
            <w:noWrap w:val="0"/>
            <w:vAlign w:val="top"/>
          </w:tcPr>
          <w:p w14:paraId="3F6FB95C">
            <w:pPr>
              <w:keepNext w:val="0"/>
              <w:keepLines w:val="0"/>
              <w:pageBreakBefore w:val="0"/>
              <w:widowControl w:val="0"/>
              <w:kinsoku/>
              <w:wordWrap/>
              <w:overflowPunct/>
              <w:topLinePunct/>
              <w:autoSpaceDE/>
              <w:autoSpaceDN/>
              <w:bidi w:val="0"/>
              <w:adjustRightInd w:val="0"/>
              <w:snapToGrid w:val="0"/>
              <w:spacing w:line="295" w:lineRule="auto"/>
              <w:ind w:left="107" w:leftChars="0" w:right="66" w:rightChars="0" w:firstLine="14" w:firstLineChars="0"/>
              <w:jc w:val="center"/>
              <w:textAlignment w:val="baseline"/>
              <w:rPr>
                <w:rFonts w:ascii="仿宋" w:hAnsi="仿宋" w:eastAsia="仿宋" w:cs="仿宋"/>
                <w:spacing w:val="17"/>
                <w:sz w:val="22"/>
                <w:szCs w:val="22"/>
              </w:rPr>
            </w:pPr>
            <w:r>
              <w:rPr>
                <w:rFonts w:ascii="仿宋" w:hAnsi="仿宋" w:eastAsia="仿宋" w:cs="仿宋"/>
                <w:spacing w:val="-1"/>
                <w:sz w:val="22"/>
                <w:szCs w:val="22"/>
              </w:rPr>
              <w:t>卡图哈</w:t>
            </w:r>
            <w:r>
              <w:rPr>
                <w:rFonts w:ascii="Arial" w:hAnsi="Arial" w:eastAsia="Arial" w:cs="Arial"/>
                <w:sz w:val="22"/>
                <w:szCs w:val="22"/>
              </w:rPr>
              <w:t>93</w:t>
            </w:r>
            <w:r>
              <w:rPr>
                <w:rFonts w:ascii="仿宋" w:hAnsi="仿宋" w:eastAsia="仿宋" w:cs="仿宋"/>
                <w:sz w:val="22"/>
                <w:szCs w:val="22"/>
              </w:rPr>
              <w:t>园区</w:t>
            </w:r>
            <w:r>
              <w:rPr>
                <w:rFonts w:ascii="仿宋" w:hAnsi="仿宋" w:eastAsia="仿宋" w:cs="仿宋"/>
                <w:spacing w:val="22"/>
                <w:sz w:val="22"/>
                <w:szCs w:val="22"/>
              </w:rPr>
              <w:t>(</w:t>
            </w:r>
            <w:r>
              <w:rPr>
                <w:rFonts w:ascii="Arial" w:hAnsi="Arial" w:eastAsia="Arial" w:cs="Arial"/>
                <w:sz w:val="22"/>
                <w:szCs w:val="22"/>
              </w:rPr>
              <w:t>Cartuja</w:t>
            </w:r>
            <w:r>
              <w:rPr>
                <w:rFonts w:ascii="Arial" w:hAnsi="Arial" w:eastAsia="Arial" w:cs="Arial"/>
                <w:spacing w:val="22"/>
                <w:sz w:val="22"/>
                <w:szCs w:val="22"/>
              </w:rPr>
              <w:t xml:space="preserve"> 93</w:t>
            </w:r>
            <w:r>
              <w:rPr>
                <w:rFonts w:ascii="仿宋" w:hAnsi="仿宋" w:eastAsia="仿宋" w:cs="仿宋"/>
                <w:spacing w:val="22"/>
                <w:sz w:val="22"/>
                <w:szCs w:val="22"/>
              </w:rPr>
              <w:t>)</w:t>
            </w:r>
          </w:p>
        </w:tc>
        <w:tc>
          <w:tcPr>
            <w:tcW w:w="1133" w:type="dxa"/>
            <w:tcBorders>
              <w:tl2br w:val="nil"/>
              <w:tr2bl w:val="nil"/>
            </w:tcBorders>
            <w:noWrap w:val="0"/>
            <w:vAlign w:val="top"/>
          </w:tcPr>
          <w:p w14:paraId="3471F4FD">
            <w:pPr>
              <w:keepNext w:val="0"/>
              <w:keepLines w:val="0"/>
              <w:pageBreakBefore w:val="0"/>
              <w:widowControl w:val="0"/>
              <w:kinsoku/>
              <w:wordWrap/>
              <w:overflowPunct/>
              <w:topLinePunct/>
              <w:autoSpaceDE/>
              <w:autoSpaceDN/>
              <w:bidi w:val="0"/>
              <w:adjustRightInd w:val="0"/>
              <w:snapToGrid w:val="0"/>
              <w:spacing w:line="306" w:lineRule="auto"/>
              <w:jc w:val="center"/>
              <w:textAlignment w:val="baseline"/>
              <w:rPr>
                <w:rFonts w:ascii="Arial"/>
                <w:sz w:val="21"/>
              </w:rPr>
            </w:pPr>
          </w:p>
          <w:p w14:paraId="711D3EBB">
            <w:pPr>
              <w:keepNext w:val="0"/>
              <w:keepLines w:val="0"/>
              <w:pageBreakBefore w:val="0"/>
              <w:widowControl w:val="0"/>
              <w:kinsoku/>
              <w:wordWrap/>
              <w:overflowPunct/>
              <w:topLinePunct/>
              <w:autoSpaceDE/>
              <w:autoSpaceDN/>
              <w:bidi w:val="0"/>
              <w:adjustRightInd w:val="0"/>
              <w:snapToGrid w:val="0"/>
              <w:spacing w:line="218" w:lineRule="auto"/>
              <w:ind w:left="127" w:leftChars="0"/>
              <w:jc w:val="center"/>
              <w:textAlignment w:val="baseline"/>
              <w:rPr>
                <w:rFonts w:ascii="Arial" w:hAnsi="Arial" w:eastAsia="Arial" w:cs="Arial"/>
                <w:spacing w:val="-1"/>
                <w:sz w:val="22"/>
                <w:szCs w:val="22"/>
              </w:rPr>
            </w:pPr>
            <w:r>
              <w:rPr>
                <w:rFonts w:ascii="Arial" w:hAnsi="Arial" w:eastAsia="Arial" w:cs="Arial"/>
                <w:spacing w:val="-4"/>
                <w:sz w:val="22"/>
                <w:szCs w:val="22"/>
              </w:rPr>
              <w:t>1</w:t>
            </w:r>
            <w:r>
              <w:rPr>
                <w:rFonts w:ascii="Arial" w:hAnsi="Arial" w:eastAsia="Arial" w:cs="Arial"/>
                <w:spacing w:val="-3"/>
                <w:sz w:val="22"/>
                <w:szCs w:val="22"/>
              </w:rPr>
              <w:t>993</w:t>
            </w:r>
            <w:r>
              <w:rPr>
                <w:rFonts w:ascii="仿宋" w:hAnsi="仿宋" w:eastAsia="仿宋" w:cs="仿宋"/>
                <w:spacing w:val="-3"/>
                <w:sz w:val="22"/>
                <w:szCs w:val="22"/>
              </w:rPr>
              <w:t>年</w:t>
            </w:r>
          </w:p>
        </w:tc>
        <w:tc>
          <w:tcPr>
            <w:tcW w:w="992" w:type="dxa"/>
            <w:tcBorders>
              <w:tl2br w:val="nil"/>
              <w:tr2bl w:val="nil"/>
            </w:tcBorders>
            <w:noWrap w:val="0"/>
            <w:vAlign w:val="top"/>
          </w:tcPr>
          <w:p w14:paraId="7A7892A8">
            <w:pPr>
              <w:keepNext w:val="0"/>
              <w:keepLines w:val="0"/>
              <w:pageBreakBefore w:val="0"/>
              <w:widowControl w:val="0"/>
              <w:kinsoku/>
              <w:wordWrap/>
              <w:overflowPunct/>
              <w:topLinePunct/>
              <w:autoSpaceDE/>
              <w:autoSpaceDN/>
              <w:bidi w:val="0"/>
              <w:adjustRightInd w:val="0"/>
              <w:snapToGrid w:val="0"/>
              <w:spacing w:line="306" w:lineRule="auto"/>
              <w:jc w:val="center"/>
              <w:textAlignment w:val="baseline"/>
              <w:rPr>
                <w:rFonts w:ascii="Arial"/>
                <w:sz w:val="21"/>
              </w:rPr>
            </w:pPr>
          </w:p>
          <w:p w14:paraId="4C68EA04">
            <w:pPr>
              <w:keepNext w:val="0"/>
              <w:keepLines w:val="0"/>
              <w:pageBreakBefore w:val="0"/>
              <w:widowControl w:val="0"/>
              <w:kinsoku/>
              <w:wordWrap/>
              <w:overflowPunct/>
              <w:topLinePunct/>
              <w:autoSpaceDE/>
              <w:autoSpaceDN/>
              <w:bidi w:val="0"/>
              <w:adjustRightInd w:val="0"/>
              <w:snapToGrid w:val="0"/>
              <w:spacing w:line="219" w:lineRule="auto"/>
              <w:ind w:left="122" w:leftChars="0"/>
              <w:jc w:val="center"/>
              <w:textAlignment w:val="baseline"/>
              <w:rPr>
                <w:rFonts w:ascii="仿宋" w:hAnsi="仿宋" w:eastAsia="仿宋" w:cs="仿宋"/>
                <w:spacing w:val="-2"/>
                <w:sz w:val="22"/>
                <w:szCs w:val="22"/>
              </w:rPr>
            </w:pPr>
            <w:r>
              <w:rPr>
                <w:rFonts w:ascii="仿宋" w:hAnsi="仿宋" w:eastAsia="仿宋" w:cs="仿宋"/>
                <w:spacing w:val="-8"/>
                <w:sz w:val="22"/>
                <w:szCs w:val="22"/>
              </w:rPr>
              <w:t>西</w:t>
            </w:r>
            <w:r>
              <w:rPr>
                <w:rFonts w:ascii="仿宋" w:hAnsi="仿宋" w:eastAsia="仿宋" w:cs="仿宋"/>
                <w:spacing w:val="-5"/>
                <w:sz w:val="22"/>
                <w:szCs w:val="22"/>
              </w:rPr>
              <w:t>班牙</w:t>
            </w:r>
          </w:p>
        </w:tc>
        <w:tc>
          <w:tcPr>
            <w:tcW w:w="1558" w:type="dxa"/>
            <w:tcBorders>
              <w:tl2br w:val="nil"/>
              <w:tr2bl w:val="nil"/>
            </w:tcBorders>
            <w:noWrap w:val="0"/>
            <w:vAlign w:val="top"/>
          </w:tcPr>
          <w:p w14:paraId="7DD6EE47">
            <w:pPr>
              <w:keepNext w:val="0"/>
              <w:keepLines w:val="0"/>
              <w:pageBreakBefore w:val="0"/>
              <w:widowControl w:val="0"/>
              <w:kinsoku/>
              <w:wordWrap/>
              <w:overflowPunct/>
              <w:topLinePunct/>
              <w:autoSpaceDE/>
              <w:autoSpaceDN/>
              <w:bidi w:val="0"/>
              <w:adjustRightInd w:val="0"/>
              <w:snapToGrid w:val="0"/>
              <w:spacing w:line="243" w:lineRule="auto"/>
              <w:ind w:left="116" w:leftChars="0" w:right="103" w:rightChars="0"/>
              <w:jc w:val="center"/>
              <w:textAlignment w:val="baseline"/>
              <w:rPr>
                <w:rFonts w:ascii="仿宋" w:hAnsi="仿宋" w:eastAsia="仿宋" w:cs="仿宋"/>
                <w:spacing w:val="-2"/>
                <w:sz w:val="22"/>
                <w:szCs w:val="22"/>
              </w:rPr>
            </w:pPr>
            <w:r>
              <w:rPr>
                <w:rFonts w:ascii="仿宋" w:hAnsi="仿宋" w:eastAsia="仿宋" w:cs="仿宋"/>
                <w:spacing w:val="2"/>
                <w:sz w:val="22"/>
                <w:szCs w:val="22"/>
              </w:rPr>
              <w:t>技术服务、生物工程、生态</w:t>
            </w:r>
            <w:r>
              <w:rPr>
                <w:rFonts w:ascii="仿宋" w:hAnsi="仿宋" w:eastAsia="仿宋" w:cs="仿宋"/>
                <w:spacing w:val="-6"/>
                <w:sz w:val="22"/>
                <w:szCs w:val="22"/>
              </w:rPr>
              <w:t>技</w:t>
            </w:r>
            <w:r>
              <w:rPr>
                <w:rFonts w:ascii="仿宋" w:hAnsi="仿宋" w:eastAsia="仿宋" w:cs="仿宋"/>
                <w:spacing w:val="-4"/>
                <w:sz w:val="22"/>
                <w:szCs w:val="22"/>
              </w:rPr>
              <w:t>术</w:t>
            </w:r>
          </w:p>
        </w:tc>
        <w:tc>
          <w:tcPr>
            <w:tcW w:w="1417" w:type="dxa"/>
            <w:tcBorders>
              <w:tl2br w:val="nil"/>
              <w:tr2bl w:val="nil"/>
            </w:tcBorders>
            <w:noWrap w:val="0"/>
            <w:vAlign w:val="top"/>
          </w:tcPr>
          <w:p w14:paraId="01518E97">
            <w:pPr>
              <w:keepNext w:val="0"/>
              <w:keepLines w:val="0"/>
              <w:pageBreakBefore w:val="0"/>
              <w:widowControl w:val="0"/>
              <w:kinsoku/>
              <w:wordWrap/>
              <w:overflowPunct/>
              <w:topLinePunct/>
              <w:autoSpaceDE/>
              <w:autoSpaceDN/>
              <w:bidi w:val="0"/>
              <w:adjustRightInd w:val="0"/>
              <w:snapToGrid w:val="0"/>
              <w:spacing w:line="263" w:lineRule="auto"/>
              <w:ind w:left="120" w:leftChars="0" w:right="104" w:rightChars="0" w:hanging="11" w:firstLineChars="0"/>
              <w:jc w:val="center"/>
              <w:textAlignment w:val="baseline"/>
              <w:rPr>
                <w:rFonts w:ascii="仿宋" w:hAnsi="仿宋" w:eastAsia="仿宋" w:cs="仿宋"/>
                <w:spacing w:val="21"/>
                <w:sz w:val="22"/>
                <w:szCs w:val="22"/>
              </w:rPr>
            </w:pPr>
            <w:r>
              <w:rPr>
                <w:rFonts w:ascii="仿宋" w:hAnsi="仿宋" w:eastAsia="仿宋" w:cs="仿宋"/>
                <w:spacing w:val="21"/>
                <w:sz w:val="22"/>
                <w:szCs w:val="22"/>
              </w:rPr>
              <w:t>位</w:t>
            </w:r>
            <w:r>
              <w:rPr>
                <w:rFonts w:ascii="仿宋" w:hAnsi="仿宋" w:eastAsia="仿宋" w:cs="仿宋"/>
                <w:spacing w:val="19"/>
                <w:sz w:val="22"/>
                <w:szCs w:val="22"/>
              </w:rPr>
              <w:t>于塞维利</w:t>
            </w:r>
            <w:r>
              <w:rPr>
                <w:rFonts w:ascii="仿宋" w:hAnsi="仿宋" w:eastAsia="仿宋" w:cs="仿宋"/>
                <w:sz w:val="22"/>
                <w:szCs w:val="22"/>
              </w:rPr>
              <w:t>亚</w:t>
            </w:r>
          </w:p>
        </w:tc>
        <w:tc>
          <w:tcPr>
            <w:tcW w:w="1558" w:type="dxa"/>
            <w:tcBorders>
              <w:tl2br w:val="nil"/>
              <w:tr2bl w:val="nil"/>
            </w:tcBorders>
            <w:noWrap w:val="0"/>
            <w:vAlign w:val="top"/>
          </w:tcPr>
          <w:p w14:paraId="65B57C3B">
            <w:pPr>
              <w:keepNext w:val="0"/>
              <w:keepLines w:val="0"/>
              <w:pageBreakBefore w:val="0"/>
              <w:widowControl w:val="0"/>
              <w:kinsoku/>
              <w:wordWrap/>
              <w:overflowPunct/>
              <w:topLinePunct/>
              <w:autoSpaceDE/>
              <w:autoSpaceDN/>
              <w:bidi w:val="0"/>
              <w:adjustRightInd w:val="0"/>
              <w:snapToGrid w:val="0"/>
              <w:spacing w:line="254" w:lineRule="auto"/>
              <w:ind w:left="119" w:leftChars="0" w:right="102" w:rightChars="0" w:hanging="6" w:firstLineChars="0"/>
              <w:jc w:val="center"/>
              <w:textAlignment w:val="baseline"/>
              <w:rPr>
                <w:rFonts w:ascii="仿宋" w:hAnsi="仿宋" w:eastAsia="仿宋" w:cs="仿宋"/>
                <w:spacing w:val="-1"/>
                <w:sz w:val="22"/>
                <w:szCs w:val="22"/>
              </w:rPr>
            </w:pPr>
            <w:r>
              <w:rPr>
                <w:rFonts w:ascii="仿宋" w:hAnsi="仿宋" w:eastAsia="仿宋" w:cs="仿宋"/>
                <w:spacing w:val="4"/>
                <w:sz w:val="22"/>
                <w:szCs w:val="22"/>
              </w:rPr>
              <w:t>公路</w:t>
            </w:r>
            <w:r>
              <w:rPr>
                <w:rFonts w:ascii="仿宋" w:hAnsi="仿宋" w:eastAsia="仿宋" w:cs="仿宋"/>
                <w:spacing w:val="2"/>
                <w:sz w:val="22"/>
                <w:szCs w:val="22"/>
              </w:rPr>
              <w:t>、轨道交</w:t>
            </w:r>
            <w:r>
              <w:rPr>
                <w:rFonts w:ascii="仿宋" w:hAnsi="仿宋" w:eastAsia="仿宋" w:cs="仿宋"/>
                <w:spacing w:val="-5"/>
                <w:sz w:val="22"/>
                <w:szCs w:val="22"/>
              </w:rPr>
              <w:t>通</w:t>
            </w:r>
            <w:r>
              <w:rPr>
                <w:rFonts w:ascii="仿宋" w:hAnsi="仿宋" w:eastAsia="仿宋" w:cs="仿宋"/>
                <w:spacing w:val="-4"/>
                <w:sz w:val="22"/>
                <w:szCs w:val="22"/>
              </w:rPr>
              <w:t>发达</w:t>
            </w:r>
          </w:p>
        </w:tc>
        <w:tc>
          <w:tcPr>
            <w:tcW w:w="1577" w:type="dxa"/>
            <w:tcBorders>
              <w:tl2br w:val="nil"/>
              <w:tr2bl w:val="nil"/>
            </w:tcBorders>
            <w:noWrap w:val="0"/>
            <w:vAlign w:val="top"/>
          </w:tcPr>
          <w:p w14:paraId="083C326D">
            <w:pPr>
              <w:keepNext w:val="0"/>
              <w:keepLines w:val="0"/>
              <w:pageBreakBefore w:val="0"/>
              <w:widowControl w:val="0"/>
              <w:kinsoku/>
              <w:wordWrap/>
              <w:overflowPunct/>
              <w:topLinePunct/>
              <w:autoSpaceDE/>
              <w:autoSpaceDN/>
              <w:bidi w:val="0"/>
              <w:adjustRightInd w:val="0"/>
              <w:snapToGrid w:val="0"/>
              <w:spacing w:line="253" w:lineRule="auto"/>
              <w:ind w:left="117" w:leftChars="0" w:right="105" w:rightChars="0" w:hanging="7" w:firstLineChars="0"/>
              <w:jc w:val="center"/>
              <w:textAlignment w:val="baseline"/>
              <w:rPr>
                <w:rFonts w:ascii="仿宋" w:hAnsi="仿宋" w:eastAsia="仿宋" w:cs="仿宋"/>
                <w:spacing w:val="-25"/>
                <w:sz w:val="22"/>
                <w:szCs w:val="22"/>
              </w:rPr>
            </w:pPr>
            <w:r>
              <w:rPr>
                <w:rFonts w:ascii="仿宋" w:hAnsi="仿宋" w:eastAsia="仿宋" w:cs="仿宋"/>
                <w:spacing w:val="6"/>
                <w:sz w:val="22"/>
                <w:szCs w:val="22"/>
              </w:rPr>
              <w:t>研发中心、</w:t>
            </w:r>
            <w:r>
              <w:rPr>
                <w:rFonts w:ascii="仿宋" w:hAnsi="仿宋" w:eastAsia="仿宋" w:cs="仿宋"/>
                <w:spacing w:val="5"/>
                <w:sz w:val="22"/>
                <w:szCs w:val="22"/>
              </w:rPr>
              <w:t>高</w:t>
            </w:r>
            <w:r>
              <w:rPr>
                <w:rFonts w:ascii="仿宋" w:hAnsi="仿宋" w:eastAsia="仿宋" w:cs="仿宋"/>
                <w:spacing w:val="-3"/>
                <w:sz w:val="22"/>
                <w:szCs w:val="22"/>
              </w:rPr>
              <w:t>校集中</w:t>
            </w:r>
          </w:p>
        </w:tc>
      </w:tr>
    </w:tbl>
    <w:p w14:paraId="6E2AD054">
      <w:pPr>
        <w:pStyle w:val="2"/>
        <w:keepNext w:val="0"/>
        <w:keepLines w:val="0"/>
        <w:pageBreakBefore w:val="0"/>
        <w:widowControl w:val="0"/>
        <w:kinsoku/>
        <w:wordWrap/>
        <w:overflowPunct/>
        <w:topLinePunct/>
        <w:autoSpaceDE/>
        <w:autoSpaceDN/>
        <w:bidi w:val="0"/>
        <w:adjustRightInd/>
        <w:snapToGrid/>
        <w:spacing w:before="157" w:beforeLines="5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2.1.1.3亚洲</w:t>
      </w:r>
    </w:p>
    <w:p w14:paraId="0F7759D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区发展模式最早在日本兴起，20世纪60年代末期，日本筑波、关西开始建设亚洲最早的高新技术产业集中区。70年代末、80年代初，中国、韩国、印度、新加坡、马来西亚、菲律宾等国家相继成立高新区，现在，高新区在亚洲经济水平较高的国家中已成为普遍的高新技术产业发展模式，并在亚洲国家科技、经济、文化发展过程中起到重要作用。亚洲典型高新区发展案例如下(除中国大陆外)：</w:t>
      </w:r>
    </w:p>
    <w:p w14:paraId="7E7BA90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筑波科学城。位于日本东京东北60公里附近的筑波山麓，1968年在政府主导下开始建设，规划、审批、选址、科研方向及运营完全由政府决策，科研机构和人员全部由政府决策从东京迁至筑波。目前，筑波科学城已形成完整的产业体系并拥有完善的基础设施，完成了以产筑城。筑波科学城形成了以生物科技、空间技术、核技术、地理气象等产业为主导，以各类服务业为支撑的产业体系，筑波科学城内聚集了43个国家级研究院所、两所知名大学，并聚集了超过11000名研究人员。筑波科学城已成为日本最大的科学和知识中心，也是亚洲最具影响力的高科技聚集区。</w:t>
      </w:r>
    </w:p>
    <w:p w14:paraId="702B519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关西科学城。位于大阪、京都、奈良三座都市形成的三角形区域，总</w:t>
      </w:r>
    </w:p>
    <w:p w14:paraId="6450629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面积约36平方千米，覆盖21万人口。关西科学城中聚集了6所知名高校，13个日本著名科研中心。已经形成了轨道交通制造、机械制造、新材料、电子电气为支柱的产业结构。</w:t>
      </w:r>
    </w:p>
    <w:p w14:paraId="741EFB2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新加坡科学园。位于新加坡市西南，1982年建成。目前形成了以微电子、生物科技、人工智能、军工科技为特点的产业结构。该科学园与周边高等院校、医院、科研机构形成整体，实现该地区的多片区协同发展。</w:t>
      </w:r>
    </w:p>
    <w:p w14:paraId="011C0EF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德科学城。位于韩国大田市，于1973年成立，是韩国最大的产学研综合园区，也是亚洲重要的科技创新区。大德科学城形成了以信息技术、空间技术、精密仪器等为核心的产业结构，并广泛开展国际合作，发展形成新材料、精细化工、生物工程、光学等产业。</w:t>
      </w:r>
    </w:p>
    <w:p w14:paraId="2E3921E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竹科学工业园。位于台湾地区新竹市区东南，占地面积约5.8平方千米，落户各类高科技公司260余家，年产值高达4000亿新台币。新竹科技工业园在发展过程中受到台湾当局的政策支持，入园创业企业获得税收优惠、低息贷款、专利权入股、政府参与投资等优惠政策。目前，电子产品是新竹科学工业园的支柱产业之一，其在该行业的产值占全岛的50%。</w:t>
      </w:r>
    </w:p>
    <w:p w14:paraId="0922569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综上，亚洲高新区多数是在人口密集地区发展起来的，与欧美的高新区相比，亚洲高新区的产业结构覆盖范围更广，多数高新区形成多个增长极。除上述高新区外，其他亚洲著名高新区及特点在下表中一并列出：</w:t>
      </w:r>
    </w:p>
    <w:p w14:paraId="560F8F4F">
      <w:pPr>
        <w:keepNext w:val="0"/>
        <w:keepLines w:val="0"/>
        <w:pageBreakBefore w:val="0"/>
        <w:widowControl w:val="0"/>
        <w:wordWrap/>
        <w:overflowPunct/>
        <w:bidi w:val="0"/>
        <w:spacing w:before="76" w:line="225" w:lineRule="auto"/>
        <w:ind w:left="3672"/>
      </w:pPr>
      <w:r>
        <w:rPr>
          <w:rFonts w:ascii="黑体" w:hAnsi="黑体" w:eastAsia="黑体" w:cs="黑体"/>
          <w:spacing w:val="17"/>
          <w:sz w:val="23"/>
          <w:szCs w:val="23"/>
        </w:rPr>
        <w:t>亚</w:t>
      </w:r>
      <w:r>
        <w:rPr>
          <w:rFonts w:ascii="黑体" w:hAnsi="黑体" w:eastAsia="黑体" w:cs="黑体"/>
          <w:spacing w:val="9"/>
          <w:sz w:val="23"/>
          <w:szCs w:val="23"/>
        </w:rPr>
        <w:t>洲典型高新区及发展特点</w:t>
      </w:r>
    </w:p>
    <w:tbl>
      <w:tblPr>
        <w:tblStyle w:val="9"/>
        <w:tblW w:w="1019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14"/>
        <w:gridCol w:w="1176"/>
        <w:gridCol w:w="1119"/>
        <w:gridCol w:w="1634"/>
        <w:gridCol w:w="1313"/>
        <w:gridCol w:w="1458"/>
        <w:gridCol w:w="1577"/>
      </w:tblGrid>
      <w:tr w14:paraId="37624F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3" w:hRule="atLeast"/>
          <w:jc w:val="center"/>
        </w:trPr>
        <w:tc>
          <w:tcPr>
            <w:tcW w:w="1914" w:type="dxa"/>
            <w:tcBorders>
              <w:tl2br w:val="nil"/>
              <w:tr2bl w:val="nil"/>
            </w:tcBorders>
            <w:noWrap w:val="0"/>
            <w:vAlign w:val="center"/>
          </w:tcPr>
          <w:p w14:paraId="1FB35F02">
            <w:pPr>
              <w:keepNext w:val="0"/>
              <w:keepLines w:val="0"/>
              <w:pageBreakBefore w:val="0"/>
              <w:widowControl w:val="0"/>
              <w:kinsoku/>
              <w:wordWrap/>
              <w:overflowPunct/>
              <w:autoSpaceDE/>
              <w:autoSpaceDN/>
              <w:bidi w:val="0"/>
              <w:spacing w:line="280" w:lineRule="exact"/>
              <w:jc w:val="center"/>
              <w:rPr>
                <w:rFonts w:ascii="仿宋" w:hAnsi="仿宋" w:eastAsia="仿宋" w:cs="仿宋"/>
                <w:sz w:val="22"/>
                <w:szCs w:val="22"/>
              </w:rPr>
            </w:pPr>
            <w:r>
              <w:rPr>
                <w:rFonts w:ascii="仿宋" w:hAnsi="仿宋" w:eastAsia="仿宋" w:cs="仿宋"/>
                <w:spacing w:val="-2"/>
                <w:sz w:val="22"/>
                <w:szCs w:val="22"/>
              </w:rPr>
              <w:t>名称</w:t>
            </w:r>
          </w:p>
        </w:tc>
        <w:tc>
          <w:tcPr>
            <w:tcW w:w="1176" w:type="dxa"/>
            <w:tcBorders>
              <w:tl2br w:val="nil"/>
              <w:tr2bl w:val="nil"/>
            </w:tcBorders>
            <w:noWrap w:val="0"/>
            <w:vAlign w:val="center"/>
          </w:tcPr>
          <w:p w14:paraId="4FEDE40E">
            <w:pPr>
              <w:keepNext w:val="0"/>
              <w:keepLines w:val="0"/>
              <w:pageBreakBefore w:val="0"/>
              <w:widowControl w:val="0"/>
              <w:kinsoku/>
              <w:wordWrap/>
              <w:overflowPunct/>
              <w:autoSpaceDE/>
              <w:autoSpaceDN/>
              <w:bidi w:val="0"/>
              <w:spacing w:line="280" w:lineRule="exact"/>
              <w:jc w:val="center"/>
              <w:rPr>
                <w:rFonts w:ascii="仿宋" w:hAnsi="仿宋" w:eastAsia="仿宋" w:cs="仿宋"/>
                <w:sz w:val="22"/>
                <w:szCs w:val="22"/>
              </w:rPr>
            </w:pPr>
            <w:r>
              <w:rPr>
                <w:rFonts w:ascii="仿宋" w:hAnsi="仿宋" w:eastAsia="仿宋" w:cs="仿宋"/>
                <w:sz w:val="22"/>
                <w:szCs w:val="22"/>
              </w:rPr>
              <w:t>形成时间</w:t>
            </w:r>
          </w:p>
        </w:tc>
        <w:tc>
          <w:tcPr>
            <w:tcW w:w="1119" w:type="dxa"/>
            <w:tcBorders>
              <w:tl2br w:val="nil"/>
              <w:tr2bl w:val="nil"/>
            </w:tcBorders>
            <w:noWrap w:val="0"/>
            <w:vAlign w:val="center"/>
          </w:tcPr>
          <w:p w14:paraId="595C44AB">
            <w:pPr>
              <w:keepNext w:val="0"/>
              <w:keepLines w:val="0"/>
              <w:pageBreakBefore w:val="0"/>
              <w:widowControl w:val="0"/>
              <w:kinsoku/>
              <w:wordWrap/>
              <w:overflowPunct/>
              <w:autoSpaceDE/>
              <w:autoSpaceDN/>
              <w:bidi w:val="0"/>
              <w:spacing w:line="280" w:lineRule="exact"/>
              <w:jc w:val="center"/>
              <w:rPr>
                <w:rFonts w:ascii="仿宋" w:hAnsi="仿宋" w:eastAsia="仿宋" w:cs="仿宋"/>
                <w:sz w:val="22"/>
                <w:szCs w:val="22"/>
              </w:rPr>
            </w:pPr>
            <w:r>
              <w:rPr>
                <w:rFonts w:ascii="仿宋" w:hAnsi="仿宋" w:eastAsia="仿宋" w:cs="仿宋"/>
                <w:spacing w:val="-6"/>
                <w:position w:val="1"/>
                <w:sz w:val="22"/>
                <w:szCs w:val="22"/>
              </w:rPr>
              <w:t>国</w:t>
            </w:r>
            <w:r>
              <w:rPr>
                <w:rFonts w:ascii="仿宋" w:hAnsi="仿宋" w:eastAsia="仿宋" w:cs="仿宋"/>
                <w:spacing w:val="-5"/>
                <w:position w:val="1"/>
                <w:sz w:val="22"/>
                <w:szCs w:val="22"/>
              </w:rPr>
              <w:t>家</w:t>
            </w:r>
            <w:r>
              <w:rPr>
                <w:rFonts w:ascii="Arial" w:hAnsi="Arial" w:eastAsia="Arial" w:cs="Arial"/>
                <w:b/>
                <w:bCs/>
                <w:spacing w:val="-5"/>
                <w:position w:val="1"/>
                <w:sz w:val="22"/>
                <w:szCs w:val="22"/>
              </w:rPr>
              <w:t>/</w:t>
            </w:r>
            <w:r>
              <w:rPr>
                <w:rFonts w:ascii="仿宋" w:hAnsi="仿宋" w:eastAsia="仿宋" w:cs="仿宋"/>
                <w:spacing w:val="-5"/>
                <w:position w:val="1"/>
                <w:sz w:val="22"/>
                <w:szCs w:val="22"/>
              </w:rPr>
              <w:t>地区</w:t>
            </w:r>
          </w:p>
        </w:tc>
        <w:tc>
          <w:tcPr>
            <w:tcW w:w="1634" w:type="dxa"/>
            <w:tcBorders>
              <w:tl2br w:val="nil"/>
              <w:tr2bl w:val="nil"/>
            </w:tcBorders>
            <w:noWrap w:val="0"/>
            <w:vAlign w:val="center"/>
          </w:tcPr>
          <w:p w14:paraId="73953945">
            <w:pPr>
              <w:keepNext w:val="0"/>
              <w:keepLines w:val="0"/>
              <w:pageBreakBefore w:val="0"/>
              <w:widowControl w:val="0"/>
              <w:kinsoku/>
              <w:wordWrap/>
              <w:overflowPunct/>
              <w:autoSpaceDE/>
              <w:autoSpaceDN/>
              <w:bidi w:val="0"/>
              <w:spacing w:line="280" w:lineRule="exact"/>
              <w:jc w:val="center"/>
              <w:rPr>
                <w:rFonts w:ascii="仿宋" w:hAnsi="仿宋" w:eastAsia="仿宋" w:cs="仿宋"/>
                <w:sz w:val="22"/>
                <w:szCs w:val="22"/>
              </w:rPr>
            </w:pPr>
            <w:r>
              <w:rPr>
                <w:rFonts w:ascii="仿宋" w:hAnsi="仿宋" w:eastAsia="仿宋" w:cs="仿宋"/>
                <w:spacing w:val="-6"/>
                <w:sz w:val="22"/>
                <w:szCs w:val="22"/>
              </w:rPr>
              <w:t>主</w:t>
            </w:r>
            <w:r>
              <w:rPr>
                <w:rFonts w:ascii="仿宋" w:hAnsi="仿宋" w:eastAsia="仿宋" w:cs="仿宋"/>
                <w:spacing w:val="-3"/>
                <w:sz w:val="22"/>
                <w:szCs w:val="22"/>
              </w:rPr>
              <w:t>导产业</w:t>
            </w:r>
          </w:p>
        </w:tc>
        <w:tc>
          <w:tcPr>
            <w:tcW w:w="1313" w:type="dxa"/>
            <w:tcBorders>
              <w:tl2br w:val="nil"/>
              <w:tr2bl w:val="nil"/>
            </w:tcBorders>
            <w:noWrap w:val="0"/>
            <w:vAlign w:val="center"/>
          </w:tcPr>
          <w:p w14:paraId="5A1C72D4">
            <w:pPr>
              <w:keepNext w:val="0"/>
              <w:keepLines w:val="0"/>
              <w:pageBreakBefore w:val="0"/>
              <w:widowControl w:val="0"/>
              <w:kinsoku/>
              <w:wordWrap/>
              <w:overflowPunct/>
              <w:autoSpaceDE/>
              <w:autoSpaceDN/>
              <w:bidi w:val="0"/>
              <w:spacing w:line="280" w:lineRule="exact"/>
              <w:ind w:left="274"/>
              <w:jc w:val="center"/>
              <w:rPr>
                <w:rFonts w:ascii="仿宋" w:hAnsi="仿宋" w:eastAsia="仿宋" w:cs="仿宋"/>
                <w:sz w:val="22"/>
                <w:szCs w:val="22"/>
              </w:rPr>
            </w:pPr>
            <w:r>
              <w:rPr>
                <w:rFonts w:ascii="仿宋" w:hAnsi="仿宋" w:eastAsia="仿宋" w:cs="仿宋"/>
                <w:spacing w:val="-2"/>
                <w:sz w:val="22"/>
                <w:szCs w:val="22"/>
              </w:rPr>
              <w:t>周</w:t>
            </w:r>
            <w:r>
              <w:rPr>
                <w:rFonts w:ascii="仿宋" w:hAnsi="仿宋" w:eastAsia="仿宋" w:cs="仿宋"/>
                <w:spacing w:val="-1"/>
                <w:sz w:val="22"/>
                <w:szCs w:val="22"/>
              </w:rPr>
              <w:t>边环境</w:t>
            </w:r>
          </w:p>
        </w:tc>
        <w:tc>
          <w:tcPr>
            <w:tcW w:w="1458" w:type="dxa"/>
            <w:tcBorders>
              <w:tl2br w:val="nil"/>
              <w:tr2bl w:val="nil"/>
            </w:tcBorders>
            <w:noWrap w:val="0"/>
            <w:vAlign w:val="center"/>
          </w:tcPr>
          <w:p w14:paraId="4E4A5F77">
            <w:pPr>
              <w:keepNext w:val="0"/>
              <w:keepLines w:val="0"/>
              <w:pageBreakBefore w:val="0"/>
              <w:widowControl w:val="0"/>
              <w:kinsoku/>
              <w:wordWrap/>
              <w:overflowPunct/>
              <w:autoSpaceDE/>
              <w:autoSpaceDN/>
              <w:bidi w:val="0"/>
              <w:spacing w:line="280" w:lineRule="exact"/>
              <w:ind w:left="304"/>
              <w:jc w:val="center"/>
              <w:rPr>
                <w:rFonts w:ascii="仿宋" w:hAnsi="仿宋" w:eastAsia="仿宋" w:cs="仿宋"/>
                <w:sz w:val="22"/>
                <w:szCs w:val="22"/>
              </w:rPr>
            </w:pPr>
            <w:r>
              <w:rPr>
                <w:rFonts w:ascii="仿宋" w:hAnsi="仿宋" w:eastAsia="仿宋" w:cs="仿宋"/>
                <w:spacing w:val="-4"/>
                <w:sz w:val="22"/>
                <w:szCs w:val="22"/>
              </w:rPr>
              <w:t>交</w:t>
            </w:r>
            <w:r>
              <w:rPr>
                <w:rFonts w:ascii="仿宋" w:hAnsi="仿宋" w:eastAsia="仿宋" w:cs="仿宋"/>
                <w:spacing w:val="-3"/>
                <w:sz w:val="22"/>
                <w:szCs w:val="22"/>
              </w:rPr>
              <w:t>通条件</w:t>
            </w:r>
          </w:p>
        </w:tc>
        <w:tc>
          <w:tcPr>
            <w:tcW w:w="1577" w:type="dxa"/>
            <w:tcBorders>
              <w:tl2br w:val="nil"/>
              <w:tr2bl w:val="nil"/>
            </w:tcBorders>
            <w:noWrap w:val="0"/>
            <w:vAlign w:val="center"/>
          </w:tcPr>
          <w:p w14:paraId="2ADAB8FC">
            <w:pPr>
              <w:keepNext w:val="0"/>
              <w:keepLines w:val="0"/>
              <w:pageBreakBefore w:val="0"/>
              <w:widowControl w:val="0"/>
              <w:kinsoku/>
              <w:wordWrap/>
              <w:overflowPunct/>
              <w:autoSpaceDE/>
              <w:autoSpaceDN/>
              <w:bidi w:val="0"/>
              <w:spacing w:line="280" w:lineRule="exact"/>
              <w:ind w:left="356"/>
              <w:jc w:val="center"/>
              <w:rPr>
                <w:rFonts w:ascii="仿宋" w:hAnsi="仿宋" w:eastAsia="仿宋" w:cs="仿宋"/>
                <w:sz w:val="22"/>
                <w:szCs w:val="22"/>
              </w:rPr>
            </w:pPr>
            <w:r>
              <w:rPr>
                <w:rFonts w:ascii="仿宋" w:hAnsi="仿宋" w:eastAsia="仿宋" w:cs="仿宋"/>
                <w:spacing w:val="-2"/>
                <w:sz w:val="22"/>
                <w:szCs w:val="22"/>
              </w:rPr>
              <w:t>人才环</w:t>
            </w:r>
            <w:r>
              <w:rPr>
                <w:rFonts w:ascii="仿宋" w:hAnsi="仿宋" w:eastAsia="仿宋" w:cs="仿宋"/>
                <w:spacing w:val="-1"/>
                <w:sz w:val="22"/>
                <w:szCs w:val="22"/>
              </w:rPr>
              <w:t>境</w:t>
            </w:r>
          </w:p>
        </w:tc>
      </w:tr>
      <w:tr w14:paraId="10C84E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8" w:hRule="atLeast"/>
          <w:jc w:val="center"/>
        </w:trPr>
        <w:tc>
          <w:tcPr>
            <w:tcW w:w="1914" w:type="dxa"/>
            <w:tcBorders>
              <w:tl2br w:val="nil"/>
              <w:tr2bl w:val="nil"/>
            </w:tcBorders>
            <w:noWrap w:val="0"/>
            <w:vAlign w:val="top"/>
          </w:tcPr>
          <w:p w14:paraId="4B94A7C8">
            <w:pPr>
              <w:keepNext w:val="0"/>
              <w:keepLines w:val="0"/>
              <w:pageBreakBefore w:val="0"/>
              <w:widowControl w:val="0"/>
              <w:kinsoku/>
              <w:wordWrap/>
              <w:overflowPunct/>
              <w:autoSpaceDE/>
              <w:autoSpaceDN/>
              <w:bidi w:val="0"/>
              <w:spacing w:line="280" w:lineRule="exact"/>
              <w:jc w:val="center"/>
              <w:rPr>
                <w:rFonts w:ascii="仿宋" w:hAnsi="仿宋" w:eastAsia="仿宋" w:cs="仿宋"/>
                <w:spacing w:val="0"/>
                <w:sz w:val="22"/>
                <w:szCs w:val="22"/>
              </w:rPr>
            </w:pPr>
            <w:r>
              <w:rPr>
                <w:rFonts w:ascii="仿宋" w:hAnsi="仿宋" w:eastAsia="仿宋" w:cs="仿宋"/>
                <w:spacing w:val="0"/>
                <w:sz w:val="22"/>
                <w:szCs w:val="22"/>
              </w:rPr>
              <w:t>筑波科学城</w:t>
            </w:r>
          </w:p>
        </w:tc>
        <w:tc>
          <w:tcPr>
            <w:tcW w:w="1176" w:type="dxa"/>
            <w:tcBorders>
              <w:tl2br w:val="nil"/>
              <w:tr2bl w:val="nil"/>
            </w:tcBorders>
            <w:noWrap w:val="0"/>
            <w:vAlign w:val="top"/>
          </w:tcPr>
          <w:p w14:paraId="54CC65C8">
            <w:pPr>
              <w:keepNext w:val="0"/>
              <w:keepLines w:val="0"/>
              <w:pageBreakBefore w:val="0"/>
              <w:widowControl w:val="0"/>
              <w:kinsoku/>
              <w:wordWrap/>
              <w:overflowPunct/>
              <w:autoSpaceDE/>
              <w:autoSpaceDN/>
              <w:bidi w:val="0"/>
              <w:spacing w:line="280" w:lineRule="exact"/>
              <w:jc w:val="center"/>
              <w:rPr>
                <w:rFonts w:ascii="仿宋" w:hAnsi="仿宋" w:eastAsia="仿宋" w:cs="仿宋"/>
                <w:spacing w:val="0"/>
                <w:sz w:val="22"/>
                <w:szCs w:val="22"/>
              </w:rPr>
            </w:pPr>
            <w:r>
              <w:rPr>
                <w:rFonts w:ascii="Arial" w:hAnsi="Arial" w:eastAsia="Arial" w:cs="Arial"/>
                <w:spacing w:val="0"/>
                <w:sz w:val="22"/>
                <w:szCs w:val="22"/>
              </w:rPr>
              <w:t>20</w:t>
            </w:r>
            <w:r>
              <w:rPr>
                <w:rFonts w:ascii="仿宋" w:hAnsi="仿宋" w:eastAsia="仿宋" w:cs="仿宋"/>
                <w:spacing w:val="0"/>
                <w:sz w:val="22"/>
                <w:szCs w:val="22"/>
              </w:rPr>
              <w:t>世纪</w:t>
            </w:r>
          </w:p>
          <w:p w14:paraId="66FDD991">
            <w:pPr>
              <w:keepNext w:val="0"/>
              <w:keepLines w:val="0"/>
              <w:pageBreakBefore w:val="0"/>
              <w:widowControl w:val="0"/>
              <w:kinsoku/>
              <w:wordWrap/>
              <w:overflowPunct/>
              <w:autoSpaceDE/>
              <w:autoSpaceDN/>
              <w:bidi w:val="0"/>
              <w:spacing w:line="280" w:lineRule="exact"/>
              <w:jc w:val="center"/>
              <w:rPr>
                <w:rFonts w:ascii="仿宋" w:hAnsi="仿宋" w:eastAsia="仿宋" w:cs="仿宋"/>
                <w:spacing w:val="0"/>
                <w:sz w:val="22"/>
                <w:szCs w:val="22"/>
              </w:rPr>
            </w:pPr>
            <w:r>
              <w:rPr>
                <w:rFonts w:ascii="Arial" w:hAnsi="Arial" w:eastAsia="Arial" w:cs="Arial"/>
                <w:spacing w:val="0"/>
                <w:sz w:val="22"/>
                <w:szCs w:val="22"/>
              </w:rPr>
              <w:t>70</w:t>
            </w:r>
            <w:r>
              <w:rPr>
                <w:rFonts w:ascii="仿宋" w:hAnsi="仿宋" w:eastAsia="仿宋" w:cs="仿宋"/>
                <w:spacing w:val="0"/>
                <w:sz w:val="22"/>
                <w:szCs w:val="22"/>
              </w:rPr>
              <w:t>年代</w:t>
            </w:r>
          </w:p>
        </w:tc>
        <w:tc>
          <w:tcPr>
            <w:tcW w:w="1119" w:type="dxa"/>
            <w:tcBorders>
              <w:tl2br w:val="nil"/>
              <w:tr2bl w:val="nil"/>
            </w:tcBorders>
            <w:noWrap w:val="0"/>
            <w:vAlign w:val="top"/>
          </w:tcPr>
          <w:p w14:paraId="2C578443">
            <w:pPr>
              <w:keepNext w:val="0"/>
              <w:keepLines w:val="0"/>
              <w:pageBreakBefore w:val="0"/>
              <w:widowControl w:val="0"/>
              <w:kinsoku/>
              <w:wordWrap/>
              <w:overflowPunct/>
              <w:autoSpaceDE/>
              <w:autoSpaceDN/>
              <w:bidi w:val="0"/>
              <w:spacing w:line="280" w:lineRule="exact"/>
              <w:jc w:val="center"/>
              <w:rPr>
                <w:rFonts w:ascii="Arial"/>
                <w:spacing w:val="0"/>
                <w:sz w:val="21"/>
              </w:rPr>
            </w:pPr>
          </w:p>
          <w:p w14:paraId="7679360A">
            <w:pPr>
              <w:keepNext w:val="0"/>
              <w:keepLines w:val="0"/>
              <w:pageBreakBefore w:val="0"/>
              <w:widowControl w:val="0"/>
              <w:kinsoku/>
              <w:wordWrap/>
              <w:overflowPunct/>
              <w:autoSpaceDE/>
              <w:autoSpaceDN/>
              <w:bidi w:val="0"/>
              <w:spacing w:line="280" w:lineRule="exact"/>
              <w:ind w:left="153"/>
              <w:jc w:val="center"/>
              <w:rPr>
                <w:rFonts w:ascii="仿宋" w:hAnsi="仿宋" w:eastAsia="仿宋" w:cs="仿宋"/>
                <w:spacing w:val="0"/>
                <w:sz w:val="22"/>
                <w:szCs w:val="22"/>
              </w:rPr>
            </w:pPr>
            <w:r>
              <w:rPr>
                <w:rFonts w:ascii="仿宋" w:hAnsi="仿宋" w:eastAsia="仿宋" w:cs="仿宋"/>
                <w:spacing w:val="0"/>
                <w:sz w:val="22"/>
                <w:szCs w:val="22"/>
              </w:rPr>
              <w:t>日本</w:t>
            </w:r>
          </w:p>
        </w:tc>
        <w:tc>
          <w:tcPr>
            <w:tcW w:w="1634" w:type="dxa"/>
            <w:tcBorders>
              <w:tl2br w:val="nil"/>
              <w:tr2bl w:val="nil"/>
            </w:tcBorders>
            <w:noWrap w:val="0"/>
            <w:vAlign w:val="top"/>
          </w:tcPr>
          <w:p w14:paraId="1874990B">
            <w:pPr>
              <w:keepNext w:val="0"/>
              <w:keepLines w:val="0"/>
              <w:pageBreakBefore w:val="0"/>
              <w:widowControl w:val="0"/>
              <w:kinsoku/>
              <w:wordWrap/>
              <w:overflowPunct/>
              <w:autoSpaceDE/>
              <w:autoSpaceDN/>
              <w:bidi w:val="0"/>
              <w:spacing w:line="280" w:lineRule="exact"/>
              <w:ind w:left="111" w:right="104" w:firstLine="14"/>
              <w:jc w:val="center"/>
              <w:rPr>
                <w:rFonts w:ascii="仿宋" w:hAnsi="仿宋" w:eastAsia="仿宋" w:cs="仿宋"/>
                <w:spacing w:val="0"/>
                <w:sz w:val="22"/>
                <w:szCs w:val="22"/>
              </w:rPr>
            </w:pPr>
            <w:r>
              <w:rPr>
                <w:rFonts w:ascii="仿宋" w:hAnsi="仿宋" w:eastAsia="仿宋" w:cs="仿宋"/>
                <w:spacing w:val="0"/>
                <w:sz w:val="22"/>
                <w:szCs w:val="22"/>
              </w:rPr>
              <w:t>生物科技、空间技术、核技术、地理气象</w:t>
            </w:r>
          </w:p>
        </w:tc>
        <w:tc>
          <w:tcPr>
            <w:tcW w:w="1313" w:type="dxa"/>
            <w:tcBorders>
              <w:tl2br w:val="nil"/>
              <w:tr2bl w:val="nil"/>
            </w:tcBorders>
            <w:noWrap w:val="0"/>
            <w:vAlign w:val="top"/>
          </w:tcPr>
          <w:p w14:paraId="25BB08A4">
            <w:pPr>
              <w:keepNext w:val="0"/>
              <w:keepLines w:val="0"/>
              <w:pageBreakBefore w:val="0"/>
              <w:widowControl w:val="0"/>
              <w:kinsoku/>
              <w:wordWrap/>
              <w:overflowPunct/>
              <w:autoSpaceDE/>
              <w:autoSpaceDN/>
              <w:bidi w:val="0"/>
              <w:spacing w:line="280" w:lineRule="exact"/>
              <w:jc w:val="center"/>
              <w:rPr>
                <w:rFonts w:ascii="Arial"/>
                <w:spacing w:val="0"/>
                <w:sz w:val="21"/>
              </w:rPr>
            </w:pPr>
          </w:p>
          <w:p w14:paraId="186EAFD5">
            <w:pPr>
              <w:keepNext w:val="0"/>
              <w:keepLines w:val="0"/>
              <w:pageBreakBefore w:val="0"/>
              <w:widowControl w:val="0"/>
              <w:kinsoku/>
              <w:wordWrap/>
              <w:overflowPunct/>
              <w:autoSpaceDE/>
              <w:autoSpaceDN/>
              <w:bidi w:val="0"/>
              <w:spacing w:line="280" w:lineRule="exact"/>
              <w:ind w:left="128"/>
              <w:jc w:val="center"/>
              <w:rPr>
                <w:rFonts w:ascii="仿宋" w:hAnsi="仿宋" w:eastAsia="仿宋" w:cs="仿宋"/>
                <w:spacing w:val="0"/>
                <w:sz w:val="22"/>
                <w:szCs w:val="22"/>
              </w:rPr>
            </w:pPr>
            <w:r>
              <w:rPr>
                <w:rFonts w:ascii="仿宋" w:hAnsi="仿宋" w:eastAsia="仿宋" w:cs="仿宋"/>
                <w:spacing w:val="0"/>
                <w:sz w:val="22"/>
                <w:szCs w:val="22"/>
              </w:rPr>
              <w:t>临近东京</w:t>
            </w:r>
          </w:p>
        </w:tc>
        <w:tc>
          <w:tcPr>
            <w:tcW w:w="1458" w:type="dxa"/>
            <w:tcBorders>
              <w:tl2br w:val="nil"/>
              <w:tr2bl w:val="nil"/>
            </w:tcBorders>
            <w:noWrap w:val="0"/>
            <w:vAlign w:val="top"/>
          </w:tcPr>
          <w:p w14:paraId="19A8DCAE">
            <w:pPr>
              <w:keepNext w:val="0"/>
              <w:keepLines w:val="0"/>
              <w:pageBreakBefore w:val="0"/>
              <w:widowControl w:val="0"/>
              <w:kinsoku/>
              <w:wordWrap/>
              <w:overflowPunct/>
              <w:autoSpaceDE/>
              <w:autoSpaceDN/>
              <w:bidi w:val="0"/>
              <w:spacing w:line="280" w:lineRule="exact"/>
              <w:ind w:right="101"/>
              <w:jc w:val="center"/>
              <w:rPr>
                <w:rFonts w:ascii="仿宋" w:hAnsi="仿宋" w:eastAsia="仿宋" w:cs="仿宋"/>
                <w:spacing w:val="0"/>
                <w:sz w:val="22"/>
                <w:szCs w:val="22"/>
              </w:rPr>
            </w:pPr>
            <w:r>
              <w:rPr>
                <w:rFonts w:ascii="仿宋" w:hAnsi="仿宋" w:eastAsia="仿宋" w:cs="仿宋"/>
                <w:spacing w:val="0"/>
                <w:sz w:val="22"/>
                <w:szCs w:val="22"/>
              </w:rPr>
              <w:t>临近大型国际</w:t>
            </w:r>
          </w:p>
          <w:p w14:paraId="6130C717">
            <w:pPr>
              <w:keepNext w:val="0"/>
              <w:keepLines w:val="0"/>
              <w:pageBreakBefore w:val="0"/>
              <w:widowControl w:val="0"/>
              <w:kinsoku/>
              <w:wordWrap/>
              <w:overflowPunct/>
              <w:autoSpaceDE/>
              <w:autoSpaceDN/>
              <w:bidi w:val="0"/>
              <w:spacing w:line="280" w:lineRule="exact"/>
              <w:ind w:right="101"/>
              <w:jc w:val="center"/>
              <w:rPr>
                <w:rFonts w:ascii="仿宋" w:hAnsi="仿宋" w:eastAsia="仿宋" w:cs="仿宋"/>
                <w:spacing w:val="0"/>
                <w:sz w:val="22"/>
                <w:szCs w:val="22"/>
              </w:rPr>
            </w:pPr>
            <w:r>
              <w:rPr>
                <w:rFonts w:ascii="仿宋" w:hAnsi="仿宋" w:eastAsia="仿宋" w:cs="仿宋"/>
                <w:spacing w:val="0"/>
                <w:sz w:val="22"/>
                <w:szCs w:val="22"/>
              </w:rPr>
              <w:t>机场</w:t>
            </w:r>
          </w:p>
        </w:tc>
        <w:tc>
          <w:tcPr>
            <w:tcW w:w="1577" w:type="dxa"/>
            <w:tcBorders>
              <w:tl2br w:val="nil"/>
              <w:tr2bl w:val="nil"/>
            </w:tcBorders>
            <w:noWrap w:val="0"/>
            <w:vAlign w:val="top"/>
          </w:tcPr>
          <w:p w14:paraId="12489C8B">
            <w:pPr>
              <w:keepNext w:val="0"/>
              <w:keepLines w:val="0"/>
              <w:pageBreakBefore w:val="0"/>
              <w:widowControl w:val="0"/>
              <w:kinsoku/>
              <w:wordWrap/>
              <w:overflowPunct/>
              <w:autoSpaceDE/>
              <w:autoSpaceDN/>
              <w:bidi w:val="0"/>
              <w:spacing w:line="280" w:lineRule="exact"/>
              <w:ind w:right="106"/>
              <w:jc w:val="center"/>
              <w:rPr>
                <w:rFonts w:ascii="仿宋" w:hAnsi="仿宋" w:eastAsia="仿宋" w:cs="仿宋"/>
                <w:spacing w:val="0"/>
                <w:sz w:val="22"/>
                <w:szCs w:val="22"/>
              </w:rPr>
            </w:pPr>
            <w:r>
              <w:rPr>
                <w:rFonts w:ascii="仿宋" w:hAnsi="仿宋" w:eastAsia="仿宋" w:cs="仿宋"/>
                <w:spacing w:val="0"/>
                <w:sz w:val="22"/>
                <w:szCs w:val="22"/>
              </w:rPr>
              <w:t>研究机构、高校聚集</w:t>
            </w:r>
          </w:p>
        </w:tc>
      </w:tr>
      <w:tr w14:paraId="191B40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1914" w:type="dxa"/>
            <w:tcBorders>
              <w:tl2br w:val="nil"/>
              <w:tr2bl w:val="nil"/>
            </w:tcBorders>
            <w:noWrap w:val="0"/>
            <w:vAlign w:val="top"/>
          </w:tcPr>
          <w:p w14:paraId="10E8BA50">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16C8DC8D">
            <w:pPr>
              <w:keepNext w:val="0"/>
              <w:keepLines w:val="0"/>
              <w:pageBreakBefore w:val="0"/>
              <w:widowControl w:val="0"/>
              <w:kinsoku/>
              <w:wordWrap/>
              <w:overflowPunct/>
              <w:topLinePunct/>
              <w:autoSpaceDE/>
              <w:autoSpaceDN/>
              <w:bidi w:val="0"/>
              <w:adjustRightInd w:val="0"/>
              <w:snapToGrid w:val="0"/>
              <w:spacing w:line="280" w:lineRule="exact"/>
              <w:ind w:left="125"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关西科学城</w:t>
            </w:r>
          </w:p>
        </w:tc>
        <w:tc>
          <w:tcPr>
            <w:tcW w:w="1176" w:type="dxa"/>
            <w:tcBorders>
              <w:tl2br w:val="nil"/>
              <w:tr2bl w:val="nil"/>
            </w:tcBorders>
            <w:noWrap w:val="0"/>
            <w:vAlign w:val="top"/>
          </w:tcPr>
          <w:p w14:paraId="2BACA181">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365E94FF">
            <w:pPr>
              <w:keepNext w:val="0"/>
              <w:keepLines w:val="0"/>
              <w:pageBreakBefore w:val="0"/>
              <w:widowControl w:val="0"/>
              <w:kinsoku/>
              <w:wordWrap/>
              <w:overflowPunct/>
              <w:topLinePunct/>
              <w:autoSpaceDE/>
              <w:autoSpaceDN/>
              <w:bidi w:val="0"/>
              <w:adjustRightInd w:val="0"/>
              <w:snapToGrid w:val="0"/>
              <w:spacing w:line="280" w:lineRule="exact"/>
              <w:ind w:left="109"/>
              <w:jc w:val="center"/>
              <w:textAlignment w:val="baseline"/>
              <w:rPr>
                <w:rFonts w:ascii="仿宋" w:hAnsi="仿宋" w:eastAsia="仿宋" w:cs="仿宋"/>
                <w:spacing w:val="0"/>
                <w:sz w:val="22"/>
                <w:szCs w:val="22"/>
              </w:rPr>
            </w:pPr>
            <w:r>
              <w:rPr>
                <w:rFonts w:ascii="Arial" w:hAnsi="Arial" w:eastAsia="Arial" w:cs="Arial"/>
                <w:spacing w:val="0"/>
                <w:sz w:val="22"/>
                <w:szCs w:val="22"/>
              </w:rPr>
              <w:t>20</w:t>
            </w:r>
            <w:r>
              <w:rPr>
                <w:rFonts w:ascii="仿宋" w:hAnsi="仿宋" w:eastAsia="仿宋" w:cs="仿宋"/>
                <w:spacing w:val="0"/>
                <w:sz w:val="22"/>
                <w:szCs w:val="22"/>
              </w:rPr>
              <w:t>世纪</w:t>
            </w:r>
          </w:p>
          <w:p w14:paraId="0A10F56B">
            <w:pPr>
              <w:keepNext w:val="0"/>
              <w:keepLines w:val="0"/>
              <w:pageBreakBefore w:val="0"/>
              <w:widowControl w:val="0"/>
              <w:kinsoku/>
              <w:wordWrap/>
              <w:overflowPunct/>
              <w:topLinePunct/>
              <w:autoSpaceDE/>
              <w:autoSpaceDN/>
              <w:bidi w:val="0"/>
              <w:adjustRightInd w:val="0"/>
              <w:snapToGrid w:val="0"/>
              <w:spacing w:line="280" w:lineRule="exact"/>
              <w:ind w:left="113" w:leftChars="0"/>
              <w:jc w:val="center"/>
              <w:textAlignment w:val="baseline"/>
              <w:rPr>
                <w:rFonts w:ascii="Arial" w:hAnsi="Arial" w:eastAsia="Arial" w:cs="Arial"/>
                <w:spacing w:val="0"/>
                <w:sz w:val="22"/>
                <w:szCs w:val="22"/>
              </w:rPr>
            </w:pPr>
            <w:r>
              <w:rPr>
                <w:rFonts w:ascii="Arial" w:hAnsi="Arial" w:eastAsia="Arial" w:cs="Arial"/>
                <w:spacing w:val="0"/>
                <w:sz w:val="22"/>
                <w:szCs w:val="22"/>
              </w:rPr>
              <w:t>70</w:t>
            </w:r>
            <w:r>
              <w:rPr>
                <w:rFonts w:ascii="仿宋" w:hAnsi="仿宋" w:eastAsia="仿宋" w:cs="仿宋"/>
                <w:spacing w:val="0"/>
                <w:sz w:val="22"/>
                <w:szCs w:val="22"/>
              </w:rPr>
              <w:t>年代</w:t>
            </w:r>
          </w:p>
        </w:tc>
        <w:tc>
          <w:tcPr>
            <w:tcW w:w="1119" w:type="dxa"/>
            <w:tcBorders>
              <w:tl2br w:val="nil"/>
              <w:tr2bl w:val="nil"/>
            </w:tcBorders>
            <w:noWrap w:val="0"/>
            <w:vAlign w:val="top"/>
          </w:tcPr>
          <w:p w14:paraId="335B7F6C">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420D9568">
            <w:pPr>
              <w:keepNext w:val="0"/>
              <w:keepLines w:val="0"/>
              <w:pageBreakBefore w:val="0"/>
              <w:widowControl w:val="0"/>
              <w:kinsoku/>
              <w:wordWrap/>
              <w:overflowPunct/>
              <w:topLinePunct/>
              <w:autoSpaceDE/>
              <w:autoSpaceDN/>
              <w:bidi w:val="0"/>
              <w:adjustRightInd w:val="0"/>
              <w:snapToGrid w:val="0"/>
              <w:spacing w:line="280" w:lineRule="exact"/>
              <w:ind w:left="153"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日本</w:t>
            </w:r>
          </w:p>
        </w:tc>
        <w:tc>
          <w:tcPr>
            <w:tcW w:w="1634" w:type="dxa"/>
            <w:tcBorders>
              <w:tl2br w:val="nil"/>
              <w:tr2bl w:val="nil"/>
            </w:tcBorders>
            <w:noWrap w:val="0"/>
            <w:vAlign w:val="top"/>
          </w:tcPr>
          <w:p w14:paraId="29B93C16">
            <w:pPr>
              <w:keepNext w:val="0"/>
              <w:keepLines w:val="0"/>
              <w:pageBreakBefore w:val="0"/>
              <w:widowControl w:val="0"/>
              <w:kinsoku/>
              <w:wordWrap/>
              <w:overflowPunct/>
              <w:topLinePunct/>
              <w:autoSpaceDE/>
              <w:autoSpaceDN/>
              <w:bidi w:val="0"/>
              <w:adjustRightInd w:val="0"/>
              <w:snapToGrid w:val="0"/>
              <w:spacing w:line="280" w:lineRule="exact"/>
              <w:ind w:left="115" w:leftChars="0" w:right="35" w:rightChars="0" w:firstLine="4"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轨道交通制造、机械制造、新材料、电子电气</w:t>
            </w:r>
          </w:p>
        </w:tc>
        <w:tc>
          <w:tcPr>
            <w:tcW w:w="1313" w:type="dxa"/>
            <w:tcBorders>
              <w:tl2br w:val="nil"/>
              <w:tr2bl w:val="nil"/>
            </w:tcBorders>
            <w:noWrap w:val="0"/>
            <w:vAlign w:val="top"/>
          </w:tcPr>
          <w:p w14:paraId="570BBC3A">
            <w:pPr>
              <w:keepNext w:val="0"/>
              <w:keepLines w:val="0"/>
              <w:pageBreakBefore w:val="0"/>
              <w:widowControl w:val="0"/>
              <w:kinsoku/>
              <w:wordWrap/>
              <w:overflowPunct/>
              <w:topLinePunct/>
              <w:autoSpaceDE/>
              <w:autoSpaceDN/>
              <w:bidi w:val="0"/>
              <w:adjustRightInd w:val="0"/>
              <w:snapToGrid w:val="0"/>
              <w:spacing w:line="280" w:lineRule="exact"/>
              <w:ind w:left="124" w:leftChars="0" w:right="103" w:rightChars="0" w:hanging="13"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位于大阪、京都、奈良三角区</w:t>
            </w:r>
          </w:p>
        </w:tc>
        <w:tc>
          <w:tcPr>
            <w:tcW w:w="1458" w:type="dxa"/>
            <w:tcBorders>
              <w:tl2br w:val="nil"/>
              <w:tr2bl w:val="nil"/>
            </w:tcBorders>
            <w:noWrap w:val="0"/>
            <w:vAlign w:val="top"/>
          </w:tcPr>
          <w:p w14:paraId="1350F510">
            <w:pPr>
              <w:keepNext w:val="0"/>
              <w:keepLines w:val="0"/>
              <w:pageBreakBefore w:val="0"/>
              <w:widowControl w:val="0"/>
              <w:kinsoku/>
              <w:wordWrap/>
              <w:overflowPunct/>
              <w:topLinePunct/>
              <w:autoSpaceDE/>
              <w:autoSpaceDN/>
              <w:bidi w:val="0"/>
              <w:adjustRightInd w:val="0"/>
              <w:snapToGrid w:val="0"/>
              <w:spacing w:line="280" w:lineRule="exact"/>
              <w:ind w:right="101"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高速铁路网络发达</w:t>
            </w:r>
          </w:p>
        </w:tc>
        <w:tc>
          <w:tcPr>
            <w:tcW w:w="1577" w:type="dxa"/>
            <w:tcBorders>
              <w:tl2br w:val="nil"/>
              <w:tr2bl w:val="nil"/>
            </w:tcBorders>
            <w:noWrap w:val="0"/>
            <w:vAlign w:val="top"/>
          </w:tcPr>
          <w:p w14:paraId="196BD362">
            <w:pPr>
              <w:keepNext w:val="0"/>
              <w:keepLines w:val="0"/>
              <w:pageBreakBefore w:val="0"/>
              <w:widowControl w:val="0"/>
              <w:kinsoku/>
              <w:wordWrap/>
              <w:overflowPunct/>
              <w:topLinePunct/>
              <w:autoSpaceDE/>
              <w:autoSpaceDN/>
              <w:bidi w:val="0"/>
              <w:adjustRightInd w:val="0"/>
              <w:snapToGrid w:val="0"/>
              <w:spacing w:line="280" w:lineRule="exact"/>
              <w:ind w:right="106"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研究机构、高校聚集</w:t>
            </w:r>
          </w:p>
        </w:tc>
      </w:tr>
      <w:tr w14:paraId="4F6D62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1914" w:type="dxa"/>
            <w:tcBorders>
              <w:tl2br w:val="nil"/>
              <w:tr2bl w:val="nil"/>
            </w:tcBorders>
            <w:noWrap w:val="0"/>
            <w:vAlign w:val="top"/>
          </w:tcPr>
          <w:p w14:paraId="4FC5234A">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0555B4FE">
            <w:pPr>
              <w:keepNext w:val="0"/>
              <w:keepLines w:val="0"/>
              <w:pageBreakBefore w:val="0"/>
              <w:widowControl w:val="0"/>
              <w:kinsoku/>
              <w:wordWrap/>
              <w:overflowPunct/>
              <w:topLinePunct/>
              <w:autoSpaceDE/>
              <w:autoSpaceDN/>
              <w:bidi w:val="0"/>
              <w:adjustRightInd w:val="0"/>
              <w:snapToGrid w:val="0"/>
              <w:spacing w:line="280" w:lineRule="exact"/>
              <w:ind w:left="119"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新加坡科学园</w:t>
            </w:r>
          </w:p>
        </w:tc>
        <w:tc>
          <w:tcPr>
            <w:tcW w:w="1176" w:type="dxa"/>
            <w:tcBorders>
              <w:tl2br w:val="nil"/>
              <w:tr2bl w:val="nil"/>
            </w:tcBorders>
            <w:noWrap w:val="0"/>
            <w:vAlign w:val="top"/>
          </w:tcPr>
          <w:p w14:paraId="57881838">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2B8E224B">
            <w:pPr>
              <w:keepNext w:val="0"/>
              <w:keepLines w:val="0"/>
              <w:pageBreakBefore w:val="0"/>
              <w:widowControl w:val="0"/>
              <w:kinsoku/>
              <w:wordWrap/>
              <w:overflowPunct/>
              <w:topLinePunct/>
              <w:autoSpaceDE/>
              <w:autoSpaceDN/>
              <w:bidi w:val="0"/>
              <w:adjustRightInd w:val="0"/>
              <w:snapToGrid w:val="0"/>
              <w:spacing w:line="280" w:lineRule="exact"/>
              <w:ind w:left="127" w:leftChars="0"/>
              <w:jc w:val="center"/>
              <w:textAlignment w:val="baseline"/>
              <w:rPr>
                <w:rFonts w:ascii="Arial" w:hAnsi="Arial" w:eastAsia="Arial" w:cs="Arial"/>
                <w:spacing w:val="0"/>
                <w:sz w:val="22"/>
                <w:szCs w:val="22"/>
              </w:rPr>
            </w:pPr>
            <w:r>
              <w:rPr>
                <w:rFonts w:ascii="Arial" w:hAnsi="Arial" w:eastAsia="Arial" w:cs="Arial"/>
                <w:spacing w:val="0"/>
                <w:sz w:val="22"/>
                <w:szCs w:val="22"/>
              </w:rPr>
              <w:t>1982</w:t>
            </w:r>
            <w:r>
              <w:rPr>
                <w:rFonts w:ascii="仿宋" w:hAnsi="仿宋" w:eastAsia="仿宋" w:cs="仿宋"/>
                <w:spacing w:val="0"/>
                <w:sz w:val="22"/>
                <w:szCs w:val="22"/>
              </w:rPr>
              <w:t>年</w:t>
            </w:r>
          </w:p>
        </w:tc>
        <w:tc>
          <w:tcPr>
            <w:tcW w:w="1119" w:type="dxa"/>
            <w:tcBorders>
              <w:tl2br w:val="nil"/>
              <w:tr2bl w:val="nil"/>
            </w:tcBorders>
            <w:noWrap w:val="0"/>
            <w:vAlign w:val="top"/>
          </w:tcPr>
          <w:p w14:paraId="6F594C3E">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7F581E3">
            <w:pPr>
              <w:keepNext w:val="0"/>
              <w:keepLines w:val="0"/>
              <w:pageBreakBefore w:val="0"/>
              <w:widowControl w:val="0"/>
              <w:kinsoku/>
              <w:wordWrap/>
              <w:overflowPunct/>
              <w:topLinePunct/>
              <w:autoSpaceDE/>
              <w:autoSpaceDN/>
              <w:bidi w:val="0"/>
              <w:adjustRightInd w:val="0"/>
              <w:snapToGrid w:val="0"/>
              <w:spacing w:line="280" w:lineRule="exact"/>
              <w:ind w:left="115"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新加坡</w:t>
            </w:r>
          </w:p>
        </w:tc>
        <w:tc>
          <w:tcPr>
            <w:tcW w:w="1634" w:type="dxa"/>
            <w:tcBorders>
              <w:tl2br w:val="nil"/>
              <w:tr2bl w:val="nil"/>
            </w:tcBorders>
            <w:noWrap w:val="0"/>
            <w:vAlign w:val="top"/>
          </w:tcPr>
          <w:p w14:paraId="74D9ABD9">
            <w:pPr>
              <w:keepNext w:val="0"/>
              <w:keepLines w:val="0"/>
              <w:pageBreakBefore w:val="0"/>
              <w:widowControl w:val="0"/>
              <w:kinsoku/>
              <w:wordWrap/>
              <w:overflowPunct/>
              <w:topLinePunct/>
              <w:autoSpaceDE/>
              <w:autoSpaceDN/>
              <w:bidi w:val="0"/>
              <w:adjustRightInd w:val="0"/>
              <w:snapToGrid w:val="0"/>
              <w:spacing w:line="280" w:lineRule="exact"/>
              <w:ind w:left="117" w:leftChars="0" w:right="104" w:rightChars="0" w:hanging="8"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微电子、生物科技、人工智能、军工科技</w:t>
            </w:r>
          </w:p>
        </w:tc>
        <w:tc>
          <w:tcPr>
            <w:tcW w:w="1313" w:type="dxa"/>
            <w:tcBorders>
              <w:tl2br w:val="nil"/>
              <w:tr2bl w:val="nil"/>
            </w:tcBorders>
            <w:noWrap w:val="0"/>
            <w:vAlign w:val="top"/>
          </w:tcPr>
          <w:p w14:paraId="34BE03D1">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903390A">
            <w:pPr>
              <w:keepNext w:val="0"/>
              <w:keepLines w:val="0"/>
              <w:pageBreakBefore w:val="0"/>
              <w:widowControl w:val="0"/>
              <w:kinsoku/>
              <w:wordWrap/>
              <w:overflowPunct/>
              <w:topLinePunct/>
              <w:autoSpaceDE/>
              <w:autoSpaceDN/>
              <w:bidi w:val="0"/>
              <w:adjustRightInd w:val="0"/>
              <w:snapToGrid w:val="0"/>
              <w:spacing w:line="280" w:lineRule="exact"/>
              <w:ind w:left="124" w:leftChars="0" w:right="103" w:rightChars="0" w:hanging="13"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位于新加坡市西南</w:t>
            </w:r>
          </w:p>
        </w:tc>
        <w:tc>
          <w:tcPr>
            <w:tcW w:w="1458" w:type="dxa"/>
            <w:tcBorders>
              <w:tl2br w:val="nil"/>
              <w:tr2bl w:val="nil"/>
            </w:tcBorders>
            <w:noWrap w:val="0"/>
            <w:vAlign w:val="top"/>
          </w:tcPr>
          <w:p w14:paraId="13B928B8">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2149801E">
            <w:pPr>
              <w:keepNext w:val="0"/>
              <w:keepLines w:val="0"/>
              <w:pageBreakBefore w:val="0"/>
              <w:widowControl w:val="0"/>
              <w:kinsoku/>
              <w:wordWrap/>
              <w:overflowPunct/>
              <w:topLinePunct/>
              <w:autoSpaceDE/>
              <w:autoSpaceDN/>
              <w:bidi w:val="0"/>
              <w:adjustRightInd w:val="0"/>
              <w:snapToGrid w:val="0"/>
              <w:spacing w:line="280" w:lineRule="exact"/>
              <w:ind w:left="134" w:leftChars="0" w:right="101" w:rightChars="0" w:hanging="5"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临近大型国际机场</w:t>
            </w:r>
          </w:p>
        </w:tc>
        <w:tc>
          <w:tcPr>
            <w:tcW w:w="1577" w:type="dxa"/>
            <w:tcBorders>
              <w:tl2br w:val="nil"/>
              <w:tr2bl w:val="nil"/>
            </w:tcBorders>
            <w:noWrap w:val="0"/>
            <w:vAlign w:val="top"/>
          </w:tcPr>
          <w:p w14:paraId="737722A6">
            <w:pPr>
              <w:keepNext w:val="0"/>
              <w:keepLines w:val="0"/>
              <w:pageBreakBefore w:val="0"/>
              <w:widowControl w:val="0"/>
              <w:kinsoku/>
              <w:wordWrap/>
              <w:overflowPunct/>
              <w:topLinePunct/>
              <w:autoSpaceDE/>
              <w:autoSpaceDN/>
              <w:bidi w:val="0"/>
              <w:adjustRightInd w:val="0"/>
              <w:snapToGrid w:val="0"/>
              <w:spacing w:line="280" w:lineRule="exact"/>
              <w:ind w:left="109" w:leftChars="0" w:right="106"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研究机构、高校聚集，国际创业者多</w:t>
            </w:r>
          </w:p>
        </w:tc>
      </w:tr>
      <w:tr w14:paraId="2C8962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6" w:hRule="atLeast"/>
          <w:jc w:val="center"/>
        </w:trPr>
        <w:tc>
          <w:tcPr>
            <w:tcW w:w="1914" w:type="dxa"/>
            <w:tcBorders>
              <w:tl2br w:val="nil"/>
              <w:tr2bl w:val="nil"/>
            </w:tcBorders>
            <w:noWrap w:val="0"/>
            <w:vAlign w:val="top"/>
          </w:tcPr>
          <w:p w14:paraId="164689DE">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7EB2C690">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4654AFFB">
            <w:pPr>
              <w:keepNext w:val="0"/>
              <w:keepLines w:val="0"/>
              <w:pageBreakBefore w:val="0"/>
              <w:widowControl w:val="0"/>
              <w:kinsoku/>
              <w:wordWrap/>
              <w:overflowPunct/>
              <w:topLinePunct/>
              <w:autoSpaceDE/>
              <w:autoSpaceDN/>
              <w:bidi w:val="0"/>
              <w:adjustRightInd w:val="0"/>
              <w:snapToGrid w:val="0"/>
              <w:spacing w:line="280" w:lineRule="exact"/>
              <w:ind w:left="125"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大德科学城</w:t>
            </w:r>
          </w:p>
        </w:tc>
        <w:tc>
          <w:tcPr>
            <w:tcW w:w="1176" w:type="dxa"/>
            <w:tcBorders>
              <w:tl2br w:val="nil"/>
              <w:tr2bl w:val="nil"/>
            </w:tcBorders>
            <w:noWrap w:val="0"/>
            <w:vAlign w:val="top"/>
          </w:tcPr>
          <w:p w14:paraId="2E0D5E7E">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0B699AE7">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5AFC676C">
            <w:pPr>
              <w:keepNext w:val="0"/>
              <w:keepLines w:val="0"/>
              <w:pageBreakBefore w:val="0"/>
              <w:widowControl w:val="0"/>
              <w:kinsoku/>
              <w:wordWrap/>
              <w:overflowPunct/>
              <w:topLinePunct/>
              <w:autoSpaceDE/>
              <w:autoSpaceDN/>
              <w:bidi w:val="0"/>
              <w:adjustRightInd w:val="0"/>
              <w:snapToGrid w:val="0"/>
              <w:spacing w:line="280" w:lineRule="exact"/>
              <w:ind w:left="127" w:leftChars="0"/>
              <w:jc w:val="center"/>
              <w:textAlignment w:val="baseline"/>
              <w:rPr>
                <w:rFonts w:ascii="Arial" w:hAnsi="Arial" w:eastAsia="Arial" w:cs="Arial"/>
                <w:spacing w:val="0"/>
                <w:sz w:val="22"/>
                <w:szCs w:val="22"/>
              </w:rPr>
            </w:pPr>
            <w:r>
              <w:rPr>
                <w:rFonts w:ascii="Arial" w:hAnsi="Arial" w:eastAsia="Arial" w:cs="Arial"/>
                <w:spacing w:val="0"/>
                <w:sz w:val="22"/>
                <w:szCs w:val="22"/>
              </w:rPr>
              <w:t>1973</w:t>
            </w:r>
            <w:r>
              <w:rPr>
                <w:rFonts w:ascii="仿宋" w:hAnsi="仿宋" w:eastAsia="仿宋" w:cs="仿宋"/>
                <w:spacing w:val="0"/>
                <w:sz w:val="22"/>
                <w:szCs w:val="22"/>
              </w:rPr>
              <w:t>年</w:t>
            </w:r>
          </w:p>
        </w:tc>
        <w:tc>
          <w:tcPr>
            <w:tcW w:w="1119" w:type="dxa"/>
            <w:tcBorders>
              <w:tl2br w:val="nil"/>
              <w:tr2bl w:val="nil"/>
            </w:tcBorders>
            <w:noWrap w:val="0"/>
            <w:vAlign w:val="top"/>
          </w:tcPr>
          <w:p w14:paraId="421ECEDA">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3BC2643B">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008F60B9">
            <w:pPr>
              <w:keepNext w:val="0"/>
              <w:keepLines w:val="0"/>
              <w:pageBreakBefore w:val="0"/>
              <w:widowControl w:val="0"/>
              <w:kinsoku/>
              <w:wordWrap/>
              <w:overflowPunct/>
              <w:topLinePunct/>
              <w:autoSpaceDE/>
              <w:autoSpaceDN/>
              <w:bidi w:val="0"/>
              <w:adjustRightInd w:val="0"/>
              <w:snapToGrid w:val="0"/>
              <w:spacing w:line="280" w:lineRule="exact"/>
              <w:ind w:left="121"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韩国</w:t>
            </w:r>
          </w:p>
        </w:tc>
        <w:tc>
          <w:tcPr>
            <w:tcW w:w="1634" w:type="dxa"/>
            <w:tcBorders>
              <w:tl2br w:val="nil"/>
              <w:tr2bl w:val="nil"/>
            </w:tcBorders>
            <w:noWrap w:val="0"/>
            <w:vAlign w:val="top"/>
          </w:tcPr>
          <w:p w14:paraId="3EA823AB">
            <w:pPr>
              <w:keepNext w:val="0"/>
              <w:keepLines w:val="0"/>
              <w:pageBreakBefore w:val="0"/>
              <w:widowControl w:val="0"/>
              <w:kinsoku/>
              <w:wordWrap/>
              <w:overflowPunct/>
              <w:topLinePunct/>
              <w:autoSpaceDE/>
              <w:autoSpaceDN/>
              <w:bidi w:val="0"/>
              <w:adjustRightInd w:val="0"/>
              <w:snapToGrid w:val="0"/>
              <w:spacing w:line="280" w:lineRule="exact"/>
              <w:ind w:left="115" w:leftChars="0" w:right="104" w:rightChars="0" w:hanging="10"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信息技术、空间技术、新材料、精细化工、生物工程、光学</w:t>
            </w:r>
          </w:p>
        </w:tc>
        <w:tc>
          <w:tcPr>
            <w:tcW w:w="1313" w:type="dxa"/>
            <w:tcBorders>
              <w:tl2br w:val="nil"/>
              <w:tr2bl w:val="nil"/>
            </w:tcBorders>
            <w:noWrap w:val="0"/>
            <w:vAlign w:val="top"/>
          </w:tcPr>
          <w:p w14:paraId="33E8B0BD">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2546AEB0">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2681393A">
            <w:pPr>
              <w:keepNext w:val="0"/>
              <w:keepLines w:val="0"/>
              <w:pageBreakBefore w:val="0"/>
              <w:widowControl w:val="0"/>
              <w:kinsoku/>
              <w:wordWrap/>
              <w:overflowPunct/>
              <w:topLinePunct/>
              <w:autoSpaceDE/>
              <w:autoSpaceDN/>
              <w:bidi w:val="0"/>
              <w:adjustRightInd w:val="0"/>
              <w:snapToGrid w:val="0"/>
              <w:spacing w:line="280" w:lineRule="exact"/>
              <w:ind w:left="142" w:leftChars="0" w:right="103" w:rightChars="0" w:hanging="31"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位于韩国大田市</w:t>
            </w:r>
          </w:p>
        </w:tc>
        <w:tc>
          <w:tcPr>
            <w:tcW w:w="1458" w:type="dxa"/>
            <w:tcBorders>
              <w:tl2br w:val="nil"/>
              <w:tr2bl w:val="nil"/>
            </w:tcBorders>
            <w:noWrap w:val="0"/>
            <w:vAlign w:val="top"/>
          </w:tcPr>
          <w:p w14:paraId="75F9763E">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46DB2C8">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78A1EB30">
            <w:pPr>
              <w:keepNext w:val="0"/>
              <w:keepLines w:val="0"/>
              <w:pageBreakBefore w:val="0"/>
              <w:widowControl w:val="0"/>
              <w:kinsoku/>
              <w:wordWrap/>
              <w:overflowPunct/>
              <w:topLinePunct/>
              <w:autoSpaceDE/>
              <w:autoSpaceDN/>
              <w:bidi w:val="0"/>
              <w:adjustRightInd w:val="0"/>
              <w:snapToGrid w:val="0"/>
              <w:spacing w:line="280" w:lineRule="exact"/>
              <w:ind w:left="115"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公路网发达</w:t>
            </w:r>
          </w:p>
        </w:tc>
        <w:tc>
          <w:tcPr>
            <w:tcW w:w="1577" w:type="dxa"/>
            <w:tcBorders>
              <w:tl2br w:val="nil"/>
              <w:tr2bl w:val="nil"/>
            </w:tcBorders>
            <w:noWrap w:val="0"/>
            <w:vAlign w:val="top"/>
          </w:tcPr>
          <w:p w14:paraId="68901E69">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41721435">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1211179">
            <w:pPr>
              <w:keepNext w:val="0"/>
              <w:keepLines w:val="0"/>
              <w:pageBreakBefore w:val="0"/>
              <w:widowControl w:val="0"/>
              <w:kinsoku/>
              <w:wordWrap/>
              <w:overflowPunct/>
              <w:topLinePunct/>
              <w:autoSpaceDE/>
              <w:autoSpaceDN/>
              <w:bidi w:val="0"/>
              <w:adjustRightInd w:val="0"/>
              <w:snapToGrid w:val="0"/>
              <w:spacing w:line="280" w:lineRule="exact"/>
              <w:ind w:left="116" w:leftChars="0" w:right="106" w:rightChars="0" w:hanging="7"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研究机构、高校聚集</w:t>
            </w:r>
          </w:p>
        </w:tc>
      </w:tr>
      <w:tr w14:paraId="55607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1914" w:type="dxa"/>
            <w:tcBorders>
              <w:tl2br w:val="nil"/>
              <w:tr2bl w:val="nil"/>
            </w:tcBorders>
            <w:noWrap w:val="0"/>
            <w:vAlign w:val="top"/>
          </w:tcPr>
          <w:p w14:paraId="3D843E7F">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083E1976">
            <w:pPr>
              <w:keepNext w:val="0"/>
              <w:keepLines w:val="0"/>
              <w:pageBreakBefore w:val="0"/>
              <w:widowControl w:val="0"/>
              <w:kinsoku/>
              <w:wordWrap/>
              <w:overflowPunct/>
              <w:topLinePunct/>
              <w:autoSpaceDE/>
              <w:autoSpaceDN/>
              <w:bidi w:val="0"/>
              <w:adjustRightInd w:val="0"/>
              <w:snapToGrid w:val="0"/>
              <w:spacing w:line="280" w:lineRule="exact"/>
              <w:ind w:left="119"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新竹科学工业园</w:t>
            </w:r>
          </w:p>
        </w:tc>
        <w:tc>
          <w:tcPr>
            <w:tcW w:w="1176" w:type="dxa"/>
            <w:tcBorders>
              <w:tl2br w:val="nil"/>
              <w:tr2bl w:val="nil"/>
            </w:tcBorders>
            <w:noWrap w:val="0"/>
            <w:vAlign w:val="top"/>
          </w:tcPr>
          <w:p w14:paraId="0520F5A8">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7E40E628">
            <w:pPr>
              <w:keepNext w:val="0"/>
              <w:keepLines w:val="0"/>
              <w:pageBreakBefore w:val="0"/>
              <w:widowControl w:val="0"/>
              <w:kinsoku/>
              <w:wordWrap/>
              <w:overflowPunct/>
              <w:topLinePunct/>
              <w:autoSpaceDE/>
              <w:autoSpaceDN/>
              <w:bidi w:val="0"/>
              <w:adjustRightInd w:val="0"/>
              <w:snapToGrid w:val="0"/>
              <w:spacing w:line="280" w:lineRule="exact"/>
              <w:ind w:left="127" w:leftChars="0"/>
              <w:jc w:val="center"/>
              <w:textAlignment w:val="baseline"/>
              <w:rPr>
                <w:rFonts w:ascii="Arial" w:hAnsi="Arial" w:eastAsia="Arial" w:cs="Arial"/>
                <w:spacing w:val="0"/>
                <w:sz w:val="22"/>
                <w:szCs w:val="22"/>
              </w:rPr>
            </w:pPr>
            <w:r>
              <w:rPr>
                <w:rFonts w:ascii="Arial" w:hAnsi="Arial" w:eastAsia="Arial" w:cs="Arial"/>
                <w:spacing w:val="0"/>
                <w:sz w:val="22"/>
                <w:szCs w:val="22"/>
              </w:rPr>
              <w:t>1980</w:t>
            </w:r>
            <w:r>
              <w:rPr>
                <w:rFonts w:ascii="仿宋" w:hAnsi="仿宋" w:eastAsia="仿宋" w:cs="仿宋"/>
                <w:spacing w:val="0"/>
                <w:sz w:val="22"/>
                <w:szCs w:val="22"/>
              </w:rPr>
              <w:t>年</w:t>
            </w:r>
          </w:p>
        </w:tc>
        <w:tc>
          <w:tcPr>
            <w:tcW w:w="1119" w:type="dxa"/>
            <w:tcBorders>
              <w:tl2br w:val="nil"/>
              <w:tr2bl w:val="nil"/>
            </w:tcBorders>
            <w:noWrap w:val="0"/>
            <w:vAlign w:val="top"/>
          </w:tcPr>
          <w:p w14:paraId="10C488E7">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A84F9FD">
            <w:pPr>
              <w:keepNext w:val="0"/>
              <w:keepLines w:val="0"/>
              <w:pageBreakBefore w:val="0"/>
              <w:widowControl w:val="0"/>
              <w:kinsoku/>
              <w:wordWrap/>
              <w:overflowPunct/>
              <w:topLinePunct/>
              <w:autoSpaceDE/>
              <w:autoSpaceDN/>
              <w:bidi w:val="0"/>
              <w:adjustRightInd w:val="0"/>
              <w:snapToGrid w:val="0"/>
              <w:spacing w:line="280" w:lineRule="exact"/>
              <w:ind w:left="137"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台湾地区</w:t>
            </w:r>
          </w:p>
        </w:tc>
        <w:tc>
          <w:tcPr>
            <w:tcW w:w="1634" w:type="dxa"/>
            <w:tcBorders>
              <w:tl2br w:val="nil"/>
              <w:tr2bl w:val="nil"/>
            </w:tcBorders>
            <w:noWrap w:val="0"/>
            <w:vAlign w:val="top"/>
          </w:tcPr>
          <w:p w14:paraId="28136DF0">
            <w:pPr>
              <w:keepNext w:val="0"/>
              <w:keepLines w:val="0"/>
              <w:pageBreakBefore w:val="0"/>
              <w:widowControl w:val="0"/>
              <w:kinsoku/>
              <w:wordWrap/>
              <w:overflowPunct/>
              <w:topLinePunct/>
              <w:autoSpaceDE/>
              <w:autoSpaceDN/>
              <w:bidi w:val="0"/>
              <w:adjustRightInd w:val="0"/>
              <w:snapToGrid w:val="0"/>
              <w:spacing w:line="280" w:lineRule="exact"/>
              <w:ind w:left="116" w:leftChars="0" w:right="104" w:rightChars="0" w:firstLine="22"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电子产品、新材料、生物科技</w:t>
            </w:r>
          </w:p>
        </w:tc>
        <w:tc>
          <w:tcPr>
            <w:tcW w:w="1313" w:type="dxa"/>
            <w:tcBorders>
              <w:tl2br w:val="nil"/>
              <w:tr2bl w:val="nil"/>
            </w:tcBorders>
            <w:noWrap w:val="0"/>
            <w:vAlign w:val="top"/>
          </w:tcPr>
          <w:p w14:paraId="54B58F38">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42676ACC">
            <w:pPr>
              <w:keepNext w:val="0"/>
              <w:keepLines w:val="0"/>
              <w:pageBreakBefore w:val="0"/>
              <w:widowControl w:val="0"/>
              <w:kinsoku/>
              <w:wordWrap/>
              <w:overflowPunct/>
              <w:topLinePunct/>
              <w:autoSpaceDE/>
              <w:autoSpaceDN/>
              <w:bidi w:val="0"/>
              <w:adjustRightInd w:val="0"/>
              <w:snapToGrid w:val="0"/>
              <w:spacing w:line="280" w:lineRule="exact"/>
              <w:ind w:left="111"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位于新竹市</w:t>
            </w:r>
          </w:p>
        </w:tc>
        <w:tc>
          <w:tcPr>
            <w:tcW w:w="1458" w:type="dxa"/>
            <w:tcBorders>
              <w:tl2br w:val="nil"/>
              <w:tr2bl w:val="nil"/>
            </w:tcBorders>
            <w:noWrap w:val="0"/>
            <w:vAlign w:val="top"/>
          </w:tcPr>
          <w:p w14:paraId="20FEC2B0">
            <w:pPr>
              <w:keepNext w:val="0"/>
              <w:keepLines w:val="0"/>
              <w:pageBreakBefore w:val="0"/>
              <w:widowControl w:val="0"/>
              <w:kinsoku/>
              <w:wordWrap/>
              <w:overflowPunct/>
              <w:topLinePunct/>
              <w:autoSpaceDE/>
              <w:autoSpaceDN/>
              <w:bidi w:val="0"/>
              <w:adjustRightInd w:val="0"/>
              <w:snapToGrid w:val="0"/>
              <w:spacing w:line="280" w:lineRule="exact"/>
              <w:ind w:left="121" w:leftChars="0" w:right="75" w:rightChars="0" w:hanging="6"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公路网发达，高速公路穿过</w:t>
            </w:r>
          </w:p>
        </w:tc>
        <w:tc>
          <w:tcPr>
            <w:tcW w:w="1577" w:type="dxa"/>
            <w:tcBorders>
              <w:tl2br w:val="nil"/>
              <w:tr2bl w:val="nil"/>
            </w:tcBorders>
            <w:noWrap w:val="0"/>
            <w:vAlign w:val="top"/>
          </w:tcPr>
          <w:p w14:paraId="33CFDEBA">
            <w:pPr>
              <w:keepNext w:val="0"/>
              <w:keepLines w:val="0"/>
              <w:pageBreakBefore w:val="0"/>
              <w:widowControl w:val="0"/>
              <w:kinsoku/>
              <w:wordWrap/>
              <w:overflowPunct/>
              <w:topLinePunct/>
              <w:autoSpaceDE/>
              <w:autoSpaceDN/>
              <w:bidi w:val="0"/>
              <w:adjustRightInd w:val="0"/>
              <w:snapToGrid w:val="0"/>
              <w:spacing w:line="280" w:lineRule="exact"/>
              <w:ind w:left="109" w:leftChars="0" w:right="106"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研究机构、高校聚集，海归创业比例大</w:t>
            </w:r>
          </w:p>
        </w:tc>
      </w:tr>
      <w:tr w14:paraId="6B63C2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2" w:hRule="atLeast"/>
          <w:jc w:val="center"/>
        </w:trPr>
        <w:tc>
          <w:tcPr>
            <w:tcW w:w="1914" w:type="dxa"/>
            <w:tcBorders>
              <w:tl2br w:val="nil"/>
              <w:tr2bl w:val="nil"/>
            </w:tcBorders>
            <w:noWrap w:val="0"/>
            <w:vAlign w:val="top"/>
          </w:tcPr>
          <w:p w14:paraId="7836E409">
            <w:pPr>
              <w:keepNext w:val="0"/>
              <w:keepLines w:val="0"/>
              <w:pageBreakBefore w:val="0"/>
              <w:widowControl w:val="0"/>
              <w:kinsoku/>
              <w:wordWrap/>
              <w:overflowPunct/>
              <w:topLinePunct/>
              <w:autoSpaceDE/>
              <w:autoSpaceDN/>
              <w:bidi w:val="0"/>
              <w:adjustRightInd w:val="0"/>
              <w:snapToGrid w:val="0"/>
              <w:spacing w:line="280" w:lineRule="exact"/>
              <w:ind w:left="118" w:right="107" w:firstLine="2"/>
              <w:jc w:val="center"/>
              <w:textAlignment w:val="baseline"/>
              <w:rPr>
                <w:rFonts w:ascii="仿宋" w:hAnsi="仿宋" w:eastAsia="仿宋" w:cs="仿宋"/>
                <w:spacing w:val="0"/>
                <w:sz w:val="22"/>
                <w:szCs w:val="22"/>
              </w:rPr>
            </w:pPr>
            <w:r>
              <w:rPr>
                <w:rFonts w:ascii="仿宋" w:hAnsi="仿宋" w:eastAsia="仿宋" w:cs="仿宋"/>
                <w:spacing w:val="0"/>
                <w:sz w:val="22"/>
                <w:szCs w:val="22"/>
              </w:rPr>
              <w:t>班加罗尔国际科技园</w:t>
            </w:r>
          </w:p>
          <w:p w14:paraId="5A4D031F">
            <w:pPr>
              <w:keepNext w:val="0"/>
              <w:keepLines w:val="0"/>
              <w:pageBreakBefore w:val="0"/>
              <w:widowControl w:val="0"/>
              <w:kinsoku/>
              <w:wordWrap/>
              <w:overflowPunct/>
              <w:topLinePunct/>
              <w:autoSpaceDE/>
              <w:autoSpaceDN/>
              <w:bidi w:val="0"/>
              <w:adjustRightInd w:val="0"/>
              <w:snapToGrid w:val="0"/>
              <w:spacing w:line="280" w:lineRule="exact"/>
              <w:ind w:left="122" w:leftChars="0" w:right="101" w:rightChars="0" w:hanging="15"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w:t>
            </w:r>
            <w:r>
              <w:rPr>
                <w:rFonts w:ascii="Arial" w:hAnsi="Arial" w:eastAsia="Arial" w:cs="Arial"/>
                <w:spacing w:val="0"/>
                <w:sz w:val="22"/>
                <w:szCs w:val="22"/>
              </w:rPr>
              <w:t>Int’l Tech Park,Bangalore</w:t>
            </w:r>
            <w:r>
              <w:rPr>
                <w:rFonts w:ascii="仿宋" w:hAnsi="仿宋" w:eastAsia="仿宋" w:cs="仿宋"/>
                <w:spacing w:val="0"/>
                <w:sz w:val="22"/>
                <w:szCs w:val="22"/>
              </w:rPr>
              <w:t>)</w:t>
            </w:r>
          </w:p>
        </w:tc>
        <w:tc>
          <w:tcPr>
            <w:tcW w:w="1176" w:type="dxa"/>
            <w:tcBorders>
              <w:tl2br w:val="nil"/>
              <w:tr2bl w:val="nil"/>
            </w:tcBorders>
            <w:noWrap w:val="0"/>
            <w:vAlign w:val="top"/>
          </w:tcPr>
          <w:p w14:paraId="6AD0412C">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2FD4207E">
            <w:pPr>
              <w:keepNext w:val="0"/>
              <w:keepLines w:val="0"/>
              <w:pageBreakBefore w:val="0"/>
              <w:widowControl w:val="0"/>
              <w:kinsoku/>
              <w:wordWrap/>
              <w:overflowPunct/>
              <w:topLinePunct/>
              <w:autoSpaceDE/>
              <w:autoSpaceDN/>
              <w:bidi w:val="0"/>
              <w:adjustRightInd w:val="0"/>
              <w:snapToGrid w:val="0"/>
              <w:spacing w:line="280" w:lineRule="exact"/>
              <w:ind w:left="127" w:leftChars="0"/>
              <w:jc w:val="center"/>
              <w:textAlignment w:val="baseline"/>
              <w:rPr>
                <w:rFonts w:ascii="Arial" w:hAnsi="Arial" w:eastAsia="Arial" w:cs="Arial"/>
                <w:spacing w:val="0"/>
                <w:sz w:val="22"/>
                <w:szCs w:val="22"/>
              </w:rPr>
            </w:pPr>
            <w:r>
              <w:rPr>
                <w:rFonts w:ascii="Arial" w:hAnsi="Arial" w:eastAsia="Arial" w:cs="Arial"/>
                <w:spacing w:val="0"/>
                <w:sz w:val="22"/>
                <w:szCs w:val="22"/>
              </w:rPr>
              <w:t>1992</w:t>
            </w:r>
            <w:r>
              <w:rPr>
                <w:rFonts w:ascii="仿宋" w:hAnsi="仿宋" w:eastAsia="仿宋" w:cs="仿宋"/>
                <w:spacing w:val="0"/>
                <w:sz w:val="22"/>
                <w:szCs w:val="22"/>
              </w:rPr>
              <w:t>年</w:t>
            </w:r>
          </w:p>
        </w:tc>
        <w:tc>
          <w:tcPr>
            <w:tcW w:w="1119" w:type="dxa"/>
            <w:tcBorders>
              <w:tl2br w:val="nil"/>
              <w:tr2bl w:val="nil"/>
            </w:tcBorders>
            <w:noWrap w:val="0"/>
            <w:vAlign w:val="top"/>
          </w:tcPr>
          <w:p w14:paraId="4B3E892E">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4CDC76AB">
            <w:pPr>
              <w:keepNext w:val="0"/>
              <w:keepLines w:val="0"/>
              <w:pageBreakBefore w:val="0"/>
              <w:widowControl w:val="0"/>
              <w:kinsoku/>
              <w:wordWrap/>
              <w:overflowPunct/>
              <w:topLinePunct/>
              <w:autoSpaceDE/>
              <w:autoSpaceDN/>
              <w:bidi w:val="0"/>
              <w:adjustRightInd w:val="0"/>
              <w:snapToGrid w:val="0"/>
              <w:spacing w:line="280" w:lineRule="exact"/>
              <w:ind w:left="139"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印度</w:t>
            </w:r>
          </w:p>
        </w:tc>
        <w:tc>
          <w:tcPr>
            <w:tcW w:w="1634" w:type="dxa"/>
            <w:tcBorders>
              <w:tl2br w:val="nil"/>
              <w:tr2bl w:val="nil"/>
            </w:tcBorders>
            <w:noWrap w:val="0"/>
            <w:vAlign w:val="center"/>
          </w:tcPr>
          <w:p w14:paraId="5DE95400">
            <w:pPr>
              <w:keepNext w:val="0"/>
              <w:keepLines w:val="0"/>
              <w:pageBreakBefore w:val="0"/>
              <w:widowControl w:val="0"/>
              <w:kinsoku/>
              <w:wordWrap/>
              <w:overflowPunct/>
              <w:topLinePunct/>
              <w:autoSpaceDE/>
              <w:autoSpaceDN/>
              <w:bidi w:val="0"/>
              <w:adjustRightInd w:val="0"/>
              <w:snapToGrid w:val="0"/>
              <w:spacing w:line="280" w:lineRule="exact"/>
              <w:ind w:left="114" w:leftChars="0" w:right="104" w:rightChars="0" w:hanging="9"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信息技术、通信、技术服务</w:t>
            </w:r>
          </w:p>
        </w:tc>
        <w:tc>
          <w:tcPr>
            <w:tcW w:w="1313" w:type="dxa"/>
            <w:tcBorders>
              <w:tl2br w:val="nil"/>
              <w:tr2bl w:val="nil"/>
            </w:tcBorders>
            <w:noWrap w:val="0"/>
            <w:vAlign w:val="center"/>
          </w:tcPr>
          <w:p w14:paraId="1358306F">
            <w:pPr>
              <w:keepNext w:val="0"/>
              <w:keepLines w:val="0"/>
              <w:pageBreakBefore w:val="0"/>
              <w:widowControl w:val="0"/>
              <w:kinsoku/>
              <w:wordWrap/>
              <w:overflowPunct/>
              <w:topLinePunct/>
              <w:autoSpaceDE/>
              <w:autoSpaceDN/>
              <w:bidi w:val="0"/>
              <w:adjustRightInd w:val="0"/>
              <w:snapToGrid w:val="0"/>
              <w:spacing w:line="280" w:lineRule="exact"/>
              <w:ind w:right="103"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位于班加罗尔市</w:t>
            </w:r>
          </w:p>
        </w:tc>
        <w:tc>
          <w:tcPr>
            <w:tcW w:w="1458" w:type="dxa"/>
            <w:tcBorders>
              <w:tl2br w:val="nil"/>
              <w:tr2bl w:val="nil"/>
            </w:tcBorders>
            <w:noWrap w:val="0"/>
            <w:vAlign w:val="center"/>
          </w:tcPr>
          <w:p w14:paraId="1FA9963D">
            <w:pPr>
              <w:keepNext w:val="0"/>
              <w:keepLines w:val="0"/>
              <w:pageBreakBefore w:val="0"/>
              <w:widowControl w:val="0"/>
              <w:kinsoku/>
              <w:wordWrap/>
              <w:overflowPunct/>
              <w:topLinePunct/>
              <w:autoSpaceDE/>
              <w:autoSpaceDN/>
              <w:bidi w:val="0"/>
              <w:adjustRightInd w:val="0"/>
              <w:snapToGrid w:val="0"/>
              <w:spacing w:line="280" w:lineRule="exact"/>
              <w:ind w:right="101"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临近大型国际机场</w:t>
            </w:r>
          </w:p>
        </w:tc>
        <w:tc>
          <w:tcPr>
            <w:tcW w:w="1577" w:type="dxa"/>
            <w:tcBorders>
              <w:tl2br w:val="nil"/>
              <w:tr2bl w:val="nil"/>
            </w:tcBorders>
            <w:noWrap w:val="0"/>
            <w:vAlign w:val="top"/>
          </w:tcPr>
          <w:p w14:paraId="7A125FA7">
            <w:pPr>
              <w:keepNext w:val="0"/>
              <w:keepLines w:val="0"/>
              <w:pageBreakBefore w:val="0"/>
              <w:widowControl w:val="0"/>
              <w:kinsoku/>
              <w:wordWrap/>
              <w:overflowPunct/>
              <w:topLinePunct/>
              <w:autoSpaceDE/>
              <w:autoSpaceDN/>
              <w:bidi w:val="0"/>
              <w:adjustRightInd w:val="0"/>
              <w:snapToGrid w:val="0"/>
              <w:spacing w:line="280" w:lineRule="exact"/>
              <w:ind w:left="113" w:leftChars="0" w:right="106" w:rightChars="0" w:firstLine="4"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知名高校所在地，国际创业者较多</w:t>
            </w:r>
          </w:p>
        </w:tc>
      </w:tr>
      <w:tr w14:paraId="416371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1914" w:type="dxa"/>
            <w:tcBorders>
              <w:tl2br w:val="nil"/>
              <w:tr2bl w:val="nil"/>
            </w:tcBorders>
            <w:noWrap w:val="0"/>
            <w:vAlign w:val="top"/>
          </w:tcPr>
          <w:p w14:paraId="2B7434DC">
            <w:pPr>
              <w:keepNext w:val="0"/>
              <w:keepLines w:val="0"/>
              <w:pageBreakBefore w:val="0"/>
              <w:widowControl w:val="0"/>
              <w:kinsoku/>
              <w:wordWrap/>
              <w:overflowPunct/>
              <w:topLinePunct/>
              <w:autoSpaceDE/>
              <w:autoSpaceDN/>
              <w:bidi w:val="0"/>
              <w:adjustRightInd w:val="0"/>
              <w:snapToGrid w:val="0"/>
              <w:spacing w:line="280" w:lineRule="exact"/>
              <w:ind w:left="107" w:leftChars="0" w:right="99" w:rightChars="0" w:firstLine="10"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特拉维夫硅谷(</w:t>
            </w:r>
            <w:r>
              <w:rPr>
                <w:rFonts w:ascii="Arial" w:hAnsi="Arial" w:eastAsia="Arial" w:cs="Arial"/>
                <w:spacing w:val="0"/>
                <w:sz w:val="22"/>
                <w:szCs w:val="22"/>
              </w:rPr>
              <w:t>Silicon Wadi Tel Aviv</w:t>
            </w:r>
            <w:r>
              <w:rPr>
                <w:rFonts w:ascii="仿宋" w:hAnsi="仿宋" w:eastAsia="仿宋" w:cs="仿宋"/>
                <w:spacing w:val="0"/>
                <w:sz w:val="22"/>
                <w:szCs w:val="22"/>
              </w:rPr>
              <w:t>)</w:t>
            </w:r>
          </w:p>
        </w:tc>
        <w:tc>
          <w:tcPr>
            <w:tcW w:w="1176" w:type="dxa"/>
            <w:tcBorders>
              <w:tl2br w:val="nil"/>
              <w:tr2bl w:val="nil"/>
            </w:tcBorders>
            <w:noWrap w:val="0"/>
            <w:vAlign w:val="top"/>
          </w:tcPr>
          <w:p w14:paraId="2FBA89D4">
            <w:pPr>
              <w:keepNext w:val="0"/>
              <w:keepLines w:val="0"/>
              <w:pageBreakBefore w:val="0"/>
              <w:widowControl w:val="0"/>
              <w:kinsoku/>
              <w:wordWrap/>
              <w:overflowPunct/>
              <w:topLinePunct/>
              <w:autoSpaceDE/>
              <w:autoSpaceDN/>
              <w:bidi w:val="0"/>
              <w:adjustRightInd w:val="0"/>
              <w:snapToGrid w:val="0"/>
              <w:spacing w:line="280" w:lineRule="exact"/>
              <w:ind w:left="109"/>
              <w:jc w:val="center"/>
              <w:textAlignment w:val="baseline"/>
              <w:rPr>
                <w:rFonts w:ascii="仿宋" w:hAnsi="仿宋" w:eastAsia="仿宋" w:cs="仿宋"/>
                <w:spacing w:val="0"/>
                <w:sz w:val="22"/>
                <w:szCs w:val="22"/>
              </w:rPr>
            </w:pPr>
            <w:r>
              <w:rPr>
                <w:rFonts w:ascii="Arial" w:hAnsi="Arial" w:eastAsia="Arial" w:cs="Arial"/>
                <w:spacing w:val="0"/>
                <w:sz w:val="22"/>
                <w:szCs w:val="22"/>
              </w:rPr>
              <w:t>20</w:t>
            </w:r>
            <w:r>
              <w:rPr>
                <w:rFonts w:ascii="仿宋" w:hAnsi="仿宋" w:eastAsia="仿宋" w:cs="仿宋"/>
                <w:spacing w:val="0"/>
                <w:sz w:val="22"/>
                <w:szCs w:val="22"/>
              </w:rPr>
              <w:t>世纪</w:t>
            </w:r>
          </w:p>
          <w:p w14:paraId="01B1CF08">
            <w:pPr>
              <w:keepNext w:val="0"/>
              <w:keepLines w:val="0"/>
              <w:pageBreakBefore w:val="0"/>
              <w:widowControl w:val="0"/>
              <w:kinsoku/>
              <w:wordWrap/>
              <w:overflowPunct/>
              <w:topLinePunct/>
              <w:autoSpaceDE/>
              <w:autoSpaceDN/>
              <w:bidi w:val="0"/>
              <w:adjustRightInd w:val="0"/>
              <w:snapToGrid w:val="0"/>
              <w:spacing w:line="280" w:lineRule="exact"/>
              <w:ind w:left="113" w:leftChars="0"/>
              <w:jc w:val="center"/>
              <w:textAlignment w:val="baseline"/>
              <w:rPr>
                <w:rFonts w:ascii="Arial" w:hAnsi="Arial" w:eastAsia="Arial" w:cs="Arial"/>
                <w:spacing w:val="0"/>
                <w:sz w:val="22"/>
                <w:szCs w:val="22"/>
              </w:rPr>
            </w:pPr>
            <w:r>
              <w:rPr>
                <w:rFonts w:ascii="Arial" w:hAnsi="Arial" w:eastAsia="Arial" w:cs="Arial"/>
                <w:spacing w:val="0"/>
                <w:sz w:val="22"/>
                <w:szCs w:val="22"/>
              </w:rPr>
              <w:t>70</w:t>
            </w:r>
            <w:r>
              <w:rPr>
                <w:rFonts w:ascii="仿宋" w:hAnsi="仿宋" w:eastAsia="仿宋" w:cs="仿宋"/>
                <w:spacing w:val="0"/>
                <w:sz w:val="22"/>
                <w:szCs w:val="22"/>
              </w:rPr>
              <w:t>年代</w:t>
            </w:r>
          </w:p>
        </w:tc>
        <w:tc>
          <w:tcPr>
            <w:tcW w:w="1119" w:type="dxa"/>
            <w:tcBorders>
              <w:tl2br w:val="nil"/>
              <w:tr2bl w:val="nil"/>
            </w:tcBorders>
            <w:noWrap w:val="0"/>
            <w:vAlign w:val="top"/>
          </w:tcPr>
          <w:p w14:paraId="08D668D4">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18C87FDB">
            <w:pPr>
              <w:keepNext w:val="0"/>
              <w:keepLines w:val="0"/>
              <w:pageBreakBefore w:val="0"/>
              <w:widowControl w:val="0"/>
              <w:kinsoku/>
              <w:wordWrap/>
              <w:overflowPunct/>
              <w:topLinePunct/>
              <w:autoSpaceDE/>
              <w:autoSpaceDN/>
              <w:bidi w:val="0"/>
              <w:adjustRightInd w:val="0"/>
              <w:snapToGrid w:val="0"/>
              <w:spacing w:line="280" w:lineRule="exact"/>
              <w:ind w:left="142"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以色列</w:t>
            </w:r>
          </w:p>
        </w:tc>
        <w:tc>
          <w:tcPr>
            <w:tcW w:w="1634" w:type="dxa"/>
            <w:tcBorders>
              <w:tl2br w:val="nil"/>
              <w:tr2bl w:val="nil"/>
            </w:tcBorders>
            <w:noWrap w:val="0"/>
            <w:vAlign w:val="top"/>
          </w:tcPr>
          <w:p w14:paraId="4A46D5D5">
            <w:pPr>
              <w:keepNext w:val="0"/>
              <w:keepLines w:val="0"/>
              <w:pageBreakBefore w:val="0"/>
              <w:widowControl w:val="0"/>
              <w:kinsoku/>
              <w:wordWrap/>
              <w:overflowPunct/>
              <w:topLinePunct/>
              <w:autoSpaceDE/>
              <w:autoSpaceDN/>
              <w:bidi w:val="0"/>
              <w:adjustRightInd w:val="0"/>
              <w:snapToGrid w:val="0"/>
              <w:spacing w:line="280" w:lineRule="exact"/>
              <w:ind w:left="118" w:leftChars="0" w:right="145" w:rightChars="0" w:hanging="13"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信息技术、生物医药、军工</w:t>
            </w:r>
          </w:p>
        </w:tc>
        <w:tc>
          <w:tcPr>
            <w:tcW w:w="1313" w:type="dxa"/>
            <w:tcBorders>
              <w:tl2br w:val="nil"/>
              <w:tr2bl w:val="nil"/>
            </w:tcBorders>
            <w:noWrap w:val="0"/>
            <w:vAlign w:val="top"/>
          </w:tcPr>
          <w:p w14:paraId="16EADC04">
            <w:pPr>
              <w:keepNext w:val="0"/>
              <w:keepLines w:val="0"/>
              <w:pageBreakBefore w:val="0"/>
              <w:widowControl w:val="0"/>
              <w:kinsoku/>
              <w:wordWrap/>
              <w:overflowPunct/>
              <w:topLinePunct/>
              <w:autoSpaceDE/>
              <w:autoSpaceDN/>
              <w:bidi w:val="0"/>
              <w:adjustRightInd w:val="0"/>
              <w:snapToGrid w:val="0"/>
              <w:spacing w:line="280" w:lineRule="exact"/>
              <w:ind w:left="117" w:leftChars="0" w:right="103" w:rightChars="0" w:hanging="6"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位于特拉维夫</w:t>
            </w:r>
            <w:r>
              <w:rPr>
                <w:rFonts w:ascii="Arial" w:hAnsi="Arial" w:eastAsia="Arial" w:cs="Arial"/>
                <w:spacing w:val="0"/>
                <w:sz w:val="22"/>
                <w:szCs w:val="22"/>
              </w:rPr>
              <w:t>-</w:t>
            </w:r>
            <w:r>
              <w:rPr>
                <w:rFonts w:ascii="仿宋" w:hAnsi="仿宋" w:eastAsia="仿宋" w:cs="仿宋"/>
                <w:spacing w:val="0"/>
                <w:sz w:val="22"/>
                <w:szCs w:val="22"/>
              </w:rPr>
              <w:t>海法大区</w:t>
            </w:r>
          </w:p>
        </w:tc>
        <w:tc>
          <w:tcPr>
            <w:tcW w:w="1458" w:type="dxa"/>
            <w:tcBorders>
              <w:tl2br w:val="nil"/>
              <w:tr2bl w:val="nil"/>
            </w:tcBorders>
            <w:noWrap w:val="0"/>
            <w:vAlign w:val="top"/>
          </w:tcPr>
          <w:p w14:paraId="7D6D6D06">
            <w:pPr>
              <w:keepNext w:val="0"/>
              <w:keepLines w:val="0"/>
              <w:pageBreakBefore w:val="0"/>
              <w:widowControl w:val="0"/>
              <w:kinsoku/>
              <w:wordWrap/>
              <w:overflowPunct/>
              <w:topLinePunct/>
              <w:autoSpaceDE/>
              <w:autoSpaceDN/>
              <w:bidi w:val="0"/>
              <w:adjustRightInd w:val="0"/>
              <w:snapToGrid w:val="0"/>
              <w:spacing w:line="280" w:lineRule="exact"/>
              <w:ind w:left="134" w:leftChars="0" w:right="101" w:rightChars="0" w:hanging="5"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临近大型国际机场</w:t>
            </w:r>
          </w:p>
        </w:tc>
        <w:tc>
          <w:tcPr>
            <w:tcW w:w="1577" w:type="dxa"/>
            <w:tcBorders>
              <w:tl2br w:val="nil"/>
              <w:tr2bl w:val="nil"/>
            </w:tcBorders>
            <w:noWrap w:val="0"/>
            <w:vAlign w:val="top"/>
          </w:tcPr>
          <w:p w14:paraId="6530A083">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498C1E21">
            <w:pPr>
              <w:keepNext w:val="0"/>
              <w:keepLines w:val="0"/>
              <w:pageBreakBefore w:val="0"/>
              <w:widowControl w:val="0"/>
              <w:kinsoku/>
              <w:wordWrap/>
              <w:overflowPunct/>
              <w:topLinePunct/>
              <w:autoSpaceDE/>
              <w:autoSpaceDN/>
              <w:bidi w:val="0"/>
              <w:adjustRightInd w:val="0"/>
              <w:snapToGrid w:val="0"/>
              <w:spacing w:line="280" w:lineRule="exact"/>
              <w:ind w:left="109"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研究机构聚集</w:t>
            </w:r>
          </w:p>
        </w:tc>
      </w:tr>
      <w:tr w14:paraId="145E9C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98" w:hRule="atLeast"/>
          <w:jc w:val="center"/>
        </w:trPr>
        <w:tc>
          <w:tcPr>
            <w:tcW w:w="1914" w:type="dxa"/>
            <w:tcBorders>
              <w:tl2br w:val="nil"/>
              <w:tr2bl w:val="nil"/>
            </w:tcBorders>
            <w:noWrap w:val="0"/>
            <w:vAlign w:val="top"/>
          </w:tcPr>
          <w:p w14:paraId="2B6A5B3B">
            <w:pPr>
              <w:keepNext w:val="0"/>
              <w:keepLines w:val="0"/>
              <w:pageBreakBefore w:val="0"/>
              <w:widowControl w:val="0"/>
              <w:kinsoku/>
              <w:wordWrap/>
              <w:overflowPunct/>
              <w:topLinePunct/>
              <w:autoSpaceDE/>
              <w:autoSpaceDN/>
              <w:bidi w:val="0"/>
              <w:adjustRightInd w:val="0"/>
              <w:snapToGrid w:val="0"/>
              <w:spacing w:line="280" w:lineRule="exact"/>
              <w:ind w:left="107" w:leftChars="0" w:right="102" w:rightChars="0" w:firstLine="14"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马</w:t>
            </w:r>
            <w:r>
              <w:rPr>
                <w:rFonts w:hint="eastAsia" w:ascii="仿宋" w:hAnsi="仿宋" w:eastAsia="仿宋" w:cs="仿宋"/>
                <w:spacing w:val="0"/>
                <w:sz w:val="22"/>
                <w:szCs w:val="22"/>
                <w:lang w:eastAsia="zh-CN"/>
              </w:rPr>
              <w:t>来</w:t>
            </w:r>
            <w:r>
              <w:rPr>
                <w:rFonts w:ascii="仿宋" w:hAnsi="仿宋" w:eastAsia="仿宋" w:cs="仿宋"/>
                <w:spacing w:val="0"/>
                <w:sz w:val="22"/>
                <w:szCs w:val="22"/>
              </w:rPr>
              <w:t>西亚科技园(</w:t>
            </w:r>
            <w:r>
              <w:rPr>
                <w:rFonts w:ascii="Arial" w:hAnsi="Arial" w:eastAsia="Arial" w:cs="Arial"/>
                <w:spacing w:val="0"/>
                <w:sz w:val="22"/>
                <w:szCs w:val="22"/>
              </w:rPr>
              <w:t>Techno Park Malesia</w:t>
            </w:r>
            <w:r>
              <w:rPr>
                <w:rFonts w:ascii="仿宋" w:hAnsi="仿宋" w:eastAsia="仿宋" w:cs="仿宋"/>
                <w:spacing w:val="0"/>
                <w:sz w:val="22"/>
                <w:szCs w:val="22"/>
              </w:rPr>
              <w:t>)</w:t>
            </w:r>
          </w:p>
        </w:tc>
        <w:tc>
          <w:tcPr>
            <w:tcW w:w="1176" w:type="dxa"/>
            <w:tcBorders>
              <w:tl2br w:val="nil"/>
              <w:tr2bl w:val="nil"/>
            </w:tcBorders>
            <w:noWrap w:val="0"/>
            <w:vAlign w:val="top"/>
          </w:tcPr>
          <w:p w14:paraId="07107C1E">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105E8FCF">
            <w:pPr>
              <w:keepNext w:val="0"/>
              <w:keepLines w:val="0"/>
              <w:pageBreakBefore w:val="0"/>
              <w:widowControl w:val="0"/>
              <w:kinsoku/>
              <w:wordWrap/>
              <w:overflowPunct/>
              <w:topLinePunct/>
              <w:autoSpaceDE/>
              <w:autoSpaceDN/>
              <w:bidi w:val="0"/>
              <w:adjustRightInd w:val="0"/>
              <w:snapToGrid w:val="0"/>
              <w:spacing w:line="280" w:lineRule="exact"/>
              <w:ind w:left="127" w:leftChars="0"/>
              <w:jc w:val="center"/>
              <w:textAlignment w:val="baseline"/>
              <w:rPr>
                <w:rFonts w:ascii="Arial" w:hAnsi="Arial" w:eastAsia="Arial" w:cs="Arial"/>
                <w:spacing w:val="0"/>
                <w:sz w:val="22"/>
                <w:szCs w:val="22"/>
              </w:rPr>
            </w:pPr>
            <w:r>
              <w:rPr>
                <w:rFonts w:ascii="Arial" w:hAnsi="Arial" w:eastAsia="Arial" w:cs="Arial"/>
                <w:spacing w:val="0"/>
                <w:sz w:val="22"/>
                <w:szCs w:val="22"/>
              </w:rPr>
              <w:t>1995</w:t>
            </w:r>
            <w:r>
              <w:rPr>
                <w:rFonts w:ascii="仿宋" w:hAnsi="仿宋" w:eastAsia="仿宋" w:cs="仿宋"/>
                <w:spacing w:val="0"/>
                <w:sz w:val="22"/>
                <w:szCs w:val="22"/>
              </w:rPr>
              <w:t>年</w:t>
            </w:r>
          </w:p>
        </w:tc>
        <w:tc>
          <w:tcPr>
            <w:tcW w:w="1119" w:type="dxa"/>
            <w:tcBorders>
              <w:tl2br w:val="nil"/>
              <w:tr2bl w:val="nil"/>
            </w:tcBorders>
            <w:noWrap w:val="0"/>
            <w:vAlign w:val="top"/>
          </w:tcPr>
          <w:p w14:paraId="2D593114">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B767F05">
            <w:pPr>
              <w:keepNext w:val="0"/>
              <w:keepLines w:val="0"/>
              <w:pageBreakBefore w:val="0"/>
              <w:widowControl w:val="0"/>
              <w:kinsoku/>
              <w:wordWrap/>
              <w:overflowPunct/>
              <w:topLinePunct/>
              <w:autoSpaceDE/>
              <w:autoSpaceDN/>
              <w:bidi w:val="0"/>
              <w:adjustRightInd w:val="0"/>
              <w:snapToGrid w:val="0"/>
              <w:spacing w:line="280" w:lineRule="exact"/>
              <w:ind w:left="118"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马来西亚</w:t>
            </w:r>
          </w:p>
        </w:tc>
        <w:tc>
          <w:tcPr>
            <w:tcW w:w="1634" w:type="dxa"/>
            <w:tcBorders>
              <w:tl2br w:val="nil"/>
              <w:tr2bl w:val="nil"/>
            </w:tcBorders>
            <w:noWrap w:val="0"/>
            <w:vAlign w:val="top"/>
          </w:tcPr>
          <w:p w14:paraId="7E260FA8">
            <w:pPr>
              <w:keepNext w:val="0"/>
              <w:keepLines w:val="0"/>
              <w:pageBreakBefore w:val="0"/>
              <w:widowControl w:val="0"/>
              <w:kinsoku/>
              <w:wordWrap/>
              <w:overflowPunct/>
              <w:topLinePunct/>
              <w:autoSpaceDE/>
              <w:autoSpaceDN/>
              <w:bidi w:val="0"/>
              <w:adjustRightInd w:val="0"/>
              <w:snapToGrid w:val="0"/>
              <w:spacing w:line="280" w:lineRule="exact"/>
              <w:ind w:left="114" w:leftChars="0" w:right="104" w:rightChars="0" w:firstLine="3" w:firstLineChars="0"/>
              <w:jc w:val="center"/>
              <w:textAlignment w:val="baseline"/>
              <w:rPr>
                <w:rFonts w:ascii="仿宋" w:hAnsi="仿宋" w:eastAsia="仿宋" w:cs="仿宋"/>
                <w:spacing w:val="0"/>
                <w:sz w:val="22"/>
                <w:szCs w:val="22"/>
              </w:rPr>
            </w:pPr>
            <w:r>
              <w:rPr>
                <w:rFonts w:ascii="仿宋" w:hAnsi="仿宋" w:eastAsia="仿宋" w:cs="仿宋"/>
                <w:spacing w:val="0"/>
                <w:sz w:val="22"/>
                <w:szCs w:val="22"/>
              </w:rPr>
              <w:t>工程技术服务、生物技术、信息技术</w:t>
            </w:r>
          </w:p>
        </w:tc>
        <w:tc>
          <w:tcPr>
            <w:tcW w:w="1313" w:type="dxa"/>
            <w:tcBorders>
              <w:tl2br w:val="nil"/>
              <w:tr2bl w:val="nil"/>
            </w:tcBorders>
            <w:noWrap w:val="0"/>
            <w:vAlign w:val="top"/>
          </w:tcPr>
          <w:p w14:paraId="3C1C04A8">
            <w:pPr>
              <w:keepNext w:val="0"/>
              <w:keepLines w:val="0"/>
              <w:pageBreakBefore w:val="0"/>
              <w:widowControl w:val="0"/>
              <w:kinsoku/>
              <w:wordWrap/>
              <w:overflowPunct/>
              <w:topLinePunct/>
              <w:autoSpaceDE/>
              <w:autoSpaceDN/>
              <w:bidi w:val="0"/>
              <w:adjustRightInd w:val="0"/>
              <w:snapToGrid w:val="0"/>
              <w:spacing w:line="280" w:lineRule="exact"/>
              <w:jc w:val="center"/>
              <w:textAlignment w:val="baseline"/>
              <w:rPr>
                <w:rFonts w:ascii="Arial"/>
                <w:spacing w:val="0"/>
                <w:sz w:val="21"/>
              </w:rPr>
            </w:pPr>
          </w:p>
          <w:p w14:paraId="66D943EB">
            <w:pPr>
              <w:keepNext w:val="0"/>
              <w:keepLines w:val="0"/>
              <w:pageBreakBefore w:val="0"/>
              <w:widowControl w:val="0"/>
              <w:kinsoku/>
              <w:wordWrap/>
              <w:overflowPunct/>
              <w:topLinePunct/>
              <w:autoSpaceDE/>
              <w:autoSpaceDN/>
              <w:bidi w:val="0"/>
              <w:adjustRightInd w:val="0"/>
              <w:snapToGrid w:val="0"/>
              <w:spacing w:line="280" w:lineRule="exact"/>
              <w:ind w:left="111" w:leftChars="0"/>
              <w:jc w:val="center"/>
              <w:textAlignment w:val="baseline"/>
              <w:rPr>
                <w:rFonts w:ascii="仿宋" w:hAnsi="仿宋" w:eastAsia="仿宋" w:cs="仿宋"/>
                <w:spacing w:val="0"/>
                <w:sz w:val="22"/>
                <w:szCs w:val="22"/>
              </w:rPr>
            </w:pPr>
            <w:r>
              <w:rPr>
                <w:rFonts w:ascii="仿宋" w:hAnsi="仿宋" w:eastAsia="仿宋" w:cs="仿宋"/>
                <w:spacing w:val="0"/>
                <w:sz w:val="22"/>
                <w:szCs w:val="22"/>
              </w:rPr>
              <w:t>位于吉隆坡</w:t>
            </w:r>
          </w:p>
        </w:tc>
        <w:tc>
          <w:tcPr>
            <w:tcW w:w="1458" w:type="dxa"/>
            <w:tcBorders>
              <w:tl2br w:val="nil"/>
              <w:tr2bl w:val="nil"/>
            </w:tcBorders>
            <w:noWrap w:val="0"/>
            <w:vAlign w:val="top"/>
          </w:tcPr>
          <w:p w14:paraId="26B64BBE">
            <w:pPr>
              <w:keepNext w:val="0"/>
              <w:keepLines w:val="0"/>
              <w:pageBreakBefore w:val="0"/>
              <w:widowControl w:val="0"/>
              <w:kinsoku/>
              <w:wordWrap/>
              <w:overflowPunct/>
              <w:topLinePunct/>
              <w:autoSpaceDE/>
              <w:autoSpaceDN/>
              <w:bidi w:val="0"/>
              <w:adjustRightInd w:val="0"/>
              <w:snapToGrid w:val="0"/>
              <w:spacing w:line="280" w:lineRule="exact"/>
              <w:ind w:right="101"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临近大型国际机场</w:t>
            </w:r>
          </w:p>
        </w:tc>
        <w:tc>
          <w:tcPr>
            <w:tcW w:w="1577" w:type="dxa"/>
            <w:tcBorders>
              <w:tl2br w:val="nil"/>
              <w:tr2bl w:val="nil"/>
            </w:tcBorders>
            <w:noWrap w:val="0"/>
            <w:vAlign w:val="top"/>
          </w:tcPr>
          <w:p w14:paraId="753A734D">
            <w:pPr>
              <w:keepNext w:val="0"/>
              <w:keepLines w:val="0"/>
              <w:pageBreakBefore w:val="0"/>
              <w:widowControl w:val="0"/>
              <w:kinsoku/>
              <w:wordWrap/>
              <w:overflowPunct/>
              <w:topLinePunct/>
              <w:autoSpaceDE/>
              <w:autoSpaceDN/>
              <w:bidi w:val="0"/>
              <w:adjustRightInd w:val="0"/>
              <w:snapToGrid w:val="0"/>
              <w:spacing w:line="280" w:lineRule="exact"/>
              <w:ind w:right="106" w:rightChars="0"/>
              <w:jc w:val="center"/>
              <w:textAlignment w:val="baseline"/>
              <w:rPr>
                <w:rFonts w:ascii="仿宋" w:hAnsi="仿宋" w:eastAsia="仿宋" w:cs="仿宋"/>
                <w:spacing w:val="0"/>
                <w:sz w:val="22"/>
                <w:szCs w:val="22"/>
              </w:rPr>
            </w:pPr>
            <w:r>
              <w:rPr>
                <w:rFonts w:ascii="仿宋" w:hAnsi="仿宋" w:eastAsia="仿宋" w:cs="仿宋"/>
                <w:spacing w:val="0"/>
                <w:sz w:val="22"/>
                <w:szCs w:val="22"/>
              </w:rPr>
              <w:t>知名高校所在地</w:t>
            </w:r>
          </w:p>
        </w:tc>
      </w:tr>
    </w:tbl>
    <w:p w14:paraId="2425445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2.1.1.4其他</w:t>
      </w:r>
    </w:p>
    <w:p w14:paraId="705E42A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除上述三个大洲外，大洋洲、非洲、南美洲也形成了一批高新区，例如，澳大利亚的国家科技园(Australian Technology Park)、埃及的智能村(Smart Village Egypt)、摩洛哥的卡萨布兰卡科技园(Casablanca Technopark)、巴西的圣保罗硅谷等。这些园区普遍建设于人口稠密地区，并以信息技术、电子产业为主导。</w:t>
      </w:r>
    </w:p>
    <w:p w14:paraId="5A5B153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2.1.2国外典型高新区发展经验</w:t>
      </w:r>
    </w:p>
    <w:p w14:paraId="5A9A16C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2.1.2.1在人口稠密地区发展</w:t>
      </w:r>
    </w:p>
    <w:p w14:paraId="61F3668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国外典型高新区的发展路径来看，大多数高新区均在人口稠密地区发展，例如，美国硅谷、加拿大科技三角、巴黎-萨克雷科技区、日本关西科技城地处世界著名的城市群。这些城市群具有的共同特点是人口稠密且流动性强、交通便利、企业密集、科技发展环境优良等特点。</w:t>
      </w:r>
    </w:p>
    <w:p w14:paraId="228DEE8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区的良好发展需要得到政府、企业、大学、人才、居民等各类主体的认可和长期参与，特别是人才、居民的参与度是高新区保持发展活力的重点。人口稠密地区通常经济社会发展快、消费升级幅度大、科技产品更迭频率高，易于将高新技术企业推入技术革新的大潮中，从而进一步促使高新区的良性发展。</w:t>
      </w:r>
    </w:p>
    <w:p w14:paraId="4BCE3E3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2.1.2.2邻近大型交通枢纽</w:t>
      </w:r>
    </w:p>
    <w:p w14:paraId="390B155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世界典型高新区均表现出邻近交通枢纽的特点，大多数均离大型国际机场的距离不超多30公里。此外，高新区普遍临近高速公路，甚至以高速公路为轴建设高新区，例如美国芝加哥的黄金走廊、杜勒斯科技走廊、英国M4科技走廊、台湾地区的新竹科学工业园等。交通便利是高新区发展的先决条件，高新区的核心竞争力是技术、人才和服务，需要依靠与外界频繁的互联互通才能实现产值，且便利的交通也是吸引人才、扩大人才队伍的必要前提条件。</w:t>
      </w:r>
    </w:p>
    <w:p w14:paraId="1B8D9E6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2.1.2.3多种创新主体共筑创新体系，整体效应显著</w:t>
      </w:r>
    </w:p>
    <w:p w14:paraId="77CE884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世界典型高新区的形成过程来看，高新区的创新体系有明显的整体性和网络性，企业、大学、科研机构等主体相互融合交流已成为世界先进高新区的普遍模式。例如，硅谷、加拿大科技三角、德国维斯塔科技园区、日本筑波科学城等都已形成成熟的企业—大学—科研机构等研究主体的整体网络，各研究主体之间的互动交流促使园区产生创造性协同作用，形成“整体大于局部”的协同创新效应。</w:t>
      </w:r>
    </w:p>
    <w:p w14:paraId="1BA4245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世界典型高新区的综合性程度明显加深，产业结构日趋复杂，欧美主要高新区已从初期的倚重信息技术产业，向全行业方向发展，空间技术、新能源、新材料、生物医药、先进制造业等产业已逐步成为这些高新区新的支柱产业。在这种产业频繁交叉的发展趋势下，高新区的创新已成为企业、大学、科研机构等创新主体的创造性集成，未来的创新体系将进一步依赖园区的整体效应。</w:t>
      </w:r>
    </w:p>
    <w:p w14:paraId="04CFAAC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2.1.2.4先进服务业比例增加，“二次创业”态势明显</w:t>
      </w:r>
    </w:p>
    <w:p w14:paraId="22CFCE7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现阶段，世界主要高新区的发展基本以一个或多个支柱产业为依托，向先进服务业方向发展。例如，美国的高新区多数以信息技术、电子技术、空间技术、新材料、高端制造等产业为主导，目前的主要发展方向集中在功能材料、生命科学、军工等方面。但从美国各高新区近年来新增企业的情况分析，以咨询、技术服务为主的企业占比有所上升，总趋势上，美国主要高新区的服务业产值能达到总产值的45%。</w:t>
      </w:r>
    </w:p>
    <w:p w14:paraId="6D660C3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部分国外高新区的发展已经进入“二次创业”阶段，除服务业占比上升外，发展思路也从生产制造向创新创造转变。以美国杜勒斯科技走廊为例，为企业和人才提供更有力的创新创业环境已成为其推动园区进一步发展、激发新的增长活力的主攻方向。</w:t>
      </w:r>
    </w:p>
    <w:p w14:paraId="22171DD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2.1.2.5人员多元化趋势加深，办公方式出现转变</w:t>
      </w:r>
    </w:p>
    <w:p w14:paraId="6BE2057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外典型高新区已进入新的发展阶段，人员构成的多元化趋势加深，美国、加拿大、新加坡等人员流动规模较大的国家的高新区中，外籍技术人员的占比越来越高，例如，硅谷创业公司中的外国工程师比例达到45%，加拿大科技三角区的外国工程师比例高达62%，新加坡科学园的外国工程师比例已达到52%。</w:t>
      </w:r>
    </w:p>
    <w:p w14:paraId="4CAF488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随着人员多元化程度的加深和跨国业务数量的增加，办公方式也出现转变，远程办公的比例越来越高。例如，硅谷参与远程办公的人员比例达到29%，荷兰埃因霍温高科技园区的远程办公人数比例则达到约40%。</w:t>
      </w:r>
    </w:p>
    <w:p w14:paraId="7018463E">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2.2国内典型高新区发展论述</w:t>
      </w:r>
    </w:p>
    <w:p w14:paraId="1D03F3E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2.2.1国内典型高新区发展现状及特点</w:t>
      </w:r>
    </w:p>
    <w:p w14:paraId="5757C18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我国的高新区建设从20世纪80年代开始，1985年3月，中共中央在《关于科学技术体制改革的决定》中指出，“为加快新兴产业的发展，要在全国选择若干智力密集区，采取特殊政策，逐步形成具有不同特色的新兴产业开发区”。1988年8月，中央和国务院正式批准实施火炬计划，明确把创办高新区作为国家火炬计划中的重要组成部分。同年，北京中关村科技园区成立后，我国掀起了高新区大规模建设的热潮，截至2018年，我国共形成国家级高新区168家，已覆盖我国大陆除西藏自治区外的30个省、区、市，其中，江苏、广东、山东、湖北等省份高新区聚集较密集，具体分布情况如下所示。</w:t>
      </w:r>
    </w:p>
    <w:p w14:paraId="334C2EEE">
      <w:pPr>
        <w:keepNext w:val="0"/>
        <w:keepLines w:val="0"/>
        <w:pageBreakBefore w:val="0"/>
        <w:widowControl w:val="0"/>
        <w:wordWrap/>
        <w:overflowPunct/>
        <w:bidi w:val="0"/>
        <w:spacing w:before="8" w:line="6825" w:lineRule="exact"/>
        <w:ind w:firstLine="516"/>
        <w:textAlignment w:val="center"/>
      </w:pPr>
      <w:r>
        <w:drawing>
          <wp:inline distT="0" distB="0" distL="114300" distR="114300">
            <wp:extent cx="5105400" cy="4333875"/>
            <wp:effectExtent l="0" t="0" r="635" b="5715"/>
            <wp:docPr id="119" name="图片 26"/>
            <wp:cNvGraphicFramePr/>
            <a:graphic xmlns:a="http://schemas.openxmlformats.org/drawingml/2006/main">
              <a:graphicData uri="http://schemas.openxmlformats.org/drawingml/2006/picture">
                <pic:pic xmlns:pic="http://schemas.openxmlformats.org/drawingml/2006/picture">
                  <pic:nvPicPr>
                    <pic:cNvPr id="119" name="图片 26"/>
                    <pic:cNvPicPr/>
                  </pic:nvPicPr>
                  <pic:blipFill>
                    <a:blip r:embed="rId49"/>
                    <a:stretch>
                      <a:fillRect/>
                    </a:stretch>
                  </pic:blipFill>
                  <pic:spPr>
                    <a:xfrm>
                      <a:off x="0" y="0"/>
                      <a:ext cx="5105400" cy="4333875"/>
                    </a:xfrm>
                    <a:prstGeom prst="rect">
                      <a:avLst/>
                    </a:prstGeom>
                    <a:noFill/>
                    <a:ln>
                      <a:noFill/>
                    </a:ln>
                  </pic:spPr>
                </pic:pic>
              </a:graphicData>
            </a:graphic>
          </wp:inline>
        </w:drawing>
      </w:r>
    </w:p>
    <w:p w14:paraId="5EBC1D3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经历三十年的发展，我国形成了以中关村科技园区、上海张江高新技术产业开发区、大连高新技术产业园区、成都高新技术产业开发区、武汉东湖新技术产业开发区等为代表的世界知名高新区。</w:t>
      </w:r>
    </w:p>
    <w:p w14:paraId="5F9C1BF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(1)中关村科技园区</w:t>
      </w:r>
    </w:p>
    <w:p w14:paraId="7061850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中关村经历近30年的发展，已经聚集了以联想、百度为代表的约2万家高新技术企业，形成了下一代互联网、移动互联网和新一代移动通信、卫星应用、生物和健康、节能环保、轨道交通等六大优势产业集群，集成电路、新材料、高端装备与通用航空、新能源和新能源汽车四大潜力产业集群和高端发展的现代服务业，构建了“一区十六园”各具特色的发展格局，成为首都跨行政区的高端产业功能区。</w:t>
      </w:r>
    </w:p>
    <w:p w14:paraId="1D21FBF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中关村是我国科教智力和人才资源最为密集的区域，拥有全国顶尖高校40余所，中国科学院、工程院下属科研院所206所，国家重点实验室112个，国家工程研究中心38个，大学科技园26家，留学人员创业园34家，</w:t>
      </w:r>
      <w:r>
        <w:rPr>
          <w:rFonts w:hint="default" w:ascii="仿宋_GB2312" w:hAnsi="仿宋_GB2312" w:eastAsia="仿宋_GB2312" w:cs="仿宋_GB2312"/>
          <w:spacing w:val="6"/>
          <w:sz w:val="28"/>
          <w:szCs w:val="28"/>
          <w:lang w:val="en-US" w:eastAsia="zh-CN"/>
        </w:rPr>
        <w:t>形成了规模宏大的高校、研究院所、企业、政府各主体相互协同的整体效应。</w:t>
      </w:r>
    </w:p>
    <w:p w14:paraId="6E5FBE9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中关村科技园区已进入“二次创业”阶段，其已将发展目标锁定在大众创新，并通过推行孵化器补助、高新成果产业化补助、创业投资服务等措施，将园区建设成为大众创新的载体，吸引了国内外的众多人才来此投资、创业，实现了园区的持续发展。</w:t>
      </w:r>
    </w:p>
    <w:p w14:paraId="23D50DD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(2)上海张江高新技术产业开发区</w:t>
      </w:r>
    </w:p>
    <w:p w14:paraId="7086C36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上海张江高新区也是我国首批国家级高新区之一，经历近30年的发展，张江高新区已发展成为一区二十二园的格局，其分园区遍布上海各区。目前已形成以生物医药、节能技术、环保产业、物联网技术、新能源及新能源汽车、集成电路为主导的产业结构，并将未来发展的目标锁定在战略性新兴产业上。</w:t>
      </w:r>
    </w:p>
    <w:p w14:paraId="334BFC4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张江高新区目前拥有近70000家科技型、创新型企业，其中高新技术企业3759家。拥有1700多个研发机构，300余个公共服务平台。2017年，张江示范区实现工业总产值1.44万亿元，净利润2820亿元，战略新兴产业产值突破1万亿元。</w:t>
      </w:r>
    </w:p>
    <w:p w14:paraId="2D207C3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(3)大连高新技术产业园区</w:t>
      </w:r>
    </w:p>
    <w:p w14:paraId="4B260FD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大连高新区是我国首批国家级高新区之一，目前已成为我国东北高新产业聚集的高地和自主创新平台。</w:t>
      </w:r>
    </w:p>
    <w:p w14:paraId="7189CB3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大连高新区形成了以软件和信息技术服务为主导，以网络及电子商务、动漫游戏及文化创意、生命科学、设计、新材料和新能源、智能制造、科技金融为特色的产业结构。</w:t>
      </w:r>
    </w:p>
    <w:p w14:paraId="640353F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大连高新区重视科技创新平台的发展，拥有集综合孵化、专业孵化、国际孵化和二级孵化于一体的特色孵化网络体系，将“众创”列为未来发展的核心目标。</w:t>
      </w:r>
    </w:p>
    <w:p w14:paraId="2FEEC51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(4)成都高新技术产业开发区</w:t>
      </w:r>
    </w:p>
    <w:p w14:paraId="7A30DC6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成都高新区也是我国首批国家级高新区，目前形成了南区、西区、东区“一区三园”的发展格局。其中，南区初步形成金融商务、科技研发、软件外包、商贸会展等高端服务业为主导的产业结构；西区则初步形成新一代信息技术、生物、高端装备制造等先进制造业为主导的产业结构；东区则借助空港条件，发展临空基础产业和临空战略性新兴产业，并发展生态农业、生态旅游、文化体育、养老保健等生态产业。</w:t>
      </w:r>
    </w:p>
    <w:p w14:paraId="5D40E70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成都高新区产城融合程度也较高，并且实现了产城均衡发展，园区总常住人口已达到90万，区内实现基础设施、教育、医疗、文化事业、科技、社会保障的全方位发展，成都市的多个功能主体已在该园区内形成。</w:t>
      </w:r>
    </w:p>
    <w:p w14:paraId="4493267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(5)武汉东湖新技术产业开发区</w:t>
      </w:r>
    </w:p>
    <w:p w14:paraId="5B25DD9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武汉东湖高新区，又称为“中国光谷”，是我国首批国家级高新区，目前形成了一区八园的发展格局。东湖高新区聚集了2000多家高新技术企业，形成了以光电子、生物医药、软件工程、机电一体化、能源环保、高科技农业为主导的产业结构。</w:t>
      </w:r>
    </w:p>
    <w:p w14:paraId="0E756F9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光谷已将未来的发展目标投向智能制造和现代服务业，并成立了相关的专业示范区，旨在实现在这些领域的创新，形成创新体系，推动对外交流与合作，实现园区对城市的支撑作用，体现产城一体化发展的整体效应。</w:t>
      </w:r>
    </w:p>
    <w:p w14:paraId="719FDD9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2.2.2国内典型高新区发展经验</w:t>
      </w:r>
    </w:p>
    <w:p w14:paraId="65C4700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2.2.2.1产城融合趋势加深，产城协同发展逐步优化</w:t>
      </w:r>
    </w:p>
    <w:p w14:paraId="5C51C01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内典型高新区在发展过程中已显现产城融合的特点。高新区选址通常位于城市边缘，例如中关村科技园区、成都高新区在建设初期都远离城市中心，但随着高新区的产业聚集、人力资源的聚集、城镇化程度的加深和社会事业的综合发展，高新区逐步成为与城市相平行的另一经济增长极，同时吸引了城市本身的发展重心，产业功能与居住功能逐渐合为一体，最终实现园区和城市的逐步融合。</w:t>
      </w:r>
    </w:p>
    <w:p w14:paraId="76FCD75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产城融合是高新区与城市之间全方位的协同发展，人力资源、科技资源和创新资源得到融合，实现整体效应，易于形成产业集群和创新集群，优化高新区与城市的协同发展，实现高新区与城市形成有机整体，促进高新区与城市在时间、空间上的同步发展。</w:t>
      </w:r>
    </w:p>
    <w:p w14:paraId="039FD48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2.2.2.2创新协同效应明显，产业交叉现象增多</w:t>
      </w:r>
    </w:p>
    <w:p w14:paraId="0700046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我国典型高新区的发展是在火炬计划的推动下逐步实现的，政府与企业、高校、科研院所等创新主体的协同效应是我国高新区得以快速发展的重要保障。</w:t>
      </w:r>
    </w:p>
    <w:p w14:paraId="42E36FA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当前的高新区产业结构复杂程度日益加深，并且，创新、创业越来越多地向不同产业间结合的方向发展，例如，新材料、新能源等产业需要以其他产业为载体才能真正实现其发展的价值，这就需要创造高新区内部的跨行业协同效应，只有解决了这个问题，高新区的科技竞争力才能得到有效提升。</w:t>
      </w:r>
    </w:p>
    <w:p w14:paraId="0DD0F51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2.2.2.3一区多园发展格局形成，分园区产业集中</w:t>
      </w:r>
    </w:p>
    <w:p w14:paraId="1246D08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我国高新区的发展，产业聚集、人才聚集的程度大幅加深，高新区产业结构也持续扩宽，发展空间逐步成为高新区发展的限制因素，在此背景下，我国典型的高新区如北京中关村、上海张江高新区、武汉“光谷”等均开始拓展园区的发展空间，形成“一区多园”的发展格局，在有效拓展高新区发展空间的同时，也为城市发展带来了多个增长极。</w:t>
      </w:r>
    </w:p>
    <w:p w14:paraId="5AF58C01">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目前我国已经形成的多个一区多园的高新区中，多数园区实现了不同分园区的功能分化，形成了产业结构较为集中、功能较为单一的分园区。这种模式对于园区的发展有利有弊，有利之处在于其分园区的资源能够获得更高效地利用，而不利之处在于其减少了不同产业之间接触的机会，跨行业的创新将受到严重阻碍。</w:t>
      </w:r>
    </w:p>
    <w:p w14:paraId="151828A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2.2.2.4注重高新区“二次创业”，承载“双创”</w:t>
      </w:r>
    </w:p>
    <w:p w14:paraId="4EF0F766">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我国的高新区经历了近30年的发展，传统产业已经经历了数轮替代，目前很多园区将目标锁定在战略性新兴产业和高端服务业上，受技术和市场的制约，这两个发展方向依然可能出现发展瓶颈。在此环境下，我国高新区发展还需寻找新的增长点，将园区发展成为承载创业主体的载体，这对保持园区创新活力具有积极意义，是使园区具有持续竞争力的有效措施，是园区实现真正“二次创业”的途径。</w:t>
      </w:r>
    </w:p>
    <w:p w14:paraId="065DA062">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我国目前大力推行“大众创业、万众创新”(“双创”)，将高新区发展成为承载双创的平台，在政策支持和自身发展两方面均具有积极意义。因而，推动园区向承载“双创”的平台发展，把握发展机遇，建立良好的孵化机制，是未来我国高新区发展的重要路径。</w:t>
      </w:r>
    </w:p>
    <w:p w14:paraId="1FB33CF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2.2.3我国高新区评价指标体系</w:t>
      </w:r>
    </w:p>
    <w:p w14:paraId="575219AB">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自国家高新区建立以来，由科技部火炬中心先后于1993年、1999年和2004年三次制定和修改国家高新区评价指标体系。国家高新区评价指标体系对不同时期高新区的建设、发展起到了积极的推动作用。国家高新区评价指标体系主要关注高新区当期达到的发展状态，并对国家高新区的发展状态进行排序比较，是一种基于系统的绩效评价。</w:t>
      </w:r>
    </w:p>
    <w:p w14:paraId="51DA8D5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进入21世纪，我国经济、社会进入一个新的发展阶段，党中央国务院提出了科学发展观、建设创新型国家和自主创新的发展战略。《中共中央国务院关于实施科技规划纲要增强自主创新能力的决定》中，提出了推进国家高新区以增强自主创新能力为核心的“二次创业”的发展战略，《国务院关于实施〈国家中长期科学和技术发展规划纲要(2006—2020年)〉的若干配套政策的通知》(国发〔2006〕6号)中明确了国家高新区“四位一体”的定位，科技部在全国高新区工作会议上提出了“五个转变”的具体要求。</w:t>
      </w:r>
    </w:p>
    <w:p w14:paraId="3AE4BE8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为了适应新形势对国家高新区的新要求，建立新的发展导向，引导国家高新区肩负起新的责任和使命，体现国家目标要求和政策导向的目标需要。为了做好国务院批准的《国家高新区扩区、改变区位和省级高新区升级的审批原则和审批程序》中提出的对国家高新区主要指标进行排序的工作，在已有指标体系的基础上制定了国家高新区新的评价指标体系，即《国家高新区评价指标体系(2013修订版)》(以下简称《体系》)，该《体系》也是我国目前现行的高新区评价指标体系。</w:t>
      </w:r>
    </w:p>
    <w:p w14:paraId="634A0B13">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2.2.3.1我国高新区评价指标体系的制定原则</w:t>
      </w:r>
    </w:p>
    <w:p w14:paraId="3918E50C">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高新区作为国家的政策工具，评价指标体系应定位于“政策评价”，从“四位一体”和“五个转变”出发建立指标体系；从支撑性、投入性、和产出性等不同角度选取指标，尽可能使同一层次各指标具有独立性；用效率等比值性指标，不用总量等规模性指标，消除总量或规模对政策覆盖面的差异性影响；尽可能用可统计的量化指标，适当选择定性指标；按少、简、易操作的原则选择指标。</w:t>
      </w:r>
    </w:p>
    <w:p w14:paraId="0C76966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2.2.3.2我国高新区评价指标体系的主要内容</w:t>
      </w:r>
    </w:p>
    <w:p w14:paraId="0A7C1925">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《国家高新区评价指标体系(2013修订版)》由知识创造和孕育创新能力、产业化和规模经济能力、国际化和参与全球竞争能力、高新区可持续发展能力4个一级指标构成，下设44个二级指标，具体如下表所示。</w:t>
      </w:r>
    </w:p>
    <w:p w14:paraId="51FC746F">
      <w:pPr>
        <w:keepNext w:val="0"/>
        <w:keepLines w:val="0"/>
        <w:pageBreakBefore w:val="0"/>
        <w:widowControl w:val="0"/>
        <w:wordWrap/>
        <w:overflowPunct/>
        <w:bidi w:val="0"/>
        <w:spacing w:before="74" w:line="225" w:lineRule="auto"/>
        <w:ind w:left="3245"/>
      </w:pPr>
      <w:r>
        <w:rPr>
          <w:rFonts w:ascii="黑体" w:hAnsi="黑体" w:eastAsia="黑体" w:cs="黑体"/>
          <w:spacing w:val="10"/>
          <w:sz w:val="23"/>
          <w:szCs w:val="23"/>
        </w:rPr>
        <w:t>国</w:t>
      </w:r>
      <w:r>
        <w:rPr>
          <w:rFonts w:ascii="黑体" w:hAnsi="黑体" w:eastAsia="黑体" w:cs="黑体"/>
          <w:spacing w:val="8"/>
          <w:sz w:val="23"/>
          <w:szCs w:val="23"/>
        </w:rPr>
        <w:t>家高新区评价指标体系</w:t>
      </w:r>
    </w:p>
    <w:tbl>
      <w:tblPr>
        <w:tblStyle w:val="9"/>
        <w:tblW w:w="88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59"/>
        <w:gridCol w:w="7219"/>
      </w:tblGrid>
      <w:tr w14:paraId="2F755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1" w:hRule="atLeast"/>
          <w:tblHeader/>
          <w:jc w:val="center"/>
        </w:trPr>
        <w:tc>
          <w:tcPr>
            <w:tcW w:w="1659" w:type="dxa"/>
            <w:tcBorders>
              <w:tl2br w:val="nil"/>
              <w:tr2bl w:val="nil"/>
            </w:tcBorders>
            <w:noWrap w:val="0"/>
            <w:vAlign w:val="center"/>
          </w:tcPr>
          <w:p w14:paraId="6EDEE9EA">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z w:val="22"/>
                <w:szCs w:val="22"/>
              </w:rPr>
            </w:pPr>
            <w:r>
              <w:rPr>
                <w:rFonts w:hint="eastAsia" w:ascii="黑体" w:hAnsi="黑体" w:eastAsia="黑体" w:cs="黑体"/>
                <w:spacing w:val="-8"/>
                <w:sz w:val="22"/>
                <w:szCs w:val="22"/>
              </w:rPr>
              <w:t>一</w:t>
            </w:r>
            <w:r>
              <w:rPr>
                <w:rFonts w:hint="eastAsia" w:ascii="黑体" w:hAnsi="黑体" w:eastAsia="黑体" w:cs="黑体"/>
                <w:spacing w:val="-4"/>
                <w:sz w:val="22"/>
                <w:szCs w:val="22"/>
              </w:rPr>
              <w:t>级指标</w:t>
            </w:r>
          </w:p>
        </w:tc>
        <w:tc>
          <w:tcPr>
            <w:tcW w:w="7219" w:type="dxa"/>
            <w:tcBorders>
              <w:tl2br w:val="nil"/>
              <w:tr2bl w:val="nil"/>
            </w:tcBorders>
            <w:noWrap w:val="0"/>
            <w:vAlign w:val="center"/>
          </w:tcPr>
          <w:p w14:paraId="18EAF104">
            <w:pPr>
              <w:keepNext w:val="0"/>
              <w:keepLines w:val="0"/>
              <w:pageBreakBefore w:val="0"/>
              <w:widowControl w:val="0"/>
              <w:kinsoku/>
              <w:wordWrap/>
              <w:overflowPunct/>
              <w:topLinePunct w:val="0"/>
              <w:autoSpaceDE/>
              <w:autoSpaceDN/>
              <w:bidi w:val="0"/>
              <w:adjustRightInd/>
              <w:snapToGrid/>
              <w:spacing w:line="218" w:lineRule="auto"/>
              <w:ind w:left="125"/>
              <w:jc w:val="center"/>
              <w:textAlignment w:val="auto"/>
              <w:rPr>
                <w:rFonts w:hint="eastAsia" w:ascii="黑体" w:hAnsi="黑体" w:eastAsia="黑体" w:cs="黑体"/>
                <w:sz w:val="22"/>
                <w:szCs w:val="22"/>
              </w:rPr>
            </w:pPr>
            <w:r>
              <w:rPr>
                <w:rFonts w:hint="eastAsia" w:ascii="黑体" w:hAnsi="黑体" w:eastAsia="黑体" w:cs="黑体"/>
                <w:spacing w:val="-6"/>
                <w:sz w:val="22"/>
                <w:szCs w:val="22"/>
              </w:rPr>
              <w:t>二</w:t>
            </w:r>
            <w:r>
              <w:rPr>
                <w:rFonts w:hint="eastAsia" w:ascii="黑体" w:hAnsi="黑体" w:eastAsia="黑体" w:cs="黑体"/>
                <w:spacing w:val="-4"/>
                <w:sz w:val="22"/>
                <w:szCs w:val="22"/>
              </w:rPr>
              <w:t>级指标</w:t>
            </w:r>
          </w:p>
        </w:tc>
      </w:tr>
      <w:tr w14:paraId="591B2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659" w:type="dxa"/>
            <w:vMerge w:val="restart"/>
            <w:tcBorders>
              <w:tl2br w:val="nil"/>
              <w:tr2bl w:val="nil"/>
            </w:tcBorders>
            <w:noWrap w:val="0"/>
            <w:vAlign w:val="top"/>
          </w:tcPr>
          <w:p w14:paraId="71847F58">
            <w:pPr>
              <w:keepNext w:val="0"/>
              <w:keepLines w:val="0"/>
              <w:pageBreakBefore w:val="0"/>
              <w:widowControl w:val="0"/>
              <w:wordWrap/>
              <w:overflowPunct/>
              <w:bidi w:val="0"/>
              <w:spacing w:line="262" w:lineRule="auto"/>
              <w:rPr>
                <w:rFonts w:ascii="Arial"/>
                <w:spacing w:val="-9"/>
                <w:sz w:val="21"/>
              </w:rPr>
            </w:pPr>
          </w:p>
          <w:p w14:paraId="61C291FA">
            <w:pPr>
              <w:keepNext w:val="0"/>
              <w:keepLines w:val="0"/>
              <w:pageBreakBefore w:val="0"/>
              <w:widowControl w:val="0"/>
              <w:wordWrap/>
              <w:overflowPunct/>
              <w:bidi w:val="0"/>
              <w:spacing w:line="262" w:lineRule="auto"/>
              <w:rPr>
                <w:rFonts w:ascii="Arial"/>
                <w:spacing w:val="-9"/>
                <w:sz w:val="21"/>
              </w:rPr>
            </w:pPr>
          </w:p>
          <w:p w14:paraId="7D8B3138">
            <w:pPr>
              <w:keepNext w:val="0"/>
              <w:keepLines w:val="0"/>
              <w:pageBreakBefore w:val="0"/>
              <w:widowControl w:val="0"/>
              <w:wordWrap/>
              <w:overflowPunct/>
              <w:bidi w:val="0"/>
              <w:spacing w:line="262" w:lineRule="auto"/>
              <w:rPr>
                <w:rFonts w:ascii="Arial"/>
                <w:spacing w:val="-9"/>
                <w:sz w:val="21"/>
              </w:rPr>
            </w:pPr>
          </w:p>
          <w:p w14:paraId="2DC41370">
            <w:pPr>
              <w:keepNext w:val="0"/>
              <w:keepLines w:val="0"/>
              <w:pageBreakBefore w:val="0"/>
              <w:widowControl w:val="0"/>
              <w:wordWrap/>
              <w:overflowPunct/>
              <w:bidi w:val="0"/>
              <w:spacing w:line="262" w:lineRule="auto"/>
              <w:rPr>
                <w:rFonts w:ascii="Arial"/>
                <w:spacing w:val="-9"/>
                <w:sz w:val="21"/>
              </w:rPr>
            </w:pPr>
          </w:p>
          <w:p w14:paraId="013483C7">
            <w:pPr>
              <w:keepNext w:val="0"/>
              <w:keepLines w:val="0"/>
              <w:pageBreakBefore w:val="0"/>
              <w:widowControl w:val="0"/>
              <w:wordWrap/>
              <w:overflowPunct/>
              <w:bidi w:val="0"/>
              <w:spacing w:line="262" w:lineRule="auto"/>
              <w:rPr>
                <w:rFonts w:ascii="Arial"/>
                <w:spacing w:val="-9"/>
                <w:sz w:val="21"/>
              </w:rPr>
            </w:pPr>
          </w:p>
          <w:p w14:paraId="75303288">
            <w:pPr>
              <w:keepNext w:val="0"/>
              <w:keepLines w:val="0"/>
              <w:pageBreakBefore w:val="0"/>
              <w:widowControl w:val="0"/>
              <w:wordWrap/>
              <w:overflowPunct/>
              <w:bidi w:val="0"/>
              <w:spacing w:line="263" w:lineRule="auto"/>
              <w:rPr>
                <w:rFonts w:ascii="Arial"/>
                <w:spacing w:val="-9"/>
                <w:sz w:val="21"/>
              </w:rPr>
            </w:pPr>
          </w:p>
          <w:p w14:paraId="2CAAD03A">
            <w:pPr>
              <w:keepNext w:val="0"/>
              <w:keepLines w:val="0"/>
              <w:pageBreakBefore w:val="0"/>
              <w:widowControl w:val="0"/>
              <w:wordWrap/>
              <w:overflowPunct/>
              <w:bidi w:val="0"/>
              <w:spacing w:before="71" w:line="254" w:lineRule="auto"/>
              <w:ind w:left="121" w:right="103" w:hanging="2"/>
              <w:rPr>
                <w:rFonts w:ascii="仿宋" w:hAnsi="仿宋" w:eastAsia="仿宋" w:cs="仿宋"/>
                <w:spacing w:val="-9"/>
                <w:kern w:val="2"/>
                <w:sz w:val="22"/>
                <w:szCs w:val="22"/>
                <w:lang w:val="en-US" w:eastAsia="zh-CN" w:bidi="ar-SA"/>
              </w:rPr>
            </w:pPr>
            <w:r>
              <w:rPr>
                <w:rFonts w:ascii="仿宋" w:hAnsi="仿宋" w:eastAsia="仿宋" w:cs="仿宋"/>
                <w:spacing w:val="-9"/>
                <w:sz w:val="22"/>
                <w:szCs w:val="22"/>
              </w:rPr>
              <w:t>知识创造和孕育创新的能力</w:t>
            </w:r>
          </w:p>
        </w:tc>
        <w:tc>
          <w:tcPr>
            <w:tcW w:w="7219" w:type="dxa"/>
            <w:tcBorders>
              <w:tl2br w:val="nil"/>
              <w:tr2bl w:val="nil"/>
            </w:tcBorders>
            <w:noWrap w:val="0"/>
            <w:vAlign w:val="top"/>
          </w:tcPr>
          <w:p w14:paraId="3C848BDA">
            <w:pPr>
              <w:keepNext w:val="0"/>
              <w:keepLines w:val="0"/>
              <w:pageBreakBefore w:val="0"/>
              <w:widowControl w:val="0"/>
              <w:wordWrap/>
              <w:overflowPunct/>
              <w:bidi w:val="0"/>
              <w:spacing w:before="95" w:line="218" w:lineRule="auto"/>
              <w:ind w:left="128"/>
              <w:rPr>
                <w:rFonts w:ascii="仿宋" w:hAnsi="仿宋" w:eastAsia="仿宋" w:cs="仿宋"/>
                <w:sz w:val="22"/>
                <w:szCs w:val="22"/>
              </w:rPr>
            </w:pPr>
            <w:r>
              <w:rPr>
                <w:rFonts w:ascii="Arial" w:hAnsi="Arial" w:eastAsia="Arial" w:cs="Arial"/>
                <w:spacing w:val="-12"/>
                <w:sz w:val="22"/>
                <w:szCs w:val="22"/>
              </w:rPr>
              <w:t>1</w:t>
            </w:r>
            <w:r>
              <w:rPr>
                <w:rFonts w:ascii="Arial" w:hAnsi="Arial" w:eastAsia="Arial" w:cs="Arial"/>
                <w:spacing w:val="-7"/>
                <w:sz w:val="22"/>
                <w:szCs w:val="22"/>
              </w:rPr>
              <w:t>.</w:t>
            </w:r>
            <w:r>
              <w:rPr>
                <w:rFonts w:ascii="Arial" w:hAnsi="Arial" w:eastAsia="Arial" w:cs="Arial"/>
                <w:spacing w:val="-6"/>
                <w:sz w:val="22"/>
                <w:szCs w:val="22"/>
              </w:rPr>
              <w:t>1</w:t>
            </w:r>
            <w:r>
              <w:rPr>
                <w:rFonts w:ascii="仿宋" w:hAnsi="仿宋" w:eastAsia="仿宋" w:cs="仿宋"/>
                <w:spacing w:val="-6"/>
                <w:sz w:val="22"/>
                <w:szCs w:val="22"/>
              </w:rPr>
              <w:t>千人拥有研发人员数</w:t>
            </w:r>
          </w:p>
        </w:tc>
      </w:tr>
      <w:tr w14:paraId="2C62A1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659" w:type="dxa"/>
            <w:vMerge w:val="continue"/>
            <w:tcBorders>
              <w:tl2br w:val="nil"/>
              <w:tr2bl w:val="nil"/>
            </w:tcBorders>
            <w:noWrap w:val="0"/>
            <w:vAlign w:val="top"/>
          </w:tcPr>
          <w:p w14:paraId="7D97AA53">
            <w:pPr>
              <w:keepNext w:val="0"/>
              <w:keepLines w:val="0"/>
              <w:pageBreakBefore w:val="0"/>
              <w:widowControl w:val="0"/>
              <w:wordWrap/>
              <w:overflowPunct/>
              <w:bidi w:val="0"/>
              <w:rPr>
                <w:rFonts w:ascii="Arial"/>
                <w:spacing w:val="-9"/>
                <w:sz w:val="21"/>
              </w:rPr>
            </w:pPr>
          </w:p>
        </w:tc>
        <w:tc>
          <w:tcPr>
            <w:tcW w:w="7219" w:type="dxa"/>
            <w:tcBorders>
              <w:tl2br w:val="nil"/>
              <w:tr2bl w:val="nil"/>
            </w:tcBorders>
            <w:noWrap w:val="0"/>
            <w:vAlign w:val="top"/>
          </w:tcPr>
          <w:p w14:paraId="515329AC">
            <w:pPr>
              <w:keepNext w:val="0"/>
              <w:keepLines w:val="0"/>
              <w:pageBreakBefore w:val="0"/>
              <w:widowControl w:val="0"/>
              <w:wordWrap/>
              <w:overflowPunct/>
              <w:bidi w:val="0"/>
              <w:spacing w:before="93" w:line="218" w:lineRule="auto"/>
              <w:ind w:left="128"/>
              <w:rPr>
                <w:rFonts w:ascii="仿宋" w:hAnsi="仿宋" w:eastAsia="仿宋" w:cs="仿宋"/>
                <w:sz w:val="22"/>
                <w:szCs w:val="22"/>
              </w:rPr>
            </w:pPr>
            <w:r>
              <w:rPr>
                <w:rFonts w:ascii="Arial" w:hAnsi="Arial" w:eastAsia="Arial" w:cs="Arial"/>
                <w:spacing w:val="-2"/>
                <w:sz w:val="22"/>
                <w:szCs w:val="22"/>
              </w:rPr>
              <w:t>1.2</w:t>
            </w:r>
            <w:r>
              <w:rPr>
                <w:rFonts w:ascii="仿宋" w:hAnsi="仿宋" w:eastAsia="仿宋" w:cs="仿宋"/>
                <w:spacing w:val="-2"/>
                <w:sz w:val="22"/>
                <w:szCs w:val="22"/>
              </w:rPr>
              <w:t>千人拥有理工</w:t>
            </w:r>
            <w:r>
              <w:rPr>
                <w:rFonts w:ascii="仿宋" w:hAnsi="仿宋" w:eastAsia="仿宋" w:cs="仿宋"/>
                <w:spacing w:val="-1"/>
                <w:sz w:val="22"/>
                <w:szCs w:val="22"/>
              </w:rPr>
              <w:t>类本科(含)学历以上人数</w:t>
            </w:r>
          </w:p>
        </w:tc>
      </w:tr>
      <w:tr w14:paraId="78B77A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659" w:type="dxa"/>
            <w:vMerge w:val="continue"/>
            <w:tcBorders>
              <w:tl2br w:val="nil"/>
              <w:tr2bl w:val="nil"/>
            </w:tcBorders>
            <w:noWrap w:val="0"/>
            <w:vAlign w:val="top"/>
          </w:tcPr>
          <w:p w14:paraId="29F8D118">
            <w:pPr>
              <w:keepNext w:val="0"/>
              <w:keepLines w:val="0"/>
              <w:pageBreakBefore w:val="0"/>
              <w:widowControl w:val="0"/>
              <w:wordWrap/>
              <w:overflowPunct/>
              <w:bidi w:val="0"/>
              <w:rPr>
                <w:rFonts w:ascii="Arial"/>
                <w:spacing w:val="-9"/>
                <w:sz w:val="21"/>
              </w:rPr>
            </w:pPr>
          </w:p>
        </w:tc>
        <w:tc>
          <w:tcPr>
            <w:tcW w:w="7219" w:type="dxa"/>
            <w:tcBorders>
              <w:tl2br w:val="nil"/>
              <w:tr2bl w:val="nil"/>
            </w:tcBorders>
            <w:noWrap w:val="0"/>
            <w:vAlign w:val="top"/>
          </w:tcPr>
          <w:p w14:paraId="7112E3DE">
            <w:pPr>
              <w:keepNext w:val="0"/>
              <w:keepLines w:val="0"/>
              <w:pageBreakBefore w:val="0"/>
              <w:widowControl w:val="0"/>
              <w:wordWrap/>
              <w:overflowPunct/>
              <w:bidi w:val="0"/>
              <w:spacing w:before="60" w:line="294" w:lineRule="exact"/>
              <w:ind w:left="128"/>
              <w:rPr>
                <w:rFonts w:ascii="仿宋" w:hAnsi="仿宋" w:eastAsia="仿宋" w:cs="仿宋"/>
                <w:sz w:val="22"/>
                <w:szCs w:val="22"/>
              </w:rPr>
            </w:pPr>
            <w:r>
              <w:rPr>
                <w:rFonts w:ascii="Arial" w:hAnsi="Arial" w:eastAsia="Arial" w:cs="Arial"/>
                <w:spacing w:val="-8"/>
                <w:position w:val="1"/>
                <w:sz w:val="22"/>
                <w:szCs w:val="22"/>
              </w:rPr>
              <w:t>1</w:t>
            </w:r>
            <w:r>
              <w:rPr>
                <w:rFonts w:ascii="Arial" w:hAnsi="Arial" w:eastAsia="Arial" w:cs="Arial"/>
                <w:spacing w:val="-5"/>
                <w:position w:val="1"/>
                <w:sz w:val="22"/>
                <w:szCs w:val="22"/>
              </w:rPr>
              <w:t>.</w:t>
            </w:r>
            <w:r>
              <w:rPr>
                <w:rFonts w:ascii="Arial" w:hAnsi="Arial" w:eastAsia="Arial" w:cs="Arial"/>
                <w:spacing w:val="-4"/>
                <w:position w:val="1"/>
                <w:sz w:val="22"/>
                <w:szCs w:val="22"/>
              </w:rPr>
              <w:t>3</w:t>
            </w:r>
            <w:r>
              <w:rPr>
                <w:rFonts w:ascii="仿宋" w:hAnsi="仿宋" w:eastAsia="仿宋" w:cs="仿宋"/>
                <w:spacing w:val="-4"/>
                <w:position w:val="1"/>
                <w:sz w:val="22"/>
                <w:szCs w:val="22"/>
              </w:rPr>
              <w:t>企业万元销售收入中</w:t>
            </w:r>
            <w:r>
              <w:rPr>
                <w:rFonts w:ascii="Arial" w:hAnsi="Arial" w:eastAsia="Arial" w:cs="Arial"/>
                <w:spacing w:val="-4"/>
                <w:position w:val="1"/>
                <w:sz w:val="22"/>
                <w:szCs w:val="22"/>
              </w:rPr>
              <w:t>R&amp;D</w:t>
            </w:r>
            <w:r>
              <w:rPr>
                <w:rFonts w:ascii="仿宋" w:hAnsi="仿宋" w:eastAsia="仿宋" w:cs="仿宋"/>
                <w:spacing w:val="-4"/>
                <w:position w:val="1"/>
                <w:sz w:val="22"/>
                <w:szCs w:val="22"/>
              </w:rPr>
              <w:t>经费支出</w:t>
            </w:r>
          </w:p>
        </w:tc>
      </w:tr>
      <w:tr w14:paraId="37FC7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659" w:type="dxa"/>
            <w:vMerge w:val="continue"/>
            <w:tcBorders>
              <w:tl2br w:val="nil"/>
              <w:tr2bl w:val="nil"/>
            </w:tcBorders>
            <w:noWrap w:val="0"/>
            <w:vAlign w:val="top"/>
          </w:tcPr>
          <w:p w14:paraId="23E208A5">
            <w:pPr>
              <w:keepNext w:val="0"/>
              <w:keepLines w:val="0"/>
              <w:pageBreakBefore w:val="0"/>
              <w:widowControl w:val="0"/>
              <w:wordWrap/>
              <w:overflowPunct/>
              <w:bidi w:val="0"/>
              <w:rPr>
                <w:rFonts w:ascii="Arial"/>
                <w:spacing w:val="-9"/>
                <w:sz w:val="21"/>
              </w:rPr>
            </w:pPr>
          </w:p>
        </w:tc>
        <w:tc>
          <w:tcPr>
            <w:tcW w:w="7219" w:type="dxa"/>
            <w:tcBorders>
              <w:tl2br w:val="nil"/>
              <w:tr2bl w:val="nil"/>
            </w:tcBorders>
            <w:noWrap w:val="0"/>
            <w:vAlign w:val="top"/>
          </w:tcPr>
          <w:p w14:paraId="712E79BB">
            <w:pPr>
              <w:keepNext w:val="0"/>
              <w:keepLines w:val="0"/>
              <w:pageBreakBefore w:val="0"/>
              <w:widowControl w:val="0"/>
              <w:wordWrap/>
              <w:overflowPunct/>
              <w:bidi w:val="0"/>
              <w:spacing w:before="95" w:line="217" w:lineRule="auto"/>
              <w:ind w:left="128"/>
              <w:rPr>
                <w:rFonts w:ascii="仿宋" w:hAnsi="仿宋" w:eastAsia="仿宋" w:cs="仿宋"/>
                <w:sz w:val="22"/>
                <w:szCs w:val="22"/>
              </w:rPr>
            </w:pPr>
            <w:r>
              <w:rPr>
                <w:rFonts w:ascii="Arial" w:hAnsi="Arial" w:eastAsia="Arial" w:cs="Arial"/>
                <w:spacing w:val="-2"/>
                <w:sz w:val="22"/>
                <w:szCs w:val="22"/>
              </w:rPr>
              <w:t>1.4</w:t>
            </w:r>
            <w:r>
              <w:rPr>
                <w:rFonts w:ascii="仿宋" w:hAnsi="仿宋" w:eastAsia="仿宋" w:cs="仿宋"/>
                <w:spacing w:val="-2"/>
                <w:sz w:val="22"/>
                <w:szCs w:val="22"/>
              </w:rPr>
              <w:t>千人拥有科技活动经费筹集总</w:t>
            </w:r>
            <w:r>
              <w:rPr>
                <w:rFonts w:ascii="仿宋" w:hAnsi="仿宋" w:eastAsia="仿宋" w:cs="仿宋"/>
                <w:sz w:val="22"/>
                <w:szCs w:val="22"/>
              </w:rPr>
              <w:t>额</w:t>
            </w:r>
          </w:p>
        </w:tc>
      </w:tr>
      <w:tr w14:paraId="2B8906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1659" w:type="dxa"/>
            <w:vMerge w:val="continue"/>
            <w:tcBorders>
              <w:tl2br w:val="nil"/>
              <w:tr2bl w:val="nil"/>
            </w:tcBorders>
            <w:noWrap w:val="0"/>
            <w:vAlign w:val="top"/>
          </w:tcPr>
          <w:p w14:paraId="10C6306F">
            <w:pPr>
              <w:keepNext w:val="0"/>
              <w:keepLines w:val="0"/>
              <w:pageBreakBefore w:val="0"/>
              <w:widowControl w:val="0"/>
              <w:wordWrap/>
              <w:overflowPunct/>
              <w:bidi w:val="0"/>
              <w:rPr>
                <w:rFonts w:ascii="Arial"/>
                <w:spacing w:val="-9"/>
                <w:sz w:val="21"/>
              </w:rPr>
            </w:pPr>
          </w:p>
        </w:tc>
        <w:tc>
          <w:tcPr>
            <w:tcW w:w="7219" w:type="dxa"/>
            <w:tcBorders>
              <w:tl2br w:val="nil"/>
              <w:tr2bl w:val="nil"/>
            </w:tcBorders>
            <w:noWrap w:val="0"/>
            <w:vAlign w:val="top"/>
          </w:tcPr>
          <w:p w14:paraId="5E3E7492">
            <w:pPr>
              <w:keepNext w:val="0"/>
              <w:keepLines w:val="0"/>
              <w:pageBreakBefore w:val="0"/>
              <w:widowControl w:val="0"/>
              <w:wordWrap/>
              <w:overflowPunct/>
              <w:bidi w:val="0"/>
              <w:spacing w:before="96" w:line="218" w:lineRule="auto"/>
              <w:ind w:left="128"/>
              <w:rPr>
                <w:rFonts w:ascii="仿宋" w:hAnsi="仿宋" w:eastAsia="仿宋" w:cs="仿宋"/>
                <w:sz w:val="22"/>
                <w:szCs w:val="22"/>
              </w:rPr>
            </w:pPr>
            <w:r>
              <w:rPr>
                <w:rFonts w:ascii="Arial" w:hAnsi="Arial" w:eastAsia="Arial" w:cs="Arial"/>
                <w:spacing w:val="-2"/>
                <w:sz w:val="22"/>
                <w:szCs w:val="22"/>
              </w:rPr>
              <w:t>1.5</w:t>
            </w:r>
            <w:r>
              <w:rPr>
                <w:rFonts w:ascii="仿宋" w:hAnsi="仿宋" w:eastAsia="仿宋" w:cs="仿宋"/>
                <w:spacing w:val="-2"/>
                <w:sz w:val="22"/>
                <w:szCs w:val="22"/>
              </w:rPr>
              <w:t>人均规模以</w:t>
            </w:r>
            <w:r>
              <w:rPr>
                <w:rFonts w:ascii="仿宋" w:hAnsi="仿宋" w:eastAsia="仿宋" w:cs="仿宋"/>
                <w:spacing w:val="-1"/>
                <w:sz w:val="22"/>
                <w:szCs w:val="22"/>
              </w:rPr>
              <w:t>下科技型企业直接股权投资</w:t>
            </w:r>
          </w:p>
        </w:tc>
      </w:tr>
      <w:tr w14:paraId="115C5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Borders>
              <w:tl2br w:val="nil"/>
              <w:tr2bl w:val="nil"/>
            </w:tcBorders>
            <w:noWrap w:val="0"/>
            <w:vAlign w:val="top"/>
          </w:tcPr>
          <w:p w14:paraId="40194387">
            <w:pPr>
              <w:keepNext w:val="0"/>
              <w:keepLines w:val="0"/>
              <w:pageBreakBefore w:val="0"/>
              <w:widowControl w:val="0"/>
              <w:wordWrap/>
              <w:overflowPunct/>
              <w:bidi w:val="0"/>
              <w:rPr>
                <w:rFonts w:ascii="Arial"/>
                <w:spacing w:val="-9"/>
                <w:sz w:val="21"/>
              </w:rPr>
            </w:pPr>
          </w:p>
        </w:tc>
        <w:tc>
          <w:tcPr>
            <w:tcW w:w="7219" w:type="dxa"/>
            <w:tcBorders>
              <w:tl2br w:val="nil"/>
              <w:tr2bl w:val="nil"/>
            </w:tcBorders>
            <w:noWrap w:val="0"/>
            <w:vAlign w:val="top"/>
          </w:tcPr>
          <w:p w14:paraId="68381811">
            <w:pPr>
              <w:keepNext w:val="0"/>
              <w:keepLines w:val="0"/>
              <w:pageBreakBefore w:val="0"/>
              <w:widowControl w:val="0"/>
              <w:wordWrap/>
              <w:overflowPunct/>
              <w:bidi w:val="0"/>
              <w:spacing w:before="95" w:line="220" w:lineRule="auto"/>
              <w:ind w:left="128"/>
              <w:rPr>
                <w:rFonts w:ascii="仿宋" w:hAnsi="仿宋" w:eastAsia="仿宋" w:cs="仿宋"/>
                <w:sz w:val="22"/>
                <w:szCs w:val="22"/>
              </w:rPr>
            </w:pPr>
            <w:r>
              <w:rPr>
                <w:rFonts w:ascii="Arial" w:hAnsi="Arial" w:eastAsia="Arial" w:cs="Arial"/>
                <w:spacing w:val="-2"/>
                <w:sz w:val="22"/>
                <w:szCs w:val="22"/>
              </w:rPr>
              <w:t>1.6</w:t>
            </w:r>
            <w:r>
              <w:rPr>
                <w:rFonts w:ascii="仿宋" w:hAnsi="仿宋" w:eastAsia="仿宋" w:cs="仿宋"/>
                <w:spacing w:val="-2"/>
                <w:sz w:val="22"/>
                <w:szCs w:val="22"/>
              </w:rPr>
              <w:t>千人享有的</w:t>
            </w:r>
            <w:r>
              <w:rPr>
                <w:rFonts w:ascii="仿宋" w:hAnsi="仿宋" w:eastAsia="仿宋" w:cs="仿宋"/>
                <w:spacing w:val="-1"/>
                <w:sz w:val="22"/>
                <w:szCs w:val="22"/>
              </w:rPr>
              <w:t>政府对规模以下科技型企业的创新资助</w:t>
            </w:r>
          </w:p>
        </w:tc>
      </w:tr>
      <w:tr w14:paraId="4C1967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Borders>
              <w:tl2br w:val="nil"/>
              <w:tr2bl w:val="nil"/>
            </w:tcBorders>
            <w:noWrap w:val="0"/>
            <w:vAlign w:val="top"/>
          </w:tcPr>
          <w:p w14:paraId="794AC3C1">
            <w:pPr>
              <w:keepNext w:val="0"/>
              <w:keepLines w:val="0"/>
              <w:pageBreakBefore w:val="0"/>
              <w:widowControl w:val="0"/>
              <w:wordWrap/>
              <w:overflowPunct/>
              <w:bidi w:val="0"/>
              <w:spacing w:before="35" w:line="217" w:lineRule="auto"/>
              <w:ind w:left="120" w:leftChars="0"/>
              <w:rPr>
                <w:rFonts w:ascii="仿宋" w:hAnsi="仿宋" w:eastAsia="仿宋" w:cs="仿宋"/>
                <w:spacing w:val="-9"/>
                <w:kern w:val="2"/>
                <w:sz w:val="22"/>
                <w:szCs w:val="22"/>
                <w:lang w:val="en-US" w:eastAsia="zh-CN" w:bidi="ar-SA"/>
              </w:rPr>
            </w:pPr>
          </w:p>
        </w:tc>
        <w:tc>
          <w:tcPr>
            <w:tcW w:w="7219" w:type="dxa"/>
            <w:tcBorders>
              <w:tl2br w:val="nil"/>
              <w:tr2bl w:val="nil"/>
            </w:tcBorders>
            <w:noWrap w:val="0"/>
            <w:vAlign w:val="top"/>
          </w:tcPr>
          <w:p w14:paraId="6CFD8852">
            <w:pPr>
              <w:keepNext w:val="0"/>
              <w:keepLines w:val="0"/>
              <w:pageBreakBefore w:val="0"/>
              <w:widowControl w:val="0"/>
              <w:wordWrap/>
              <w:overflowPunct/>
              <w:bidi w:val="0"/>
              <w:spacing w:before="95" w:line="218" w:lineRule="auto"/>
              <w:ind w:left="128" w:leftChars="0"/>
              <w:rPr>
                <w:rFonts w:ascii="仿宋" w:hAnsi="仿宋" w:eastAsia="仿宋" w:cs="仿宋"/>
                <w:kern w:val="2"/>
                <w:sz w:val="22"/>
                <w:szCs w:val="22"/>
                <w:lang w:val="en-US" w:eastAsia="zh-CN" w:bidi="ar-SA"/>
              </w:rPr>
            </w:pPr>
            <w:r>
              <w:rPr>
                <w:rFonts w:ascii="Arial" w:hAnsi="Arial" w:eastAsia="Arial" w:cs="Arial"/>
                <w:spacing w:val="-2"/>
                <w:sz w:val="22"/>
                <w:szCs w:val="22"/>
              </w:rPr>
              <w:t>1.7</w:t>
            </w:r>
            <w:r>
              <w:rPr>
                <w:rFonts w:ascii="仿宋" w:hAnsi="仿宋" w:eastAsia="仿宋" w:cs="仿宋"/>
                <w:spacing w:val="-2"/>
                <w:sz w:val="22"/>
                <w:szCs w:val="22"/>
              </w:rPr>
              <w:t>千人拥有发明专利累计</w:t>
            </w:r>
            <w:r>
              <w:rPr>
                <w:rFonts w:ascii="仿宋" w:hAnsi="仿宋" w:eastAsia="仿宋" w:cs="仿宋"/>
                <w:spacing w:val="-1"/>
                <w:sz w:val="22"/>
                <w:szCs w:val="22"/>
              </w:rPr>
              <w:t>授权数</w:t>
            </w:r>
          </w:p>
        </w:tc>
      </w:tr>
      <w:tr w14:paraId="20E3CE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704C27CA">
            <w:pPr>
              <w:keepNext w:val="0"/>
              <w:keepLines w:val="0"/>
              <w:pageBreakBefore w:val="0"/>
              <w:widowControl w:val="0"/>
              <w:wordWrap/>
              <w:overflowPunct/>
              <w:bidi w:val="0"/>
              <w:rPr>
                <w:rFonts w:ascii="Arial"/>
                <w:spacing w:val="-9"/>
                <w:sz w:val="21"/>
              </w:rPr>
            </w:pPr>
          </w:p>
        </w:tc>
        <w:tc>
          <w:tcPr>
            <w:tcW w:w="7219" w:type="dxa"/>
            <w:vAlign w:val="top"/>
          </w:tcPr>
          <w:p w14:paraId="46981533">
            <w:pPr>
              <w:keepNext w:val="0"/>
              <w:keepLines w:val="0"/>
              <w:pageBreakBefore w:val="0"/>
              <w:widowControl w:val="0"/>
              <w:wordWrap/>
              <w:overflowPunct/>
              <w:bidi w:val="0"/>
              <w:spacing w:before="93" w:line="218" w:lineRule="auto"/>
              <w:ind w:left="128" w:leftChars="0"/>
              <w:rPr>
                <w:rFonts w:ascii="仿宋" w:hAnsi="仿宋" w:eastAsia="仿宋" w:cs="仿宋"/>
                <w:kern w:val="2"/>
                <w:sz w:val="22"/>
                <w:szCs w:val="22"/>
                <w:lang w:val="en-US" w:eastAsia="zh-CN" w:bidi="ar-SA"/>
              </w:rPr>
            </w:pPr>
            <w:r>
              <w:rPr>
                <w:rFonts w:ascii="Arial" w:hAnsi="Arial" w:eastAsia="Arial" w:cs="Arial"/>
                <w:spacing w:val="-2"/>
                <w:sz w:val="22"/>
                <w:szCs w:val="22"/>
              </w:rPr>
              <w:t>1.8</w:t>
            </w:r>
            <w:r>
              <w:rPr>
                <w:rFonts w:ascii="仿宋" w:hAnsi="仿宋" w:eastAsia="仿宋" w:cs="仿宋"/>
                <w:spacing w:val="-2"/>
                <w:sz w:val="22"/>
                <w:szCs w:val="22"/>
              </w:rPr>
              <w:t>千人当年重要知识产权</w:t>
            </w:r>
            <w:r>
              <w:rPr>
                <w:rFonts w:ascii="仿宋" w:hAnsi="仿宋" w:eastAsia="仿宋" w:cs="仿宋"/>
                <w:spacing w:val="-1"/>
                <w:sz w:val="22"/>
                <w:szCs w:val="22"/>
              </w:rPr>
              <w:t>授权数</w:t>
            </w:r>
          </w:p>
        </w:tc>
      </w:tr>
      <w:tr w14:paraId="56E105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0CE19D5">
            <w:pPr>
              <w:keepNext w:val="0"/>
              <w:keepLines w:val="0"/>
              <w:pageBreakBefore w:val="0"/>
              <w:widowControl w:val="0"/>
              <w:wordWrap/>
              <w:overflowPunct/>
              <w:bidi w:val="0"/>
              <w:rPr>
                <w:rFonts w:ascii="Arial"/>
                <w:spacing w:val="-9"/>
                <w:sz w:val="21"/>
              </w:rPr>
            </w:pPr>
          </w:p>
        </w:tc>
        <w:tc>
          <w:tcPr>
            <w:tcW w:w="7219" w:type="dxa"/>
            <w:vAlign w:val="top"/>
          </w:tcPr>
          <w:p w14:paraId="4213F0C0">
            <w:pPr>
              <w:keepNext w:val="0"/>
              <w:keepLines w:val="0"/>
              <w:pageBreakBefore w:val="0"/>
              <w:widowControl w:val="0"/>
              <w:wordWrap/>
              <w:overflowPunct/>
              <w:bidi w:val="0"/>
              <w:spacing w:before="94" w:line="217" w:lineRule="auto"/>
              <w:ind w:left="128" w:leftChars="0"/>
              <w:rPr>
                <w:rFonts w:ascii="仿宋" w:hAnsi="仿宋" w:eastAsia="仿宋" w:cs="仿宋"/>
                <w:kern w:val="2"/>
                <w:sz w:val="22"/>
                <w:szCs w:val="22"/>
                <w:lang w:val="en-US" w:eastAsia="zh-CN" w:bidi="ar-SA"/>
              </w:rPr>
            </w:pPr>
            <w:r>
              <w:rPr>
                <w:rFonts w:ascii="Arial" w:hAnsi="Arial" w:eastAsia="Arial" w:cs="Arial"/>
                <w:spacing w:val="-6"/>
                <w:sz w:val="22"/>
                <w:szCs w:val="22"/>
              </w:rPr>
              <w:t>1.9</w:t>
            </w:r>
            <w:r>
              <w:rPr>
                <w:rFonts w:ascii="仿宋" w:hAnsi="仿宋" w:eastAsia="仿宋" w:cs="仿宋"/>
                <w:spacing w:val="-4"/>
                <w:sz w:val="22"/>
                <w:szCs w:val="22"/>
              </w:rPr>
              <w:t>单</w:t>
            </w:r>
            <w:r>
              <w:rPr>
                <w:rFonts w:ascii="仿宋" w:hAnsi="仿宋" w:eastAsia="仿宋" w:cs="仿宋"/>
                <w:spacing w:val="-3"/>
                <w:sz w:val="22"/>
                <w:szCs w:val="22"/>
              </w:rPr>
              <w:t>位面积新注册的</w:t>
            </w:r>
            <w:r>
              <w:rPr>
                <w:rFonts w:ascii="Arial" w:hAnsi="Arial" w:eastAsia="Arial" w:cs="Arial"/>
                <w:spacing w:val="-3"/>
                <w:sz w:val="22"/>
                <w:szCs w:val="22"/>
              </w:rPr>
              <w:t>500</w:t>
            </w:r>
            <w:r>
              <w:rPr>
                <w:rFonts w:ascii="仿宋" w:hAnsi="仿宋" w:eastAsia="仿宋" w:cs="仿宋"/>
                <w:spacing w:val="-3"/>
                <w:sz w:val="22"/>
                <w:szCs w:val="22"/>
              </w:rPr>
              <w:t>万以下科技型企业数</w:t>
            </w:r>
          </w:p>
        </w:tc>
      </w:tr>
      <w:tr w14:paraId="22564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6ACE8289">
            <w:pPr>
              <w:keepNext w:val="0"/>
              <w:keepLines w:val="0"/>
              <w:pageBreakBefore w:val="0"/>
              <w:widowControl w:val="0"/>
              <w:wordWrap/>
              <w:overflowPunct/>
              <w:bidi w:val="0"/>
              <w:rPr>
                <w:rFonts w:ascii="Arial"/>
                <w:spacing w:val="-9"/>
                <w:sz w:val="21"/>
              </w:rPr>
            </w:pPr>
          </w:p>
        </w:tc>
        <w:tc>
          <w:tcPr>
            <w:tcW w:w="7219" w:type="dxa"/>
            <w:vAlign w:val="top"/>
          </w:tcPr>
          <w:p w14:paraId="5BD9F520">
            <w:pPr>
              <w:keepNext w:val="0"/>
              <w:keepLines w:val="0"/>
              <w:pageBreakBefore w:val="0"/>
              <w:widowControl w:val="0"/>
              <w:wordWrap/>
              <w:overflowPunct/>
              <w:bidi w:val="0"/>
              <w:spacing w:before="95" w:line="218" w:lineRule="auto"/>
              <w:ind w:left="128" w:leftChars="0"/>
              <w:rPr>
                <w:rFonts w:ascii="仿宋" w:hAnsi="仿宋" w:eastAsia="仿宋" w:cs="仿宋"/>
                <w:kern w:val="2"/>
                <w:sz w:val="22"/>
                <w:szCs w:val="22"/>
                <w:lang w:val="en-US" w:eastAsia="zh-CN" w:bidi="ar-SA"/>
              </w:rPr>
            </w:pPr>
            <w:r>
              <w:rPr>
                <w:rFonts w:ascii="Arial" w:hAnsi="Arial" w:eastAsia="Arial" w:cs="Arial"/>
                <w:spacing w:val="-4"/>
                <w:sz w:val="22"/>
                <w:szCs w:val="22"/>
              </w:rPr>
              <w:t>1.</w:t>
            </w:r>
            <w:r>
              <w:rPr>
                <w:rFonts w:ascii="Arial" w:hAnsi="Arial" w:eastAsia="Arial" w:cs="Arial"/>
                <w:spacing w:val="-2"/>
                <w:sz w:val="22"/>
                <w:szCs w:val="22"/>
              </w:rPr>
              <w:t>10</w:t>
            </w:r>
            <w:r>
              <w:rPr>
                <w:rFonts w:ascii="仿宋" w:hAnsi="仿宋" w:eastAsia="仿宋" w:cs="仿宋"/>
                <w:spacing w:val="-2"/>
                <w:sz w:val="22"/>
                <w:szCs w:val="22"/>
              </w:rPr>
              <w:t>人均技术合同交易额</w:t>
            </w:r>
          </w:p>
        </w:tc>
      </w:tr>
      <w:tr w14:paraId="74DE6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714F4F04">
            <w:pPr>
              <w:keepNext w:val="0"/>
              <w:keepLines w:val="0"/>
              <w:pageBreakBefore w:val="0"/>
              <w:widowControl w:val="0"/>
              <w:wordWrap/>
              <w:overflowPunct/>
              <w:bidi w:val="0"/>
              <w:rPr>
                <w:rFonts w:ascii="Arial"/>
                <w:spacing w:val="-9"/>
                <w:sz w:val="21"/>
              </w:rPr>
            </w:pPr>
          </w:p>
        </w:tc>
        <w:tc>
          <w:tcPr>
            <w:tcW w:w="7219" w:type="dxa"/>
            <w:vAlign w:val="top"/>
          </w:tcPr>
          <w:p w14:paraId="508D9B28">
            <w:pPr>
              <w:keepNext w:val="0"/>
              <w:keepLines w:val="0"/>
              <w:pageBreakBefore w:val="0"/>
              <w:widowControl w:val="0"/>
              <w:wordWrap/>
              <w:overflowPunct/>
              <w:bidi w:val="0"/>
              <w:spacing w:before="93" w:line="218" w:lineRule="auto"/>
              <w:ind w:left="128" w:leftChars="0"/>
              <w:rPr>
                <w:rFonts w:ascii="仿宋" w:hAnsi="仿宋" w:eastAsia="仿宋" w:cs="仿宋"/>
                <w:kern w:val="2"/>
                <w:sz w:val="22"/>
                <w:szCs w:val="22"/>
                <w:lang w:val="en-US" w:eastAsia="zh-CN" w:bidi="ar-SA"/>
              </w:rPr>
            </w:pPr>
            <w:r>
              <w:rPr>
                <w:rFonts w:ascii="Arial" w:hAnsi="Arial" w:eastAsia="Arial" w:cs="Arial"/>
                <w:spacing w:val="-4"/>
                <w:sz w:val="22"/>
                <w:szCs w:val="22"/>
              </w:rPr>
              <w:t>1.11</w:t>
            </w:r>
            <w:r>
              <w:rPr>
                <w:rFonts w:ascii="仿宋" w:hAnsi="仿宋" w:eastAsia="仿宋" w:cs="仿宋"/>
                <w:spacing w:val="-2"/>
                <w:sz w:val="22"/>
                <w:szCs w:val="22"/>
              </w:rPr>
              <w:t>科技活动经费中海外经费的比例</w:t>
            </w:r>
          </w:p>
        </w:tc>
      </w:tr>
      <w:tr w14:paraId="03835A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4D7C6930">
            <w:pPr>
              <w:keepNext w:val="0"/>
              <w:keepLines w:val="0"/>
              <w:pageBreakBefore w:val="0"/>
              <w:widowControl w:val="0"/>
              <w:wordWrap/>
              <w:overflowPunct/>
              <w:bidi w:val="0"/>
              <w:rPr>
                <w:rFonts w:ascii="Arial"/>
                <w:spacing w:val="-9"/>
                <w:sz w:val="21"/>
              </w:rPr>
            </w:pPr>
          </w:p>
        </w:tc>
        <w:tc>
          <w:tcPr>
            <w:tcW w:w="7219" w:type="dxa"/>
            <w:vAlign w:val="top"/>
          </w:tcPr>
          <w:p w14:paraId="0B79B7FE">
            <w:pPr>
              <w:keepNext w:val="0"/>
              <w:keepLines w:val="0"/>
              <w:pageBreakBefore w:val="0"/>
              <w:widowControl w:val="0"/>
              <w:wordWrap/>
              <w:overflowPunct/>
              <w:bidi w:val="0"/>
              <w:spacing w:before="94" w:line="218" w:lineRule="auto"/>
              <w:ind w:left="128" w:leftChars="0"/>
              <w:rPr>
                <w:rFonts w:ascii="仿宋" w:hAnsi="仿宋" w:eastAsia="仿宋" w:cs="仿宋"/>
                <w:kern w:val="2"/>
                <w:sz w:val="22"/>
                <w:szCs w:val="22"/>
                <w:lang w:val="en-US" w:eastAsia="zh-CN" w:bidi="ar-SA"/>
              </w:rPr>
            </w:pPr>
            <w:r>
              <w:rPr>
                <w:rFonts w:ascii="Arial" w:hAnsi="Arial" w:eastAsia="Arial" w:cs="Arial"/>
                <w:spacing w:val="-6"/>
                <w:sz w:val="22"/>
                <w:szCs w:val="22"/>
              </w:rPr>
              <w:t>1</w:t>
            </w:r>
            <w:r>
              <w:rPr>
                <w:rFonts w:ascii="Arial" w:hAnsi="Arial" w:eastAsia="Arial" w:cs="Arial"/>
                <w:spacing w:val="-3"/>
                <w:sz w:val="22"/>
                <w:szCs w:val="22"/>
              </w:rPr>
              <w:t>.12</w:t>
            </w:r>
            <w:r>
              <w:rPr>
                <w:rFonts w:ascii="仿宋" w:hAnsi="仿宋" w:eastAsia="仿宋" w:cs="仿宋"/>
                <w:spacing w:val="-3"/>
                <w:sz w:val="22"/>
                <w:szCs w:val="22"/>
              </w:rPr>
              <w:t>企业利润率</w:t>
            </w:r>
          </w:p>
        </w:tc>
      </w:tr>
      <w:tr w14:paraId="17D11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12CCF0E5">
            <w:pPr>
              <w:keepNext w:val="0"/>
              <w:keepLines w:val="0"/>
              <w:pageBreakBefore w:val="0"/>
              <w:widowControl w:val="0"/>
              <w:wordWrap/>
              <w:overflowPunct/>
              <w:bidi w:val="0"/>
              <w:rPr>
                <w:rFonts w:ascii="Arial"/>
                <w:spacing w:val="-9"/>
                <w:sz w:val="21"/>
              </w:rPr>
            </w:pPr>
          </w:p>
        </w:tc>
        <w:tc>
          <w:tcPr>
            <w:tcW w:w="7219" w:type="dxa"/>
            <w:vAlign w:val="top"/>
          </w:tcPr>
          <w:p w14:paraId="342706E2">
            <w:pPr>
              <w:keepNext w:val="0"/>
              <w:keepLines w:val="0"/>
              <w:pageBreakBefore w:val="0"/>
              <w:widowControl w:val="0"/>
              <w:wordWrap/>
              <w:overflowPunct/>
              <w:bidi w:val="0"/>
              <w:spacing w:before="95" w:line="216" w:lineRule="auto"/>
              <w:ind w:left="128" w:leftChars="0"/>
              <w:rPr>
                <w:rFonts w:ascii="仿宋" w:hAnsi="仿宋" w:eastAsia="仿宋" w:cs="仿宋"/>
                <w:kern w:val="2"/>
                <w:sz w:val="22"/>
                <w:szCs w:val="22"/>
                <w:lang w:val="en-US" w:eastAsia="zh-CN" w:bidi="ar-SA"/>
              </w:rPr>
            </w:pPr>
            <w:r>
              <w:rPr>
                <w:rFonts w:ascii="Arial" w:hAnsi="Arial" w:eastAsia="Arial" w:cs="Arial"/>
                <w:spacing w:val="-2"/>
                <w:sz w:val="22"/>
                <w:szCs w:val="22"/>
              </w:rPr>
              <w:t>1.13</w:t>
            </w:r>
            <w:r>
              <w:rPr>
                <w:rFonts w:ascii="仿宋" w:hAnsi="仿宋" w:eastAsia="仿宋" w:cs="仿宋"/>
                <w:spacing w:val="-1"/>
                <w:sz w:val="22"/>
                <w:szCs w:val="22"/>
              </w:rPr>
              <w:t>对高新区科研机构</w:t>
            </w:r>
            <w:r>
              <w:rPr>
                <w:rFonts w:ascii="Arial" w:hAnsi="Arial" w:eastAsia="Arial" w:cs="Arial"/>
                <w:spacing w:val="-1"/>
                <w:sz w:val="22"/>
                <w:szCs w:val="22"/>
              </w:rPr>
              <w:t>-</w:t>
            </w:r>
            <w:r>
              <w:rPr>
                <w:rFonts w:ascii="仿宋" w:hAnsi="仿宋" w:eastAsia="仿宋" w:cs="仿宋"/>
                <w:spacing w:val="-1"/>
                <w:sz w:val="22"/>
                <w:szCs w:val="22"/>
              </w:rPr>
              <w:t>企业</w:t>
            </w:r>
            <w:r>
              <w:rPr>
                <w:rFonts w:ascii="Arial" w:hAnsi="Arial" w:eastAsia="Arial" w:cs="Arial"/>
                <w:spacing w:val="-1"/>
                <w:sz w:val="22"/>
                <w:szCs w:val="22"/>
              </w:rPr>
              <w:t>-</w:t>
            </w:r>
            <w:r>
              <w:rPr>
                <w:rFonts w:ascii="仿宋" w:hAnsi="仿宋" w:eastAsia="仿宋" w:cs="仿宋"/>
                <w:spacing w:val="-1"/>
                <w:sz w:val="22"/>
                <w:szCs w:val="22"/>
              </w:rPr>
              <w:t>政府合作密切程度评价(定性)</w:t>
            </w:r>
          </w:p>
        </w:tc>
      </w:tr>
      <w:tr w14:paraId="325771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59" w:type="dxa"/>
            <w:vAlign w:val="top"/>
          </w:tcPr>
          <w:p w14:paraId="43823E7E">
            <w:pPr>
              <w:keepNext w:val="0"/>
              <w:keepLines w:val="0"/>
              <w:pageBreakBefore w:val="0"/>
              <w:widowControl w:val="0"/>
              <w:wordWrap/>
              <w:overflowPunct/>
              <w:bidi w:val="0"/>
              <w:spacing w:before="71" w:line="249" w:lineRule="auto"/>
              <w:ind w:right="103"/>
              <w:rPr>
                <w:rFonts w:ascii="仿宋" w:hAnsi="仿宋" w:eastAsia="仿宋" w:cs="仿宋"/>
                <w:spacing w:val="-9"/>
                <w:kern w:val="2"/>
                <w:sz w:val="22"/>
                <w:szCs w:val="22"/>
                <w:lang w:val="en-US" w:eastAsia="zh-CN" w:bidi="ar-SA"/>
              </w:rPr>
            </w:pPr>
            <w:r>
              <w:rPr>
                <w:rFonts w:ascii="仿宋" w:hAnsi="仿宋" w:eastAsia="仿宋" w:cs="仿宋"/>
                <w:spacing w:val="-9"/>
                <w:sz w:val="22"/>
                <w:szCs w:val="22"/>
              </w:rPr>
              <w:t>产业化和规模经济能力产业化和规模经济能力</w:t>
            </w:r>
          </w:p>
        </w:tc>
        <w:tc>
          <w:tcPr>
            <w:tcW w:w="7219" w:type="dxa"/>
            <w:vAlign w:val="center"/>
          </w:tcPr>
          <w:p w14:paraId="5109F532">
            <w:pPr>
              <w:keepNext w:val="0"/>
              <w:keepLines w:val="0"/>
              <w:pageBreakBefore w:val="0"/>
              <w:widowControl w:val="0"/>
              <w:wordWrap/>
              <w:overflowPunct/>
              <w:bidi w:val="0"/>
              <w:spacing w:before="93" w:line="217" w:lineRule="auto"/>
              <w:ind w:left="111" w:leftChars="0"/>
              <w:jc w:val="both"/>
              <w:rPr>
                <w:rFonts w:ascii="仿宋" w:hAnsi="仿宋" w:eastAsia="仿宋" w:cs="仿宋"/>
                <w:kern w:val="2"/>
                <w:sz w:val="22"/>
                <w:szCs w:val="22"/>
                <w:lang w:val="en-US" w:eastAsia="zh-CN" w:bidi="ar-SA"/>
              </w:rPr>
            </w:pPr>
            <w:r>
              <w:rPr>
                <w:rFonts w:ascii="Arial" w:hAnsi="Arial" w:eastAsia="Arial" w:cs="Arial"/>
                <w:spacing w:val="-2"/>
                <w:sz w:val="22"/>
                <w:szCs w:val="22"/>
              </w:rPr>
              <w:t>2.1</w:t>
            </w:r>
            <w:r>
              <w:rPr>
                <w:rFonts w:ascii="仿宋" w:hAnsi="仿宋" w:eastAsia="仿宋" w:cs="仿宋"/>
                <w:spacing w:val="-1"/>
                <w:sz w:val="22"/>
                <w:szCs w:val="22"/>
              </w:rPr>
              <w:t>单位面积营业总收入</w:t>
            </w:r>
          </w:p>
        </w:tc>
      </w:tr>
      <w:tr w14:paraId="5B55B8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restart"/>
            <w:vAlign w:val="center"/>
          </w:tcPr>
          <w:p w14:paraId="539AEC60">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ascii="Arial"/>
                <w:sz w:val="21"/>
              </w:rPr>
            </w:pPr>
            <w:r>
              <w:rPr>
                <w:rFonts w:ascii="仿宋" w:hAnsi="仿宋" w:eastAsia="仿宋" w:cs="仿宋"/>
                <w:spacing w:val="0"/>
                <w:sz w:val="22"/>
                <w:szCs w:val="22"/>
              </w:rPr>
              <w:t>产业化和规模经济能力产业化和规模经济能力</w:t>
            </w:r>
          </w:p>
        </w:tc>
        <w:tc>
          <w:tcPr>
            <w:tcW w:w="7219" w:type="dxa"/>
            <w:vAlign w:val="top"/>
          </w:tcPr>
          <w:p w14:paraId="69B1CFDD">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2.2</w:t>
            </w:r>
            <w:r>
              <w:rPr>
                <w:rFonts w:ascii="仿宋" w:hAnsi="仿宋" w:eastAsia="仿宋" w:cs="仿宋"/>
                <w:spacing w:val="-1"/>
                <w:sz w:val="22"/>
                <w:szCs w:val="22"/>
              </w:rPr>
              <w:t>单位面积的资产总</w:t>
            </w:r>
            <w:r>
              <w:rPr>
                <w:rFonts w:ascii="仿宋" w:hAnsi="仿宋" w:eastAsia="仿宋" w:cs="仿宋"/>
                <w:sz w:val="22"/>
                <w:szCs w:val="22"/>
              </w:rPr>
              <w:t>额</w:t>
            </w:r>
          </w:p>
        </w:tc>
      </w:tr>
      <w:tr w14:paraId="39A69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49A8F4DB">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5B867A6A">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2"/>
                <w:sz w:val="22"/>
                <w:szCs w:val="22"/>
              </w:rPr>
              <w:t>2.3</w:t>
            </w:r>
            <w:r>
              <w:rPr>
                <w:rFonts w:ascii="仿宋" w:hAnsi="仿宋" w:eastAsia="仿宋" w:cs="仿宋"/>
                <w:spacing w:val="-1"/>
                <w:sz w:val="22"/>
                <w:szCs w:val="22"/>
              </w:rPr>
              <w:t>千人拥有的商标数</w:t>
            </w:r>
          </w:p>
        </w:tc>
      </w:tr>
      <w:tr w14:paraId="480F2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7D2893E2">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73517E6B">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2"/>
                <w:sz w:val="22"/>
                <w:szCs w:val="22"/>
              </w:rPr>
              <w:t>2.4</w:t>
            </w:r>
            <w:r>
              <w:rPr>
                <w:rFonts w:ascii="仿宋" w:hAnsi="仿宋" w:eastAsia="仿宋" w:cs="仿宋"/>
                <w:spacing w:val="2"/>
                <w:sz w:val="22"/>
                <w:szCs w:val="22"/>
              </w:rPr>
              <w:t>新产品销售收入占产品总销售收入的比</w:t>
            </w:r>
            <w:r>
              <w:rPr>
                <w:rFonts w:ascii="仿宋" w:hAnsi="仿宋" w:eastAsia="仿宋" w:cs="仿宋"/>
                <w:spacing w:val="1"/>
                <w:sz w:val="22"/>
                <w:szCs w:val="22"/>
              </w:rPr>
              <w:t>例</w:t>
            </w:r>
          </w:p>
        </w:tc>
      </w:tr>
      <w:tr w14:paraId="08D6CA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769695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77F02F13">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2.5</w:t>
            </w:r>
            <w:r>
              <w:rPr>
                <w:rFonts w:ascii="仿宋" w:hAnsi="仿宋" w:eastAsia="仿宋" w:cs="仿宋"/>
                <w:spacing w:val="2"/>
                <w:sz w:val="22"/>
                <w:szCs w:val="22"/>
              </w:rPr>
              <w:t>单位直接投资形成的企业总资产</w:t>
            </w:r>
          </w:p>
        </w:tc>
      </w:tr>
      <w:tr w14:paraId="58B12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15E0B695">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334D8832">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2"/>
                <w:sz w:val="22"/>
                <w:szCs w:val="22"/>
              </w:rPr>
              <w:t>2.</w:t>
            </w:r>
            <w:r>
              <w:rPr>
                <w:rFonts w:ascii="Arial" w:hAnsi="Arial" w:eastAsia="Arial" w:cs="Arial"/>
                <w:spacing w:val="-1"/>
                <w:sz w:val="22"/>
                <w:szCs w:val="22"/>
              </w:rPr>
              <w:t>6</w:t>
            </w:r>
            <w:r>
              <w:rPr>
                <w:rFonts w:ascii="仿宋" w:hAnsi="仿宋" w:eastAsia="仿宋" w:cs="仿宋"/>
                <w:spacing w:val="-1"/>
                <w:sz w:val="22"/>
                <w:szCs w:val="22"/>
              </w:rPr>
              <w:t>万人拥有的上市企业数量</w:t>
            </w:r>
          </w:p>
        </w:tc>
      </w:tr>
      <w:tr w14:paraId="741DD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1A673435">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3894ECED">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2"/>
                <w:sz w:val="22"/>
                <w:szCs w:val="22"/>
              </w:rPr>
              <w:t>2.7</w:t>
            </w:r>
            <w:r>
              <w:rPr>
                <w:rFonts w:ascii="仿宋" w:hAnsi="仿宋" w:eastAsia="仿宋" w:cs="仿宋"/>
                <w:spacing w:val="-2"/>
                <w:sz w:val="22"/>
                <w:szCs w:val="22"/>
              </w:rPr>
              <w:t>主导</w:t>
            </w:r>
            <w:r>
              <w:rPr>
                <w:rFonts w:ascii="仿宋" w:hAnsi="仿宋" w:eastAsia="仿宋" w:cs="仿宋"/>
                <w:spacing w:val="-1"/>
                <w:sz w:val="22"/>
                <w:szCs w:val="22"/>
              </w:rPr>
              <w:t>产业集聚度</w:t>
            </w:r>
          </w:p>
        </w:tc>
      </w:tr>
      <w:tr w14:paraId="3D5343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1E69CF66">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3075483C">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2"/>
                <w:sz w:val="22"/>
                <w:szCs w:val="22"/>
              </w:rPr>
              <w:t>2.</w:t>
            </w:r>
            <w:r>
              <w:rPr>
                <w:rFonts w:ascii="Arial" w:hAnsi="Arial" w:eastAsia="Arial" w:cs="Arial"/>
                <w:spacing w:val="-1"/>
                <w:sz w:val="22"/>
                <w:szCs w:val="22"/>
              </w:rPr>
              <w:t>8</w:t>
            </w:r>
            <w:r>
              <w:rPr>
                <w:rFonts w:ascii="仿宋" w:hAnsi="仿宋" w:eastAsia="仿宋" w:cs="仿宋"/>
                <w:spacing w:val="-1"/>
                <w:sz w:val="22"/>
                <w:szCs w:val="22"/>
              </w:rPr>
              <w:t>主导产业首位度</w:t>
            </w:r>
          </w:p>
        </w:tc>
      </w:tr>
      <w:tr w14:paraId="020C6D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117B2304">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4E0F929A">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2.9</w:t>
            </w:r>
            <w:r>
              <w:rPr>
                <w:rFonts w:ascii="仿宋" w:hAnsi="仿宋" w:eastAsia="仿宋" w:cs="仿宋"/>
                <w:spacing w:val="-1"/>
                <w:sz w:val="22"/>
                <w:szCs w:val="22"/>
              </w:rPr>
              <w:t>高新技术产业营业</w:t>
            </w:r>
            <w:r>
              <w:rPr>
                <w:rFonts w:ascii="仿宋" w:hAnsi="仿宋" w:eastAsia="仿宋" w:cs="仿宋"/>
                <w:sz w:val="22"/>
                <w:szCs w:val="22"/>
              </w:rPr>
              <w:t>总收入占高新区营业总收入的比例</w:t>
            </w:r>
          </w:p>
        </w:tc>
      </w:tr>
      <w:tr w14:paraId="204AB0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0D5D3B44">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3FAE5287">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2.10</w:t>
            </w:r>
            <w:r>
              <w:rPr>
                <w:rFonts w:ascii="仿宋" w:hAnsi="仿宋" w:eastAsia="仿宋" w:cs="仿宋"/>
                <w:spacing w:val="-4"/>
                <w:sz w:val="22"/>
                <w:szCs w:val="22"/>
              </w:rPr>
              <w:t>高</w:t>
            </w:r>
            <w:r>
              <w:rPr>
                <w:rFonts w:ascii="仿宋" w:hAnsi="仿宋" w:eastAsia="仿宋" w:cs="仿宋"/>
                <w:spacing w:val="-3"/>
                <w:sz w:val="22"/>
                <w:szCs w:val="22"/>
              </w:rPr>
              <w:t>技</w:t>
            </w:r>
            <w:r>
              <w:rPr>
                <w:rFonts w:ascii="仿宋" w:hAnsi="仿宋" w:eastAsia="仿宋" w:cs="仿宋"/>
                <w:spacing w:val="-2"/>
                <w:sz w:val="22"/>
                <w:szCs w:val="22"/>
              </w:rPr>
              <w:t>术服务业营业总收入占高新区营业总收入的比例</w:t>
            </w:r>
          </w:p>
        </w:tc>
      </w:tr>
      <w:tr w14:paraId="3F113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7CBE6958">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1096A08A">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2.11</w:t>
            </w:r>
            <w:r>
              <w:rPr>
                <w:rFonts w:ascii="仿宋" w:hAnsi="仿宋" w:eastAsia="仿宋" w:cs="仿宋"/>
                <w:spacing w:val="-4"/>
                <w:sz w:val="22"/>
                <w:szCs w:val="22"/>
              </w:rPr>
              <w:t>高新技术企业数占区内企业总数的比</w:t>
            </w:r>
            <w:r>
              <w:rPr>
                <w:rFonts w:ascii="仿宋" w:hAnsi="仿宋" w:eastAsia="仿宋" w:cs="仿宋"/>
                <w:spacing w:val="-2"/>
                <w:sz w:val="22"/>
                <w:szCs w:val="22"/>
              </w:rPr>
              <w:t>例</w:t>
            </w:r>
          </w:p>
        </w:tc>
      </w:tr>
      <w:tr w14:paraId="0EA9AB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5914CB0">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1EBC3EDD">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2.12</w:t>
            </w:r>
            <w:r>
              <w:rPr>
                <w:rFonts w:ascii="仿宋" w:hAnsi="仿宋" w:eastAsia="仿宋" w:cs="仿宋"/>
                <w:spacing w:val="-4"/>
                <w:sz w:val="22"/>
                <w:szCs w:val="22"/>
              </w:rPr>
              <w:t>高新</w:t>
            </w:r>
            <w:r>
              <w:rPr>
                <w:rFonts w:ascii="仿宋" w:hAnsi="仿宋" w:eastAsia="仿宋" w:cs="仿宋"/>
                <w:spacing w:val="-3"/>
                <w:sz w:val="22"/>
                <w:szCs w:val="22"/>
              </w:rPr>
              <w:t>技</w:t>
            </w:r>
            <w:r>
              <w:rPr>
                <w:rFonts w:ascii="仿宋" w:hAnsi="仿宋" w:eastAsia="仿宋" w:cs="仿宋"/>
                <w:spacing w:val="-2"/>
                <w:sz w:val="22"/>
                <w:szCs w:val="22"/>
              </w:rPr>
              <w:t>术产业对区域辐射和带动能力评价(定性)</w:t>
            </w:r>
          </w:p>
        </w:tc>
      </w:tr>
      <w:tr w14:paraId="149DA3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0F790AF1">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42928E7E">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7"/>
                <w:sz w:val="22"/>
                <w:szCs w:val="22"/>
              </w:rPr>
              <w:t>2</w:t>
            </w:r>
            <w:r>
              <w:rPr>
                <w:rFonts w:ascii="Arial" w:hAnsi="Arial" w:eastAsia="Arial" w:cs="Arial"/>
                <w:spacing w:val="-6"/>
                <w:sz w:val="22"/>
                <w:szCs w:val="22"/>
              </w:rPr>
              <w:t>.13</w:t>
            </w:r>
            <w:r>
              <w:rPr>
                <w:rFonts w:ascii="仿宋" w:hAnsi="仿宋" w:eastAsia="仿宋" w:cs="仿宋"/>
                <w:spacing w:val="-6"/>
                <w:sz w:val="22"/>
                <w:szCs w:val="22"/>
              </w:rPr>
              <w:t>工业增加值率</w:t>
            </w:r>
          </w:p>
        </w:tc>
      </w:tr>
      <w:tr w14:paraId="514B84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1C6A8428">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422939F4">
            <w:pPr>
              <w:keepNext w:val="0"/>
              <w:keepLines w:val="0"/>
              <w:pageBreakBefore w:val="0"/>
              <w:widowControl w:val="0"/>
              <w:kinsoku/>
              <w:wordWrap/>
              <w:overflowPunct/>
              <w:topLinePunct w:val="0"/>
              <w:autoSpaceDE/>
              <w:autoSpaceDN/>
              <w:bidi w:val="0"/>
              <w:adjustRightInd/>
              <w:snapToGrid/>
              <w:spacing w:line="440" w:lineRule="exact"/>
              <w:ind w:left="111" w:leftChars="0"/>
              <w:textAlignment w:val="auto"/>
              <w:rPr>
                <w:rFonts w:ascii="仿宋" w:hAnsi="仿宋" w:eastAsia="仿宋" w:cs="仿宋"/>
                <w:kern w:val="2"/>
                <w:sz w:val="22"/>
                <w:szCs w:val="22"/>
                <w:lang w:val="en-US" w:eastAsia="zh-CN" w:bidi="ar-SA"/>
              </w:rPr>
            </w:pPr>
            <w:r>
              <w:rPr>
                <w:rFonts w:ascii="Arial" w:hAnsi="Arial" w:eastAsia="Arial" w:cs="Arial"/>
                <w:spacing w:val="-7"/>
                <w:sz w:val="22"/>
                <w:szCs w:val="22"/>
              </w:rPr>
              <w:t>2</w:t>
            </w:r>
            <w:r>
              <w:rPr>
                <w:rFonts w:ascii="Arial" w:hAnsi="Arial" w:eastAsia="Arial" w:cs="Arial"/>
                <w:spacing w:val="-6"/>
                <w:sz w:val="22"/>
                <w:szCs w:val="22"/>
              </w:rPr>
              <w:t>.14</w:t>
            </w:r>
            <w:r>
              <w:rPr>
                <w:rFonts w:ascii="仿宋" w:hAnsi="仿宋" w:eastAsia="仿宋" w:cs="仿宋"/>
                <w:spacing w:val="-6"/>
                <w:sz w:val="22"/>
                <w:szCs w:val="22"/>
              </w:rPr>
              <w:t>人均税收总额</w:t>
            </w:r>
          </w:p>
        </w:tc>
      </w:tr>
      <w:tr w14:paraId="684097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restart"/>
            <w:vAlign w:val="center"/>
          </w:tcPr>
          <w:p w14:paraId="55D135A3">
            <w:pPr>
              <w:keepNext w:val="0"/>
              <w:keepLines w:val="0"/>
              <w:pageBreakBefore w:val="0"/>
              <w:widowControl w:val="0"/>
              <w:kinsoku/>
              <w:wordWrap/>
              <w:overflowPunct/>
              <w:topLinePunct w:val="0"/>
              <w:autoSpaceDE/>
              <w:autoSpaceDN/>
              <w:bidi w:val="0"/>
              <w:adjustRightInd/>
              <w:snapToGrid/>
              <w:spacing w:line="440" w:lineRule="exact"/>
              <w:ind w:left="121" w:leftChars="0" w:right="103" w:rightChars="0" w:firstLine="14" w:firstLineChars="0"/>
              <w:jc w:val="both"/>
              <w:textAlignment w:val="auto"/>
              <w:rPr>
                <w:rFonts w:ascii="仿宋" w:hAnsi="仿宋" w:eastAsia="仿宋" w:cs="仿宋"/>
                <w:kern w:val="2"/>
                <w:sz w:val="22"/>
                <w:szCs w:val="22"/>
                <w:lang w:val="en-US" w:eastAsia="zh-CN" w:bidi="ar-SA"/>
              </w:rPr>
            </w:pPr>
            <w:r>
              <w:rPr>
                <w:rFonts w:ascii="仿宋" w:hAnsi="仿宋" w:eastAsia="仿宋" w:cs="仿宋"/>
                <w:spacing w:val="-9"/>
                <w:sz w:val="22"/>
                <w:szCs w:val="22"/>
              </w:rPr>
              <w:t>国际化和参与全球竞争的能力</w:t>
            </w:r>
          </w:p>
        </w:tc>
        <w:tc>
          <w:tcPr>
            <w:tcW w:w="7219" w:type="dxa"/>
            <w:vAlign w:val="top"/>
          </w:tcPr>
          <w:p w14:paraId="55266B7D">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3</w:t>
            </w:r>
            <w:r>
              <w:rPr>
                <w:rFonts w:ascii="Arial" w:hAnsi="Arial" w:eastAsia="Arial" w:cs="Arial"/>
                <w:spacing w:val="-3"/>
                <w:sz w:val="22"/>
                <w:szCs w:val="22"/>
              </w:rPr>
              <w:t>.1</w:t>
            </w:r>
            <w:r>
              <w:rPr>
                <w:rFonts w:ascii="仿宋" w:hAnsi="仿宋" w:eastAsia="仿宋" w:cs="仿宋"/>
                <w:spacing w:val="-3"/>
                <w:sz w:val="22"/>
                <w:szCs w:val="22"/>
              </w:rPr>
              <w:t>高新技术产品出口额占高新区出口总额的比例</w:t>
            </w:r>
          </w:p>
        </w:tc>
      </w:tr>
      <w:tr w14:paraId="30869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20BEE11D">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0A2AC176">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3.2</w:t>
            </w:r>
            <w:r>
              <w:rPr>
                <w:rFonts w:ascii="仿宋" w:hAnsi="仿宋" w:eastAsia="仿宋" w:cs="仿宋"/>
                <w:spacing w:val="-1"/>
                <w:sz w:val="22"/>
                <w:szCs w:val="22"/>
              </w:rPr>
              <w:t>非外商独资企业的实收海</w:t>
            </w:r>
            <w:r>
              <w:rPr>
                <w:rFonts w:ascii="仿宋" w:hAnsi="仿宋" w:eastAsia="仿宋" w:cs="仿宋"/>
                <w:sz w:val="22"/>
                <w:szCs w:val="22"/>
              </w:rPr>
              <w:t>外资本占高新区全部实收海外资本的比例</w:t>
            </w:r>
          </w:p>
        </w:tc>
      </w:tr>
      <w:tr w14:paraId="2B67D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88E4D8D">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23FB8C91">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3.3</w:t>
            </w:r>
            <w:r>
              <w:rPr>
                <w:rFonts w:ascii="仿宋" w:hAnsi="仿宋" w:eastAsia="仿宋" w:cs="仿宋"/>
                <w:spacing w:val="-1"/>
                <w:sz w:val="22"/>
                <w:szCs w:val="22"/>
              </w:rPr>
              <w:t>内资控股企业高新技术产</w:t>
            </w:r>
            <w:r>
              <w:rPr>
                <w:rFonts w:ascii="仿宋" w:hAnsi="仿宋" w:eastAsia="仿宋" w:cs="仿宋"/>
                <w:sz w:val="22"/>
                <w:szCs w:val="22"/>
              </w:rPr>
              <w:t>品出口额占高新区出口总额的比例</w:t>
            </w:r>
          </w:p>
        </w:tc>
      </w:tr>
      <w:tr w14:paraId="1EDEA4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DBAB47D">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13DC877C">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3.4</w:t>
            </w:r>
            <w:r>
              <w:rPr>
                <w:rFonts w:ascii="仿宋" w:hAnsi="仿宋" w:eastAsia="仿宋" w:cs="仿宋"/>
                <w:spacing w:val="-1"/>
                <w:sz w:val="22"/>
                <w:szCs w:val="22"/>
              </w:rPr>
              <w:t>千人拥有欧美日注册商标</w:t>
            </w:r>
            <w:r>
              <w:rPr>
                <w:rFonts w:ascii="仿宋" w:hAnsi="仿宋" w:eastAsia="仿宋" w:cs="仿宋"/>
                <w:sz w:val="22"/>
                <w:szCs w:val="22"/>
              </w:rPr>
              <w:t>数</w:t>
            </w:r>
          </w:p>
        </w:tc>
      </w:tr>
      <w:tr w14:paraId="20C90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4BFE5C51">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53C538F8">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3.5</w:t>
            </w:r>
            <w:r>
              <w:rPr>
                <w:rFonts w:ascii="仿宋" w:hAnsi="仿宋" w:eastAsia="仿宋" w:cs="仿宋"/>
                <w:spacing w:val="-1"/>
                <w:sz w:val="22"/>
                <w:szCs w:val="22"/>
              </w:rPr>
              <w:t>千人拥有欧美日专利授权</w:t>
            </w:r>
            <w:r>
              <w:rPr>
                <w:rFonts w:ascii="仿宋" w:hAnsi="仿宋" w:eastAsia="仿宋" w:cs="仿宋"/>
                <w:sz w:val="22"/>
                <w:szCs w:val="22"/>
              </w:rPr>
              <w:t>数</w:t>
            </w:r>
          </w:p>
        </w:tc>
      </w:tr>
      <w:tr w14:paraId="311E66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3E3808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24160E48">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3.6</w:t>
            </w:r>
            <w:r>
              <w:rPr>
                <w:rFonts w:ascii="仿宋" w:hAnsi="仿宋" w:eastAsia="仿宋" w:cs="仿宋"/>
                <w:spacing w:val="-1"/>
                <w:sz w:val="22"/>
                <w:szCs w:val="22"/>
              </w:rPr>
              <w:t>内资控股企业专利授权数</w:t>
            </w:r>
            <w:r>
              <w:rPr>
                <w:rFonts w:ascii="仿宋" w:hAnsi="仿宋" w:eastAsia="仿宋" w:cs="仿宋"/>
                <w:sz w:val="22"/>
                <w:szCs w:val="22"/>
              </w:rPr>
              <w:t>占高新区专利授权数的比例</w:t>
            </w:r>
          </w:p>
        </w:tc>
      </w:tr>
      <w:tr w14:paraId="14DD51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6D8C7AC4">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61984667">
            <w:pPr>
              <w:keepNext w:val="0"/>
              <w:keepLines w:val="0"/>
              <w:pageBreakBefore w:val="0"/>
              <w:widowControl w:val="0"/>
              <w:kinsoku/>
              <w:wordWrap/>
              <w:overflowPunct/>
              <w:topLinePunct w:val="0"/>
              <w:autoSpaceDE/>
              <w:autoSpaceDN/>
              <w:bidi w:val="0"/>
              <w:adjustRightInd/>
              <w:snapToGrid/>
              <w:spacing w:line="440" w:lineRule="exact"/>
              <w:ind w:left="113" w:leftChars="0"/>
              <w:textAlignment w:val="auto"/>
              <w:rPr>
                <w:rFonts w:ascii="仿宋" w:hAnsi="仿宋" w:eastAsia="仿宋" w:cs="仿宋"/>
                <w:kern w:val="2"/>
                <w:sz w:val="22"/>
                <w:szCs w:val="22"/>
                <w:lang w:val="en-US" w:eastAsia="zh-CN" w:bidi="ar-SA"/>
              </w:rPr>
            </w:pPr>
            <w:r>
              <w:rPr>
                <w:rFonts w:ascii="Arial" w:hAnsi="Arial" w:eastAsia="Arial" w:cs="Arial"/>
                <w:spacing w:val="-10"/>
                <w:sz w:val="22"/>
                <w:szCs w:val="22"/>
              </w:rPr>
              <w:t>3</w:t>
            </w:r>
            <w:r>
              <w:rPr>
                <w:rFonts w:ascii="Arial" w:hAnsi="Arial" w:eastAsia="Arial" w:cs="Arial"/>
                <w:spacing w:val="-7"/>
                <w:sz w:val="22"/>
                <w:szCs w:val="22"/>
              </w:rPr>
              <w:t>.</w:t>
            </w:r>
            <w:r>
              <w:rPr>
                <w:rFonts w:ascii="Arial" w:hAnsi="Arial" w:eastAsia="Arial" w:cs="Arial"/>
                <w:spacing w:val="-5"/>
                <w:sz w:val="22"/>
                <w:szCs w:val="22"/>
              </w:rPr>
              <w:t>7</w:t>
            </w:r>
            <w:r>
              <w:rPr>
                <w:rFonts w:ascii="仿宋" w:hAnsi="仿宋" w:eastAsia="仿宋" w:cs="仿宋"/>
                <w:spacing w:val="-5"/>
                <w:sz w:val="22"/>
                <w:szCs w:val="22"/>
              </w:rPr>
              <w:t>高新区企业“走出去”程度评价(定性)</w:t>
            </w:r>
          </w:p>
        </w:tc>
      </w:tr>
      <w:tr w14:paraId="429F4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restart"/>
            <w:vAlign w:val="center"/>
          </w:tcPr>
          <w:p w14:paraId="3612941E">
            <w:pPr>
              <w:keepNext w:val="0"/>
              <w:keepLines w:val="0"/>
              <w:pageBreakBefore w:val="0"/>
              <w:widowControl w:val="0"/>
              <w:kinsoku/>
              <w:wordWrap/>
              <w:overflowPunct/>
              <w:topLinePunct w:val="0"/>
              <w:autoSpaceDE/>
              <w:autoSpaceDN/>
              <w:bidi w:val="0"/>
              <w:adjustRightInd/>
              <w:snapToGrid/>
              <w:spacing w:line="440" w:lineRule="exact"/>
              <w:ind w:left="119" w:leftChars="0" w:right="103" w:rightChars="0" w:firstLine="6" w:firstLineChars="0"/>
              <w:jc w:val="both"/>
              <w:textAlignment w:val="auto"/>
              <w:rPr>
                <w:rFonts w:ascii="仿宋" w:hAnsi="仿宋" w:eastAsia="仿宋" w:cs="仿宋"/>
                <w:spacing w:val="0"/>
                <w:kern w:val="2"/>
                <w:sz w:val="22"/>
                <w:szCs w:val="22"/>
                <w:lang w:val="en-US" w:eastAsia="zh-CN" w:bidi="ar-SA"/>
              </w:rPr>
            </w:pPr>
            <w:r>
              <w:rPr>
                <w:rFonts w:ascii="仿宋" w:hAnsi="仿宋" w:eastAsia="仿宋" w:cs="仿宋"/>
                <w:spacing w:val="0"/>
                <w:sz w:val="22"/>
                <w:szCs w:val="22"/>
              </w:rPr>
              <w:t>高新区可持续发展能力</w:t>
            </w:r>
          </w:p>
        </w:tc>
        <w:tc>
          <w:tcPr>
            <w:tcW w:w="7219" w:type="dxa"/>
            <w:vAlign w:val="top"/>
          </w:tcPr>
          <w:p w14:paraId="5D22456E">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4.1</w:t>
            </w:r>
            <w:r>
              <w:rPr>
                <w:rFonts w:ascii="仿宋" w:hAnsi="仿宋" w:eastAsia="仿宋" w:cs="仿宋"/>
                <w:spacing w:val="-4"/>
                <w:sz w:val="22"/>
                <w:szCs w:val="22"/>
              </w:rPr>
              <w:t>千人拥有的</w:t>
            </w:r>
            <w:r>
              <w:rPr>
                <w:rFonts w:ascii="仿宋" w:hAnsi="仿宋" w:eastAsia="仿宋" w:cs="仿宋"/>
                <w:spacing w:val="-2"/>
                <w:sz w:val="22"/>
                <w:szCs w:val="22"/>
              </w:rPr>
              <w:t>大专(含)学历以上从业人数</w:t>
            </w:r>
          </w:p>
        </w:tc>
      </w:tr>
      <w:tr w14:paraId="6FA137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C9BF7D1">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042CEDBF">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4.2</w:t>
            </w:r>
            <w:r>
              <w:rPr>
                <w:rFonts w:ascii="仿宋" w:hAnsi="仿宋" w:eastAsia="仿宋" w:cs="仿宋"/>
                <w:spacing w:val="-1"/>
                <w:sz w:val="22"/>
                <w:szCs w:val="22"/>
              </w:rPr>
              <w:t>千人拥有的高技术服务</w:t>
            </w:r>
            <w:r>
              <w:rPr>
                <w:rFonts w:ascii="仿宋" w:hAnsi="仿宋" w:eastAsia="仿宋" w:cs="仿宋"/>
                <w:sz w:val="22"/>
                <w:szCs w:val="22"/>
              </w:rPr>
              <w:t>业从业人数</w:t>
            </w:r>
          </w:p>
        </w:tc>
      </w:tr>
      <w:tr w14:paraId="78363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36A2CF87">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28D49E45">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4.3</w:t>
            </w:r>
            <w:r>
              <w:rPr>
                <w:rFonts w:ascii="仿宋" w:hAnsi="仿宋" w:eastAsia="仿宋" w:cs="仿宋"/>
                <w:spacing w:val="-1"/>
                <w:sz w:val="22"/>
                <w:szCs w:val="22"/>
              </w:rPr>
              <w:t>千人拥有的投资机构和</w:t>
            </w:r>
            <w:r>
              <w:rPr>
                <w:rFonts w:ascii="仿宋" w:hAnsi="仿宋" w:eastAsia="仿宋" w:cs="仿宋"/>
                <w:sz w:val="22"/>
                <w:szCs w:val="22"/>
              </w:rPr>
              <w:t>金融机构从业人数</w:t>
            </w:r>
          </w:p>
        </w:tc>
      </w:tr>
      <w:tr w14:paraId="672DF7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66435E70">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6217E7EF">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4.4</w:t>
            </w:r>
            <w:r>
              <w:rPr>
                <w:rFonts w:ascii="仿宋" w:hAnsi="仿宋" w:eastAsia="仿宋" w:cs="仿宋"/>
                <w:spacing w:val="-1"/>
                <w:sz w:val="22"/>
                <w:szCs w:val="22"/>
              </w:rPr>
              <w:t>千人拥有的</w:t>
            </w:r>
            <w:r>
              <w:rPr>
                <w:rFonts w:ascii="仿宋" w:hAnsi="仿宋" w:eastAsia="仿宋" w:cs="仿宋"/>
                <w:sz w:val="22"/>
                <w:szCs w:val="22"/>
              </w:rPr>
              <w:t>企业经营管理者人数</w:t>
            </w:r>
          </w:p>
        </w:tc>
      </w:tr>
      <w:tr w14:paraId="10D50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405C915C">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5B039EC2">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4.5</w:t>
            </w:r>
            <w:r>
              <w:rPr>
                <w:rFonts w:ascii="仿宋" w:hAnsi="仿宋" w:eastAsia="仿宋" w:cs="仿宋"/>
                <w:spacing w:val="-1"/>
                <w:sz w:val="22"/>
                <w:szCs w:val="22"/>
              </w:rPr>
              <w:t>科技人员年</w:t>
            </w:r>
            <w:r>
              <w:rPr>
                <w:rFonts w:ascii="仿宋" w:hAnsi="仿宋" w:eastAsia="仿宋" w:cs="仿宋"/>
                <w:sz w:val="22"/>
                <w:szCs w:val="22"/>
              </w:rPr>
              <w:t>均收入</w:t>
            </w:r>
          </w:p>
        </w:tc>
      </w:tr>
      <w:tr w14:paraId="152D48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441E7788">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7138FB78">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4.6</w:t>
            </w:r>
            <w:r>
              <w:rPr>
                <w:rFonts w:ascii="仿宋" w:hAnsi="仿宋" w:eastAsia="仿宋" w:cs="仿宋"/>
                <w:spacing w:val="-1"/>
                <w:sz w:val="22"/>
                <w:szCs w:val="22"/>
              </w:rPr>
              <w:t>高新区管委会</w:t>
            </w:r>
            <w:r>
              <w:rPr>
                <w:rFonts w:ascii="仿宋" w:hAnsi="仿宋" w:eastAsia="仿宋" w:cs="仿宋"/>
                <w:sz w:val="22"/>
                <w:szCs w:val="22"/>
              </w:rPr>
              <w:t>体制与机制创新评价(定性)</w:t>
            </w:r>
          </w:p>
        </w:tc>
      </w:tr>
      <w:tr w14:paraId="661C8A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AE98F92">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717CD2E8">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4.7</w:t>
            </w:r>
            <w:r>
              <w:rPr>
                <w:rFonts w:ascii="仿宋" w:hAnsi="仿宋" w:eastAsia="仿宋" w:cs="仿宋"/>
                <w:spacing w:val="-1"/>
                <w:sz w:val="22"/>
                <w:szCs w:val="22"/>
              </w:rPr>
              <w:t>人居环境评价</w:t>
            </w:r>
            <w:r>
              <w:rPr>
                <w:rFonts w:ascii="仿宋" w:hAnsi="仿宋" w:eastAsia="仿宋" w:cs="仿宋"/>
                <w:sz w:val="22"/>
                <w:szCs w:val="22"/>
              </w:rPr>
              <w:t>(定性)</w:t>
            </w:r>
          </w:p>
        </w:tc>
      </w:tr>
      <w:tr w14:paraId="63B1C0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371C75A9">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0049B06F">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4"/>
                <w:sz w:val="22"/>
                <w:szCs w:val="22"/>
              </w:rPr>
              <w:t>4.8</w:t>
            </w:r>
            <w:r>
              <w:rPr>
                <w:rFonts w:ascii="仿宋" w:hAnsi="仿宋" w:eastAsia="仿宋" w:cs="仿宋"/>
                <w:spacing w:val="3"/>
                <w:sz w:val="22"/>
                <w:szCs w:val="22"/>
              </w:rPr>
              <w:t>单</w:t>
            </w:r>
            <w:r>
              <w:rPr>
                <w:rFonts w:ascii="仿宋" w:hAnsi="仿宋" w:eastAsia="仿宋" w:cs="仿宋"/>
                <w:spacing w:val="2"/>
                <w:sz w:val="22"/>
                <w:szCs w:val="22"/>
              </w:rPr>
              <w:t>位面积企业新增直接股权投资额</w:t>
            </w:r>
          </w:p>
        </w:tc>
      </w:tr>
      <w:tr w14:paraId="3BA9CC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50CF9A45">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2BFBCC5E">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1"/>
                <w:sz w:val="22"/>
                <w:szCs w:val="22"/>
              </w:rPr>
              <w:t>4.9</w:t>
            </w:r>
            <w:r>
              <w:rPr>
                <w:rFonts w:ascii="仿宋" w:hAnsi="仿宋" w:eastAsia="仿宋" w:cs="仿宋"/>
                <w:spacing w:val="-1"/>
                <w:sz w:val="22"/>
                <w:szCs w:val="22"/>
              </w:rPr>
              <w:t>万元产值综</w:t>
            </w:r>
            <w:r>
              <w:rPr>
                <w:rFonts w:ascii="仿宋" w:hAnsi="仿宋" w:eastAsia="仿宋" w:cs="仿宋"/>
                <w:sz w:val="22"/>
                <w:szCs w:val="22"/>
              </w:rPr>
              <w:t>合能耗</w:t>
            </w:r>
          </w:p>
        </w:tc>
      </w:tr>
      <w:tr w14:paraId="5F0797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659" w:type="dxa"/>
            <w:vMerge w:val="continue"/>
          </w:tcPr>
          <w:p w14:paraId="3EDFBCBF">
            <w:pPr>
              <w:keepNext w:val="0"/>
              <w:keepLines w:val="0"/>
              <w:pageBreakBefore w:val="0"/>
              <w:widowControl w:val="0"/>
              <w:kinsoku/>
              <w:wordWrap/>
              <w:overflowPunct/>
              <w:topLinePunct w:val="0"/>
              <w:autoSpaceDE/>
              <w:autoSpaceDN/>
              <w:bidi w:val="0"/>
              <w:adjustRightInd/>
              <w:snapToGrid/>
              <w:spacing w:line="440" w:lineRule="exact"/>
              <w:textAlignment w:val="auto"/>
              <w:rPr>
                <w:rFonts w:ascii="Arial"/>
                <w:sz w:val="21"/>
              </w:rPr>
            </w:pPr>
          </w:p>
        </w:tc>
        <w:tc>
          <w:tcPr>
            <w:tcW w:w="7219" w:type="dxa"/>
            <w:vAlign w:val="top"/>
          </w:tcPr>
          <w:p w14:paraId="59E468D2">
            <w:pPr>
              <w:keepNext w:val="0"/>
              <w:keepLines w:val="0"/>
              <w:pageBreakBefore w:val="0"/>
              <w:widowControl w:val="0"/>
              <w:kinsoku/>
              <w:wordWrap/>
              <w:overflowPunct/>
              <w:topLinePunct w:val="0"/>
              <w:autoSpaceDE/>
              <w:autoSpaceDN/>
              <w:bidi w:val="0"/>
              <w:adjustRightInd/>
              <w:snapToGrid/>
              <w:spacing w:line="440" w:lineRule="exact"/>
              <w:ind w:left="107" w:leftChars="0"/>
              <w:textAlignment w:val="auto"/>
              <w:rPr>
                <w:rFonts w:ascii="仿宋" w:hAnsi="仿宋" w:eastAsia="仿宋" w:cs="仿宋"/>
                <w:kern w:val="2"/>
                <w:sz w:val="22"/>
                <w:szCs w:val="22"/>
                <w:lang w:val="en-US" w:eastAsia="zh-CN" w:bidi="ar-SA"/>
              </w:rPr>
            </w:pPr>
            <w:r>
              <w:rPr>
                <w:rFonts w:ascii="Arial" w:hAnsi="Arial" w:eastAsia="Arial" w:cs="Arial"/>
                <w:spacing w:val="-8"/>
                <w:sz w:val="22"/>
                <w:szCs w:val="22"/>
              </w:rPr>
              <w:t>4.</w:t>
            </w:r>
            <w:r>
              <w:rPr>
                <w:rFonts w:ascii="Arial" w:hAnsi="Arial" w:eastAsia="Arial" w:cs="Arial"/>
                <w:spacing w:val="-4"/>
                <w:sz w:val="22"/>
                <w:szCs w:val="22"/>
              </w:rPr>
              <w:t>10</w:t>
            </w:r>
            <w:r>
              <w:rPr>
                <w:rFonts w:ascii="仿宋" w:hAnsi="仿宋" w:eastAsia="仿宋" w:cs="仿宋"/>
                <w:spacing w:val="-4"/>
                <w:sz w:val="22"/>
                <w:szCs w:val="22"/>
              </w:rPr>
              <w:t>单位增加值综合能耗</w:t>
            </w:r>
          </w:p>
        </w:tc>
      </w:tr>
    </w:tbl>
    <w:p w14:paraId="14CB977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2.2.3.3我国高新区评价指标体系的主要特点</w:t>
      </w:r>
    </w:p>
    <w:p w14:paraId="70A26996">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政策评价，强调目的性：定位于“政策评价”，不是强调高新区自然发展达到的状态，而是强调高新区对国家导向目标的实现程度。</w:t>
      </w:r>
    </w:p>
    <w:p w14:paraId="4B7A1C4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突出重点，引导方向：通过人才、专利、研发投入、高新技术产业、高技术服务业、规模以下科技企业等以及资本、技术、土地、资源等各种效率指标，重点强调“自主创新、创业环境、内生增长、资源有效利用”等方面，引导高新区的发展方向。</w:t>
      </w:r>
    </w:p>
    <w:p w14:paraId="0D90272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考虑差异，分类指导：充分考虑各高新区的土地面积、发展基础、支撑环境等差异，用“人均”、“地均”等指标，并引入“区域测度指标”，体现分类指导的思想，消除客观条件不平衡的影响，使评价结果和排序科学、公平、合理。</w:t>
      </w:r>
    </w:p>
    <w:p w14:paraId="1C3A8FD7">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定量为主，定性为辅：在44个评价指标中，定量指标共39个，定性指标只有5个。</w:t>
      </w:r>
    </w:p>
    <w:p w14:paraId="7EEA23A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动态监测，国际接轨：评价指标尽量能与国际通用指标对照，便于与国际接轨，并借鉴《OECD科学技术和工业记分牌》，建立高新区评价记分牌，通过长期观察和分析大样本的统计指标，既能不断筛选出更科学的评价指标，完善高新区统计和评价指标，也能实现对每个高新区发展状况的动态监测。</w:t>
      </w:r>
    </w:p>
    <w:p w14:paraId="60336EE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2.3福建省内高新区发展论述</w:t>
      </w:r>
    </w:p>
    <w:p w14:paraId="5737C82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2.3.1福建省典型高新区发展现状及特点</w:t>
      </w:r>
    </w:p>
    <w:p w14:paraId="53B485C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的高新区发展起始于20世纪80年代末期，1991年3月，福州高新技术产业开发区(简称福州高新区)和厦门火炬高技术产业开发区(简称厦门高新区)被列入我国火炬计划首批国家级高新区，此后的20多年间，泉州高新技术产业开发区(简称泉州高新区)、漳州高新技术产业开发区(简称漳州高新区)、莆田国家高新技术产业开发区(简称莆田高新区)、龙岩高新技术产业开发区(简称龙岩高新区)、三明高新技术产业开发区(简称三明高新区)等也升格为国家级高新区。自此，福建省国家级高新区数量达到7个，形成了以福州、厦门、泉州高新区为代表，漳州、莆田、龙岩、三明高新区为新兴力量的高新区集群。福建省国家级高新区分布如下图所示。</w:t>
      </w:r>
    </w:p>
    <w:p w14:paraId="47F25C3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420" w:firstLineChars="200"/>
        <w:jc w:val="both"/>
        <w:textAlignment w:val="auto"/>
        <w:rPr>
          <w:rFonts w:hint="default" w:ascii="仿宋_GB2312" w:hAnsi="仿宋_GB2312" w:eastAsia="仿宋_GB2312" w:cs="仿宋_GB2312"/>
          <w:spacing w:val="0"/>
          <w:sz w:val="28"/>
          <w:szCs w:val="28"/>
          <w:lang w:val="en-US" w:eastAsia="zh-CN"/>
        </w:rPr>
      </w:pPr>
      <w:r>
        <w:drawing>
          <wp:anchor distT="0" distB="0" distL="114300" distR="114300" simplePos="0" relativeHeight="251662336" behindDoc="1" locked="0" layoutInCell="1" allowOverlap="1">
            <wp:simplePos x="0" y="0"/>
            <wp:positionH relativeFrom="column">
              <wp:posOffset>114935</wp:posOffset>
            </wp:positionH>
            <wp:positionV relativeFrom="paragraph">
              <wp:posOffset>135890</wp:posOffset>
            </wp:positionV>
            <wp:extent cx="5504180" cy="5908040"/>
            <wp:effectExtent l="0" t="0" r="1270" b="0"/>
            <wp:wrapTight wrapText="bothSides">
              <wp:wrapPolygon>
                <wp:start x="0" y="0"/>
                <wp:lineTo x="0" y="21391"/>
                <wp:lineTo x="21393" y="21391"/>
                <wp:lineTo x="21393" y="0"/>
                <wp:lineTo x="0" y="0"/>
              </wp:wrapPolygon>
            </wp:wrapTight>
            <wp:docPr id="120" name="图片 27"/>
            <wp:cNvGraphicFramePr/>
            <a:graphic xmlns:a="http://schemas.openxmlformats.org/drawingml/2006/main">
              <a:graphicData uri="http://schemas.openxmlformats.org/drawingml/2006/picture">
                <pic:pic xmlns:pic="http://schemas.openxmlformats.org/drawingml/2006/picture">
                  <pic:nvPicPr>
                    <pic:cNvPr id="120" name="图片 27"/>
                    <pic:cNvPicPr/>
                  </pic:nvPicPr>
                  <pic:blipFill>
                    <a:blip r:embed="rId50"/>
                    <a:stretch>
                      <a:fillRect/>
                    </a:stretch>
                  </pic:blipFill>
                  <pic:spPr>
                    <a:xfrm>
                      <a:off x="0" y="0"/>
                      <a:ext cx="5504180" cy="5908040"/>
                    </a:xfrm>
                    <a:prstGeom prst="rect">
                      <a:avLst/>
                    </a:prstGeom>
                    <a:noFill/>
                    <a:ln>
                      <a:noFill/>
                    </a:ln>
                  </pic:spPr>
                </pic:pic>
              </a:graphicData>
            </a:graphic>
          </wp:anchor>
        </w:drawing>
      </w:r>
      <w:r>
        <w:rPr>
          <w:rFonts w:hint="default" w:ascii="仿宋_GB2312" w:hAnsi="仿宋_GB2312" w:eastAsia="仿宋_GB2312" w:cs="仿宋_GB2312"/>
          <w:spacing w:val="0"/>
          <w:sz w:val="28"/>
          <w:szCs w:val="28"/>
          <w:lang w:val="en-US" w:eastAsia="zh-CN"/>
        </w:rPr>
        <w:t>从福建省的国家级高新区分布情况来看，集中在东部和东南部沿海地区，在福建省的7个国家级高新区中，福州高新区、厦门火炬高新区和泉州高新区的发展速度较快、产业结构较丰富，基本形成了以信息技术、先进制造、新材料、新能源、技术服务等产业为主导的产业结构，而莆田、漳州、龙岩、三明高新区的高新产业起步较晚，目前处在传统制造业为主导，辅以信息技术、新能源、生物医药等产业的发展阶段。福建省7个高新区的发展情况及未来发展方向如下表所示。</w:t>
      </w:r>
    </w:p>
    <w:p w14:paraId="514F90AE">
      <w:pPr>
        <w:keepNext w:val="0"/>
        <w:keepLines w:val="0"/>
        <w:pageBreakBefore w:val="0"/>
        <w:widowControl w:val="0"/>
        <w:tabs>
          <w:tab w:val="left" w:pos="5097"/>
        </w:tabs>
        <w:wordWrap/>
        <w:overflowPunct/>
        <w:bidi w:val="0"/>
        <w:jc w:val="left"/>
        <w:rPr>
          <w:rFonts w:hint="default"/>
          <w:lang w:val="en-US" w:eastAsia="zh-CN"/>
        </w:rPr>
      </w:pPr>
    </w:p>
    <w:p w14:paraId="554E5456">
      <w:pPr>
        <w:pStyle w:val="2"/>
        <w:rPr>
          <w:rFonts w:hint="default"/>
          <w:lang w:val="en-US" w:eastAsia="zh-CN"/>
        </w:rPr>
      </w:pPr>
    </w:p>
    <w:p w14:paraId="412984EB">
      <w:pPr>
        <w:keepNext w:val="0"/>
        <w:keepLines w:val="0"/>
        <w:pageBreakBefore w:val="0"/>
        <w:widowControl w:val="0"/>
        <w:wordWrap/>
        <w:overflowPunct/>
        <w:bidi w:val="0"/>
        <w:spacing w:before="74" w:line="225" w:lineRule="auto"/>
        <w:ind w:left="3097"/>
      </w:pPr>
      <w:r>
        <w:rPr>
          <w:rFonts w:ascii="黑体" w:hAnsi="黑体" w:eastAsia="黑体" w:cs="黑体"/>
          <w:spacing w:val="13"/>
          <w:sz w:val="23"/>
          <w:szCs w:val="23"/>
        </w:rPr>
        <w:t>福</w:t>
      </w:r>
      <w:r>
        <w:rPr>
          <w:rFonts w:ascii="黑体" w:hAnsi="黑体" w:eastAsia="黑体" w:cs="黑体"/>
          <w:spacing w:val="10"/>
          <w:sz w:val="23"/>
          <w:szCs w:val="23"/>
        </w:rPr>
        <w:t>建省国家级高新区发展情况</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51"/>
        <w:gridCol w:w="1546"/>
        <w:gridCol w:w="1546"/>
        <w:gridCol w:w="1546"/>
        <w:gridCol w:w="1549"/>
        <w:gridCol w:w="1554"/>
      </w:tblGrid>
      <w:tr w14:paraId="5CF13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551" w:type="dxa"/>
            <w:tcBorders>
              <w:tl2br w:val="nil"/>
              <w:tr2bl w:val="nil"/>
            </w:tcBorders>
            <w:noWrap w:val="0"/>
            <w:vAlign w:val="center"/>
          </w:tcPr>
          <w:p w14:paraId="331D0373">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名称</w:t>
            </w:r>
          </w:p>
        </w:tc>
        <w:tc>
          <w:tcPr>
            <w:tcW w:w="1546" w:type="dxa"/>
            <w:tcBorders>
              <w:tl2br w:val="nil"/>
              <w:tr2bl w:val="nil"/>
            </w:tcBorders>
            <w:noWrap w:val="0"/>
            <w:vAlign w:val="center"/>
          </w:tcPr>
          <w:p w14:paraId="3595114C">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获批时间</w:t>
            </w:r>
          </w:p>
        </w:tc>
        <w:tc>
          <w:tcPr>
            <w:tcW w:w="1546" w:type="dxa"/>
            <w:tcBorders>
              <w:tl2br w:val="nil"/>
              <w:tr2bl w:val="nil"/>
            </w:tcBorders>
            <w:noWrap w:val="0"/>
            <w:vAlign w:val="center"/>
          </w:tcPr>
          <w:p w14:paraId="0AF06C12">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规划总面积</w:t>
            </w:r>
          </w:p>
          <w:p w14:paraId="04AD6C06">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(km2)</w:t>
            </w:r>
          </w:p>
        </w:tc>
        <w:tc>
          <w:tcPr>
            <w:tcW w:w="1546" w:type="dxa"/>
            <w:tcBorders>
              <w:tl2br w:val="nil"/>
              <w:tr2bl w:val="nil"/>
            </w:tcBorders>
            <w:noWrap w:val="0"/>
            <w:vAlign w:val="center"/>
          </w:tcPr>
          <w:p w14:paraId="18153035">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支柱产业</w:t>
            </w:r>
          </w:p>
        </w:tc>
        <w:tc>
          <w:tcPr>
            <w:tcW w:w="1549" w:type="dxa"/>
            <w:tcBorders>
              <w:tl2br w:val="nil"/>
              <w:tr2bl w:val="nil"/>
            </w:tcBorders>
            <w:noWrap w:val="0"/>
            <w:vAlign w:val="center"/>
          </w:tcPr>
          <w:p w14:paraId="3A91F0F3">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未来发展方向</w:t>
            </w:r>
          </w:p>
        </w:tc>
        <w:tc>
          <w:tcPr>
            <w:tcW w:w="1554" w:type="dxa"/>
            <w:tcBorders>
              <w:tl2br w:val="nil"/>
              <w:tr2bl w:val="nil"/>
            </w:tcBorders>
            <w:noWrap w:val="0"/>
            <w:vAlign w:val="center"/>
          </w:tcPr>
          <w:p w14:paraId="60854F4C">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备注</w:t>
            </w:r>
          </w:p>
        </w:tc>
      </w:tr>
      <w:tr w14:paraId="026F05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1" w:hRule="atLeast"/>
          <w:jc w:val="center"/>
        </w:trPr>
        <w:tc>
          <w:tcPr>
            <w:tcW w:w="1551" w:type="dxa"/>
            <w:tcBorders>
              <w:tl2br w:val="nil"/>
              <w:tr2bl w:val="nil"/>
            </w:tcBorders>
            <w:noWrap w:val="0"/>
            <w:vAlign w:val="top"/>
          </w:tcPr>
          <w:p w14:paraId="532280DD">
            <w:pPr>
              <w:keepNext w:val="0"/>
              <w:keepLines w:val="0"/>
              <w:pageBreakBefore w:val="0"/>
              <w:widowControl w:val="0"/>
              <w:kinsoku/>
              <w:wordWrap/>
              <w:overflowPunct/>
              <w:topLinePunct/>
              <w:autoSpaceDE/>
              <w:autoSpaceDN/>
              <w:bidi w:val="0"/>
              <w:adjustRightInd w:val="0"/>
              <w:snapToGrid w:val="0"/>
              <w:spacing w:before="232" w:line="254" w:lineRule="auto"/>
              <w:ind w:left="0" w:right="0" w:hanging="106"/>
              <w:textAlignment w:val="baseline"/>
              <w:rPr>
                <w:rFonts w:ascii="仿宋" w:hAnsi="仿宋" w:eastAsia="仿宋" w:cs="仿宋"/>
                <w:sz w:val="22"/>
                <w:szCs w:val="22"/>
              </w:rPr>
            </w:pPr>
            <w:r>
              <w:rPr>
                <w:rFonts w:ascii="仿宋" w:hAnsi="仿宋" w:eastAsia="仿宋" w:cs="仿宋"/>
                <w:spacing w:val="-2"/>
                <w:sz w:val="22"/>
                <w:szCs w:val="22"/>
              </w:rPr>
              <w:t>福州高新技术产业</w:t>
            </w:r>
            <w:r>
              <w:rPr>
                <w:rFonts w:ascii="仿宋" w:hAnsi="仿宋" w:eastAsia="仿宋" w:cs="仿宋"/>
                <w:spacing w:val="-1"/>
                <w:sz w:val="22"/>
                <w:szCs w:val="22"/>
              </w:rPr>
              <w:t>开发区</w:t>
            </w:r>
          </w:p>
        </w:tc>
        <w:tc>
          <w:tcPr>
            <w:tcW w:w="1546" w:type="dxa"/>
            <w:tcBorders>
              <w:tl2br w:val="nil"/>
              <w:tr2bl w:val="nil"/>
            </w:tcBorders>
            <w:noWrap w:val="0"/>
            <w:vAlign w:val="top"/>
          </w:tcPr>
          <w:p w14:paraId="5EA71E4B">
            <w:pPr>
              <w:keepNext w:val="0"/>
              <w:keepLines w:val="0"/>
              <w:pageBreakBefore w:val="0"/>
              <w:widowControl w:val="0"/>
              <w:kinsoku/>
              <w:wordWrap/>
              <w:overflowPunct/>
              <w:topLinePunct/>
              <w:autoSpaceDE/>
              <w:autoSpaceDN/>
              <w:bidi w:val="0"/>
              <w:adjustRightInd w:val="0"/>
              <w:snapToGrid w:val="0"/>
              <w:spacing w:line="340" w:lineRule="auto"/>
              <w:ind w:left="0" w:right="0"/>
              <w:textAlignment w:val="baseline"/>
              <w:rPr>
                <w:rFonts w:ascii="Arial"/>
                <w:sz w:val="21"/>
              </w:rPr>
            </w:pPr>
          </w:p>
          <w:p w14:paraId="0B0572C0">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5"/>
                <w:sz w:val="22"/>
                <w:szCs w:val="22"/>
              </w:rPr>
              <w:t>1</w:t>
            </w:r>
            <w:r>
              <w:rPr>
                <w:rFonts w:ascii="Arial" w:hAnsi="Arial" w:eastAsia="Arial" w:cs="Arial"/>
                <w:spacing w:val="-3"/>
                <w:sz w:val="22"/>
                <w:szCs w:val="22"/>
              </w:rPr>
              <w:t>991.03</w:t>
            </w:r>
          </w:p>
        </w:tc>
        <w:tc>
          <w:tcPr>
            <w:tcW w:w="1546" w:type="dxa"/>
            <w:tcBorders>
              <w:tl2br w:val="nil"/>
              <w:tr2bl w:val="nil"/>
            </w:tcBorders>
            <w:noWrap w:val="0"/>
            <w:vAlign w:val="top"/>
          </w:tcPr>
          <w:p w14:paraId="5BD01741">
            <w:pPr>
              <w:keepNext w:val="0"/>
              <w:keepLines w:val="0"/>
              <w:pageBreakBefore w:val="0"/>
              <w:widowControl w:val="0"/>
              <w:kinsoku/>
              <w:wordWrap/>
              <w:overflowPunct/>
              <w:topLinePunct/>
              <w:autoSpaceDE/>
              <w:autoSpaceDN/>
              <w:bidi w:val="0"/>
              <w:adjustRightInd w:val="0"/>
              <w:snapToGrid w:val="0"/>
              <w:spacing w:line="340" w:lineRule="auto"/>
              <w:ind w:left="0" w:right="0"/>
              <w:textAlignment w:val="baseline"/>
              <w:rPr>
                <w:rFonts w:ascii="Arial"/>
                <w:sz w:val="21"/>
              </w:rPr>
            </w:pPr>
          </w:p>
          <w:p w14:paraId="25D78FAA">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6"/>
                <w:sz w:val="22"/>
                <w:szCs w:val="22"/>
              </w:rPr>
              <w:t>1</w:t>
            </w:r>
            <w:r>
              <w:rPr>
                <w:rFonts w:ascii="Arial" w:hAnsi="Arial" w:eastAsia="Arial" w:cs="Arial"/>
                <w:spacing w:val="-5"/>
                <w:sz w:val="22"/>
                <w:szCs w:val="22"/>
              </w:rPr>
              <w:t>9</w:t>
            </w:r>
            <w:r>
              <w:rPr>
                <w:rFonts w:ascii="Arial" w:hAnsi="Arial" w:eastAsia="Arial" w:cs="Arial"/>
                <w:spacing w:val="-3"/>
                <w:sz w:val="22"/>
                <w:szCs w:val="22"/>
              </w:rPr>
              <w:t>3.07</w:t>
            </w:r>
          </w:p>
        </w:tc>
        <w:tc>
          <w:tcPr>
            <w:tcW w:w="1546" w:type="dxa"/>
            <w:tcBorders>
              <w:tl2br w:val="nil"/>
              <w:tr2bl w:val="nil"/>
            </w:tcBorders>
            <w:noWrap w:val="0"/>
            <w:vAlign w:val="top"/>
          </w:tcPr>
          <w:p w14:paraId="4C6E461D">
            <w:pPr>
              <w:keepNext w:val="0"/>
              <w:keepLines w:val="0"/>
              <w:pageBreakBefore w:val="0"/>
              <w:widowControl w:val="0"/>
              <w:kinsoku/>
              <w:wordWrap/>
              <w:overflowPunct/>
              <w:topLinePunct/>
              <w:autoSpaceDE/>
              <w:autoSpaceDN/>
              <w:bidi w:val="0"/>
              <w:adjustRightInd w:val="0"/>
              <w:snapToGrid w:val="0"/>
              <w:spacing w:before="92" w:line="243" w:lineRule="auto"/>
              <w:ind w:left="0" w:right="0" w:firstLine="1"/>
              <w:textAlignment w:val="baseline"/>
              <w:rPr>
                <w:rFonts w:ascii="仿宋" w:hAnsi="仿宋" w:eastAsia="仿宋" w:cs="仿宋"/>
                <w:sz w:val="22"/>
                <w:szCs w:val="22"/>
              </w:rPr>
            </w:pPr>
            <w:r>
              <w:rPr>
                <w:rFonts w:ascii="仿宋" w:hAnsi="仿宋" w:eastAsia="仿宋" w:cs="仿宋"/>
                <w:spacing w:val="-1"/>
                <w:sz w:val="22"/>
                <w:szCs w:val="22"/>
              </w:rPr>
              <w:t>光电显示</w:t>
            </w:r>
            <w:r>
              <w:rPr>
                <w:rFonts w:ascii="仿宋" w:hAnsi="仿宋" w:eastAsia="仿宋" w:cs="仿宋"/>
                <w:sz w:val="22"/>
                <w:szCs w:val="22"/>
              </w:rPr>
              <w:t>、电</w:t>
            </w:r>
            <w:r>
              <w:rPr>
                <w:rFonts w:ascii="仿宋" w:hAnsi="仿宋" w:eastAsia="仿宋" w:cs="仿宋"/>
                <w:spacing w:val="-1"/>
                <w:sz w:val="22"/>
                <w:szCs w:val="22"/>
              </w:rPr>
              <w:t>子信</w:t>
            </w:r>
            <w:r>
              <w:rPr>
                <w:rFonts w:ascii="仿宋" w:hAnsi="仿宋" w:eastAsia="仿宋" w:cs="仿宋"/>
                <w:sz w:val="22"/>
                <w:szCs w:val="22"/>
              </w:rPr>
              <w:t>息、软件</w:t>
            </w:r>
            <w:r>
              <w:rPr>
                <w:rFonts w:ascii="仿宋" w:hAnsi="仿宋" w:eastAsia="仿宋" w:cs="仿宋"/>
                <w:spacing w:val="-5"/>
                <w:sz w:val="22"/>
                <w:szCs w:val="22"/>
              </w:rPr>
              <w:t>与</w:t>
            </w:r>
            <w:r>
              <w:rPr>
                <w:rFonts w:ascii="仿宋" w:hAnsi="仿宋" w:eastAsia="仿宋" w:cs="仿宋"/>
                <w:spacing w:val="-4"/>
                <w:sz w:val="22"/>
                <w:szCs w:val="22"/>
              </w:rPr>
              <w:t>服务</w:t>
            </w:r>
          </w:p>
        </w:tc>
        <w:tc>
          <w:tcPr>
            <w:tcW w:w="1549" w:type="dxa"/>
            <w:tcBorders>
              <w:tl2br w:val="nil"/>
              <w:tr2bl w:val="nil"/>
            </w:tcBorders>
            <w:noWrap w:val="0"/>
            <w:vAlign w:val="top"/>
          </w:tcPr>
          <w:p w14:paraId="0256180A">
            <w:pPr>
              <w:keepNext w:val="0"/>
              <w:keepLines w:val="0"/>
              <w:pageBreakBefore w:val="0"/>
              <w:widowControl w:val="0"/>
              <w:kinsoku/>
              <w:wordWrap/>
              <w:overflowPunct/>
              <w:topLinePunct/>
              <w:autoSpaceDE/>
              <w:autoSpaceDN/>
              <w:bidi w:val="0"/>
              <w:adjustRightInd w:val="0"/>
              <w:snapToGrid w:val="0"/>
              <w:spacing w:before="92" w:line="243" w:lineRule="auto"/>
              <w:ind w:left="0" w:right="0"/>
              <w:textAlignment w:val="baseline"/>
              <w:rPr>
                <w:rFonts w:ascii="仿宋" w:hAnsi="仿宋" w:eastAsia="仿宋" w:cs="仿宋"/>
                <w:sz w:val="22"/>
                <w:szCs w:val="22"/>
              </w:rPr>
            </w:pPr>
            <w:r>
              <w:rPr>
                <w:rFonts w:ascii="仿宋" w:hAnsi="仿宋" w:eastAsia="仿宋" w:cs="仿宋"/>
                <w:spacing w:val="1"/>
                <w:sz w:val="22"/>
                <w:szCs w:val="22"/>
              </w:rPr>
              <w:t>新能</w:t>
            </w:r>
            <w:r>
              <w:rPr>
                <w:rFonts w:ascii="仿宋" w:hAnsi="仿宋" w:eastAsia="仿宋" w:cs="仿宋"/>
                <w:sz w:val="22"/>
                <w:szCs w:val="22"/>
              </w:rPr>
              <w:t>源、新材</w:t>
            </w:r>
            <w:r>
              <w:rPr>
                <w:rFonts w:ascii="仿宋" w:hAnsi="仿宋" w:eastAsia="仿宋" w:cs="仿宋"/>
                <w:spacing w:val="-23"/>
                <w:sz w:val="22"/>
                <w:szCs w:val="22"/>
              </w:rPr>
              <w:t>料</w:t>
            </w:r>
            <w:r>
              <w:rPr>
                <w:rFonts w:ascii="仿宋" w:hAnsi="仿宋" w:eastAsia="仿宋" w:cs="仿宋"/>
                <w:spacing w:val="-21"/>
                <w:sz w:val="22"/>
                <w:szCs w:val="22"/>
              </w:rPr>
              <w:t>、生物制药、</w:t>
            </w:r>
            <w:r>
              <w:rPr>
                <w:rFonts w:ascii="仿宋" w:hAnsi="仿宋" w:eastAsia="仿宋" w:cs="仿宋"/>
                <w:spacing w:val="-5"/>
                <w:sz w:val="22"/>
                <w:szCs w:val="22"/>
              </w:rPr>
              <w:t>物</w:t>
            </w:r>
            <w:r>
              <w:rPr>
                <w:rFonts w:ascii="仿宋" w:hAnsi="仿宋" w:eastAsia="仿宋" w:cs="仿宋"/>
                <w:spacing w:val="-3"/>
                <w:sz w:val="22"/>
                <w:szCs w:val="22"/>
              </w:rPr>
              <w:t>联网</w:t>
            </w:r>
          </w:p>
        </w:tc>
        <w:tc>
          <w:tcPr>
            <w:tcW w:w="1554" w:type="dxa"/>
            <w:tcBorders>
              <w:tl2br w:val="nil"/>
              <w:tr2bl w:val="nil"/>
            </w:tcBorders>
            <w:noWrap w:val="0"/>
            <w:vAlign w:val="top"/>
          </w:tcPr>
          <w:p w14:paraId="4D2225D9">
            <w:pPr>
              <w:keepNext w:val="0"/>
              <w:keepLines w:val="0"/>
              <w:pageBreakBefore w:val="0"/>
              <w:widowControl w:val="0"/>
              <w:wordWrap/>
              <w:overflowPunct/>
              <w:bidi w:val="0"/>
              <w:spacing w:line="304" w:lineRule="auto"/>
              <w:rPr>
                <w:rFonts w:ascii="Arial"/>
                <w:sz w:val="21"/>
              </w:rPr>
            </w:pPr>
          </w:p>
          <w:p w14:paraId="60BD4958">
            <w:pPr>
              <w:keepNext w:val="0"/>
              <w:keepLines w:val="0"/>
              <w:pageBreakBefore w:val="0"/>
              <w:widowControl w:val="0"/>
              <w:wordWrap/>
              <w:overflowPunct/>
              <w:bidi w:val="0"/>
              <w:spacing w:before="71" w:line="360" w:lineRule="exact"/>
              <w:ind w:left="358"/>
              <w:rPr>
                <w:rFonts w:ascii="仿宋" w:hAnsi="仿宋" w:eastAsia="仿宋" w:cs="仿宋"/>
                <w:sz w:val="22"/>
                <w:szCs w:val="22"/>
              </w:rPr>
            </w:pPr>
            <w:r>
              <w:rPr>
                <w:rFonts w:ascii="仿宋" w:hAnsi="仿宋" w:eastAsia="仿宋" w:cs="仿宋"/>
                <w:spacing w:val="-7"/>
                <w:position w:val="2"/>
                <w:sz w:val="22"/>
                <w:szCs w:val="22"/>
              </w:rPr>
              <w:t>一</w:t>
            </w:r>
            <w:r>
              <w:rPr>
                <w:rFonts w:ascii="仿宋" w:hAnsi="仿宋" w:eastAsia="仿宋" w:cs="仿宋"/>
                <w:spacing w:val="-5"/>
                <w:position w:val="2"/>
                <w:sz w:val="22"/>
                <w:szCs w:val="22"/>
              </w:rPr>
              <w:t>区六园</w:t>
            </w:r>
          </w:p>
        </w:tc>
      </w:tr>
      <w:tr w14:paraId="26F81C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5" w:hRule="atLeast"/>
          <w:jc w:val="center"/>
        </w:trPr>
        <w:tc>
          <w:tcPr>
            <w:tcW w:w="1551" w:type="dxa"/>
            <w:tcBorders>
              <w:tl2br w:val="nil"/>
              <w:tr2bl w:val="nil"/>
            </w:tcBorders>
            <w:noWrap w:val="0"/>
            <w:vAlign w:val="top"/>
          </w:tcPr>
          <w:p w14:paraId="560C39E5">
            <w:pPr>
              <w:keepNext w:val="0"/>
              <w:keepLines w:val="0"/>
              <w:pageBreakBefore w:val="0"/>
              <w:widowControl w:val="0"/>
              <w:kinsoku/>
              <w:wordWrap/>
              <w:overflowPunct/>
              <w:topLinePunct/>
              <w:autoSpaceDE/>
              <w:autoSpaceDN/>
              <w:bidi w:val="0"/>
              <w:adjustRightInd w:val="0"/>
              <w:snapToGrid w:val="0"/>
              <w:spacing w:line="293" w:lineRule="auto"/>
              <w:ind w:left="0" w:right="0"/>
              <w:textAlignment w:val="baseline"/>
              <w:rPr>
                <w:rFonts w:ascii="Arial"/>
                <w:sz w:val="21"/>
              </w:rPr>
            </w:pPr>
          </w:p>
          <w:p w14:paraId="6DBB7513">
            <w:pPr>
              <w:keepNext w:val="0"/>
              <w:keepLines w:val="0"/>
              <w:pageBreakBefore w:val="0"/>
              <w:widowControl w:val="0"/>
              <w:kinsoku/>
              <w:wordWrap/>
              <w:overflowPunct/>
              <w:topLinePunct/>
              <w:autoSpaceDE/>
              <w:autoSpaceDN/>
              <w:bidi w:val="0"/>
              <w:adjustRightInd w:val="0"/>
              <w:snapToGrid w:val="0"/>
              <w:spacing w:line="293" w:lineRule="auto"/>
              <w:ind w:left="0" w:right="0"/>
              <w:textAlignment w:val="baseline"/>
              <w:rPr>
                <w:rFonts w:ascii="Arial"/>
                <w:sz w:val="21"/>
              </w:rPr>
            </w:pPr>
          </w:p>
          <w:p w14:paraId="594AE7BB">
            <w:pPr>
              <w:keepNext w:val="0"/>
              <w:keepLines w:val="0"/>
              <w:pageBreakBefore w:val="0"/>
              <w:widowControl w:val="0"/>
              <w:kinsoku/>
              <w:wordWrap/>
              <w:overflowPunct/>
              <w:topLinePunct/>
              <w:autoSpaceDE/>
              <w:autoSpaceDN/>
              <w:bidi w:val="0"/>
              <w:adjustRightInd w:val="0"/>
              <w:snapToGrid w:val="0"/>
              <w:spacing w:before="71" w:line="254" w:lineRule="auto"/>
              <w:ind w:left="0" w:right="0"/>
              <w:textAlignment w:val="baseline"/>
              <w:rPr>
                <w:rFonts w:ascii="仿宋" w:hAnsi="仿宋" w:eastAsia="仿宋" w:cs="仿宋"/>
                <w:sz w:val="22"/>
                <w:szCs w:val="22"/>
              </w:rPr>
            </w:pPr>
            <w:r>
              <w:rPr>
                <w:rFonts w:ascii="仿宋" w:hAnsi="仿宋" w:eastAsia="仿宋" w:cs="仿宋"/>
                <w:spacing w:val="-2"/>
                <w:sz w:val="22"/>
                <w:szCs w:val="22"/>
              </w:rPr>
              <w:t>厦门火炬高技术产业开发</w:t>
            </w:r>
            <w:r>
              <w:rPr>
                <w:rFonts w:ascii="仿宋" w:hAnsi="仿宋" w:eastAsia="仿宋" w:cs="仿宋"/>
                <w:spacing w:val="-1"/>
                <w:sz w:val="22"/>
                <w:szCs w:val="22"/>
              </w:rPr>
              <w:t>区</w:t>
            </w:r>
          </w:p>
        </w:tc>
        <w:tc>
          <w:tcPr>
            <w:tcW w:w="1546" w:type="dxa"/>
            <w:tcBorders>
              <w:tl2br w:val="nil"/>
              <w:tr2bl w:val="nil"/>
            </w:tcBorders>
            <w:noWrap w:val="0"/>
            <w:vAlign w:val="top"/>
          </w:tcPr>
          <w:p w14:paraId="1FDDC1FB">
            <w:pPr>
              <w:keepNext w:val="0"/>
              <w:keepLines w:val="0"/>
              <w:pageBreakBefore w:val="0"/>
              <w:widowControl w:val="0"/>
              <w:kinsoku/>
              <w:wordWrap/>
              <w:overflowPunct/>
              <w:topLinePunct/>
              <w:autoSpaceDE/>
              <w:autoSpaceDN/>
              <w:bidi w:val="0"/>
              <w:adjustRightInd w:val="0"/>
              <w:snapToGrid w:val="0"/>
              <w:spacing w:line="255" w:lineRule="auto"/>
              <w:ind w:left="0" w:right="0"/>
              <w:textAlignment w:val="baseline"/>
              <w:rPr>
                <w:rFonts w:ascii="Arial"/>
                <w:sz w:val="21"/>
              </w:rPr>
            </w:pPr>
          </w:p>
          <w:p w14:paraId="15282577">
            <w:pPr>
              <w:keepNext w:val="0"/>
              <w:keepLines w:val="0"/>
              <w:pageBreakBefore w:val="0"/>
              <w:widowControl w:val="0"/>
              <w:kinsoku/>
              <w:wordWrap/>
              <w:overflowPunct/>
              <w:topLinePunct/>
              <w:autoSpaceDE/>
              <w:autoSpaceDN/>
              <w:bidi w:val="0"/>
              <w:adjustRightInd w:val="0"/>
              <w:snapToGrid w:val="0"/>
              <w:spacing w:line="255" w:lineRule="auto"/>
              <w:ind w:left="0" w:right="0"/>
              <w:textAlignment w:val="baseline"/>
              <w:rPr>
                <w:rFonts w:ascii="Arial"/>
                <w:sz w:val="21"/>
              </w:rPr>
            </w:pPr>
          </w:p>
          <w:p w14:paraId="49874253">
            <w:pPr>
              <w:keepNext w:val="0"/>
              <w:keepLines w:val="0"/>
              <w:pageBreakBefore w:val="0"/>
              <w:widowControl w:val="0"/>
              <w:kinsoku/>
              <w:wordWrap/>
              <w:overflowPunct/>
              <w:topLinePunct/>
              <w:autoSpaceDE/>
              <w:autoSpaceDN/>
              <w:bidi w:val="0"/>
              <w:adjustRightInd w:val="0"/>
              <w:snapToGrid w:val="0"/>
              <w:spacing w:line="256" w:lineRule="auto"/>
              <w:ind w:left="0" w:right="0"/>
              <w:textAlignment w:val="baseline"/>
              <w:rPr>
                <w:rFonts w:ascii="Arial"/>
                <w:sz w:val="21"/>
              </w:rPr>
            </w:pPr>
          </w:p>
          <w:p w14:paraId="152FC6FA">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5"/>
                <w:sz w:val="22"/>
                <w:szCs w:val="22"/>
              </w:rPr>
              <w:t>1</w:t>
            </w:r>
            <w:r>
              <w:rPr>
                <w:rFonts w:ascii="Arial" w:hAnsi="Arial" w:eastAsia="Arial" w:cs="Arial"/>
                <w:spacing w:val="-3"/>
                <w:sz w:val="22"/>
                <w:szCs w:val="22"/>
              </w:rPr>
              <w:t>991.03</w:t>
            </w:r>
          </w:p>
        </w:tc>
        <w:tc>
          <w:tcPr>
            <w:tcW w:w="1546" w:type="dxa"/>
            <w:tcBorders>
              <w:tl2br w:val="nil"/>
              <w:tr2bl w:val="nil"/>
            </w:tcBorders>
            <w:noWrap w:val="0"/>
            <w:vAlign w:val="top"/>
          </w:tcPr>
          <w:p w14:paraId="13BE2975">
            <w:pPr>
              <w:keepNext w:val="0"/>
              <w:keepLines w:val="0"/>
              <w:pageBreakBefore w:val="0"/>
              <w:widowControl w:val="0"/>
              <w:kinsoku/>
              <w:wordWrap/>
              <w:overflowPunct/>
              <w:topLinePunct/>
              <w:autoSpaceDE/>
              <w:autoSpaceDN/>
              <w:bidi w:val="0"/>
              <w:adjustRightInd w:val="0"/>
              <w:snapToGrid w:val="0"/>
              <w:spacing w:line="255" w:lineRule="auto"/>
              <w:ind w:left="0" w:right="0"/>
              <w:textAlignment w:val="baseline"/>
              <w:rPr>
                <w:rFonts w:ascii="Arial"/>
                <w:sz w:val="21"/>
              </w:rPr>
            </w:pPr>
          </w:p>
          <w:p w14:paraId="77124AAC">
            <w:pPr>
              <w:keepNext w:val="0"/>
              <w:keepLines w:val="0"/>
              <w:pageBreakBefore w:val="0"/>
              <w:widowControl w:val="0"/>
              <w:kinsoku/>
              <w:wordWrap/>
              <w:overflowPunct/>
              <w:topLinePunct/>
              <w:autoSpaceDE/>
              <w:autoSpaceDN/>
              <w:bidi w:val="0"/>
              <w:adjustRightInd w:val="0"/>
              <w:snapToGrid w:val="0"/>
              <w:spacing w:line="255" w:lineRule="auto"/>
              <w:ind w:left="0" w:right="0"/>
              <w:textAlignment w:val="baseline"/>
              <w:rPr>
                <w:rFonts w:ascii="Arial"/>
                <w:sz w:val="21"/>
              </w:rPr>
            </w:pPr>
          </w:p>
          <w:p w14:paraId="12428278">
            <w:pPr>
              <w:keepNext w:val="0"/>
              <w:keepLines w:val="0"/>
              <w:pageBreakBefore w:val="0"/>
              <w:widowControl w:val="0"/>
              <w:kinsoku/>
              <w:wordWrap/>
              <w:overflowPunct/>
              <w:topLinePunct/>
              <w:autoSpaceDE/>
              <w:autoSpaceDN/>
              <w:bidi w:val="0"/>
              <w:adjustRightInd w:val="0"/>
              <w:snapToGrid w:val="0"/>
              <w:spacing w:line="256" w:lineRule="auto"/>
              <w:ind w:left="0" w:right="0"/>
              <w:textAlignment w:val="baseline"/>
              <w:rPr>
                <w:rFonts w:ascii="Arial"/>
                <w:sz w:val="21"/>
              </w:rPr>
            </w:pPr>
          </w:p>
          <w:p w14:paraId="5B030012">
            <w:pPr>
              <w:keepNext w:val="0"/>
              <w:keepLines w:val="0"/>
              <w:pageBreakBefore w:val="0"/>
              <w:widowControl w:val="0"/>
              <w:kinsoku/>
              <w:wordWrap/>
              <w:overflowPunct/>
              <w:topLinePunct/>
              <w:autoSpaceDE/>
              <w:autoSpaceDN/>
              <w:bidi w:val="0"/>
              <w:adjustRightInd w:val="0"/>
              <w:snapToGrid w:val="0"/>
              <w:spacing w:before="64" w:line="196" w:lineRule="auto"/>
              <w:ind w:left="0" w:right="0"/>
              <w:textAlignment w:val="baseline"/>
              <w:rPr>
                <w:rFonts w:ascii="Arial" w:hAnsi="Arial" w:eastAsia="Arial" w:cs="Arial"/>
                <w:sz w:val="22"/>
                <w:szCs w:val="22"/>
              </w:rPr>
            </w:pPr>
            <w:r>
              <w:rPr>
                <w:rFonts w:ascii="Arial" w:hAnsi="Arial" w:eastAsia="Arial" w:cs="Arial"/>
                <w:spacing w:val="-1"/>
                <w:sz w:val="22"/>
                <w:szCs w:val="22"/>
              </w:rPr>
              <w:t>4</w:t>
            </w:r>
            <w:r>
              <w:rPr>
                <w:rFonts w:ascii="Arial" w:hAnsi="Arial" w:eastAsia="Arial" w:cs="Arial"/>
                <w:sz w:val="22"/>
                <w:szCs w:val="22"/>
              </w:rPr>
              <w:t>5.75</w:t>
            </w:r>
          </w:p>
        </w:tc>
        <w:tc>
          <w:tcPr>
            <w:tcW w:w="1546" w:type="dxa"/>
            <w:tcBorders>
              <w:tl2br w:val="nil"/>
              <w:tr2bl w:val="nil"/>
            </w:tcBorders>
            <w:noWrap w:val="0"/>
            <w:vAlign w:val="top"/>
          </w:tcPr>
          <w:p w14:paraId="6E9448E5">
            <w:pPr>
              <w:keepNext w:val="0"/>
              <w:keepLines w:val="0"/>
              <w:pageBreakBefore w:val="0"/>
              <w:widowControl w:val="0"/>
              <w:kinsoku/>
              <w:wordWrap/>
              <w:overflowPunct/>
              <w:topLinePunct/>
              <w:autoSpaceDE/>
              <w:autoSpaceDN/>
              <w:bidi w:val="0"/>
              <w:adjustRightInd w:val="0"/>
              <w:snapToGrid w:val="0"/>
              <w:spacing w:before="91" w:line="241" w:lineRule="auto"/>
              <w:ind w:left="0" w:right="0"/>
              <w:textAlignment w:val="baseline"/>
              <w:rPr>
                <w:rFonts w:ascii="仿宋" w:hAnsi="仿宋" w:eastAsia="仿宋" w:cs="仿宋"/>
                <w:sz w:val="22"/>
                <w:szCs w:val="22"/>
              </w:rPr>
            </w:pPr>
            <w:r>
              <w:rPr>
                <w:rFonts w:ascii="仿宋" w:hAnsi="仿宋" w:eastAsia="仿宋" w:cs="仿宋"/>
                <w:sz w:val="22"/>
                <w:szCs w:val="22"/>
              </w:rPr>
              <w:t>平板显示、计算机与</w:t>
            </w:r>
            <w:r>
              <w:rPr>
                <w:rFonts w:hint="eastAsia" w:ascii="仿宋" w:hAnsi="仿宋" w:eastAsia="仿宋" w:cs="仿宋"/>
                <w:sz w:val="22"/>
                <w:szCs w:val="22"/>
                <w:lang w:eastAsia="zh-CN"/>
              </w:rPr>
              <w:t>通信</w:t>
            </w:r>
            <w:r>
              <w:rPr>
                <w:rFonts w:ascii="仿宋" w:hAnsi="仿宋" w:eastAsia="仿宋" w:cs="仿宋"/>
                <w:sz w:val="22"/>
                <w:szCs w:val="22"/>
              </w:rPr>
              <w:t>设</w:t>
            </w:r>
            <w:r>
              <w:rPr>
                <w:rFonts w:ascii="仿宋" w:hAnsi="仿宋" w:eastAsia="仿宋" w:cs="仿宋"/>
                <w:spacing w:val="-27"/>
                <w:sz w:val="22"/>
                <w:szCs w:val="22"/>
              </w:rPr>
              <w:t>备</w:t>
            </w:r>
            <w:r>
              <w:rPr>
                <w:rFonts w:ascii="仿宋" w:hAnsi="仿宋" w:eastAsia="仿宋" w:cs="仿宋"/>
                <w:spacing w:val="-21"/>
                <w:sz w:val="22"/>
                <w:szCs w:val="22"/>
              </w:rPr>
              <w:t>、电力电器、</w:t>
            </w:r>
            <w:r>
              <w:rPr>
                <w:rFonts w:ascii="仿宋" w:hAnsi="仿宋" w:eastAsia="仿宋" w:cs="仿宋"/>
                <w:sz w:val="22"/>
                <w:szCs w:val="22"/>
              </w:rPr>
              <w:t>软件与信息服务、微电子与</w:t>
            </w:r>
            <w:r>
              <w:rPr>
                <w:rFonts w:ascii="仿宋" w:hAnsi="仿宋" w:eastAsia="仿宋" w:cs="仿宋"/>
                <w:spacing w:val="-4"/>
                <w:sz w:val="22"/>
                <w:szCs w:val="22"/>
              </w:rPr>
              <w:t>集</w:t>
            </w:r>
            <w:r>
              <w:rPr>
                <w:rFonts w:ascii="仿宋" w:hAnsi="仿宋" w:eastAsia="仿宋" w:cs="仿宋"/>
                <w:spacing w:val="-3"/>
                <w:sz w:val="22"/>
                <w:szCs w:val="22"/>
              </w:rPr>
              <w:t>成</w:t>
            </w:r>
            <w:r>
              <w:rPr>
                <w:rFonts w:ascii="仿宋" w:hAnsi="仿宋" w:eastAsia="仿宋" w:cs="仿宋"/>
                <w:spacing w:val="-2"/>
                <w:sz w:val="22"/>
                <w:szCs w:val="22"/>
              </w:rPr>
              <w:t>电路</w:t>
            </w:r>
          </w:p>
        </w:tc>
        <w:tc>
          <w:tcPr>
            <w:tcW w:w="1549" w:type="dxa"/>
            <w:tcBorders>
              <w:tl2br w:val="nil"/>
              <w:tr2bl w:val="nil"/>
            </w:tcBorders>
            <w:noWrap w:val="0"/>
            <w:vAlign w:val="top"/>
          </w:tcPr>
          <w:p w14:paraId="6023C20F">
            <w:pPr>
              <w:keepNext w:val="0"/>
              <w:keepLines w:val="0"/>
              <w:pageBreakBefore w:val="0"/>
              <w:widowControl w:val="0"/>
              <w:kinsoku/>
              <w:wordWrap/>
              <w:overflowPunct/>
              <w:topLinePunct/>
              <w:autoSpaceDE/>
              <w:autoSpaceDN/>
              <w:bidi w:val="0"/>
              <w:adjustRightInd w:val="0"/>
              <w:snapToGrid w:val="0"/>
              <w:spacing w:line="445" w:lineRule="auto"/>
              <w:ind w:left="0" w:right="0"/>
              <w:textAlignment w:val="baseline"/>
              <w:rPr>
                <w:rFonts w:ascii="Arial"/>
                <w:sz w:val="21"/>
              </w:rPr>
            </w:pPr>
          </w:p>
          <w:p w14:paraId="022ACEA1">
            <w:pPr>
              <w:keepNext w:val="0"/>
              <w:keepLines w:val="0"/>
              <w:pageBreakBefore w:val="0"/>
              <w:widowControl w:val="0"/>
              <w:kinsoku/>
              <w:wordWrap/>
              <w:overflowPunct/>
              <w:topLinePunct/>
              <w:autoSpaceDE/>
              <w:autoSpaceDN/>
              <w:bidi w:val="0"/>
              <w:adjustRightInd w:val="0"/>
              <w:snapToGrid w:val="0"/>
              <w:spacing w:before="71" w:line="248" w:lineRule="auto"/>
              <w:ind w:left="0" w:right="0" w:firstLine="11"/>
              <w:textAlignment w:val="baseline"/>
              <w:rPr>
                <w:rFonts w:ascii="仿宋" w:hAnsi="仿宋" w:eastAsia="仿宋" w:cs="仿宋"/>
                <w:sz w:val="22"/>
                <w:szCs w:val="22"/>
              </w:rPr>
            </w:pPr>
            <w:r>
              <w:rPr>
                <w:rFonts w:ascii="仿宋" w:hAnsi="仿宋" w:eastAsia="仿宋" w:cs="仿宋"/>
                <w:spacing w:val="-2"/>
                <w:sz w:val="22"/>
                <w:szCs w:val="22"/>
              </w:rPr>
              <w:t>生物</w:t>
            </w:r>
            <w:r>
              <w:rPr>
                <w:rFonts w:ascii="仿宋" w:hAnsi="仿宋" w:eastAsia="仿宋" w:cs="仿宋"/>
                <w:spacing w:val="-1"/>
                <w:sz w:val="22"/>
                <w:szCs w:val="22"/>
              </w:rPr>
              <w:t>医药、新</w:t>
            </w:r>
            <w:r>
              <w:rPr>
                <w:rFonts w:ascii="仿宋" w:hAnsi="仿宋" w:eastAsia="仿宋" w:cs="仿宋"/>
                <w:spacing w:val="-22"/>
                <w:sz w:val="22"/>
                <w:szCs w:val="22"/>
              </w:rPr>
              <w:t>材</w:t>
            </w:r>
            <w:r>
              <w:rPr>
                <w:rFonts w:ascii="仿宋" w:hAnsi="仿宋" w:eastAsia="仿宋" w:cs="仿宋"/>
                <w:spacing w:val="-21"/>
                <w:sz w:val="22"/>
                <w:szCs w:val="22"/>
              </w:rPr>
              <w:t>料、新能源、</w:t>
            </w:r>
            <w:r>
              <w:rPr>
                <w:rFonts w:ascii="仿宋" w:hAnsi="仿宋" w:eastAsia="仿宋" w:cs="仿宋"/>
                <w:spacing w:val="-4"/>
                <w:sz w:val="22"/>
                <w:szCs w:val="22"/>
              </w:rPr>
              <w:t>文</w:t>
            </w:r>
            <w:r>
              <w:rPr>
                <w:rFonts w:ascii="仿宋" w:hAnsi="仿宋" w:eastAsia="仿宋" w:cs="仿宋"/>
                <w:spacing w:val="-3"/>
                <w:sz w:val="22"/>
                <w:szCs w:val="22"/>
              </w:rPr>
              <w:t>化</w:t>
            </w:r>
            <w:r>
              <w:rPr>
                <w:rFonts w:ascii="仿宋" w:hAnsi="仿宋" w:eastAsia="仿宋" w:cs="仿宋"/>
                <w:spacing w:val="-2"/>
                <w:sz w:val="22"/>
                <w:szCs w:val="22"/>
              </w:rPr>
              <w:t>创意</w:t>
            </w:r>
          </w:p>
        </w:tc>
        <w:tc>
          <w:tcPr>
            <w:tcW w:w="1554" w:type="dxa"/>
            <w:tcBorders>
              <w:tl2br w:val="nil"/>
              <w:tr2bl w:val="nil"/>
            </w:tcBorders>
            <w:noWrap w:val="0"/>
            <w:vAlign w:val="top"/>
          </w:tcPr>
          <w:p w14:paraId="225681BA">
            <w:pPr>
              <w:keepNext w:val="0"/>
              <w:keepLines w:val="0"/>
              <w:pageBreakBefore w:val="0"/>
              <w:widowControl w:val="0"/>
              <w:wordWrap/>
              <w:overflowPunct/>
              <w:bidi w:val="0"/>
              <w:spacing w:line="242" w:lineRule="auto"/>
              <w:rPr>
                <w:rFonts w:ascii="Arial"/>
                <w:sz w:val="21"/>
              </w:rPr>
            </w:pPr>
          </w:p>
          <w:p w14:paraId="0D718BFE">
            <w:pPr>
              <w:keepNext w:val="0"/>
              <w:keepLines w:val="0"/>
              <w:pageBreakBefore w:val="0"/>
              <w:widowControl w:val="0"/>
              <w:wordWrap/>
              <w:overflowPunct/>
              <w:bidi w:val="0"/>
              <w:spacing w:line="242" w:lineRule="auto"/>
              <w:rPr>
                <w:rFonts w:ascii="Arial"/>
                <w:sz w:val="21"/>
              </w:rPr>
            </w:pPr>
          </w:p>
          <w:p w14:paraId="7BBC279A">
            <w:pPr>
              <w:keepNext w:val="0"/>
              <w:keepLines w:val="0"/>
              <w:pageBreakBefore w:val="0"/>
              <w:widowControl w:val="0"/>
              <w:wordWrap/>
              <w:overflowPunct/>
              <w:bidi w:val="0"/>
              <w:spacing w:line="243" w:lineRule="auto"/>
              <w:rPr>
                <w:rFonts w:ascii="Arial"/>
                <w:sz w:val="21"/>
              </w:rPr>
            </w:pPr>
          </w:p>
          <w:p w14:paraId="46D582C3">
            <w:pPr>
              <w:keepNext w:val="0"/>
              <w:keepLines w:val="0"/>
              <w:pageBreakBefore w:val="0"/>
              <w:widowControl w:val="0"/>
              <w:wordWrap/>
              <w:overflowPunct/>
              <w:bidi w:val="0"/>
              <w:spacing w:before="72" w:line="359" w:lineRule="exact"/>
              <w:ind w:left="358"/>
              <w:rPr>
                <w:rFonts w:ascii="仿宋" w:hAnsi="仿宋" w:eastAsia="仿宋" w:cs="仿宋"/>
                <w:sz w:val="22"/>
                <w:szCs w:val="22"/>
              </w:rPr>
            </w:pPr>
            <w:r>
              <w:rPr>
                <w:rFonts w:ascii="仿宋" w:hAnsi="仿宋" w:eastAsia="仿宋" w:cs="仿宋"/>
                <w:spacing w:val="-7"/>
                <w:position w:val="2"/>
                <w:sz w:val="22"/>
                <w:szCs w:val="22"/>
              </w:rPr>
              <w:t>一</w:t>
            </w:r>
            <w:r>
              <w:rPr>
                <w:rFonts w:ascii="仿宋" w:hAnsi="仿宋" w:eastAsia="仿宋" w:cs="仿宋"/>
                <w:spacing w:val="-5"/>
                <w:position w:val="2"/>
                <w:sz w:val="22"/>
                <w:szCs w:val="22"/>
              </w:rPr>
              <w:t>区十园</w:t>
            </w:r>
          </w:p>
        </w:tc>
      </w:tr>
      <w:tr w14:paraId="092F11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6" w:hRule="atLeast"/>
          <w:jc w:val="center"/>
        </w:trPr>
        <w:tc>
          <w:tcPr>
            <w:tcW w:w="1551" w:type="dxa"/>
            <w:tcBorders>
              <w:tl2br w:val="nil"/>
              <w:tr2bl w:val="nil"/>
            </w:tcBorders>
            <w:noWrap w:val="0"/>
            <w:vAlign w:val="top"/>
          </w:tcPr>
          <w:p w14:paraId="002B2ED3">
            <w:pPr>
              <w:keepNext w:val="0"/>
              <w:keepLines w:val="0"/>
              <w:pageBreakBefore w:val="0"/>
              <w:widowControl w:val="0"/>
              <w:kinsoku/>
              <w:wordWrap/>
              <w:overflowPunct/>
              <w:topLinePunct/>
              <w:autoSpaceDE/>
              <w:autoSpaceDN/>
              <w:bidi w:val="0"/>
              <w:adjustRightInd w:val="0"/>
              <w:snapToGrid w:val="0"/>
              <w:spacing w:line="306" w:lineRule="auto"/>
              <w:ind w:left="0" w:right="0"/>
              <w:textAlignment w:val="baseline"/>
              <w:rPr>
                <w:rFonts w:ascii="Arial"/>
                <w:sz w:val="21"/>
              </w:rPr>
            </w:pPr>
          </w:p>
          <w:p w14:paraId="22AB56EB">
            <w:pPr>
              <w:keepNext w:val="0"/>
              <w:keepLines w:val="0"/>
              <w:pageBreakBefore w:val="0"/>
              <w:widowControl w:val="0"/>
              <w:kinsoku/>
              <w:wordWrap/>
              <w:overflowPunct/>
              <w:topLinePunct/>
              <w:autoSpaceDE/>
              <w:autoSpaceDN/>
              <w:bidi w:val="0"/>
              <w:adjustRightInd w:val="0"/>
              <w:snapToGrid w:val="0"/>
              <w:spacing w:before="72" w:line="252" w:lineRule="auto"/>
              <w:ind w:left="0" w:right="0" w:hanging="107"/>
              <w:textAlignment w:val="baseline"/>
              <w:rPr>
                <w:rFonts w:ascii="仿宋" w:hAnsi="仿宋" w:eastAsia="仿宋" w:cs="仿宋"/>
                <w:sz w:val="22"/>
                <w:szCs w:val="22"/>
              </w:rPr>
            </w:pPr>
            <w:r>
              <w:rPr>
                <w:rFonts w:ascii="仿宋" w:hAnsi="仿宋" w:eastAsia="仿宋" w:cs="仿宋"/>
                <w:spacing w:val="-2"/>
                <w:sz w:val="22"/>
                <w:szCs w:val="22"/>
              </w:rPr>
              <w:t>泉州高新技术产业</w:t>
            </w:r>
            <w:r>
              <w:rPr>
                <w:rFonts w:ascii="仿宋" w:hAnsi="仿宋" w:eastAsia="仿宋" w:cs="仿宋"/>
                <w:spacing w:val="-1"/>
                <w:sz w:val="22"/>
                <w:szCs w:val="22"/>
              </w:rPr>
              <w:t>开发区</w:t>
            </w:r>
          </w:p>
        </w:tc>
        <w:tc>
          <w:tcPr>
            <w:tcW w:w="1546" w:type="dxa"/>
            <w:tcBorders>
              <w:tl2br w:val="nil"/>
              <w:tr2bl w:val="nil"/>
            </w:tcBorders>
            <w:noWrap w:val="0"/>
            <w:vAlign w:val="top"/>
          </w:tcPr>
          <w:p w14:paraId="2505D431">
            <w:pPr>
              <w:keepNext w:val="0"/>
              <w:keepLines w:val="0"/>
              <w:pageBreakBefore w:val="0"/>
              <w:widowControl w:val="0"/>
              <w:kinsoku/>
              <w:wordWrap/>
              <w:overflowPunct/>
              <w:topLinePunct/>
              <w:autoSpaceDE/>
              <w:autoSpaceDN/>
              <w:bidi w:val="0"/>
              <w:adjustRightInd w:val="0"/>
              <w:snapToGrid w:val="0"/>
              <w:spacing w:line="241" w:lineRule="auto"/>
              <w:ind w:left="0" w:right="0"/>
              <w:textAlignment w:val="baseline"/>
              <w:rPr>
                <w:rFonts w:ascii="Arial"/>
                <w:sz w:val="21"/>
              </w:rPr>
            </w:pPr>
          </w:p>
          <w:p w14:paraId="45E00612">
            <w:pPr>
              <w:keepNext w:val="0"/>
              <w:keepLines w:val="0"/>
              <w:pageBreakBefore w:val="0"/>
              <w:widowControl w:val="0"/>
              <w:kinsoku/>
              <w:wordWrap/>
              <w:overflowPunct/>
              <w:topLinePunct/>
              <w:autoSpaceDE/>
              <w:autoSpaceDN/>
              <w:bidi w:val="0"/>
              <w:adjustRightInd w:val="0"/>
              <w:snapToGrid w:val="0"/>
              <w:spacing w:line="242" w:lineRule="auto"/>
              <w:ind w:left="0" w:right="0"/>
              <w:textAlignment w:val="baseline"/>
              <w:rPr>
                <w:rFonts w:ascii="Arial"/>
                <w:sz w:val="21"/>
              </w:rPr>
            </w:pPr>
          </w:p>
          <w:p w14:paraId="1AE9A91B">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10"/>
                <w:sz w:val="22"/>
                <w:szCs w:val="22"/>
              </w:rPr>
              <w:t>2</w:t>
            </w:r>
            <w:r>
              <w:rPr>
                <w:rFonts w:ascii="Arial" w:hAnsi="Arial" w:eastAsia="Arial" w:cs="Arial"/>
                <w:spacing w:val="-8"/>
                <w:sz w:val="22"/>
                <w:szCs w:val="22"/>
              </w:rPr>
              <w:t>010.11</w:t>
            </w:r>
          </w:p>
        </w:tc>
        <w:tc>
          <w:tcPr>
            <w:tcW w:w="1546" w:type="dxa"/>
            <w:tcBorders>
              <w:tl2br w:val="nil"/>
              <w:tr2bl w:val="nil"/>
            </w:tcBorders>
            <w:noWrap w:val="0"/>
            <w:vAlign w:val="top"/>
          </w:tcPr>
          <w:p w14:paraId="49FE3D4C">
            <w:pPr>
              <w:keepNext w:val="0"/>
              <w:keepLines w:val="0"/>
              <w:pageBreakBefore w:val="0"/>
              <w:widowControl w:val="0"/>
              <w:kinsoku/>
              <w:wordWrap/>
              <w:overflowPunct/>
              <w:topLinePunct/>
              <w:autoSpaceDE/>
              <w:autoSpaceDN/>
              <w:bidi w:val="0"/>
              <w:adjustRightInd w:val="0"/>
              <w:snapToGrid w:val="0"/>
              <w:spacing w:line="241" w:lineRule="auto"/>
              <w:ind w:left="0" w:right="0"/>
              <w:textAlignment w:val="baseline"/>
              <w:rPr>
                <w:rFonts w:ascii="Arial"/>
                <w:sz w:val="21"/>
              </w:rPr>
            </w:pPr>
          </w:p>
          <w:p w14:paraId="2EC35918">
            <w:pPr>
              <w:keepNext w:val="0"/>
              <w:keepLines w:val="0"/>
              <w:pageBreakBefore w:val="0"/>
              <w:widowControl w:val="0"/>
              <w:kinsoku/>
              <w:wordWrap/>
              <w:overflowPunct/>
              <w:topLinePunct/>
              <w:autoSpaceDE/>
              <w:autoSpaceDN/>
              <w:bidi w:val="0"/>
              <w:adjustRightInd w:val="0"/>
              <w:snapToGrid w:val="0"/>
              <w:spacing w:line="242" w:lineRule="auto"/>
              <w:ind w:left="0" w:right="0"/>
              <w:textAlignment w:val="baseline"/>
              <w:rPr>
                <w:rFonts w:ascii="Arial"/>
                <w:sz w:val="21"/>
              </w:rPr>
            </w:pPr>
          </w:p>
          <w:p w14:paraId="6F249130">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2"/>
                <w:sz w:val="22"/>
                <w:szCs w:val="22"/>
              </w:rPr>
              <w:t>90.</w:t>
            </w:r>
            <w:r>
              <w:rPr>
                <w:rFonts w:ascii="Arial" w:hAnsi="Arial" w:eastAsia="Arial" w:cs="Arial"/>
                <w:spacing w:val="-1"/>
                <w:sz w:val="22"/>
                <w:szCs w:val="22"/>
              </w:rPr>
              <w:t>89</w:t>
            </w:r>
          </w:p>
        </w:tc>
        <w:tc>
          <w:tcPr>
            <w:tcW w:w="1546" w:type="dxa"/>
            <w:tcBorders>
              <w:tl2br w:val="nil"/>
              <w:tr2bl w:val="nil"/>
            </w:tcBorders>
            <w:noWrap w:val="0"/>
            <w:vAlign w:val="top"/>
          </w:tcPr>
          <w:p w14:paraId="386E9110">
            <w:pPr>
              <w:keepNext w:val="0"/>
              <w:keepLines w:val="0"/>
              <w:pageBreakBefore w:val="0"/>
              <w:widowControl w:val="0"/>
              <w:kinsoku/>
              <w:wordWrap/>
              <w:overflowPunct/>
              <w:topLinePunct/>
              <w:autoSpaceDE/>
              <w:autoSpaceDN/>
              <w:bidi w:val="0"/>
              <w:adjustRightInd w:val="0"/>
              <w:snapToGrid w:val="0"/>
              <w:spacing w:before="235" w:line="250" w:lineRule="auto"/>
              <w:ind w:left="0" w:right="0" w:hanging="3"/>
              <w:textAlignment w:val="baseline"/>
              <w:rPr>
                <w:rFonts w:ascii="仿宋" w:hAnsi="仿宋" w:eastAsia="仿宋" w:cs="仿宋"/>
                <w:sz w:val="22"/>
                <w:szCs w:val="22"/>
              </w:rPr>
            </w:pPr>
            <w:r>
              <w:rPr>
                <w:rFonts w:ascii="仿宋" w:hAnsi="仿宋" w:eastAsia="仿宋" w:cs="仿宋"/>
                <w:spacing w:val="2"/>
                <w:sz w:val="22"/>
                <w:szCs w:val="22"/>
              </w:rPr>
              <w:t>微</w:t>
            </w:r>
            <w:r>
              <w:rPr>
                <w:rFonts w:ascii="仿宋" w:hAnsi="仿宋" w:eastAsia="仿宋" w:cs="仿宋"/>
                <w:spacing w:val="1"/>
                <w:sz w:val="22"/>
                <w:szCs w:val="22"/>
              </w:rPr>
              <w:t>波</w:t>
            </w:r>
            <w:r>
              <w:rPr>
                <w:rFonts w:hint="eastAsia" w:ascii="仿宋" w:hAnsi="仿宋" w:eastAsia="仿宋" w:cs="仿宋"/>
                <w:spacing w:val="1"/>
                <w:sz w:val="22"/>
                <w:szCs w:val="22"/>
                <w:lang w:eastAsia="zh-CN"/>
              </w:rPr>
              <w:t>通信</w:t>
            </w:r>
            <w:r>
              <w:rPr>
                <w:rFonts w:ascii="仿宋" w:hAnsi="仿宋" w:eastAsia="仿宋" w:cs="仿宋"/>
                <w:spacing w:val="1"/>
                <w:sz w:val="22"/>
                <w:szCs w:val="22"/>
              </w:rPr>
              <w:t>、纺织鞋服</w:t>
            </w:r>
            <w:r>
              <w:rPr>
                <w:rFonts w:ascii="仿宋" w:hAnsi="仿宋" w:eastAsia="仿宋" w:cs="仿宋"/>
                <w:sz w:val="22"/>
                <w:szCs w:val="22"/>
              </w:rPr>
              <w:t>、机械</w:t>
            </w:r>
            <w:r>
              <w:rPr>
                <w:rFonts w:ascii="仿宋" w:hAnsi="仿宋" w:eastAsia="仿宋" w:cs="仿宋"/>
                <w:spacing w:val="-4"/>
                <w:sz w:val="22"/>
                <w:szCs w:val="22"/>
              </w:rPr>
              <w:t>装</w:t>
            </w:r>
            <w:r>
              <w:rPr>
                <w:rFonts w:ascii="仿宋" w:hAnsi="仿宋" w:eastAsia="仿宋" w:cs="仿宋"/>
                <w:spacing w:val="-3"/>
                <w:sz w:val="22"/>
                <w:szCs w:val="22"/>
              </w:rPr>
              <w:t>备</w:t>
            </w:r>
          </w:p>
        </w:tc>
        <w:tc>
          <w:tcPr>
            <w:tcW w:w="1549" w:type="dxa"/>
            <w:tcBorders>
              <w:tl2br w:val="nil"/>
              <w:tr2bl w:val="nil"/>
            </w:tcBorders>
            <w:noWrap w:val="0"/>
            <w:vAlign w:val="top"/>
          </w:tcPr>
          <w:p w14:paraId="7E8FCAB2">
            <w:pPr>
              <w:keepNext w:val="0"/>
              <w:keepLines w:val="0"/>
              <w:pageBreakBefore w:val="0"/>
              <w:widowControl w:val="0"/>
              <w:kinsoku/>
              <w:wordWrap/>
              <w:overflowPunct/>
              <w:topLinePunct/>
              <w:autoSpaceDE/>
              <w:autoSpaceDN/>
              <w:bidi w:val="0"/>
              <w:adjustRightInd w:val="0"/>
              <w:snapToGrid w:val="0"/>
              <w:spacing w:before="97" w:line="241" w:lineRule="auto"/>
              <w:ind w:left="0" w:right="0" w:firstLine="1"/>
              <w:textAlignment w:val="baseline"/>
              <w:rPr>
                <w:rFonts w:ascii="仿宋" w:hAnsi="仿宋" w:eastAsia="仿宋" w:cs="仿宋"/>
                <w:sz w:val="22"/>
                <w:szCs w:val="22"/>
              </w:rPr>
            </w:pPr>
            <w:r>
              <w:rPr>
                <w:rFonts w:ascii="仿宋" w:hAnsi="仿宋" w:eastAsia="仿宋" w:cs="仿宋"/>
                <w:spacing w:val="1"/>
                <w:sz w:val="22"/>
                <w:szCs w:val="22"/>
              </w:rPr>
              <w:t>新一</w:t>
            </w:r>
            <w:r>
              <w:rPr>
                <w:rFonts w:ascii="仿宋" w:hAnsi="仿宋" w:eastAsia="仿宋" w:cs="仿宋"/>
                <w:sz w:val="22"/>
                <w:szCs w:val="22"/>
              </w:rPr>
              <w:t>代信息技</w:t>
            </w:r>
            <w:r>
              <w:rPr>
                <w:rFonts w:ascii="仿宋" w:hAnsi="仿宋" w:eastAsia="仿宋" w:cs="仿宋"/>
                <w:spacing w:val="1"/>
                <w:sz w:val="22"/>
                <w:szCs w:val="22"/>
              </w:rPr>
              <w:t>术、新材</w:t>
            </w:r>
            <w:r>
              <w:rPr>
                <w:rFonts w:ascii="仿宋" w:hAnsi="仿宋" w:eastAsia="仿宋" w:cs="仿宋"/>
                <w:sz w:val="22"/>
                <w:szCs w:val="22"/>
              </w:rPr>
              <w:t>料、</w:t>
            </w:r>
            <w:r>
              <w:rPr>
                <w:rFonts w:ascii="仿宋" w:hAnsi="仿宋" w:eastAsia="仿宋" w:cs="仿宋"/>
                <w:spacing w:val="1"/>
                <w:sz w:val="22"/>
                <w:szCs w:val="22"/>
              </w:rPr>
              <w:t>光伏、轨</w:t>
            </w:r>
            <w:r>
              <w:rPr>
                <w:rFonts w:ascii="仿宋" w:hAnsi="仿宋" w:eastAsia="仿宋" w:cs="仿宋"/>
                <w:sz w:val="22"/>
                <w:szCs w:val="22"/>
              </w:rPr>
              <w:t>道交</w:t>
            </w:r>
            <w:r>
              <w:rPr>
                <w:rFonts w:ascii="仿宋" w:hAnsi="仿宋" w:eastAsia="仿宋" w:cs="仿宋"/>
                <w:spacing w:val="-3"/>
                <w:sz w:val="22"/>
                <w:szCs w:val="22"/>
              </w:rPr>
              <w:t>通装备</w:t>
            </w:r>
          </w:p>
        </w:tc>
        <w:tc>
          <w:tcPr>
            <w:tcW w:w="1554" w:type="dxa"/>
            <w:tcBorders>
              <w:tl2br w:val="nil"/>
              <w:tr2bl w:val="nil"/>
            </w:tcBorders>
            <w:noWrap w:val="0"/>
            <w:vAlign w:val="top"/>
          </w:tcPr>
          <w:p w14:paraId="3C7CC345">
            <w:pPr>
              <w:keepNext w:val="0"/>
              <w:keepLines w:val="0"/>
              <w:pageBreakBefore w:val="0"/>
              <w:widowControl w:val="0"/>
              <w:wordWrap/>
              <w:overflowPunct/>
              <w:bidi w:val="0"/>
              <w:spacing w:line="447" w:lineRule="auto"/>
              <w:rPr>
                <w:rFonts w:ascii="Arial"/>
                <w:sz w:val="21"/>
              </w:rPr>
            </w:pPr>
          </w:p>
          <w:p w14:paraId="3E8CC68C">
            <w:pPr>
              <w:keepNext w:val="0"/>
              <w:keepLines w:val="0"/>
              <w:pageBreakBefore w:val="0"/>
              <w:widowControl w:val="0"/>
              <w:wordWrap/>
              <w:overflowPunct/>
              <w:bidi w:val="0"/>
              <w:spacing w:before="72" w:line="359" w:lineRule="exact"/>
              <w:ind w:left="358"/>
              <w:rPr>
                <w:rFonts w:ascii="仿宋" w:hAnsi="仿宋" w:eastAsia="仿宋" w:cs="仿宋"/>
                <w:sz w:val="22"/>
                <w:szCs w:val="22"/>
              </w:rPr>
            </w:pPr>
            <w:r>
              <w:rPr>
                <w:rFonts w:ascii="仿宋" w:hAnsi="仿宋" w:eastAsia="仿宋" w:cs="仿宋"/>
                <w:spacing w:val="-7"/>
                <w:position w:val="2"/>
                <w:sz w:val="22"/>
                <w:szCs w:val="22"/>
              </w:rPr>
              <w:t>一</w:t>
            </w:r>
            <w:r>
              <w:rPr>
                <w:rFonts w:ascii="仿宋" w:hAnsi="仿宋" w:eastAsia="仿宋" w:cs="仿宋"/>
                <w:spacing w:val="-5"/>
                <w:position w:val="2"/>
                <w:sz w:val="22"/>
                <w:szCs w:val="22"/>
              </w:rPr>
              <w:t>区十园</w:t>
            </w:r>
          </w:p>
        </w:tc>
      </w:tr>
      <w:tr w14:paraId="275A05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1551" w:type="dxa"/>
            <w:tcBorders>
              <w:tl2br w:val="nil"/>
              <w:tr2bl w:val="nil"/>
            </w:tcBorders>
            <w:noWrap w:val="0"/>
            <w:vAlign w:val="top"/>
          </w:tcPr>
          <w:p w14:paraId="3B072346">
            <w:pPr>
              <w:keepNext w:val="0"/>
              <w:keepLines w:val="0"/>
              <w:pageBreakBefore w:val="0"/>
              <w:widowControl w:val="0"/>
              <w:kinsoku/>
              <w:wordWrap/>
              <w:overflowPunct/>
              <w:topLinePunct/>
              <w:autoSpaceDE/>
              <w:autoSpaceDN/>
              <w:bidi w:val="0"/>
              <w:adjustRightInd w:val="0"/>
              <w:snapToGrid w:val="0"/>
              <w:spacing w:before="235" w:line="254" w:lineRule="auto"/>
              <w:ind w:left="0" w:right="0" w:hanging="100"/>
              <w:textAlignment w:val="baseline"/>
              <w:rPr>
                <w:rFonts w:ascii="仿宋" w:hAnsi="仿宋" w:eastAsia="仿宋" w:cs="仿宋"/>
                <w:sz w:val="22"/>
                <w:szCs w:val="22"/>
              </w:rPr>
            </w:pPr>
            <w:r>
              <w:rPr>
                <w:rFonts w:ascii="仿宋" w:hAnsi="仿宋" w:eastAsia="仿宋" w:cs="仿宋"/>
                <w:spacing w:val="-3"/>
                <w:sz w:val="22"/>
                <w:szCs w:val="22"/>
              </w:rPr>
              <w:t>漳州高新技术</w:t>
            </w:r>
            <w:r>
              <w:rPr>
                <w:rFonts w:ascii="仿宋" w:hAnsi="仿宋" w:eastAsia="仿宋" w:cs="仿宋"/>
                <w:spacing w:val="-2"/>
                <w:sz w:val="22"/>
                <w:szCs w:val="22"/>
              </w:rPr>
              <w:t>产业</w:t>
            </w:r>
            <w:r>
              <w:rPr>
                <w:rFonts w:ascii="仿宋" w:hAnsi="仿宋" w:eastAsia="仿宋" w:cs="仿宋"/>
                <w:spacing w:val="-1"/>
                <w:sz w:val="22"/>
                <w:szCs w:val="22"/>
              </w:rPr>
              <w:t>开发区</w:t>
            </w:r>
          </w:p>
        </w:tc>
        <w:tc>
          <w:tcPr>
            <w:tcW w:w="1546" w:type="dxa"/>
            <w:tcBorders>
              <w:tl2br w:val="nil"/>
              <w:tr2bl w:val="nil"/>
            </w:tcBorders>
            <w:noWrap w:val="0"/>
            <w:vAlign w:val="top"/>
          </w:tcPr>
          <w:p w14:paraId="41230BC2">
            <w:pPr>
              <w:keepNext w:val="0"/>
              <w:keepLines w:val="0"/>
              <w:pageBreakBefore w:val="0"/>
              <w:widowControl w:val="0"/>
              <w:kinsoku/>
              <w:wordWrap/>
              <w:overflowPunct/>
              <w:topLinePunct/>
              <w:autoSpaceDE/>
              <w:autoSpaceDN/>
              <w:bidi w:val="0"/>
              <w:adjustRightInd w:val="0"/>
              <w:snapToGrid w:val="0"/>
              <w:spacing w:line="342" w:lineRule="auto"/>
              <w:ind w:left="0" w:right="0"/>
              <w:textAlignment w:val="baseline"/>
              <w:rPr>
                <w:rFonts w:ascii="Arial"/>
                <w:sz w:val="21"/>
              </w:rPr>
            </w:pPr>
          </w:p>
          <w:p w14:paraId="20CB6090">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10"/>
                <w:sz w:val="22"/>
                <w:szCs w:val="22"/>
              </w:rPr>
              <w:t>2</w:t>
            </w:r>
            <w:r>
              <w:rPr>
                <w:rFonts w:ascii="Arial" w:hAnsi="Arial" w:eastAsia="Arial" w:cs="Arial"/>
                <w:spacing w:val="-8"/>
                <w:sz w:val="22"/>
                <w:szCs w:val="22"/>
              </w:rPr>
              <w:t>013.12</w:t>
            </w:r>
          </w:p>
        </w:tc>
        <w:tc>
          <w:tcPr>
            <w:tcW w:w="1546" w:type="dxa"/>
            <w:tcBorders>
              <w:tl2br w:val="nil"/>
              <w:tr2bl w:val="nil"/>
            </w:tcBorders>
            <w:noWrap w:val="0"/>
            <w:vAlign w:val="top"/>
          </w:tcPr>
          <w:p w14:paraId="19A9C90C">
            <w:pPr>
              <w:keepNext w:val="0"/>
              <w:keepLines w:val="0"/>
              <w:pageBreakBefore w:val="0"/>
              <w:widowControl w:val="0"/>
              <w:kinsoku/>
              <w:wordWrap/>
              <w:overflowPunct/>
              <w:topLinePunct/>
              <w:autoSpaceDE/>
              <w:autoSpaceDN/>
              <w:bidi w:val="0"/>
              <w:adjustRightInd w:val="0"/>
              <w:snapToGrid w:val="0"/>
              <w:spacing w:line="342" w:lineRule="auto"/>
              <w:ind w:left="0" w:right="0"/>
              <w:textAlignment w:val="baseline"/>
              <w:rPr>
                <w:rFonts w:ascii="Arial"/>
                <w:sz w:val="21"/>
              </w:rPr>
            </w:pPr>
          </w:p>
          <w:p w14:paraId="79675812">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2"/>
                <w:sz w:val="22"/>
                <w:szCs w:val="22"/>
              </w:rPr>
              <w:t>255</w:t>
            </w:r>
          </w:p>
        </w:tc>
        <w:tc>
          <w:tcPr>
            <w:tcW w:w="1546" w:type="dxa"/>
            <w:tcBorders>
              <w:tl2br w:val="nil"/>
              <w:tr2bl w:val="nil"/>
            </w:tcBorders>
            <w:noWrap w:val="0"/>
            <w:vAlign w:val="top"/>
          </w:tcPr>
          <w:p w14:paraId="6DC8F695">
            <w:pPr>
              <w:keepNext w:val="0"/>
              <w:keepLines w:val="0"/>
              <w:pageBreakBefore w:val="0"/>
              <w:widowControl w:val="0"/>
              <w:kinsoku/>
              <w:wordWrap/>
              <w:overflowPunct/>
              <w:topLinePunct/>
              <w:autoSpaceDE/>
              <w:autoSpaceDN/>
              <w:bidi w:val="0"/>
              <w:adjustRightInd w:val="0"/>
              <w:snapToGrid w:val="0"/>
              <w:spacing w:before="94" w:line="242" w:lineRule="auto"/>
              <w:ind w:left="0" w:right="0" w:firstLine="25"/>
              <w:textAlignment w:val="baseline"/>
              <w:rPr>
                <w:rFonts w:ascii="仿宋" w:hAnsi="仿宋" w:eastAsia="仿宋" w:cs="仿宋"/>
                <w:sz w:val="22"/>
                <w:szCs w:val="22"/>
              </w:rPr>
            </w:pPr>
            <w:r>
              <w:rPr>
                <w:rFonts w:ascii="仿宋" w:hAnsi="仿宋" w:eastAsia="仿宋" w:cs="仿宋"/>
                <w:spacing w:val="-6"/>
                <w:sz w:val="22"/>
                <w:szCs w:val="22"/>
              </w:rPr>
              <w:t>电</w:t>
            </w:r>
            <w:r>
              <w:rPr>
                <w:rFonts w:ascii="仿宋" w:hAnsi="仿宋" w:eastAsia="仿宋" w:cs="仿宋"/>
                <w:spacing w:val="-5"/>
                <w:sz w:val="22"/>
                <w:szCs w:val="22"/>
              </w:rPr>
              <w:t>子</w:t>
            </w:r>
            <w:r>
              <w:rPr>
                <w:rFonts w:ascii="仿宋" w:hAnsi="仿宋" w:eastAsia="仿宋" w:cs="仿宋"/>
                <w:spacing w:val="-3"/>
                <w:sz w:val="22"/>
                <w:szCs w:val="22"/>
              </w:rPr>
              <w:t>信息、先</w:t>
            </w:r>
            <w:r>
              <w:rPr>
                <w:rFonts w:ascii="仿宋" w:hAnsi="仿宋" w:eastAsia="仿宋" w:cs="仿宋"/>
                <w:spacing w:val="1"/>
                <w:sz w:val="22"/>
                <w:szCs w:val="22"/>
              </w:rPr>
              <w:t>进制造</w:t>
            </w:r>
            <w:r>
              <w:rPr>
                <w:rFonts w:ascii="仿宋" w:hAnsi="仿宋" w:eastAsia="仿宋" w:cs="仿宋"/>
                <w:sz w:val="22"/>
                <w:szCs w:val="22"/>
              </w:rPr>
              <w:t>、生物</w:t>
            </w:r>
            <w:r>
              <w:rPr>
                <w:rFonts w:ascii="仿宋" w:hAnsi="仿宋" w:eastAsia="仿宋" w:cs="仿宋"/>
                <w:spacing w:val="-4"/>
                <w:sz w:val="22"/>
                <w:szCs w:val="22"/>
              </w:rPr>
              <w:t>制</w:t>
            </w:r>
            <w:r>
              <w:rPr>
                <w:rFonts w:ascii="仿宋" w:hAnsi="仿宋" w:eastAsia="仿宋" w:cs="仿宋"/>
                <w:spacing w:val="-3"/>
                <w:sz w:val="22"/>
                <w:szCs w:val="22"/>
              </w:rPr>
              <w:t>药</w:t>
            </w:r>
          </w:p>
        </w:tc>
        <w:tc>
          <w:tcPr>
            <w:tcW w:w="1549" w:type="dxa"/>
            <w:tcBorders>
              <w:tl2br w:val="nil"/>
              <w:tr2bl w:val="nil"/>
            </w:tcBorders>
            <w:noWrap w:val="0"/>
            <w:vAlign w:val="top"/>
          </w:tcPr>
          <w:p w14:paraId="5FAAD9CD">
            <w:pPr>
              <w:keepNext w:val="0"/>
              <w:keepLines w:val="0"/>
              <w:pageBreakBefore w:val="0"/>
              <w:widowControl w:val="0"/>
              <w:kinsoku/>
              <w:wordWrap/>
              <w:overflowPunct/>
              <w:topLinePunct/>
              <w:autoSpaceDE/>
              <w:autoSpaceDN/>
              <w:bidi w:val="0"/>
              <w:adjustRightInd w:val="0"/>
              <w:snapToGrid w:val="0"/>
              <w:spacing w:before="94" w:line="242" w:lineRule="auto"/>
              <w:ind w:left="0" w:right="0" w:firstLine="4"/>
              <w:textAlignment w:val="baseline"/>
              <w:rPr>
                <w:rFonts w:ascii="仿宋" w:hAnsi="仿宋" w:eastAsia="仿宋" w:cs="仿宋"/>
                <w:sz w:val="22"/>
                <w:szCs w:val="22"/>
              </w:rPr>
            </w:pPr>
            <w:r>
              <w:rPr>
                <w:rFonts w:ascii="仿宋" w:hAnsi="仿宋" w:eastAsia="仿宋" w:cs="仿宋"/>
                <w:spacing w:val="1"/>
                <w:sz w:val="22"/>
                <w:szCs w:val="22"/>
              </w:rPr>
              <w:t>科技孵化、高</w:t>
            </w:r>
            <w:r>
              <w:rPr>
                <w:rFonts w:ascii="仿宋" w:hAnsi="仿宋" w:eastAsia="仿宋" w:cs="仿宋"/>
                <w:spacing w:val="2"/>
                <w:sz w:val="22"/>
                <w:szCs w:val="22"/>
              </w:rPr>
              <w:t>端研发、文</w:t>
            </w:r>
            <w:r>
              <w:rPr>
                <w:rFonts w:ascii="仿宋" w:hAnsi="仿宋" w:eastAsia="仿宋" w:cs="仿宋"/>
                <w:spacing w:val="1"/>
                <w:sz w:val="22"/>
                <w:szCs w:val="22"/>
              </w:rPr>
              <w:t>化</w:t>
            </w:r>
            <w:r>
              <w:rPr>
                <w:rFonts w:ascii="仿宋" w:hAnsi="仿宋" w:eastAsia="仿宋" w:cs="仿宋"/>
                <w:spacing w:val="-1"/>
                <w:sz w:val="22"/>
                <w:szCs w:val="22"/>
              </w:rPr>
              <w:t>创意</w:t>
            </w:r>
          </w:p>
        </w:tc>
        <w:tc>
          <w:tcPr>
            <w:tcW w:w="1554" w:type="dxa"/>
            <w:tcBorders>
              <w:tl2br w:val="nil"/>
              <w:tr2bl w:val="nil"/>
            </w:tcBorders>
            <w:noWrap w:val="0"/>
            <w:vAlign w:val="top"/>
          </w:tcPr>
          <w:p w14:paraId="24C70677">
            <w:pPr>
              <w:keepNext w:val="0"/>
              <w:keepLines w:val="0"/>
              <w:pageBreakBefore w:val="0"/>
              <w:widowControl w:val="0"/>
              <w:wordWrap/>
              <w:overflowPunct/>
              <w:bidi w:val="0"/>
              <w:spacing w:line="306" w:lineRule="auto"/>
              <w:rPr>
                <w:rFonts w:ascii="Arial"/>
                <w:sz w:val="21"/>
              </w:rPr>
            </w:pPr>
          </w:p>
          <w:p w14:paraId="6E7749FF">
            <w:pPr>
              <w:keepNext w:val="0"/>
              <w:keepLines w:val="0"/>
              <w:pageBreakBefore w:val="0"/>
              <w:widowControl w:val="0"/>
              <w:wordWrap/>
              <w:overflowPunct/>
              <w:bidi w:val="0"/>
              <w:spacing w:before="72" w:line="359" w:lineRule="exact"/>
              <w:ind w:left="358"/>
              <w:rPr>
                <w:rFonts w:ascii="仿宋" w:hAnsi="仿宋" w:eastAsia="仿宋" w:cs="仿宋"/>
                <w:sz w:val="22"/>
                <w:szCs w:val="22"/>
              </w:rPr>
            </w:pPr>
            <w:r>
              <w:rPr>
                <w:rFonts w:ascii="仿宋" w:hAnsi="仿宋" w:eastAsia="仿宋" w:cs="仿宋"/>
                <w:spacing w:val="-7"/>
                <w:position w:val="2"/>
                <w:sz w:val="22"/>
                <w:szCs w:val="22"/>
              </w:rPr>
              <w:t>一</w:t>
            </w:r>
            <w:r>
              <w:rPr>
                <w:rFonts w:ascii="仿宋" w:hAnsi="仿宋" w:eastAsia="仿宋" w:cs="仿宋"/>
                <w:spacing w:val="-5"/>
                <w:position w:val="2"/>
                <w:sz w:val="22"/>
                <w:szCs w:val="22"/>
              </w:rPr>
              <w:t>区五园</w:t>
            </w:r>
          </w:p>
        </w:tc>
      </w:tr>
      <w:tr w14:paraId="6A9BF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5" w:hRule="atLeast"/>
          <w:jc w:val="center"/>
        </w:trPr>
        <w:tc>
          <w:tcPr>
            <w:tcW w:w="1551" w:type="dxa"/>
            <w:tcBorders>
              <w:tl2br w:val="nil"/>
              <w:tr2bl w:val="nil"/>
            </w:tcBorders>
            <w:noWrap w:val="0"/>
            <w:vAlign w:val="top"/>
          </w:tcPr>
          <w:p w14:paraId="40C1D27F">
            <w:pPr>
              <w:keepNext w:val="0"/>
              <w:keepLines w:val="0"/>
              <w:pageBreakBefore w:val="0"/>
              <w:widowControl w:val="0"/>
              <w:kinsoku/>
              <w:wordWrap/>
              <w:overflowPunct/>
              <w:topLinePunct/>
              <w:autoSpaceDE/>
              <w:autoSpaceDN/>
              <w:bidi w:val="0"/>
              <w:adjustRightInd w:val="0"/>
              <w:snapToGrid w:val="0"/>
              <w:spacing w:before="238" w:line="218" w:lineRule="auto"/>
              <w:ind w:left="0" w:right="0"/>
              <w:textAlignment w:val="baseline"/>
              <w:rPr>
                <w:rFonts w:ascii="仿宋" w:hAnsi="仿宋" w:eastAsia="仿宋" w:cs="仿宋"/>
                <w:sz w:val="22"/>
                <w:szCs w:val="22"/>
              </w:rPr>
            </w:pPr>
            <w:r>
              <w:rPr>
                <w:rFonts w:ascii="仿宋" w:hAnsi="仿宋" w:eastAsia="仿宋" w:cs="仿宋"/>
                <w:spacing w:val="-3"/>
                <w:sz w:val="22"/>
                <w:szCs w:val="22"/>
              </w:rPr>
              <w:t>莆</w:t>
            </w:r>
            <w:r>
              <w:rPr>
                <w:rFonts w:ascii="仿宋" w:hAnsi="仿宋" w:eastAsia="仿宋" w:cs="仿宋"/>
                <w:spacing w:val="-2"/>
                <w:sz w:val="22"/>
                <w:szCs w:val="22"/>
              </w:rPr>
              <w:t>田国家高新</w:t>
            </w:r>
          </w:p>
          <w:p w14:paraId="0514AC56">
            <w:pPr>
              <w:keepNext w:val="0"/>
              <w:keepLines w:val="0"/>
              <w:pageBreakBefore w:val="0"/>
              <w:widowControl w:val="0"/>
              <w:kinsoku/>
              <w:wordWrap/>
              <w:overflowPunct/>
              <w:topLinePunct/>
              <w:autoSpaceDE/>
              <w:autoSpaceDN/>
              <w:bidi w:val="0"/>
              <w:adjustRightInd w:val="0"/>
              <w:snapToGrid w:val="0"/>
              <w:spacing w:before="25" w:line="218" w:lineRule="auto"/>
              <w:ind w:left="0" w:right="0"/>
              <w:textAlignment w:val="baseline"/>
              <w:rPr>
                <w:rFonts w:ascii="仿宋" w:hAnsi="仿宋" w:eastAsia="仿宋" w:cs="仿宋"/>
                <w:sz w:val="22"/>
                <w:szCs w:val="22"/>
              </w:rPr>
            </w:pPr>
            <w:r>
              <w:rPr>
                <w:rFonts w:ascii="仿宋" w:hAnsi="仿宋" w:eastAsia="仿宋" w:cs="仿宋"/>
                <w:spacing w:val="-2"/>
                <w:sz w:val="22"/>
                <w:szCs w:val="22"/>
              </w:rPr>
              <w:t>技术产业</w:t>
            </w:r>
            <w:r>
              <w:rPr>
                <w:rFonts w:ascii="仿宋" w:hAnsi="仿宋" w:eastAsia="仿宋" w:cs="仿宋"/>
                <w:spacing w:val="-1"/>
                <w:sz w:val="22"/>
                <w:szCs w:val="22"/>
              </w:rPr>
              <w:t>开发</w:t>
            </w:r>
          </w:p>
          <w:p w14:paraId="64911F35">
            <w:pPr>
              <w:keepNext w:val="0"/>
              <w:keepLines w:val="0"/>
              <w:pageBreakBefore w:val="0"/>
              <w:widowControl w:val="0"/>
              <w:kinsoku/>
              <w:wordWrap/>
              <w:overflowPunct/>
              <w:topLinePunct/>
              <w:autoSpaceDE/>
              <w:autoSpaceDN/>
              <w:bidi w:val="0"/>
              <w:adjustRightInd w:val="0"/>
              <w:snapToGrid w:val="0"/>
              <w:spacing w:before="23" w:line="229" w:lineRule="auto"/>
              <w:ind w:left="0" w:right="0"/>
              <w:textAlignment w:val="baseline"/>
              <w:rPr>
                <w:rFonts w:ascii="仿宋" w:hAnsi="仿宋" w:eastAsia="仿宋" w:cs="仿宋"/>
                <w:sz w:val="22"/>
                <w:szCs w:val="22"/>
              </w:rPr>
            </w:pPr>
            <w:r>
              <w:rPr>
                <w:rFonts w:ascii="仿宋" w:hAnsi="仿宋" w:eastAsia="仿宋" w:cs="仿宋"/>
                <w:sz w:val="22"/>
                <w:szCs w:val="22"/>
              </w:rPr>
              <w:t>区</w:t>
            </w:r>
          </w:p>
        </w:tc>
        <w:tc>
          <w:tcPr>
            <w:tcW w:w="1546" w:type="dxa"/>
            <w:tcBorders>
              <w:tl2br w:val="nil"/>
              <w:tr2bl w:val="nil"/>
            </w:tcBorders>
            <w:noWrap w:val="0"/>
            <w:vAlign w:val="top"/>
          </w:tcPr>
          <w:p w14:paraId="77043773">
            <w:pPr>
              <w:keepNext w:val="0"/>
              <w:keepLines w:val="0"/>
              <w:pageBreakBefore w:val="0"/>
              <w:widowControl w:val="0"/>
              <w:kinsoku/>
              <w:wordWrap/>
              <w:overflowPunct/>
              <w:topLinePunct/>
              <w:autoSpaceDE/>
              <w:autoSpaceDN/>
              <w:bidi w:val="0"/>
              <w:adjustRightInd w:val="0"/>
              <w:snapToGrid w:val="0"/>
              <w:spacing w:line="242" w:lineRule="auto"/>
              <w:ind w:left="0" w:right="0"/>
              <w:textAlignment w:val="baseline"/>
              <w:rPr>
                <w:rFonts w:ascii="Arial"/>
                <w:sz w:val="21"/>
              </w:rPr>
            </w:pPr>
          </w:p>
          <w:p w14:paraId="3B57FBFB">
            <w:pPr>
              <w:keepNext w:val="0"/>
              <w:keepLines w:val="0"/>
              <w:pageBreakBefore w:val="0"/>
              <w:widowControl w:val="0"/>
              <w:kinsoku/>
              <w:wordWrap/>
              <w:overflowPunct/>
              <w:topLinePunct/>
              <w:autoSpaceDE/>
              <w:autoSpaceDN/>
              <w:bidi w:val="0"/>
              <w:adjustRightInd w:val="0"/>
              <w:snapToGrid w:val="0"/>
              <w:spacing w:line="243" w:lineRule="auto"/>
              <w:ind w:left="0" w:right="0"/>
              <w:textAlignment w:val="baseline"/>
              <w:rPr>
                <w:rFonts w:ascii="Arial"/>
                <w:sz w:val="21"/>
              </w:rPr>
            </w:pPr>
          </w:p>
          <w:p w14:paraId="43445D79">
            <w:pPr>
              <w:keepNext w:val="0"/>
              <w:keepLines w:val="0"/>
              <w:pageBreakBefore w:val="0"/>
              <w:widowControl w:val="0"/>
              <w:kinsoku/>
              <w:wordWrap/>
              <w:overflowPunct/>
              <w:topLinePunct/>
              <w:autoSpaceDE/>
              <w:autoSpaceDN/>
              <w:bidi w:val="0"/>
              <w:adjustRightInd w:val="0"/>
              <w:snapToGrid w:val="0"/>
              <w:spacing w:before="63" w:line="197" w:lineRule="auto"/>
              <w:ind w:left="0" w:right="0"/>
              <w:textAlignment w:val="baseline"/>
              <w:rPr>
                <w:rFonts w:ascii="Arial" w:hAnsi="Arial" w:eastAsia="Arial" w:cs="Arial"/>
                <w:sz w:val="22"/>
                <w:szCs w:val="22"/>
              </w:rPr>
            </w:pPr>
            <w:r>
              <w:rPr>
                <w:rFonts w:ascii="Arial" w:hAnsi="Arial" w:eastAsia="Arial" w:cs="Arial"/>
                <w:spacing w:val="-1"/>
                <w:sz w:val="22"/>
                <w:szCs w:val="22"/>
              </w:rPr>
              <w:t>2012.</w:t>
            </w:r>
            <w:r>
              <w:rPr>
                <w:rFonts w:ascii="Arial" w:hAnsi="Arial" w:eastAsia="Arial" w:cs="Arial"/>
                <w:sz w:val="22"/>
                <w:szCs w:val="22"/>
              </w:rPr>
              <w:t>08</w:t>
            </w:r>
          </w:p>
        </w:tc>
        <w:tc>
          <w:tcPr>
            <w:tcW w:w="1546" w:type="dxa"/>
            <w:tcBorders>
              <w:tl2br w:val="nil"/>
              <w:tr2bl w:val="nil"/>
            </w:tcBorders>
            <w:noWrap w:val="0"/>
            <w:vAlign w:val="top"/>
          </w:tcPr>
          <w:p w14:paraId="29B6E5C9">
            <w:pPr>
              <w:keepNext w:val="0"/>
              <w:keepLines w:val="0"/>
              <w:pageBreakBefore w:val="0"/>
              <w:widowControl w:val="0"/>
              <w:kinsoku/>
              <w:wordWrap/>
              <w:overflowPunct/>
              <w:topLinePunct/>
              <w:autoSpaceDE/>
              <w:autoSpaceDN/>
              <w:bidi w:val="0"/>
              <w:adjustRightInd w:val="0"/>
              <w:snapToGrid w:val="0"/>
              <w:spacing w:line="242" w:lineRule="auto"/>
              <w:ind w:left="0" w:right="0"/>
              <w:textAlignment w:val="baseline"/>
              <w:rPr>
                <w:rFonts w:ascii="Arial"/>
                <w:sz w:val="21"/>
              </w:rPr>
            </w:pPr>
          </w:p>
          <w:p w14:paraId="2B33E797">
            <w:pPr>
              <w:keepNext w:val="0"/>
              <w:keepLines w:val="0"/>
              <w:pageBreakBefore w:val="0"/>
              <w:widowControl w:val="0"/>
              <w:kinsoku/>
              <w:wordWrap/>
              <w:overflowPunct/>
              <w:topLinePunct/>
              <w:autoSpaceDE/>
              <w:autoSpaceDN/>
              <w:bidi w:val="0"/>
              <w:adjustRightInd w:val="0"/>
              <w:snapToGrid w:val="0"/>
              <w:spacing w:line="242" w:lineRule="auto"/>
              <w:ind w:left="0" w:right="0"/>
              <w:textAlignment w:val="baseline"/>
              <w:rPr>
                <w:rFonts w:ascii="Arial"/>
                <w:sz w:val="21"/>
              </w:rPr>
            </w:pPr>
          </w:p>
          <w:p w14:paraId="5CF52CAD">
            <w:pPr>
              <w:keepNext w:val="0"/>
              <w:keepLines w:val="0"/>
              <w:pageBreakBefore w:val="0"/>
              <w:widowControl w:val="0"/>
              <w:kinsoku/>
              <w:wordWrap/>
              <w:overflowPunct/>
              <w:topLinePunct/>
              <w:autoSpaceDE/>
              <w:autoSpaceDN/>
              <w:bidi w:val="0"/>
              <w:adjustRightInd w:val="0"/>
              <w:snapToGrid w:val="0"/>
              <w:spacing w:before="64" w:line="200" w:lineRule="auto"/>
              <w:ind w:left="0" w:right="0"/>
              <w:textAlignment w:val="baseline"/>
              <w:rPr>
                <w:rFonts w:ascii="Arial" w:hAnsi="Arial" w:eastAsia="Arial" w:cs="Arial"/>
                <w:sz w:val="22"/>
                <w:szCs w:val="22"/>
              </w:rPr>
            </w:pPr>
            <w:r>
              <w:rPr>
                <w:rFonts w:ascii="Arial" w:hAnsi="Arial" w:eastAsia="Arial" w:cs="Arial"/>
                <w:spacing w:val="-11"/>
                <w:sz w:val="22"/>
                <w:szCs w:val="22"/>
              </w:rPr>
              <w:t>1</w:t>
            </w:r>
            <w:r>
              <w:rPr>
                <w:rFonts w:ascii="Arial" w:hAnsi="Arial" w:eastAsia="Arial" w:cs="Arial"/>
                <w:spacing w:val="-7"/>
                <w:sz w:val="22"/>
                <w:szCs w:val="22"/>
              </w:rPr>
              <w:t>1.05</w:t>
            </w:r>
          </w:p>
        </w:tc>
        <w:tc>
          <w:tcPr>
            <w:tcW w:w="1546" w:type="dxa"/>
            <w:tcBorders>
              <w:tl2br w:val="nil"/>
              <w:tr2bl w:val="nil"/>
            </w:tcBorders>
            <w:noWrap w:val="0"/>
            <w:vAlign w:val="top"/>
          </w:tcPr>
          <w:p w14:paraId="0C08C7EA">
            <w:pPr>
              <w:keepNext w:val="0"/>
              <w:keepLines w:val="0"/>
              <w:pageBreakBefore w:val="0"/>
              <w:widowControl w:val="0"/>
              <w:kinsoku/>
              <w:wordWrap/>
              <w:overflowPunct/>
              <w:topLinePunct/>
              <w:autoSpaceDE/>
              <w:autoSpaceDN/>
              <w:bidi w:val="0"/>
              <w:adjustRightInd w:val="0"/>
              <w:snapToGrid w:val="0"/>
              <w:spacing w:before="96" w:line="241" w:lineRule="auto"/>
              <w:ind w:left="0" w:right="0" w:hanging="4"/>
              <w:textAlignment w:val="baseline"/>
              <w:rPr>
                <w:rFonts w:ascii="仿宋" w:hAnsi="仿宋" w:eastAsia="仿宋" w:cs="仿宋"/>
                <w:sz w:val="22"/>
                <w:szCs w:val="22"/>
              </w:rPr>
            </w:pPr>
            <w:r>
              <w:rPr>
                <w:rFonts w:ascii="仿宋" w:hAnsi="仿宋" w:eastAsia="仿宋" w:cs="仿宋"/>
                <w:spacing w:val="2"/>
                <w:sz w:val="22"/>
                <w:szCs w:val="22"/>
              </w:rPr>
              <w:t>信息技术</w:t>
            </w:r>
            <w:r>
              <w:rPr>
                <w:rFonts w:ascii="仿宋" w:hAnsi="仿宋" w:eastAsia="仿宋" w:cs="仿宋"/>
                <w:spacing w:val="1"/>
                <w:sz w:val="22"/>
                <w:szCs w:val="22"/>
              </w:rPr>
              <w:t>、新材料、节能环</w:t>
            </w:r>
            <w:r>
              <w:rPr>
                <w:rFonts w:ascii="仿宋" w:hAnsi="仿宋" w:eastAsia="仿宋" w:cs="仿宋"/>
                <w:spacing w:val="-21"/>
                <w:sz w:val="22"/>
                <w:szCs w:val="22"/>
              </w:rPr>
              <w:t>保、先进制造、</w:t>
            </w:r>
            <w:r>
              <w:rPr>
                <w:rFonts w:ascii="仿宋" w:hAnsi="仿宋" w:eastAsia="仿宋" w:cs="仿宋"/>
                <w:spacing w:val="-2"/>
                <w:sz w:val="22"/>
                <w:szCs w:val="22"/>
              </w:rPr>
              <w:t>现</w:t>
            </w:r>
            <w:r>
              <w:rPr>
                <w:rFonts w:ascii="仿宋" w:hAnsi="仿宋" w:eastAsia="仿宋" w:cs="仿宋"/>
                <w:spacing w:val="-1"/>
                <w:sz w:val="22"/>
                <w:szCs w:val="22"/>
              </w:rPr>
              <w:t>代农业</w:t>
            </w:r>
          </w:p>
        </w:tc>
        <w:tc>
          <w:tcPr>
            <w:tcW w:w="1549" w:type="dxa"/>
            <w:tcBorders>
              <w:tl2br w:val="nil"/>
              <w:tr2bl w:val="nil"/>
            </w:tcBorders>
            <w:noWrap w:val="0"/>
            <w:vAlign w:val="top"/>
          </w:tcPr>
          <w:p w14:paraId="68192381">
            <w:pPr>
              <w:keepNext w:val="0"/>
              <w:keepLines w:val="0"/>
              <w:pageBreakBefore w:val="0"/>
              <w:widowControl w:val="0"/>
              <w:kinsoku/>
              <w:wordWrap/>
              <w:overflowPunct/>
              <w:topLinePunct/>
              <w:autoSpaceDE/>
              <w:autoSpaceDN/>
              <w:bidi w:val="0"/>
              <w:adjustRightInd w:val="0"/>
              <w:snapToGrid w:val="0"/>
              <w:spacing w:line="305" w:lineRule="auto"/>
              <w:ind w:left="0" w:right="0"/>
              <w:textAlignment w:val="baseline"/>
              <w:rPr>
                <w:rFonts w:ascii="Arial"/>
                <w:sz w:val="21"/>
              </w:rPr>
            </w:pPr>
          </w:p>
          <w:p w14:paraId="0483B7F0">
            <w:pPr>
              <w:keepNext w:val="0"/>
              <w:keepLines w:val="0"/>
              <w:pageBreakBefore w:val="0"/>
              <w:widowControl w:val="0"/>
              <w:kinsoku/>
              <w:wordWrap/>
              <w:overflowPunct/>
              <w:topLinePunct/>
              <w:autoSpaceDE/>
              <w:autoSpaceDN/>
              <w:bidi w:val="0"/>
              <w:adjustRightInd w:val="0"/>
              <w:snapToGrid w:val="0"/>
              <w:spacing w:before="71" w:line="254" w:lineRule="auto"/>
              <w:ind w:left="0" w:right="0" w:firstLine="4"/>
              <w:textAlignment w:val="baseline"/>
              <w:rPr>
                <w:rFonts w:ascii="仿宋" w:hAnsi="仿宋" w:eastAsia="仿宋" w:cs="仿宋"/>
                <w:sz w:val="22"/>
                <w:szCs w:val="22"/>
              </w:rPr>
            </w:pPr>
            <w:r>
              <w:rPr>
                <w:rFonts w:ascii="仿宋" w:hAnsi="仿宋" w:eastAsia="仿宋" w:cs="仿宋"/>
                <w:spacing w:val="-8"/>
                <w:sz w:val="22"/>
                <w:szCs w:val="22"/>
              </w:rPr>
              <w:t>现</w:t>
            </w:r>
            <w:r>
              <w:rPr>
                <w:rFonts w:ascii="仿宋" w:hAnsi="仿宋" w:eastAsia="仿宋" w:cs="仿宋"/>
                <w:spacing w:val="-7"/>
                <w:sz w:val="22"/>
                <w:szCs w:val="22"/>
              </w:rPr>
              <w:t>代服务业、</w:t>
            </w:r>
            <w:r>
              <w:rPr>
                <w:rFonts w:ascii="仿宋" w:hAnsi="仿宋" w:eastAsia="仿宋" w:cs="仿宋"/>
                <w:spacing w:val="-6"/>
                <w:sz w:val="22"/>
                <w:szCs w:val="22"/>
              </w:rPr>
              <w:t>双</w:t>
            </w:r>
            <w:r>
              <w:rPr>
                <w:rFonts w:ascii="仿宋" w:hAnsi="仿宋" w:eastAsia="仿宋" w:cs="仿宋"/>
                <w:spacing w:val="-4"/>
                <w:sz w:val="22"/>
                <w:szCs w:val="22"/>
              </w:rPr>
              <w:t>创</w:t>
            </w:r>
          </w:p>
        </w:tc>
        <w:tc>
          <w:tcPr>
            <w:tcW w:w="1554" w:type="dxa"/>
            <w:tcBorders>
              <w:tl2br w:val="nil"/>
              <w:tr2bl w:val="nil"/>
            </w:tcBorders>
            <w:noWrap w:val="0"/>
            <w:vAlign w:val="top"/>
          </w:tcPr>
          <w:p w14:paraId="7FAE416A">
            <w:pPr>
              <w:keepNext w:val="0"/>
              <w:keepLines w:val="0"/>
              <w:pageBreakBefore w:val="0"/>
              <w:widowControl w:val="0"/>
              <w:wordWrap/>
              <w:overflowPunct/>
              <w:bidi w:val="0"/>
              <w:rPr>
                <w:rFonts w:ascii="Arial"/>
                <w:sz w:val="21"/>
              </w:rPr>
            </w:pPr>
          </w:p>
        </w:tc>
      </w:tr>
      <w:tr w14:paraId="216B67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6" w:hRule="atLeast"/>
          <w:jc w:val="center"/>
        </w:trPr>
        <w:tc>
          <w:tcPr>
            <w:tcW w:w="1551" w:type="dxa"/>
            <w:tcBorders>
              <w:tl2br w:val="nil"/>
              <w:tr2bl w:val="nil"/>
            </w:tcBorders>
            <w:noWrap w:val="0"/>
            <w:vAlign w:val="top"/>
          </w:tcPr>
          <w:p w14:paraId="3D10FAD2">
            <w:pPr>
              <w:keepNext w:val="0"/>
              <w:keepLines w:val="0"/>
              <w:pageBreakBefore w:val="0"/>
              <w:widowControl w:val="0"/>
              <w:kinsoku/>
              <w:wordWrap/>
              <w:overflowPunct/>
              <w:topLinePunct/>
              <w:autoSpaceDE/>
              <w:autoSpaceDN/>
              <w:bidi w:val="0"/>
              <w:adjustRightInd w:val="0"/>
              <w:snapToGrid w:val="0"/>
              <w:spacing w:before="96" w:line="243" w:lineRule="auto"/>
              <w:ind w:left="0" w:right="0" w:hanging="102"/>
              <w:textAlignment w:val="baseline"/>
              <w:rPr>
                <w:rFonts w:ascii="仿宋" w:hAnsi="仿宋" w:eastAsia="仿宋" w:cs="仿宋"/>
                <w:sz w:val="22"/>
                <w:szCs w:val="22"/>
              </w:rPr>
            </w:pPr>
            <w:r>
              <w:rPr>
                <w:rFonts w:ascii="仿宋" w:hAnsi="仿宋" w:eastAsia="仿宋" w:cs="仿宋"/>
                <w:spacing w:val="-4"/>
                <w:sz w:val="22"/>
                <w:szCs w:val="22"/>
              </w:rPr>
              <w:t>龙岩</w:t>
            </w:r>
            <w:r>
              <w:rPr>
                <w:rFonts w:ascii="仿宋" w:hAnsi="仿宋" w:eastAsia="仿宋" w:cs="仿宋"/>
                <w:spacing w:val="-3"/>
                <w:sz w:val="22"/>
                <w:szCs w:val="22"/>
              </w:rPr>
              <w:t>高</w:t>
            </w:r>
            <w:r>
              <w:rPr>
                <w:rFonts w:ascii="仿宋" w:hAnsi="仿宋" w:eastAsia="仿宋" w:cs="仿宋"/>
                <w:spacing w:val="-2"/>
                <w:sz w:val="22"/>
                <w:szCs w:val="22"/>
              </w:rPr>
              <w:t>新技术产业</w:t>
            </w:r>
            <w:r>
              <w:rPr>
                <w:rFonts w:ascii="仿宋" w:hAnsi="仿宋" w:eastAsia="仿宋" w:cs="仿宋"/>
                <w:spacing w:val="-1"/>
                <w:sz w:val="22"/>
                <w:szCs w:val="22"/>
              </w:rPr>
              <w:t>开发区</w:t>
            </w:r>
          </w:p>
        </w:tc>
        <w:tc>
          <w:tcPr>
            <w:tcW w:w="1546" w:type="dxa"/>
            <w:tcBorders>
              <w:tl2br w:val="nil"/>
              <w:tr2bl w:val="nil"/>
            </w:tcBorders>
            <w:noWrap w:val="0"/>
            <w:vAlign w:val="top"/>
          </w:tcPr>
          <w:p w14:paraId="0BD076EE">
            <w:pPr>
              <w:keepNext w:val="0"/>
              <w:keepLines w:val="0"/>
              <w:pageBreakBefore w:val="0"/>
              <w:widowControl w:val="0"/>
              <w:kinsoku/>
              <w:wordWrap/>
              <w:overflowPunct/>
              <w:topLinePunct/>
              <w:autoSpaceDE/>
              <w:autoSpaceDN/>
              <w:bidi w:val="0"/>
              <w:adjustRightInd w:val="0"/>
              <w:snapToGrid w:val="0"/>
              <w:spacing w:before="266" w:line="197" w:lineRule="auto"/>
              <w:ind w:left="0" w:right="0"/>
              <w:textAlignment w:val="baseline"/>
              <w:rPr>
                <w:rFonts w:ascii="Arial" w:hAnsi="Arial" w:eastAsia="Arial" w:cs="Arial"/>
                <w:sz w:val="22"/>
                <w:szCs w:val="22"/>
              </w:rPr>
            </w:pPr>
            <w:r>
              <w:rPr>
                <w:rFonts w:ascii="Arial" w:hAnsi="Arial" w:eastAsia="Arial" w:cs="Arial"/>
                <w:spacing w:val="-1"/>
                <w:sz w:val="22"/>
                <w:szCs w:val="22"/>
              </w:rPr>
              <w:t>2012.</w:t>
            </w:r>
            <w:r>
              <w:rPr>
                <w:rFonts w:ascii="Arial" w:hAnsi="Arial" w:eastAsia="Arial" w:cs="Arial"/>
                <w:sz w:val="22"/>
                <w:szCs w:val="22"/>
              </w:rPr>
              <w:t>03</w:t>
            </w:r>
          </w:p>
        </w:tc>
        <w:tc>
          <w:tcPr>
            <w:tcW w:w="1546" w:type="dxa"/>
            <w:tcBorders>
              <w:tl2br w:val="nil"/>
              <w:tr2bl w:val="nil"/>
            </w:tcBorders>
            <w:noWrap w:val="0"/>
            <w:vAlign w:val="top"/>
          </w:tcPr>
          <w:p w14:paraId="1569664C">
            <w:pPr>
              <w:keepNext w:val="0"/>
              <w:keepLines w:val="0"/>
              <w:pageBreakBefore w:val="0"/>
              <w:widowControl w:val="0"/>
              <w:kinsoku/>
              <w:wordWrap/>
              <w:overflowPunct/>
              <w:topLinePunct/>
              <w:autoSpaceDE/>
              <w:autoSpaceDN/>
              <w:bidi w:val="0"/>
              <w:adjustRightInd w:val="0"/>
              <w:snapToGrid w:val="0"/>
              <w:spacing w:before="266" w:line="197" w:lineRule="auto"/>
              <w:ind w:left="0" w:right="0"/>
              <w:textAlignment w:val="baseline"/>
              <w:rPr>
                <w:rFonts w:ascii="Arial" w:hAnsi="Arial" w:eastAsia="Arial" w:cs="Arial"/>
                <w:sz w:val="22"/>
                <w:szCs w:val="22"/>
              </w:rPr>
            </w:pPr>
            <w:r>
              <w:rPr>
                <w:rFonts w:ascii="Arial" w:hAnsi="Arial" w:eastAsia="Arial" w:cs="Arial"/>
                <w:spacing w:val="-2"/>
                <w:sz w:val="22"/>
                <w:szCs w:val="22"/>
              </w:rPr>
              <w:t>2</w:t>
            </w:r>
            <w:r>
              <w:rPr>
                <w:rFonts w:ascii="Arial" w:hAnsi="Arial" w:eastAsia="Arial" w:cs="Arial"/>
                <w:spacing w:val="-1"/>
                <w:sz w:val="22"/>
                <w:szCs w:val="22"/>
              </w:rPr>
              <w:t>5.4</w:t>
            </w:r>
          </w:p>
        </w:tc>
        <w:tc>
          <w:tcPr>
            <w:tcW w:w="1546" w:type="dxa"/>
            <w:tcBorders>
              <w:tl2br w:val="nil"/>
              <w:tr2bl w:val="nil"/>
            </w:tcBorders>
            <w:noWrap w:val="0"/>
            <w:vAlign w:val="top"/>
          </w:tcPr>
          <w:p w14:paraId="332B5FD9">
            <w:pPr>
              <w:keepNext w:val="0"/>
              <w:keepLines w:val="0"/>
              <w:pageBreakBefore w:val="0"/>
              <w:widowControl w:val="0"/>
              <w:kinsoku/>
              <w:wordWrap/>
              <w:overflowPunct/>
              <w:topLinePunct/>
              <w:autoSpaceDE/>
              <w:autoSpaceDN/>
              <w:bidi w:val="0"/>
              <w:adjustRightInd w:val="0"/>
              <w:snapToGrid w:val="0"/>
              <w:spacing w:before="96" w:line="243" w:lineRule="auto"/>
              <w:ind w:left="0" w:right="0"/>
              <w:textAlignment w:val="baseline"/>
              <w:rPr>
                <w:rFonts w:ascii="仿宋" w:hAnsi="仿宋" w:eastAsia="仿宋" w:cs="仿宋"/>
                <w:sz w:val="22"/>
                <w:szCs w:val="22"/>
              </w:rPr>
            </w:pPr>
            <w:r>
              <w:rPr>
                <w:rFonts w:ascii="仿宋" w:hAnsi="仿宋" w:eastAsia="仿宋" w:cs="仿宋"/>
                <w:spacing w:val="1"/>
                <w:sz w:val="22"/>
                <w:szCs w:val="22"/>
              </w:rPr>
              <w:t>机械制造、</w:t>
            </w:r>
            <w:r>
              <w:rPr>
                <w:rFonts w:ascii="仿宋" w:hAnsi="仿宋" w:eastAsia="仿宋" w:cs="仿宋"/>
                <w:sz w:val="22"/>
                <w:szCs w:val="22"/>
              </w:rPr>
              <w:t>环</w:t>
            </w:r>
            <w:r>
              <w:rPr>
                <w:rFonts w:ascii="仿宋" w:hAnsi="仿宋" w:eastAsia="仿宋" w:cs="仿宋"/>
                <w:spacing w:val="-2"/>
                <w:sz w:val="22"/>
                <w:szCs w:val="22"/>
              </w:rPr>
              <w:t>保产</w:t>
            </w:r>
            <w:r>
              <w:rPr>
                <w:rFonts w:ascii="仿宋" w:hAnsi="仿宋" w:eastAsia="仿宋" w:cs="仿宋"/>
                <w:spacing w:val="-1"/>
                <w:sz w:val="22"/>
                <w:szCs w:val="22"/>
              </w:rPr>
              <w:t>业</w:t>
            </w:r>
          </w:p>
        </w:tc>
        <w:tc>
          <w:tcPr>
            <w:tcW w:w="1549" w:type="dxa"/>
            <w:tcBorders>
              <w:tl2br w:val="nil"/>
              <w:tr2bl w:val="nil"/>
            </w:tcBorders>
            <w:noWrap w:val="0"/>
            <w:vAlign w:val="top"/>
          </w:tcPr>
          <w:p w14:paraId="3F87886F">
            <w:pPr>
              <w:keepNext w:val="0"/>
              <w:keepLines w:val="0"/>
              <w:pageBreakBefore w:val="0"/>
              <w:widowControl w:val="0"/>
              <w:kinsoku/>
              <w:wordWrap/>
              <w:overflowPunct/>
              <w:topLinePunct/>
              <w:autoSpaceDE/>
              <w:autoSpaceDN/>
              <w:bidi w:val="0"/>
              <w:adjustRightInd w:val="0"/>
              <w:snapToGrid w:val="0"/>
              <w:spacing w:before="96" w:line="243" w:lineRule="auto"/>
              <w:ind w:left="0" w:right="0" w:firstLine="8"/>
              <w:textAlignment w:val="baseline"/>
              <w:rPr>
                <w:rFonts w:ascii="仿宋" w:hAnsi="仿宋" w:eastAsia="仿宋" w:cs="仿宋"/>
                <w:sz w:val="22"/>
                <w:szCs w:val="22"/>
              </w:rPr>
            </w:pPr>
            <w:r>
              <w:rPr>
                <w:rFonts w:ascii="仿宋" w:hAnsi="仿宋" w:eastAsia="仿宋" w:cs="仿宋"/>
                <w:spacing w:val="-1"/>
                <w:sz w:val="22"/>
                <w:szCs w:val="22"/>
              </w:rPr>
              <w:t>现</w:t>
            </w:r>
            <w:r>
              <w:rPr>
                <w:rFonts w:ascii="仿宋" w:hAnsi="仿宋" w:eastAsia="仿宋" w:cs="仿宋"/>
                <w:sz w:val="22"/>
                <w:szCs w:val="22"/>
              </w:rPr>
              <w:t>代物流、现</w:t>
            </w:r>
            <w:r>
              <w:rPr>
                <w:rFonts w:ascii="仿宋" w:hAnsi="仿宋" w:eastAsia="仿宋" w:cs="仿宋"/>
                <w:spacing w:val="-2"/>
                <w:sz w:val="22"/>
                <w:szCs w:val="22"/>
              </w:rPr>
              <w:t>代服</w:t>
            </w:r>
            <w:r>
              <w:rPr>
                <w:rFonts w:ascii="仿宋" w:hAnsi="仿宋" w:eastAsia="仿宋" w:cs="仿宋"/>
                <w:spacing w:val="-1"/>
                <w:sz w:val="22"/>
                <w:szCs w:val="22"/>
              </w:rPr>
              <w:t>务业</w:t>
            </w:r>
          </w:p>
        </w:tc>
        <w:tc>
          <w:tcPr>
            <w:tcW w:w="1554" w:type="dxa"/>
            <w:tcBorders>
              <w:tl2br w:val="nil"/>
              <w:tr2bl w:val="nil"/>
            </w:tcBorders>
            <w:noWrap w:val="0"/>
            <w:vAlign w:val="top"/>
          </w:tcPr>
          <w:p w14:paraId="788C59A2">
            <w:pPr>
              <w:keepNext w:val="0"/>
              <w:keepLines w:val="0"/>
              <w:pageBreakBefore w:val="0"/>
              <w:widowControl w:val="0"/>
              <w:wordWrap/>
              <w:overflowPunct/>
              <w:bidi w:val="0"/>
              <w:spacing w:before="238" w:line="360" w:lineRule="exact"/>
              <w:ind w:left="358"/>
              <w:rPr>
                <w:rFonts w:ascii="仿宋" w:hAnsi="仿宋" w:eastAsia="仿宋" w:cs="仿宋"/>
                <w:sz w:val="22"/>
                <w:szCs w:val="22"/>
              </w:rPr>
            </w:pPr>
            <w:r>
              <w:rPr>
                <w:rFonts w:ascii="仿宋" w:hAnsi="仿宋" w:eastAsia="仿宋" w:cs="仿宋"/>
                <w:spacing w:val="-7"/>
                <w:position w:val="2"/>
                <w:sz w:val="22"/>
                <w:szCs w:val="22"/>
              </w:rPr>
              <w:t>一</w:t>
            </w:r>
            <w:r>
              <w:rPr>
                <w:rFonts w:ascii="仿宋" w:hAnsi="仿宋" w:eastAsia="仿宋" w:cs="仿宋"/>
                <w:spacing w:val="-5"/>
                <w:position w:val="2"/>
                <w:sz w:val="22"/>
                <w:szCs w:val="22"/>
              </w:rPr>
              <w:t>区三园</w:t>
            </w:r>
          </w:p>
        </w:tc>
      </w:tr>
      <w:tr w14:paraId="5FFE7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551" w:type="dxa"/>
            <w:tcBorders>
              <w:tl2br w:val="nil"/>
              <w:tr2bl w:val="nil"/>
            </w:tcBorders>
            <w:noWrap w:val="0"/>
            <w:vAlign w:val="top"/>
          </w:tcPr>
          <w:p w14:paraId="775FDFCD">
            <w:pPr>
              <w:keepNext w:val="0"/>
              <w:keepLines w:val="0"/>
              <w:pageBreakBefore w:val="0"/>
              <w:widowControl w:val="0"/>
              <w:kinsoku/>
              <w:wordWrap/>
              <w:overflowPunct/>
              <w:topLinePunct/>
              <w:autoSpaceDE/>
              <w:autoSpaceDN/>
              <w:bidi w:val="0"/>
              <w:adjustRightInd w:val="0"/>
              <w:snapToGrid w:val="0"/>
              <w:spacing w:before="97" w:line="244" w:lineRule="auto"/>
              <w:ind w:left="0" w:right="0" w:hanging="94"/>
              <w:textAlignment w:val="baseline"/>
              <w:rPr>
                <w:rFonts w:ascii="仿宋" w:hAnsi="仿宋" w:eastAsia="仿宋" w:cs="仿宋"/>
                <w:sz w:val="22"/>
                <w:szCs w:val="22"/>
              </w:rPr>
            </w:pPr>
            <w:r>
              <w:rPr>
                <w:rFonts w:ascii="仿宋" w:hAnsi="仿宋" w:eastAsia="仿宋" w:cs="仿宋"/>
                <w:spacing w:val="-5"/>
                <w:sz w:val="22"/>
                <w:szCs w:val="22"/>
              </w:rPr>
              <w:t>三</w:t>
            </w:r>
            <w:r>
              <w:rPr>
                <w:rFonts w:ascii="仿宋" w:hAnsi="仿宋" w:eastAsia="仿宋" w:cs="仿宋"/>
                <w:spacing w:val="-4"/>
                <w:sz w:val="22"/>
                <w:szCs w:val="22"/>
              </w:rPr>
              <w:t>明高新技术</w:t>
            </w:r>
            <w:r>
              <w:rPr>
                <w:rFonts w:ascii="仿宋" w:hAnsi="仿宋" w:eastAsia="仿宋" w:cs="仿宋"/>
                <w:spacing w:val="-2"/>
                <w:sz w:val="22"/>
                <w:szCs w:val="22"/>
              </w:rPr>
              <w:t>产业</w:t>
            </w:r>
            <w:r>
              <w:rPr>
                <w:rFonts w:ascii="仿宋" w:hAnsi="仿宋" w:eastAsia="仿宋" w:cs="仿宋"/>
                <w:spacing w:val="-1"/>
                <w:sz w:val="22"/>
                <w:szCs w:val="22"/>
              </w:rPr>
              <w:t>开发区</w:t>
            </w:r>
          </w:p>
        </w:tc>
        <w:tc>
          <w:tcPr>
            <w:tcW w:w="1546" w:type="dxa"/>
            <w:tcBorders>
              <w:tl2br w:val="nil"/>
              <w:tr2bl w:val="nil"/>
            </w:tcBorders>
            <w:noWrap w:val="0"/>
            <w:vAlign w:val="top"/>
          </w:tcPr>
          <w:p w14:paraId="66EC4311">
            <w:pPr>
              <w:keepNext w:val="0"/>
              <w:keepLines w:val="0"/>
              <w:pageBreakBefore w:val="0"/>
              <w:widowControl w:val="0"/>
              <w:kinsoku/>
              <w:wordWrap/>
              <w:overflowPunct/>
              <w:topLinePunct/>
              <w:autoSpaceDE/>
              <w:autoSpaceDN/>
              <w:bidi w:val="0"/>
              <w:adjustRightInd w:val="0"/>
              <w:snapToGrid w:val="0"/>
              <w:spacing w:before="267" w:line="197" w:lineRule="auto"/>
              <w:ind w:left="0" w:right="0"/>
              <w:textAlignment w:val="baseline"/>
              <w:rPr>
                <w:rFonts w:ascii="Arial" w:hAnsi="Arial" w:eastAsia="Arial" w:cs="Arial"/>
                <w:sz w:val="22"/>
                <w:szCs w:val="22"/>
              </w:rPr>
            </w:pPr>
            <w:r>
              <w:rPr>
                <w:rFonts w:ascii="Arial" w:hAnsi="Arial" w:eastAsia="Arial" w:cs="Arial"/>
                <w:spacing w:val="-1"/>
                <w:sz w:val="22"/>
                <w:szCs w:val="22"/>
              </w:rPr>
              <w:t>2015.</w:t>
            </w:r>
            <w:r>
              <w:rPr>
                <w:rFonts w:ascii="Arial" w:hAnsi="Arial" w:eastAsia="Arial" w:cs="Arial"/>
                <w:sz w:val="22"/>
                <w:szCs w:val="22"/>
              </w:rPr>
              <w:t>03</w:t>
            </w:r>
          </w:p>
        </w:tc>
        <w:tc>
          <w:tcPr>
            <w:tcW w:w="1546" w:type="dxa"/>
            <w:tcBorders>
              <w:tl2br w:val="nil"/>
              <w:tr2bl w:val="nil"/>
            </w:tcBorders>
            <w:noWrap w:val="0"/>
            <w:vAlign w:val="top"/>
          </w:tcPr>
          <w:p w14:paraId="29F61AAE">
            <w:pPr>
              <w:keepNext w:val="0"/>
              <w:keepLines w:val="0"/>
              <w:pageBreakBefore w:val="0"/>
              <w:widowControl w:val="0"/>
              <w:kinsoku/>
              <w:wordWrap/>
              <w:overflowPunct/>
              <w:topLinePunct/>
              <w:autoSpaceDE/>
              <w:autoSpaceDN/>
              <w:bidi w:val="0"/>
              <w:adjustRightInd w:val="0"/>
              <w:snapToGrid w:val="0"/>
              <w:spacing w:before="266" w:line="197" w:lineRule="auto"/>
              <w:ind w:left="0" w:right="0"/>
              <w:textAlignment w:val="baseline"/>
              <w:rPr>
                <w:rFonts w:ascii="Arial" w:hAnsi="Arial" w:eastAsia="Arial" w:cs="Arial"/>
                <w:sz w:val="22"/>
                <w:szCs w:val="22"/>
              </w:rPr>
            </w:pPr>
            <w:r>
              <w:rPr>
                <w:rFonts w:ascii="Arial" w:hAnsi="Arial" w:eastAsia="Arial" w:cs="Arial"/>
                <w:spacing w:val="-13"/>
                <w:sz w:val="22"/>
                <w:szCs w:val="22"/>
              </w:rPr>
              <w:t>1</w:t>
            </w:r>
            <w:r>
              <w:rPr>
                <w:rFonts w:ascii="Arial" w:hAnsi="Arial" w:eastAsia="Arial" w:cs="Arial"/>
                <w:spacing w:val="-11"/>
                <w:sz w:val="22"/>
                <w:szCs w:val="22"/>
              </w:rPr>
              <w:t>8</w:t>
            </w:r>
          </w:p>
        </w:tc>
        <w:tc>
          <w:tcPr>
            <w:tcW w:w="1546" w:type="dxa"/>
            <w:tcBorders>
              <w:tl2br w:val="nil"/>
              <w:tr2bl w:val="nil"/>
            </w:tcBorders>
            <w:noWrap w:val="0"/>
            <w:vAlign w:val="top"/>
          </w:tcPr>
          <w:p w14:paraId="04FA7E9E">
            <w:pPr>
              <w:keepNext w:val="0"/>
              <w:keepLines w:val="0"/>
              <w:pageBreakBefore w:val="0"/>
              <w:widowControl w:val="0"/>
              <w:kinsoku/>
              <w:wordWrap/>
              <w:overflowPunct/>
              <w:topLinePunct/>
              <w:autoSpaceDE/>
              <w:autoSpaceDN/>
              <w:bidi w:val="0"/>
              <w:adjustRightInd w:val="0"/>
              <w:snapToGrid w:val="0"/>
              <w:spacing w:before="239" w:line="217" w:lineRule="auto"/>
              <w:ind w:left="0" w:right="0"/>
              <w:textAlignment w:val="baseline"/>
              <w:rPr>
                <w:rFonts w:ascii="仿宋" w:hAnsi="仿宋" w:eastAsia="仿宋" w:cs="仿宋"/>
                <w:sz w:val="22"/>
                <w:szCs w:val="22"/>
              </w:rPr>
            </w:pPr>
            <w:r>
              <w:rPr>
                <w:rFonts w:ascii="仿宋" w:hAnsi="仿宋" w:eastAsia="仿宋" w:cs="仿宋"/>
                <w:spacing w:val="-6"/>
                <w:sz w:val="22"/>
                <w:szCs w:val="22"/>
              </w:rPr>
              <w:t>制</w:t>
            </w:r>
            <w:r>
              <w:rPr>
                <w:rFonts w:ascii="仿宋" w:hAnsi="仿宋" w:eastAsia="仿宋" w:cs="仿宋"/>
                <w:spacing w:val="-4"/>
                <w:sz w:val="22"/>
                <w:szCs w:val="22"/>
              </w:rPr>
              <w:t>造业</w:t>
            </w:r>
          </w:p>
        </w:tc>
        <w:tc>
          <w:tcPr>
            <w:tcW w:w="1549" w:type="dxa"/>
            <w:tcBorders>
              <w:tl2br w:val="nil"/>
              <w:tr2bl w:val="nil"/>
            </w:tcBorders>
            <w:noWrap w:val="0"/>
            <w:vAlign w:val="top"/>
          </w:tcPr>
          <w:p w14:paraId="1AEFD6A7">
            <w:pPr>
              <w:keepNext w:val="0"/>
              <w:keepLines w:val="0"/>
              <w:pageBreakBefore w:val="0"/>
              <w:widowControl w:val="0"/>
              <w:kinsoku/>
              <w:wordWrap/>
              <w:overflowPunct/>
              <w:topLinePunct/>
              <w:autoSpaceDE/>
              <w:autoSpaceDN/>
              <w:bidi w:val="0"/>
              <w:adjustRightInd w:val="0"/>
              <w:snapToGrid w:val="0"/>
              <w:spacing w:before="97" w:line="244" w:lineRule="auto"/>
              <w:ind w:left="0" w:right="0" w:firstLine="11"/>
              <w:textAlignment w:val="baseline"/>
              <w:rPr>
                <w:rFonts w:ascii="仿宋" w:hAnsi="仿宋" w:eastAsia="仿宋" w:cs="仿宋"/>
                <w:sz w:val="22"/>
                <w:szCs w:val="22"/>
              </w:rPr>
            </w:pPr>
            <w:r>
              <w:rPr>
                <w:rFonts w:ascii="仿宋" w:hAnsi="仿宋" w:eastAsia="仿宋" w:cs="仿宋"/>
                <w:spacing w:val="-1"/>
                <w:sz w:val="22"/>
                <w:szCs w:val="22"/>
              </w:rPr>
              <w:t>现</w:t>
            </w:r>
            <w:r>
              <w:rPr>
                <w:rFonts w:ascii="仿宋" w:hAnsi="仿宋" w:eastAsia="仿宋" w:cs="仿宋"/>
                <w:sz w:val="22"/>
                <w:szCs w:val="22"/>
              </w:rPr>
              <w:t>代物流、双创</w:t>
            </w:r>
          </w:p>
        </w:tc>
        <w:tc>
          <w:tcPr>
            <w:tcW w:w="1554" w:type="dxa"/>
            <w:tcBorders>
              <w:tl2br w:val="nil"/>
              <w:tr2bl w:val="nil"/>
            </w:tcBorders>
            <w:noWrap w:val="0"/>
            <w:vAlign w:val="top"/>
          </w:tcPr>
          <w:p w14:paraId="1CC390A0">
            <w:pPr>
              <w:keepNext w:val="0"/>
              <w:keepLines w:val="0"/>
              <w:pageBreakBefore w:val="0"/>
              <w:widowControl w:val="0"/>
              <w:wordWrap/>
              <w:overflowPunct/>
              <w:bidi w:val="0"/>
              <w:rPr>
                <w:rFonts w:ascii="Arial"/>
                <w:sz w:val="21"/>
              </w:rPr>
            </w:pPr>
          </w:p>
        </w:tc>
      </w:tr>
    </w:tbl>
    <w:p w14:paraId="46A76FB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2.3.2福建省典型高新区发展经验</w:t>
      </w:r>
    </w:p>
    <w:p w14:paraId="4332BFE9">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2.3.2.1发挥后发优势，避免同质化竞争</w:t>
      </w:r>
    </w:p>
    <w:p w14:paraId="043D572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的国家级高新区中，除福州和厦门两个高新区外多数起步时间较晚。这些较晚兴起的高新区正在面临一定程度的同质化发展压力，新兴的高新区产业较多集中在电子信息、现代服务业及先进物流等行业，导致这些新兴的高新区存在产业结构单一、招商难度大、产业规模较小、创新驱动力不足的问题。</w:t>
      </w:r>
    </w:p>
    <w:p w14:paraId="7A6842A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基于上述问题，厦门、福州、泉州三个高新区已将结合辐射区域的相关优势产业定为重点发展方向，特别是发展面向战略性新兴产业发展的配套产业。此外，福建省起步较晚的高新区关注后发优势的作用，将发展目标锁定在与其他高新区存在差异性的领域，旨在实现差异化发展，使几个高新区在福建省内实现优势互补，缓解福建省高新产业的同质化竞争压力，也为自身开拓出更大的发展空间。</w:t>
      </w:r>
    </w:p>
    <w:p w14:paraId="2B05B774">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2.3.2.2管理体制机制对高新区发展影响重大</w:t>
      </w:r>
    </w:p>
    <w:p w14:paraId="0E9CE57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福建省内的国家级高新区大多形成了一区多园的发展模式，一区多园有利于资源整合，但也给高新区的整体管理带来了新的挑战。一区多园的发展并非将高新区分为多个部分进行独立发展，而是要求多个部分有机结合，实现联动创新，这就对高新区的管理机制提出了更高的要求。</w:t>
      </w:r>
    </w:p>
    <w:p w14:paraId="19DA6EB7">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例如，厦门高新区坚持精简高效的管理理念，深化高新区管理体制和运行机制改革，理顺高新区管理体制，不断完善“小机构、大服务”的管理和服务体系；鼓励通过签约外包等方式发展创新公共服务，形成政府--大学--研发机构--企业--园区紧密联合与互动的创新服务机制；探索与国外、港澳台、兄弟省市相关机构的合作，共同参与园区建设和管理的模式。</w:t>
      </w:r>
    </w:p>
    <w:p w14:paraId="185E8B5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2.3.2.3“双创”平台成为提升竞争力的重要力量</w:t>
      </w:r>
    </w:p>
    <w:p w14:paraId="0D4D104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技术研发、技术转移和创业孵化为主要目标的创新创业平台已逐步成为集聚科技资源和产业资源的重要载体。例如，厦门高新区依托产业发展布局，通过资源整合，建设了一批科技企业孵化器，为青年人才、海外</w:t>
      </w:r>
    </w:p>
    <w:p w14:paraId="25CAB79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人才的创新创业提供保障服务，提升高新区的整体创新能力。此外，厦门高新区在培育和引进研发外包、科技评估、信息咨询、技术交易、融资担保等研发服务企业和科技中介服务机构等方面也有较大投入，科技创新体系进入良性发展阶段。</w:t>
      </w:r>
    </w:p>
    <w:p w14:paraId="34E6C6C9">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2.3.2.4科技金融推动高新区中小企业发展</w:t>
      </w:r>
    </w:p>
    <w:p w14:paraId="38DEAF5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福建省几个国家级高新区均已开始组建科技银行试点，旨在开发符合科技型企业、中小企业特点的金融服务产品，着力推进创新创业企业股权融资与交易市场发展，为非上市企业股权融资和科技成果转移提供服务。福州、厦门、泉州和莆田四个国家级高新区正在积极争取列入国家代办股份转让系统扩大试点园区，支持科技型中小企业以高新区为依托，发行中小企业集合债券。科技创业投资发展和科技成果转化都得到有效支持，种子期、成长期科技型中小企业的融资环境得到优化。</w:t>
      </w:r>
    </w:p>
    <w:p w14:paraId="31133F9E">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2.3.2.5发挥自身优势，为吸引人才奠定优势基础</w:t>
      </w:r>
    </w:p>
    <w:p w14:paraId="090896D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高新区创新能力的竞争事实上是人才的竞争，福建省内的几个国家级高新区中，厦门、福州、泉州高新区在人才竞争中处于优势地位。主要原因主要有以下几方面：一是这些城市拥有国内知名的高等院校，人才来源的持续性较强；二是这些城市是我国东南沿海对外开放的窗口，对海外科技人员和投资者的吸引力较强，也为科技、金融、服务等方面的国际合作提供了便利条件；三是建立了一批科技企业孵化器，提供了良好的创业、投资、创新成果转化的平台；四是这几个高新区已将科技服务、科技金融服务、生产性服务等现代服务业作为支柱产业之一，为科技研发、产业发展和社会管理人才提供了充足的发展机会。</w:t>
      </w:r>
    </w:p>
    <w:p w14:paraId="331BBAE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42FC414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6E988A6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6162A1C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185A453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628485D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77A36C7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1986701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0C8BD31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2674F0F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2E1BDA7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0EA96CF1">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7BCF2D3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738A8D8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4CE313B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69D01F6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678D599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textAlignment w:val="auto"/>
        <w:rPr>
          <w:rFonts w:hint="default" w:ascii="仿宋_GB2312" w:hAnsi="仿宋_GB2312" w:eastAsia="仿宋_GB2312" w:cs="仿宋_GB2312"/>
          <w:spacing w:val="0"/>
          <w:sz w:val="28"/>
          <w:szCs w:val="28"/>
          <w:lang w:val="en-US" w:eastAsia="zh-CN"/>
        </w:rPr>
      </w:pPr>
    </w:p>
    <w:p w14:paraId="3185319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textAlignment w:val="auto"/>
        <w:rPr>
          <w:rFonts w:hint="default" w:ascii="仿宋_GB2312" w:hAnsi="仿宋_GB2312" w:eastAsia="仿宋_GB2312" w:cs="仿宋_GB2312"/>
          <w:spacing w:val="0"/>
          <w:sz w:val="28"/>
          <w:szCs w:val="28"/>
          <w:lang w:val="en-US" w:eastAsia="zh-CN"/>
        </w:rPr>
      </w:pPr>
    </w:p>
    <w:p w14:paraId="35B2D98A">
      <w:pPr>
        <w:pStyle w:val="2"/>
        <w:keepNext w:val="0"/>
        <w:keepLines w:val="0"/>
        <w:pageBreakBefore w:val="0"/>
        <w:widowControl w:val="0"/>
        <w:kinsoku/>
        <w:wordWrap/>
        <w:overflowPunct/>
        <w:topLinePunct/>
        <w:autoSpaceDE/>
        <w:autoSpaceDN/>
        <w:bidi w:val="0"/>
        <w:adjustRightInd/>
        <w:snapToGrid/>
        <w:spacing w:before="0" w:beforeAutospacing="0" w:line="51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3泉港高新区发展现状</w:t>
      </w:r>
    </w:p>
    <w:p w14:paraId="2B85A9F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firstLine="0" w:firstLineChars="0"/>
        <w:textAlignment w:val="auto"/>
        <w:rPr>
          <w:rFonts w:hint="default" w:ascii="仿宋_GB2312" w:hAnsi="仿宋_GB2312" w:eastAsia="仿宋_GB2312" w:cs="仿宋_GB2312"/>
          <w:spacing w:val="0"/>
          <w:sz w:val="28"/>
          <w:szCs w:val="28"/>
          <w:lang w:val="en-US" w:eastAsia="zh-CN"/>
        </w:rPr>
      </w:pPr>
    </w:p>
    <w:p w14:paraId="356C453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firstLine="560" w:firstLineChars="200"/>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3.1泉州高新区发展概述</w:t>
      </w:r>
    </w:p>
    <w:p w14:paraId="2E14FE3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3.1.1泉州高新区发展沿革</w:t>
      </w:r>
    </w:p>
    <w:p w14:paraId="3AAEA6A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(1)形成“一区十园”格局，以发展高新技术产业为首要任务</w:t>
      </w:r>
    </w:p>
    <w:p w14:paraId="0FE4CED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firstLine="560" w:firstLineChars="200"/>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技术产业开发区(以下简称“泉州高新区”)是2003年经福建省人民政府批准建立的省级高新技术产业园区，2006年3月通过国家发改委审核，2010年11月国务院批准泉州高新区升级为国家高新区。泉州高新区升格后，按照“一区多园”发展模式和管理体制进行规划建设。目前，泉州高新区已形成“一区十园”格局，现规划面积100.848平方公里，已开发面积41.68平方公里。泉州高新区发挥分园区所在地政府的主导作用，融合区域资源与产业积累，形成了各具特色的发展基础，其管理园区构成及主导产业如下表所示：</w:t>
      </w:r>
    </w:p>
    <w:p w14:paraId="6FC38242">
      <w:pPr>
        <w:keepNext w:val="0"/>
        <w:keepLines w:val="0"/>
        <w:pageBreakBefore w:val="0"/>
        <w:widowControl w:val="0"/>
        <w:wordWrap/>
        <w:overflowPunct/>
        <w:bidi w:val="0"/>
        <w:spacing w:before="75" w:line="225" w:lineRule="auto"/>
        <w:ind w:left="2743"/>
      </w:pPr>
      <w:r>
        <w:rPr>
          <w:rFonts w:ascii="黑体" w:hAnsi="黑体" w:eastAsia="黑体" w:cs="黑体"/>
          <w:spacing w:val="10"/>
          <w:sz w:val="23"/>
          <w:szCs w:val="23"/>
        </w:rPr>
        <w:t>泉州高新区管理园区构成及主导产业</w:t>
      </w:r>
    </w:p>
    <w:tbl>
      <w:tblPr>
        <w:tblStyle w:val="9"/>
        <w:tblW w:w="918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98"/>
        <w:gridCol w:w="3140"/>
        <w:gridCol w:w="5246"/>
      </w:tblGrid>
      <w:tr w14:paraId="6F163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798" w:type="dxa"/>
            <w:tcBorders>
              <w:tl2br w:val="nil"/>
              <w:tr2bl w:val="nil"/>
            </w:tcBorders>
            <w:noWrap w:val="0"/>
            <w:vAlign w:val="center"/>
          </w:tcPr>
          <w:p w14:paraId="546D09F8">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序号</w:t>
            </w:r>
          </w:p>
        </w:tc>
        <w:tc>
          <w:tcPr>
            <w:tcW w:w="3140" w:type="dxa"/>
            <w:tcBorders>
              <w:tl2br w:val="nil"/>
              <w:tr2bl w:val="nil"/>
            </w:tcBorders>
            <w:noWrap w:val="0"/>
            <w:vAlign w:val="center"/>
          </w:tcPr>
          <w:p w14:paraId="42EC1CDB">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园区名称</w:t>
            </w:r>
          </w:p>
        </w:tc>
        <w:tc>
          <w:tcPr>
            <w:tcW w:w="5246" w:type="dxa"/>
            <w:tcBorders>
              <w:tl2br w:val="nil"/>
              <w:tr2bl w:val="nil"/>
            </w:tcBorders>
            <w:noWrap w:val="0"/>
            <w:vAlign w:val="center"/>
          </w:tcPr>
          <w:p w14:paraId="7470C786">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主导产业</w:t>
            </w:r>
          </w:p>
        </w:tc>
      </w:tr>
      <w:tr w14:paraId="432024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798" w:type="dxa"/>
            <w:tcBorders>
              <w:tl2br w:val="nil"/>
              <w:tr2bl w:val="nil"/>
            </w:tcBorders>
            <w:noWrap w:val="0"/>
            <w:vAlign w:val="top"/>
          </w:tcPr>
          <w:p w14:paraId="5B0FF514">
            <w:pPr>
              <w:keepNext w:val="0"/>
              <w:keepLines w:val="0"/>
              <w:pageBreakBefore w:val="0"/>
              <w:widowControl w:val="0"/>
              <w:wordWrap/>
              <w:overflowPunct/>
              <w:bidi w:val="0"/>
              <w:spacing w:before="108" w:line="203" w:lineRule="auto"/>
              <w:ind w:left="355"/>
              <w:rPr>
                <w:rFonts w:ascii="Arial" w:hAnsi="Arial" w:eastAsia="Arial" w:cs="Arial"/>
                <w:sz w:val="23"/>
                <w:szCs w:val="23"/>
              </w:rPr>
            </w:pPr>
            <w:r>
              <w:rPr>
                <w:rFonts w:ascii="Arial" w:hAnsi="Arial" w:eastAsia="Arial" w:cs="Arial"/>
                <w:sz w:val="23"/>
                <w:szCs w:val="23"/>
              </w:rPr>
              <w:t>1</w:t>
            </w:r>
          </w:p>
        </w:tc>
        <w:tc>
          <w:tcPr>
            <w:tcW w:w="3140" w:type="dxa"/>
            <w:tcBorders>
              <w:tl2br w:val="nil"/>
              <w:tr2bl w:val="nil"/>
            </w:tcBorders>
            <w:noWrap w:val="0"/>
            <w:vAlign w:val="top"/>
          </w:tcPr>
          <w:p w14:paraId="59573554">
            <w:pPr>
              <w:keepNext w:val="0"/>
              <w:keepLines w:val="0"/>
              <w:pageBreakBefore w:val="0"/>
              <w:widowControl w:val="0"/>
              <w:wordWrap/>
              <w:overflowPunct/>
              <w:bidi w:val="0"/>
              <w:spacing w:before="78" w:line="225" w:lineRule="auto"/>
              <w:ind w:left="116"/>
              <w:rPr>
                <w:rFonts w:ascii="仿宋" w:hAnsi="仿宋" w:eastAsia="仿宋" w:cs="仿宋"/>
                <w:sz w:val="23"/>
                <w:szCs w:val="23"/>
              </w:rPr>
            </w:pPr>
            <w:r>
              <w:rPr>
                <w:rFonts w:ascii="仿宋" w:hAnsi="仿宋" w:eastAsia="仿宋" w:cs="仿宋"/>
                <w:spacing w:val="11"/>
                <w:sz w:val="23"/>
                <w:szCs w:val="23"/>
              </w:rPr>
              <w:t>泉</w:t>
            </w:r>
            <w:r>
              <w:rPr>
                <w:rFonts w:ascii="仿宋" w:hAnsi="仿宋" w:eastAsia="仿宋" w:cs="仿宋"/>
                <w:spacing w:val="8"/>
                <w:sz w:val="23"/>
                <w:szCs w:val="23"/>
              </w:rPr>
              <w:t>州高新区主园区</w:t>
            </w:r>
          </w:p>
        </w:tc>
        <w:tc>
          <w:tcPr>
            <w:tcW w:w="5246" w:type="dxa"/>
            <w:tcBorders>
              <w:tl2br w:val="nil"/>
              <w:tr2bl w:val="nil"/>
            </w:tcBorders>
            <w:noWrap w:val="0"/>
            <w:vAlign w:val="top"/>
          </w:tcPr>
          <w:p w14:paraId="4387EFB0">
            <w:pPr>
              <w:keepNext w:val="0"/>
              <w:keepLines w:val="0"/>
              <w:pageBreakBefore w:val="0"/>
              <w:widowControl w:val="0"/>
              <w:wordWrap/>
              <w:overflowPunct/>
              <w:bidi w:val="0"/>
              <w:spacing w:before="78" w:line="224" w:lineRule="auto"/>
              <w:ind w:left="125"/>
              <w:rPr>
                <w:rFonts w:ascii="仿宋" w:hAnsi="仿宋" w:eastAsia="仿宋" w:cs="仿宋"/>
                <w:sz w:val="23"/>
                <w:szCs w:val="23"/>
              </w:rPr>
            </w:pPr>
            <w:r>
              <w:rPr>
                <w:rFonts w:ascii="仿宋" w:hAnsi="仿宋" w:eastAsia="仿宋" w:cs="仿宋"/>
                <w:spacing w:val="9"/>
                <w:sz w:val="23"/>
                <w:szCs w:val="23"/>
              </w:rPr>
              <w:t>绿色智能交通、高端装备制造、光电信</w:t>
            </w:r>
            <w:r>
              <w:rPr>
                <w:rFonts w:ascii="仿宋" w:hAnsi="仿宋" w:eastAsia="仿宋" w:cs="仿宋"/>
                <w:spacing w:val="7"/>
                <w:sz w:val="23"/>
                <w:szCs w:val="23"/>
              </w:rPr>
              <w:t>息</w:t>
            </w:r>
          </w:p>
        </w:tc>
      </w:tr>
      <w:tr w14:paraId="413BC4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98" w:type="dxa"/>
            <w:tcBorders>
              <w:tl2br w:val="nil"/>
              <w:tr2bl w:val="nil"/>
            </w:tcBorders>
            <w:noWrap w:val="0"/>
            <w:vAlign w:val="top"/>
          </w:tcPr>
          <w:p w14:paraId="3636D144">
            <w:pPr>
              <w:keepNext w:val="0"/>
              <w:keepLines w:val="0"/>
              <w:pageBreakBefore w:val="0"/>
              <w:widowControl w:val="0"/>
              <w:wordWrap/>
              <w:overflowPunct/>
              <w:bidi w:val="0"/>
              <w:spacing w:before="106" w:line="203" w:lineRule="auto"/>
              <w:ind w:left="335"/>
              <w:rPr>
                <w:rFonts w:ascii="Arial" w:hAnsi="Arial" w:eastAsia="Arial" w:cs="Arial"/>
                <w:sz w:val="23"/>
                <w:szCs w:val="23"/>
              </w:rPr>
            </w:pPr>
            <w:r>
              <w:rPr>
                <w:rFonts w:ascii="Arial" w:hAnsi="Arial" w:eastAsia="Arial" w:cs="Arial"/>
                <w:sz w:val="23"/>
                <w:szCs w:val="23"/>
              </w:rPr>
              <w:t>2</w:t>
            </w:r>
          </w:p>
        </w:tc>
        <w:tc>
          <w:tcPr>
            <w:tcW w:w="3140" w:type="dxa"/>
            <w:tcBorders>
              <w:tl2br w:val="nil"/>
              <w:tr2bl w:val="nil"/>
            </w:tcBorders>
            <w:noWrap w:val="0"/>
            <w:vAlign w:val="top"/>
          </w:tcPr>
          <w:p w14:paraId="6376DFE9">
            <w:pPr>
              <w:keepNext w:val="0"/>
              <w:keepLines w:val="0"/>
              <w:pageBreakBefore w:val="0"/>
              <w:widowControl w:val="0"/>
              <w:wordWrap/>
              <w:overflowPunct/>
              <w:bidi w:val="0"/>
              <w:spacing w:before="76" w:line="225" w:lineRule="auto"/>
              <w:ind w:left="116"/>
              <w:rPr>
                <w:rFonts w:ascii="仿宋" w:hAnsi="仿宋" w:eastAsia="仿宋" w:cs="仿宋"/>
                <w:sz w:val="23"/>
                <w:szCs w:val="23"/>
              </w:rPr>
            </w:pPr>
            <w:r>
              <w:rPr>
                <w:rFonts w:ascii="仿宋" w:hAnsi="仿宋" w:eastAsia="仿宋" w:cs="仿宋"/>
                <w:spacing w:val="11"/>
                <w:sz w:val="23"/>
                <w:szCs w:val="23"/>
              </w:rPr>
              <w:t>泉</w:t>
            </w:r>
            <w:r>
              <w:rPr>
                <w:rFonts w:ascii="仿宋" w:hAnsi="仿宋" w:eastAsia="仿宋" w:cs="仿宋"/>
                <w:spacing w:val="8"/>
                <w:sz w:val="23"/>
                <w:szCs w:val="23"/>
              </w:rPr>
              <w:t>州高新区鲤城园</w:t>
            </w:r>
          </w:p>
        </w:tc>
        <w:tc>
          <w:tcPr>
            <w:tcW w:w="5246" w:type="dxa"/>
            <w:tcBorders>
              <w:tl2br w:val="nil"/>
              <w:tr2bl w:val="nil"/>
            </w:tcBorders>
            <w:noWrap w:val="0"/>
            <w:vAlign w:val="top"/>
          </w:tcPr>
          <w:p w14:paraId="01E09ADD">
            <w:pPr>
              <w:keepNext w:val="0"/>
              <w:keepLines w:val="0"/>
              <w:pageBreakBefore w:val="0"/>
              <w:widowControl w:val="0"/>
              <w:wordWrap/>
              <w:overflowPunct/>
              <w:bidi w:val="0"/>
              <w:spacing w:before="76" w:line="224" w:lineRule="auto"/>
              <w:ind w:left="119"/>
              <w:rPr>
                <w:rFonts w:ascii="仿宋" w:hAnsi="仿宋" w:eastAsia="仿宋" w:cs="仿宋"/>
                <w:sz w:val="23"/>
                <w:szCs w:val="23"/>
              </w:rPr>
            </w:pPr>
            <w:r>
              <w:rPr>
                <w:rFonts w:ascii="仿宋" w:hAnsi="仿宋" w:eastAsia="仿宋" w:cs="仿宋"/>
                <w:spacing w:val="9"/>
                <w:sz w:val="23"/>
                <w:szCs w:val="23"/>
              </w:rPr>
              <w:t>新能源、新材料和绿色照</w:t>
            </w:r>
            <w:r>
              <w:rPr>
                <w:rFonts w:ascii="仿宋" w:hAnsi="仿宋" w:eastAsia="仿宋" w:cs="仿宋"/>
                <w:spacing w:val="7"/>
                <w:sz w:val="23"/>
                <w:szCs w:val="23"/>
              </w:rPr>
              <w:t>明</w:t>
            </w:r>
          </w:p>
        </w:tc>
      </w:tr>
      <w:tr w14:paraId="0E5385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98" w:type="dxa"/>
            <w:tcBorders>
              <w:tl2br w:val="nil"/>
              <w:tr2bl w:val="nil"/>
            </w:tcBorders>
            <w:noWrap w:val="0"/>
            <w:vAlign w:val="top"/>
          </w:tcPr>
          <w:p w14:paraId="3B9A20C5">
            <w:pPr>
              <w:keepNext w:val="0"/>
              <w:keepLines w:val="0"/>
              <w:pageBreakBefore w:val="0"/>
              <w:widowControl w:val="0"/>
              <w:wordWrap/>
              <w:overflowPunct/>
              <w:bidi w:val="0"/>
              <w:spacing w:before="107" w:line="203" w:lineRule="auto"/>
              <w:ind w:left="339"/>
              <w:rPr>
                <w:rFonts w:ascii="Arial" w:hAnsi="Arial" w:eastAsia="Arial" w:cs="Arial"/>
                <w:sz w:val="23"/>
                <w:szCs w:val="23"/>
              </w:rPr>
            </w:pPr>
            <w:r>
              <w:rPr>
                <w:rFonts w:ascii="Arial" w:hAnsi="Arial" w:eastAsia="Arial" w:cs="Arial"/>
                <w:sz w:val="23"/>
                <w:szCs w:val="23"/>
              </w:rPr>
              <w:t>3</w:t>
            </w:r>
          </w:p>
        </w:tc>
        <w:tc>
          <w:tcPr>
            <w:tcW w:w="3140" w:type="dxa"/>
            <w:tcBorders>
              <w:tl2br w:val="nil"/>
              <w:tr2bl w:val="nil"/>
            </w:tcBorders>
            <w:noWrap w:val="0"/>
            <w:vAlign w:val="top"/>
          </w:tcPr>
          <w:p w14:paraId="6B6F6F6B">
            <w:pPr>
              <w:keepNext w:val="0"/>
              <w:keepLines w:val="0"/>
              <w:pageBreakBefore w:val="0"/>
              <w:widowControl w:val="0"/>
              <w:wordWrap/>
              <w:overflowPunct/>
              <w:bidi w:val="0"/>
              <w:spacing w:before="77" w:line="225" w:lineRule="auto"/>
              <w:ind w:left="116"/>
              <w:rPr>
                <w:rFonts w:ascii="仿宋" w:hAnsi="仿宋" w:eastAsia="仿宋" w:cs="仿宋"/>
                <w:sz w:val="23"/>
                <w:szCs w:val="23"/>
              </w:rPr>
            </w:pPr>
            <w:r>
              <w:rPr>
                <w:rFonts w:ascii="仿宋" w:hAnsi="仿宋" w:eastAsia="仿宋" w:cs="仿宋"/>
                <w:spacing w:val="11"/>
                <w:sz w:val="23"/>
                <w:szCs w:val="23"/>
              </w:rPr>
              <w:t>泉</w:t>
            </w:r>
            <w:r>
              <w:rPr>
                <w:rFonts w:ascii="仿宋" w:hAnsi="仿宋" w:eastAsia="仿宋" w:cs="仿宋"/>
                <w:spacing w:val="8"/>
                <w:sz w:val="23"/>
                <w:szCs w:val="23"/>
              </w:rPr>
              <w:t>州高新区软件园</w:t>
            </w:r>
          </w:p>
        </w:tc>
        <w:tc>
          <w:tcPr>
            <w:tcW w:w="5246" w:type="dxa"/>
            <w:tcBorders>
              <w:tl2br w:val="nil"/>
              <w:tr2bl w:val="nil"/>
            </w:tcBorders>
            <w:noWrap w:val="0"/>
            <w:vAlign w:val="top"/>
          </w:tcPr>
          <w:p w14:paraId="1599AAA3">
            <w:pPr>
              <w:keepNext w:val="0"/>
              <w:keepLines w:val="0"/>
              <w:pageBreakBefore w:val="0"/>
              <w:widowControl w:val="0"/>
              <w:wordWrap/>
              <w:overflowPunct/>
              <w:bidi w:val="0"/>
              <w:spacing w:before="78" w:line="224" w:lineRule="auto"/>
              <w:ind w:left="122"/>
              <w:rPr>
                <w:rFonts w:ascii="仿宋" w:hAnsi="仿宋" w:eastAsia="仿宋" w:cs="仿宋"/>
                <w:sz w:val="23"/>
                <w:szCs w:val="23"/>
              </w:rPr>
            </w:pPr>
            <w:r>
              <w:rPr>
                <w:rFonts w:ascii="仿宋" w:hAnsi="仿宋" w:eastAsia="仿宋" w:cs="仿宋"/>
                <w:spacing w:val="8"/>
                <w:sz w:val="23"/>
                <w:szCs w:val="23"/>
              </w:rPr>
              <w:t>软件与信息服务</w:t>
            </w:r>
            <w:r>
              <w:rPr>
                <w:rFonts w:ascii="仿宋" w:hAnsi="仿宋" w:eastAsia="仿宋" w:cs="仿宋"/>
                <w:spacing w:val="7"/>
                <w:sz w:val="23"/>
                <w:szCs w:val="23"/>
              </w:rPr>
              <w:t>业</w:t>
            </w:r>
          </w:p>
        </w:tc>
      </w:tr>
      <w:tr w14:paraId="02C35F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798" w:type="dxa"/>
            <w:tcBorders>
              <w:tl2br w:val="nil"/>
              <w:tr2bl w:val="nil"/>
            </w:tcBorders>
            <w:noWrap w:val="0"/>
            <w:vAlign w:val="top"/>
          </w:tcPr>
          <w:p w14:paraId="01B17CAA">
            <w:pPr>
              <w:keepNext w:val="0"/>
              <w:keepLines w:val="0"/>
              <w:pageBreakBefore w:val="0"/>
              <w:widowControl w:val="0"/>
              <w:wordWrap/>
              <w:overflowPunct/>
              <w:bidi w:val="0"/>
              <w:spacing w:before="263" w:line="203" w:lineRule="auto"/>
              <w:ind w:left="332"/>
              <w:rPr>
                <w:rFonts w:ascii="Arial" w:hAnsi="Arial" w:eastAsia="Arial" w:cs="Arial"/>
                <w:sz w:val="23"/>
                <w:szCs w:val="23"/>
              </w:rPr>
            </w:pPr>
            <w:r>
              <w:rPr>
                <w:rFonts w:ascii="Arial" w:hAnsi="Arial" w:eastAsia="Arial" w:cs="Arial"/>
                <w:spacing w:val="2"/>
                <w:sz w:val="23"/>
                <w:szCs w:val="23"/>
              </w:rPr>
              <w:t>4</w:t>
            </w:r>
          </w:p>
        </w:tc>
        <w:tc>
          <w:tcPr>
            <w:tcW w:w="3140" w:type="dxa"/>
            <w:tcBorders>
              <w:tl2br w:val="nil"/>
              <w:tr2bl w:val="nil"/>
            </w:tcBorders>
            <w:noWrap w:val="0"/>
            <w:vAlign w:val="top"/>
          </w:tcPr>
          <w:p w14:paraId="0DB86F9F">
            <w:pPr>
              <w:keepNext w:val="0"/>
              <w:keepLines w:val="0"/>
              <w:pageBreakBefore w:val="0"/>
              <w:widowControl w:val="0"/>
              <w:wordWrap/>
              <w:overflowPunct/>
              <w:bidi w:val="0"/>
              <w:spacing w:before="232" w:line="225" w:lineRule="auto"/>
              <w:ind w:left="116"/>
              <w:rPr>
                <w:rFonts w:ascii="仿宋" w:hAnsi="仿宋" w:eastAsia="仿宋" w:cs="仿宋"/>
                <w:sz w:val="23"/>
                <w:szCs w:val="23"/>
              </w:rPr>
            </w:pPr>
            <w:r>
              <w:rPr>
                <w:rFonts w:ascii="仿宋" w:hAnsi="仿宋" w:eastAsia="仿宋" w:cs="仿宋"/>
                <w:spacing w:val="11"/>
                <w:sz w:val="23"/>
                <w:szCs w:val="23"/>
              </w:rPr>
              <w:t>泉</w:t>
            </w:r>
            <w:r>
              <w:rPr>
                <w:rFonts w:ascii="仿宋" w:hAnsi="仿宋" w:eastAsia="仿宋" w:cs="仿宋"/>
                <w:spacing w:val="8"/>
                <w:sz w:val="23"/>
                <w:szCs w:val="23"/>
              </w:rPr>
              <w:t>州高新区石狮园</w:t>
            </w:r>
          </w:p>
        </w:tc>
        <w:tc>
          <w:tcPr>
            <w:tcW w:w="5246" w:type="dxa"/>
            <w:tcBorders>
              <w:tl2br w:val="nil"/>
              <w:tr2bl w:val="nil"/>
            </w:tcBorders>
            <w:noWrap w:val="0"/>
            <w:vAlign w:val="top"/>
          </w:tcPr>
          <w:p w14:paraId="5270DEE7">
            <w:pPr>
              <w:keepNext w:val="0"/>
              <w:keepLines w:val="0"/>
              <w:pageBreakBefore w:val="0"/>
              <w:widowControl w:val="0"/>
              <w:wordWrap/>
              <w:overflowPunct/>
              <w:bidi w:val="0"/>
              <w:spacing w:before="76" w:line="261" w:lineRule="auto"/>
              <w:ind w:left="116" w:right="106" w:hanging="2"/>
              <w:rPr>
                <w:rFonts w:ascii="仿宋" w:hAnsi="仿宋" w:eastAsia="仿宋" w:cs="仿宋"/>
                <w:sz w:val="23"/>
                <w:szCs w:val="23"/>
              </w:rPr>
            </w:pPr>
            <w:r>
              <w:rPr>
                <w:rFonts w:ascii="仿宋" w:hAnsi="仿宋" w:eastAsia="仿宋" w:cs="仿宋"/>
                <w:spacing w:val="9"/>
                <w:sz w:val="23"/>
                <w:szCs w:val="23"/>
              </w:rPr>
              <w:t>仓储物流、精细化工、电子科技、纺织服装、五</w:t>
            </w:r>
            <w:r>
              <w:rPr>
                <w:rFonts w:ascii="仿宋" w:hAnsi="仿宋" w:eastAsia="仿宋" w:cs="仿宋"/>
                <w:spacing w:val="6"/>
                <w:sz w:val="23"/>
                <w:szCs w:val="23"/>
              </w:rPr>
              <w:t>金机械</w:t>
            </w:r>
          </w:p>
        </w:tc>
      </w:tr>
      <w:tr w14:paraId="0171F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798" w:type="dxa"/>
            <w:tcBorders>
              <w:tl2br w:val="nil"/>
              <w:tr2bl w:val="nil"/>
            </w:tcBorders>
            <w:noWrap w:val="0"/>
            <w:vAlign w:val="top"/>
          </w:tcPr>
          <w:p w14:paraId="3AA1D6CC">
            <w:pPr>
              <w:keepNext w:val="0"/>
              <w:keepLines w:val="0"/>
              <w:pageBreakBefore w:val="0"/>
              <w:widowControl w:val="0"/>
              <w:wordWrap/>
              <w:overflowPunct/>
              <w:bidi w:val="0"/>
              <w:spacing w:before="266" w:line="200" w:lineRule="auto"/>
              <w:ind w:left="339"/>
              <w:rPr>
                <w:rFonts w:ascii="Arial" w:hAnsi="Arial" w:eastAsia="Arial" w:cs="Arial"/>
                <w:sz w:val="23"/>
                <w:szCs w:val="23"/>
              </w:rPr>
            </w:pPr>
            <w:r>
              <w:rPr>
                <w:rFonts w:ascii="Arial" w:hAnsi="Arial" w:eastAsia="Arial" w:cs="Arial"/>
                <w:sz w:val="23"/>
                <w:szCs w:val="23"/>
              </w:rPr>
              <w:t>5</w:t>
            </w:r>
          </w:p>
        </w:tc>
        <w:tc>
          <w:tcPr>
            <w:tcW w:w="3140" w:type="dxa"/>
            <w:tcBorders>
              <w:tl2br w:val="nil"/>
              <w:tr2bl w:val="nil"/>
            </w:tcBorders>
            <w:noWrap w:val="0"/>
            <w:vAlign w:val="top"/>
          </w:tcPr>
          <w:p w14:paraId="0E13074A">
            <w:pPr>
              <w:keepNext w:val="0"/>
              <w:keepLines w:val="0"/>
              <w:pageBreakBefore w:val="0"/>
              <w:widowControl w:val="0"/>
              <w:wordWrap/>
              <w:overflowPunct/>
              <w:bidi w:val="0"/>
              <w:spacing w:before="232" w:line="225" w:lineRule="auto"/>
              <w:ind w:left="116"/>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州高新区晋江五里园</w:t>
            </w:r>
          </w:p>
        </w:tc>
        <w:tc>
          <w:tcPr>
            <w:tcW w:w="5246" w:type="dxa"/>
            <w:tcBorders>
              <w:tl2br w:val="nil"/>
              <w:tr2bl w:val="nil"/>
            </w:tcBorders>
            <w:noWrap w:val="0"/>
            <w:vAlign w:val="top"/>
          </w:tcPr>
          <w:p w14:paraId="5D21F6C1">
            <w:pPr>
              <w:keepNext w:val="0"/>
              <w:keepLines w:val="0"/>
              <w:pageBreakBefore w:val="0"/>
              <w:widowControl w:val="0"/>
              <w:wordWrap/>
              <w:overflowPunct/>
              <w:bidi w:val="0"/>
              <w:spacing w:before="75" w:line="261" w:lineRule="auto"/>
              <w:ind w:left="125" w:right="106" w:hanging="4"/>
              <w:rPr>
                <w:rFonts w:ascii="仿宋" w:hAnsi="仿宋" w:eastAsia="仿宋" w:cs="仿宋"/>
                <w:sz w:val="23"/>
                <w:szCs w:val="23"/>
              </w:rPr>
            </w:pPr>
            <w:r>
              <w:rPr>
                <w:rFonts w:ascii="仿宋" w:hAnsi="仿宋" w:eastAsia="仿宋" w:cs="仿宋"/>
                <w:spacing w:val="16"/>
                <w:sz w:val="23"/>
                <w:szCs w:val="23"/>
              </w:rPr>
              <w:t>纺</w:t>
            </w:r>
            <w:r>
              <w:rPr>
                <w:rFonts w:ascii="仿宋" w:hAnsi="仿宋" w:eastAsia="仿宋" w:cs="仿宋"/>
                <w:spacing w:val="14"/>
                <w:sz w:val="23"/>
                <w:szCs w:val="23"/>
              </w:rPr>
              <w:t>织</w:t>
            </w:r>
            <w:r>
              <w:rPr>
                <w:rFonts w:ascii="仿宋" w:hAnsi="仿宋" w:eastAsia="仿宋" w:cs="仿宋"/>
                <w:spacing w:val="8"/>
                <w:sz w:val="23"/>
                <w:szCs w:val="23"/>
              </w:rPr>
              <w:t>鞋服、电子、机械等传统产业及新型高端产</w:t>
            </w:r>
            <w:r>
              <w:rPr>
                <w:rFonts w:ascii="仿宋" w:hAnsi="仿宋" w:eastAsia="仿宋" w:cs="仿宋"/>
                <w:sz w:val="23"/>
                <w:szCs w:val="23"/>
              </w:rPr>
              <w:t>业</w:t>
            </w:r>
          </w:p>
        </w:tc>
      </w:tr>
      <w:tr w14:paraId="214DF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798" w:type="dxa"/>
            <w:tcBorders>
              <w:tl2br w:val="nil"/>
              <w:tr2bl w:val="nil"/>
            </w:tcBorders>
            <w:noWrap w:val="0"/>
            <w:vAlign w:val="top"/>
          </w:tcPr>
          <w:p w14:paraId="0F5E76DA">
            <w:pPr>
              <w:keepNext w:val="0"/>
              <w:keepLines w:val="0"/>
              <w:pageBreakBefore w:val="0"/>
              <w:widowControl w:val="0"/>
              <w:wordWrap/>
              <w:overflowPunct/>
              <w:bidi w:val="0"/>
              <w:spacing w:before="110" w:line="203" w:lineRule="auto"/>
              <w:ind w:left="338"/>
              <w:rPr>
                <w:rFonts w:ascii="Arial" w:hAnsi="Arial" w:eastAsia="Arial" w:cs="Arial"/>
                <w:sz w:val="23"/>
                <w:szCs w:val="23"/>
              </w:rPr>
            </w:pPr>
            <w:r>
              <w:rPr>
                <w:rFonts w:ascii="Arial" w:hAnsi="Arial" w:eastAsia="Arial" w:cs="Arial"/>
                <w:sz w:val="23"/>
                <w:szCs w:val="23"/>
              </w:rPr>
              <w:t>6</w:t>
            </w:r>
          </w:p>
        </w:tc>
        <w:tc>
          <w:tcPr>
            <w:tcW w:w="3140" w:type="dxa"/>
            <w:tcBorders>
              <w:tl2br w:val="nil"/>
              <w:tr2bl w:val="nil"/>
            </w:tcBorders>
            <w:noWrap w:val="0"/>
            <w:vAlign w:val="top"/>
          </w:tcPr>
          <w:p w14:paraId="046C2665">
            <w:pPr>
              <w:keepNext w:val="0"/>
              <w:keepLines w:val="0"/>
              <w:pageBreakBefore w:val="0"/>
              <w:widowControl w:val="0"/>
              <w:wordWrap/>
              <w:overflowPunct/>
              <w:bidi w:val="0"/>
              <w:spacing w:before="80" w:line="224" w:lineRule="auto"/>
              <w:ind w:left="116"/>
              <w:rPr>
                <w:rFonts w:ascii="仿宋" w:hAnsi="仿宋" w:eastAsia="仿宋" w:cs="仿宋"/>
                <w:sz w:val="23"/>
                <w:szCs w:val="23"/>
              </w:rPr>
            </w:pPr>
            <w:r>
              <w:rPr>
                <w:rFonts w:ascii="仿宋" w:hAnsi="仿宋" w:eastAsia="仿宋" w:cs="仿宋"/>
                <w:spacing w:val="9"/>
                <w:sz w:val="23"/>
                <w:szCs w:val="23"/>
              </w:rPr>
              <w:t>泉州高新区南安光电信息</w:t>
            </w:r>
            <w:r>
              <w:rPr>
                <w:rFonts w:ascii="仿宋" w:hAnsi="仿宋" w:eastAsia="仿宋" w:cs="仿宋"/>
                <w:spacing w:val="8"/>
                <w:sz w:val="23"/>
                <w:szCs w:val="23"/>
              </w:rPr>
              <w:t>园</w:t>
            </w:r>
          </w:p>
        </w:tc>
        <w:tc>
          <w:tcPr>
            <w:tcW w:w="5246" w:type="dxa"/>
            <w:tcBorders>
              <w:tl2br w:val="nil"/>
              <w:tr2bl w:val="nil"/>
            </w:tcBorders>
            <w:noWrap w:val="0"/>
            <w:vAlign w:val="top"/>
          </w:tcPr>
          <w:p w14:paraId="39B68F9A">
            <w:pPr>
              <w:keepNext w:val="0"/>
              <w:keepLines w:val="0"/>
              <w:pageBreakBefore w:val="0"/>
              <w:widowControl w:val="0"/>
              <w:wordWrap/>
              <w:overflowPunct/>
              <w:bidi w:val="0"/>
              <w:spacing w:before="80" w:line="224" w:lineRule="auto"/>
              <w:ind w:left="122"/>
              <w:rPr>
                <w:rFonts w:ascii="仿宋" w:hAnsi="仿宋" w:eastAsia="仿宋" w:cs="仿宋"/>
                <w:sz w:val="23"/>
                <w:szCs w:val="23"/>
              </w:rPr>
            </w:pPr>
            <w:r>
              <w:rPr>
                <w:rFonts w:ascii="仿宋" w:hAnsi="仿宋" w:eastAsia="仿宋" w:cs="仿宋"/>
                <w:spacing w:val="13"/>
                <w:sz w:val="23"/>
                <w:szCs w:val="23"/>
              </w:rPr>
              <w:t>光</w:t>
            </w:r>
            <w:r>
              <w:rPr>
                <w:rFonts w:ascii="仿宋" w:hAnsi="仿宋" w:eastAsia="仿宋" w:cs="仿宋"/>
                <w:spacing w:val="8"/>
                <w:sz w:val="23"/>
                <w:szCs w:val="23"/>
              </w:rPr>
              <w:t>伏、</w:t>
            </w:r>
            <w:r>
              <w:rPr>
                <w:rFonts w:ascii="Arial" w:hAnsi="Arial" w:eastAsia="Arial" w:cs="Arial"/>
                <w:sz w:val="23"/>
                <w:szCs w:val="23"/>
              </w:rPr>
              <w:t>LED</w:t>
            </w:r>
            <w:r>
              <w:rPr>
                <w:rFonts w:ascii="仿宋" w:hAnsi="仿宋" w:eastAsia="仿宋" w:cs="仿宋"/>
                <w:spacing w:val="8"/>
                <w:sz w:val="23"/>
                <w:szCs w:val="23"/>
              </w:rPr>
              <w:t>和电子信息</w:t>
            </w:r>
          </w:p>
        </w:tc>
      </w:tr>
      <w:tr w14:paraId="61C7F1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798" w:type="dxa"/>
            <w:tcBorders>
              <w:tl2br w:val="nil"/>
              <w:tr2bl w:val="nil"/>
            </w:tcBorders>
            <w:noWrap w:val="0"/>
            <w:vAlign w:val="top"/>
          </w:tcPr>
          <w:p w14:paraId="1C0846A9">
            <w:pPr>
              <w:keepNext w:val="0"/>
              <w:keepLines w:val="0"/>
              <w:pageBreakBefore w:val="0"/>
              <w:widowControl w:val="0"/>
              <w:wordWrap/>
              <w:overflowPunct/>
              <w:bidi w:val="0"/>
              <w:spacing w:before="112" w:line="201" w:lineRule="auto"/>
              <w:ind w:left="340"/>
              <w:rPr>
                <w:rFonts w:ascii="Arial" w:hAnsi="Arial" w:eastAsia="Arial" w:cs="Arial"/>
                <w:sz w:val="23"/>
                <w:szCs w:val="23"/>
              </w:rPr>
            </w:pPr>
            <w:r>
              <w:rPr>
                <w:rFonts w:ascii="Arial" w:hAnsi="Arial" w:eastAsia="Arial" w:cs="Arial"/>
                <w:sz w:val="23"/>
                <w:szCs w:val="23"/>
              </w:rPr>
              <w:t>7</w:t>
            </w:r>
          </w:p>
        </w:tc>
        <w:tc>
          <w:tcPr>
            <w:tcW w:w="3140" w:type="dxa"/>
            <w:tcBorders>
              <w:tl2br w:val="nil"/>
              <w:tr2bl w:val="nil"/>
            </w:tcBorders>
            <w:noWrap w:val="0"/>
            <w:vAlign w:val="top"/>
          </w:tcPr>
          <w:p w14:paraId="0897563E">
            <w:pPr>
              <w:keepNext w:val="0"/>
              <w:keepLines w:val="0"/>
              <w:pageBreakBefore w:val="0"/>
              <w:widowControl w:val="0"/>
              <w:wordWrap/>
              <w:overflowPunct/>
              <w:bidi w:val="0"/>
              <w:spacing w:before="78" w:line="227" w:lineRule="auto"/>
              <w:ind w:left="116"/>
              <w:rPr>
                <w:rFonts w:ascii="仿宋" w:hAnsi="仿宋" w:eastAsia="仿宋" w:cs="仿宋"/>
                <w:sz w:val="23"/>
                <w:szCs w:val="23"/>
              </w:rPr>
            </w:pPr>
            <w:r>
              <w:rPr>
                <w:rFonts w:ascii="仿宋" w:hAnsi="仿宋" w:eastAsia="仿宋" w:cs="仿宋"/>
                <w:spacing w:val="11"/>
                <w:sz w:val="23"/>
                <w:szCs w:val="23"/>
              </w:rPr>
              <w:t>泉</w:t>
            </w:r>
            <w:r>
              <w:rPr>
                <w:rFonts w:ascii="仿宋" w:hAnsi="仿宋" w:eastAsia="仿宋" w:cs="仿宋"/>
                <w:spacing w:val="8"/>
                <w:sz w:val="23"/>
                <w:szCs w:val="23"/>
              </w:rPr>
              <w:t>州高新区清</w:t>
            </w:r>
            <w:r>
              <w:rPr>
                <w:rFonts w:ascii="宋体" w:hAnsi="宋体" w:eastAsia="宋体" w:cs="宋体"/>
                <w:spacing w:val="8"/>
                <w:sz w:val="23"/>
                <w:szCs w:val="23"/>
              </w:rPr>
              <w:t>濛</w:t>
            </w:r>
            <w:r>
              <w:rPr>
                <w:rFonts w:ascii="仿宋" w:hAnsi="仿宋" w:eastAsia="仿宋" w:cs="仿宋"/>
                <w:spacing w:val="8"/>
                <w:sz w:val="23"/>
                <w:szCs w:val="23"/>
              </w:rPr>
              <w:t>园</w:t>
            </w:r>
          </w:p>
        </w:tc>
        <w:tc>
          <w:tcPr>
            <w:tcW w:w="5246" w:type="dxa"/>
            <w:tcBorders>
              <w:tl2br w:val="nil"/>
              <w:tr2bl w:val="nil"/>
            </w:tcBorders>
            <w:noWrap w:val="0"/>
            <w:vAlign w:val="top"/>
          </w:tcPr>
          <w:p w14:paraId="6D407650">
            <w:pPr>
              <w:keepNext w:val="0"/>
              <w:keepLines w:val="0"/>
              <w:pageBreakBefore w:val="0"/>
              <w:widowControl w:val="0"/>
              <w:wordWrap/>
              <w:overflowPunct/>
              <w:bidi w:val="0"/>
              <w:spacing w:before="79" w:line="224" w:lineRule="auto"/>
              <w:ind w:left="130"/>
              <w:rPr>
                <w:rFonts w:ascii="仿宋" w:hAnsi="仿宋" w:eastAsia="仿宋" w:cs="仿宋"/>
                <w:sz w:val="23"/>
                <w:szCs w:val="23"/>
              </w:rPr>
            </w:pPr>
            <w:r>
              <w:rPr>
                <w:rFonts w:ascii="仿宋" w:hAnsi="仿宋" w:eastAsia="仿宋" w:cs="仿宋"/>
                <w:spacing w:val="16"/>
                <w:sz w:val="23"/>
                <w:szCs w:val="23"/>
              </w:rPr>
              <w:t>生</w:t>
            </w:r>
            <w:r>
              <w:rPr>
                <w:rFonts w:ascii="仿宋" w:hAnsi="仿宋" w:eastAsia="仿宋" w:cs="仿宋"/>
                <w:spacing w:val="15"/>
                <w:sz w:val="23"/>
                <w:szCs w:val="23"/>
              </w:rPr>
              <w:t>物</w:t>
            </w:r>
            <w:r>
              <w:rPr>
                <w:rFonts w:ascii="仿宋" w:hAnsi="仿宋" w:eastAsia="仿宋" w:cs="仿宋"/>
                <w:spacing w:val="8"/>
                <w:sz w:val="23"/>
                <w:szCs w:val="23"/>
              </w:rPr>
              <w:t>医药、软件和信息。通信设备和互联网等</w:t>
            </w:r>
          </w:p>
        </w:tc>
      </w:tr>
      <w:tr w14:paraId="65B59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98" w:type="dxa"/>
            <w:tcBorders>
              <w:tl2br w:val="nil"/>
              <w:tr2bl w:val="nil"/>
            </w:tcBorders>
            <w:noWrap w:val="0"/>
            <w:vAlign w:val="top"/>
          </w:tcPr>
          <w:p w14:paraId="03A58D90">
            <w:pPr>
              <w:keepNext w:val="0"/>
              <w:keepLines w:val="0"/>
              <w:pageBreakBefore w:val="0"/>
              <w:widowControl w:val="0"/>
              <w:wordWrap/>
              <w:overflowPunct/>
              <w:bidi w:val="0"/>
              <w:spacing w:before="110" w:line="203" w:lineRule="auto"/>
              <w:ind w:left="338"/>
              <w:rPr>
                <w:rFonts w:ascii="Arial" w:hAnsi="Arial" w:eastAsia="Arial" w:cs="Arial"/>
                <w:sz w:val="23"/>
                <w:szCs w:val="23"/>
              </w:rPr>
            </w:pPr>
            <w:r>
              <w:rPr>
                <w:rFonts w:ascii="Arial" w:hAnsi="Arial" w:eastAsia="Arial" w:cs="Arial"/>
                <w:sz w:val="23"/>
                <w:szCs w:val="23"/>
              </w:rPr>
              <w:t>8</w:t>
            </w:r>
          </w:p>
        </w:tc>
        <w:tc>
          <w:tcPr>
            <w:tcW w:w="3140" w:type="dxa"/>
            <w:tcBorders>
              <w:tl2br w:val="nil"/>
              <w:tr2bl w:val="nil"/>
            </w:tcBorders>
            <w:noWrap w:val="0"/>
            <w:vAlign w:val="top"/>
          </w:tcPr>
          <w:p w14:paraId="12FD0091">
            <w:pPr>
              <w:keepNext w:val="0"/>
              <w:keepLines w:val="0"/>
              <w:pageBreakBefore w:val="0"/>
              <w:widowControl w:val="0"/>
              <w:wordWrap/>
              <w:overflowPunct/>
              <w:bidi w:val="0"/>
              <w:spacing w:before="81" w:line="224" w:lineRule="auto"/>
              <w:ind w:left="116"/>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州高新区国际信息园</w:t>
            </w:r>
          </w:p>
        </w:tc>
        <w:tc>
          <w:tcPr>
            <w:tcW w:w="5246" w:type="dxa"/>
            <w:tcBorders>
              <w:tl2br w:val="nil"/>
              <w:tr2bl w:val="nil"/>
            </w:tcBorders>
            <w:noWrap w:val="0"/>
            <w:vAlign w:val="top"/>
          </w:tcPr>
          <w:p w14:paraId="018DB8C9">
            <w:pPr>
              <w:keepNext w:val="0"/>
              <w:keepLines w:val="0"/>
              <w:pageBreakBefore w:val="0"/>
              <w:widowControl w:val="0"/>
              <w:wordWrap/>
              <w:overflowPunct/>
              <w:bidi w:val="0"/>
              <w:spacing w:before="81" w:line="224" w:lineRule="auto"/>
              <w:ind w:left="148"/>
              <w:rPr>
                <w:rFonts w:ascii="仿宋" w:hAnsi="仿宋" w:eastAsia="仿宋" w:cs="仿宋"/>
                <w:sz w:val="23"/>
                <w:szCs w:val="23"/>
              </w:rPr>
            </w:pPr>
            <w:r>
              <w:rPr>
                <w:rFonts w:ascii="仿宋" w:hAnsi="仿宋" w:eastAsia="仿宋" w:cs="仿宋"/>
                <w:spacing w:val="7"/>
                <w:sz w:val="23"/>
                <w:szCs w:val="23"/>
              </w:rPr>
              <w:t>以</w:t>
            </w:r>
            <w:r>
              <w:rPr>
                <w:rFonts w:ascii="仿宋" w:hAnsi="仿宋" w:eastAsia="仿宋" w:cs="仿宋"/>
                <w:spacing w:val="6"/>
                <w:sz w:val="23"/>
                <w:szCs w:val="23"/>
              </w:rPr>
              <w:t>信息技术服务外包为主</w:t>
            </w:r>
          </w:p>
        </w:tc>
      </w:tr>
      <w:tr w14:paraId="6361FE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798" w:type="dxa"/>
            <w:tcBorders>
              <w:tl2br w:val="nil"/>
              <w:tr2bl w:val="nil"/>
            </w:tcBorders>
            <w:noWrap w:val="0"/>
            <w:vAlign w:val="top"/>
          </w:tcPr>
          <w:p w14:paraId="23B517D2">
            <w:pPr>
              <w:keepNext w:val="0"/>
              <w:keepLines w:val="0"/>
              <w:pageBreakBefore w:val="0"/>
              <w:widowControl w:val="0"/>
              <w:wordWrap/>
              <w:overflowPunct/>
              <w:bidi w:val="0"/>
              <w:spacing w:before="265" w:line="203" w:lineRule="auto"/>
              <w:ind w:left="339"/>
              <w:rPr>
                <w:rFonts w:ascii="Arial" w:hAnsi="Arial" w:eastAsia="Arial" w:cs="Arial"/>
                <w:sz w:val="23"/>
                <w:szCs w:val="23"/>
              </w:rPr>
            </w:pPr>
            <w:r>
              <w:rPr>
                <w:rFonts w:ascii="Arial" w:hAnsi="Arial" w:eastAsia="Arial" w:cs="Arial"/>
                <w:sz w:val="23"/>
                <w:szCs w:val="23"/>
              </w:rPr>
              <w:t>9</w:t>
            </w:r>
          </w:p>
        </w:tc>
        <w:tc>
          <w:tcPr>
            <w:tcW w:w="3140" w:type="dxa"/>
            <w:tcBorders>
              <w:tl2br w:val="nil"/>
              <w:tr2bl w:val="nil"/>
            </w:tcBorders>
            <w:noWrap w:val="0"/>
            <w:vAlign w:val="top"/>
          </w:tcPr>
          <w:p w14:paraId="7483DFDA">
            <w:pPr>
              <w:keepNext w:val="0"/>
              <w:keepLines w:val="0"/>
              <w:pageBreakBefore w:val="0"/>
              <w:widowControl w:val="0"/>
              <w:wordWrap/>
              <w:overflowPunct/>
              <w:bidi w:val="0"/>
              <w:spacing w:before="235" w:line="225" w:lineRule="auto"/>
              <w:ind w:left="116"/>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州高新区湖头光电园</w:t>
            </w:r>
          </w:p>
        </w:tc>
        <w:tc>
          <w:tcPr>
            <w:tcW w:w="5246" w:type="dxa"/>
            <w:tcBorders>
              <w:tl2br w:val="nil"/>
              <w:tr2bl w:val="nil"/>
            </w:tcBorders>
            <w:noWrap w:val="0"/>
            <w:vAlign w:val="top"/>
          </w:tcPr>
          <w:p w14:paraId="40AD7D2D">
            <w:pPr>
              <w:keepNext w:val="0"/>
              <w:keepLines w:val="0"/>
              <w:pageBreakBefore w:val="0"/>
              <w:widowControl w:val="0"/>
              <w:wordWrap/>
              <w:overflowPunct/>
              <w:bidi w:val="0"/>
              <w:spacing w:before="80" w:line="259" w:lineRule="auto"/>
              <w:ind w:left="115" w:right="106" w:firstLine="32"/>
              <w:rPr>
                <w:rFonts w:ascii="仿宋" w:hAnsi="仿宋" w:eastAsia="仿宋" w:cs="仿宋"/>
                <w:sz w:val="23"/>
                <w:szCs w:val="23"/>
              </w:rPr>
            </w:pPr>
            <w:r>
              <w:rPr>
                <w:rFonts w:ascii="仿宋" w:hAnsi="仿宋" w:eastAsia="仿宋" w:cs="仿宋"/>
                <w:spacing w:val="14"/>
                <w:sz w:val="23"/>
                <w:szCs w:val="23"/>
              </w:rPr>
              <w:t>以</w:t>
            </w:r>
            <w:r>
              <w:rPr>
                <w:rFonts w:ascii="仿宋" w:hAnsi="仿宋" w:eastAsia="仿宋" w:cs="仿宋"/>
                <w:spacing w:val="8"/>
                <w:sz w:val="23"/>
                <w:szCs w:val="23"/>
              </w:rPr>
              <w:t>光</w:t>
            </w:r>
            <w:r>
              <w:rPr>
                <w:rFonts w:ascii="仿宋" w:hAnsi="仿宋" w:eastAsia="仿宋" w:cs="仿宋"/>
                <w:spacing w:val="7"/>
                <w:sz w:val="23"/>
                <w:szCs w:val="23"/>
              </w:rPr>
              <w:t>电产业为核心，涵盖芯片与外延、封装、应</w:t>
            </w:r>
            <w:r>
              <w:rPr>
                <w:rFonts w:ascii="仿宋" w:hAnsi="仿宋" w:eastAsia="仿宋" w:cs="仿宋"/>
                <w:spacing w:val="5"/>
                <w:sz w:val="23"/>
                <w:szCs w:val="23"/>
              </w:rPr>
              <w:t>用等</w:t>
            </w:r>
          </w:p>
        </w:tc>
      </w:tr>
      <w:tr w14:paraId="16A116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798" w:type="dxa"/>
            <w:tcBorders>
              <w:tl2br w:val="nil"/>
              <w:tr2bl w:val="nil"/>
            </w:tcBorders>
            <w:noWrap w:val="0"/>
            <w:vAlign w:val="top"/>
          </w:tcPr>
          <w:p w14:paraId="3C2C644E">
            <w:pPr>
              <w:keepNext w:val="0"/>
              <w:keepLines w:val="0"/>
              <w:pageBreakBefore w:val="0"/>
              <w:widowControl w:val="0"/>
              <w:wordWrap/>
              <w:overflowPunct/>
              <w:bidi w:val="0"/>
              <w:spacing w:before="266" w:line="203" w:lineRule="auto"/>
              <w:ind w:left="290"/>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3140" w:type="dxa"/>
            <w:tcBorders>
              <w:tl2br w:val="nil"/>
              <w:tr2bl w:val="nil"/>
            </w:tcBorders>
            <w:noWrap w:val="0"/>
            <w:vAlign w:val="top"/>
          </w:tcPr>
          <w:p w14:paraId="57E72285">
            <w:pPr>
              <w:keepNext w:val="0"/>
              <w:keepLines w:val="0"/>
              <w:pageBreakBefore w:val="0"/>
              <w:widowControl w:val="0"/>
              <w:wordWrap/>
              <w:overflowPunct/>
              <w:bidi w:val="0"/>
              <w:spacing w:before="236" w:line="225" w:lineRule="auto"/>
              <w:ind w:left="116"/>
              <w:rPr>
                <w:rFonts w:ascii="仿宋" w:hAnsi="仿宋" w:eastAsia="仿宋" w:cs="仿宋"/>
                <w:sz w:val="23"/>
                <w:szCs w:val="23"/>
              </w:rPr>
            </w:pPr>
            <w:r>
              <w:rPr>
                <w:rFonts w:ascii="仿宋" w:hAnsi="仿宋" w:eastAsia="仿宋" w:cs="仿宋"/>
                <w:spacing w:val="9"/>
                <w:sz w:val="23"/>
                <w:szCs w:val="23"/>
              </w:rPr>
              <w:t>泉</w:t>
            </w:r>
            <w:r>
              <w:rPr>
                <w:rFonts w:ascii="仿宋" w:hAnsi="仿宋" w:eastAsia="仿宋" w:cs="仿宋"/>
                <w:spacing w:val="7"/>
                <w:sz w:val="23"/>
                <w:szCs w:val="23"/>
              </w:rPr>
              <w:t>港高新区</w:t>
            </w:r>
          </w:p>
        </w:tc>
        <w:tc>
          <w:tcPr>
            <w:tcW w:w="5246" w:type="dxa"/>
            <w:tcBorders>
              <w:tl2br w:val="nil"/>
              <w:tr2bl w:val="nil"/>
            </w:tcBorders>
            <w:noWrap w:val="0"/>
            <w:vAlign w:val="top"/>
          </w:tcPr>
          <w:p w14:paraId="427027CA">
            <w:pPr>
              <w:keepNext w:val="0"/>
              <w:keepLines w:val="0"/>
              <w:pageBreakBefore w:val="0"/>
              <w:widowControl w:val="0"/>
              <w:wordWrap/>
              <w:overflowPunct/>
              <w:bidi w:val="0"/>
              <w:spacing w:before="81" w:line="261" w:lineRule="auto"/>
              <w:ind w:left="118" w:right="106"/>
              <w:rPr>
                <w:rFonts w:ascii="仿宋" w:hAnsi="仿宋" w:eastAsia="仿宋" w:cs="仿宋"/>
                <w:sz w:val="23"/>
                <w:szCs w:val="23"/>
              </w:rPr>
            </w:pPr>
            <w:r>
              <w:rPr>
                <w:rFonts w:ascii="仿宋" w:hAnsi="仿宋" w:eastAsia="仿宋" w:cs="仿宋"/>
                <w:spacing w:val="16"/>
                <w:sz w:val="23"/>
                <w:szCs w:val="23"/>
              </w:rPr>
              <w:t>先进</w:t>
            </w:r>
            <w:r>
              <w:rPr>
                <w:rFonts w:ascii="仿宋" w:hAnsi="仿宋" w:eastAsia="仿宋" w:cs="仿宋"/>
                <w:spacing w:val="8"/>
                <w:sz w:val="23"/>
                <w:szCs w:val="23"/>
              </w:rPr>
              <w:t>高分子新材料、高端精细化工、石化装备制</w:t>
            </w:r>
            <w:r>
              <w:rPr>
                <w:rFonts w:ascii="仿宋" w:hAnsi="仿宋" w:eastAsia="仿宋" w:cs="仿宋"/>
                <w:sz w:val="23"/>
                <w:szCs w:val="23"/>
              </w:rPr>
              <w:t>造</w:t>
            </w:r>
          </w:p>
        </w:tc>
      </w:tr>
    </w:tbl>
    <w:p w14:paraId="583A134E">
      <w:pPr>
        <w:keepNext w:val="0"/>
        <w:keepLines w:val="0"/>
        <w:pageBreakBefore w:val="0"/>
        <w:widowControl w:val="0"/>
        <w:wordWrap/>
        <w:overflowPunct/>
        <w:bidi w:val="0"/>
        <w:spacing w:line="330" w:lineRule="auto"/>
        <w:rPr>
          <w:rFonts w:ascii="Arial"/>
          <w:sz w:val="21"/>
        </w:rPr>
      </w:pPr>
    </w:p>
    <w:p w14:paraId="2EADF4C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center"/>
        <w:textAlignment w:val="auto"/>
        <w:rPr>
          <w:rFonts w:ascii="黑体" w:hAnsi="黑体" w:eastAsia="黑体" w:cs="黑体"/>
          <w:spacing w:val="7"/>
          <w:sz w:val="23"/>
          <w:szCs w:val="23"/>
        </w:rPr>
      </w:pPr>
      <w:r>
        <w:drawing>
          <wp:anchor distT="0" distB="0" distL="114300" distR="114300" simplePos="0" relativeHeight="251663360" behindDoc="0" locked="0" layoutInCell="1" allowOverlap="1">
            <wp:simplePos x="0" y="0"/>
            <wp:positionH relativeFrom="column">
              <wp:posOffset>57150</wp:posOffset>
            </wp:positionH>
            <wp:positionV relativeFrom="paragraph">
              <wp:posOffset>40005</wp:posOffset>
            </wp:positionV>
            <wp:extent cx="5624195" cy="3883660"/>
            <wp:effectExtent l="0" t="0" r="0" b="2540"/>
            <wp:wrapTopAndBottom/>
            <wp:docPr id="122" name="图片 28"/>
            <wp:cNvGraphicFramePr/>
            <a:graphic xmlns:a="http://schemas.openxmlformats.org/drawingml/2006/main">
              <a:graphicData uri="http://schemas.openxmlformats.org/drawingml/2006/picture">
                <pic:pic xmlns:pic="http://schemas.openxmlformats.org/drawingml/2006/picture">
                  <pic:nvPicPr>
                    <pic:cNvPr id="122" name="图片 28"/>
                    <pic:cNvPicPr/>
                  </pic:nvPicPr>
                  <pic:blipFill>
                    <a:blip r:embed="rId51"/>
                    <a:stretch>
                      <a:fillRect/>
                    </a:stretch>
                  </pic:blipFill>
                  <pic:spPr>
                    <a:xfrm>
                      <a:off x="0" y="0"/>
                      <a:ext cx="5624195" cy="3883660"/>
                    </a:xfrm>
                    <a:prstGeom prst="rect">
                      <a:avLst/>
                    </a:prstGeom>
                    <a:noFill/>
                    <a:ln>
                      <a:noFill/>
                    </a:ln>
                  </pic:spPr>
                </pic:pic>
              </a:graphicData>
            </a:graphic>
          </wp:anchor>
        </w:drawing>
      </w:r>
      <w:r>
        <w:rPr>
          <w:rFonts w:ascii="黑体" w:hAnsi="黑体" w:eastAsia="黑体" w:cs="黑体"/>
          <w:spacing w:val="10"/>
          <w:sz w:val="23"/>
          <w:szCs w:val="23"/>
        </w:rPr>
        <w:t>泉州市高新区区域位置示意</w:t>
      </w:r>
      <w:r>
        <w:rPr>
          <w:rFonts w:ascii="黑体" w:hAnsi="黑体" w:eastAsia="黑体" w:cs="黑体"/>
          <w:spacing w:val="7"/>
          <w:sz w:val="23"/>
          <w:szCs w:val="23"/>
        </w:rPr>
        <w:t>图</w:t>
      </w:r>
    </w:p>
    <w:p w14:paraId="12A69420">
      <w:pPr>
        <w:pStyle w:val="2"/>
        <w:keepNext w:val="0"/>
        <w:keepLines w:val="0"/>
        <w:pageBreakBefore w:val="0"/>
        <w:widowControl w:val="0"/>
        <w:kinsoku/>
        <w:wordWrap/>
        <w:overflowPunct/>
        <w:topLinePunct w:val="0"/>
        <w:autoSpaceDE/>
        <w:autoSpaceDN/>
        <w:bidi w:val="0"/>
        <w:adjustRightInd/>
        <w:snapToGrid/>
        <w:spacing w:before="157" w:beforeLines="5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区自开创以来，围绕“发展高科技，实现产业化”发展目标，把大力发展高新技术产业作为泉州高新区的首要任务，积极推进产业结构升级和经济发展方式转型。泉州高新区鲤城园和泉州高新区石狮园，成立时间较早，在微波通信、光伏产业、纺织鞋服、机械汽配等领域以及与城市融合方面形成各自优势；主园区起步较晚，产业基础较弱，但拥有良好的交通、生态、土地和国家政策优势，后发优势巨大；泉州高新区晋江五里园作为民营经济的发展典型和示范基地，在运动鞋服、机械工业等领域具有较好产业基础；泉州高新区清濛园形态较好，但发展空间不足，生产性服务、科技服务等第三产业发展空间较大；泉州高新区软件园、泉州高新区南安光电信息园、泉州高新区国际信息园和泉州高新区湖头光电园，均是近期成立的专业性强、发展态势好、对区域经济带动潜力明显的新型专业化园区。主导产业和部分新兴产业对工业经济增长贡献率较高。</w:t>
      </w:r>
    </w:p>
    <w:p w14:paraId="32B5339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(2)工业基础较为扎实，新兴产业发展迅速</w:t>
      </w:r>
    </w:p>
    <w:p w14:paraId="3B202FC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泉州高新区在微波通信、纺织鞋服、机械装备三大主导产业稳定发展的基础上，推动光电产业等成长型产业集群化，培育了新一代信息技术、新材料、太阳能光伏、轨道交通装备等战略性新兴产业，并加大力度推进现代服务业发展。高新区产业结构不断优化，经济发展方式开始向创新驱动转变。先后被科技部认定为国家火炬计划泉州微波通信特色产业基地、国家火炬计划泉州电子信息特色产业基地。伴随着国家自主创新示范区建设的顺利推进，泉州高新区和一批特色高新园区创新活力正持续提升。</w:t>
      </w:r>
    </w:p>
    <w:p w14:paraId="534AFDA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2018年，全国共有168个国家级高新区和苏州工业园。泉州高新区规上工业总产值达1960亿元，同比增长15%，在全国高新区综合排名上升5位，泉州高新区规上工业持续保持稳中向好的发展态势。</w:t>
      </w:r>
    </w:p>
    <w:p w14:paraId="5005FE3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(3)创新平台载体丰富，创新要素有效集聚</w:t>
      </w:r>
    </w:p>
    <w:p w14:paraId="139EA17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泉州围绕加快推进国家自主创新示范区建设，着力推动泉州国家高新区开展争先进位行动，聚焦集成电路、光电信息、数控装备等新兴产业，培育以高新技术企业、科技小巨人企业、瞪羚企业、新型研发机构为核心的创新群体。引进中科院海西研究院泉州装备制造研究所、泉州华中科技大学智能制造研究院、福建(泉州)哈工大工程技术研究院、泉州南京大学环保产业研究院等一批高端创新平台；集聚了10个院士专家工作站、5个博士后科研工作站、145家高新技术企业和73家省级科技小巨人领军企业，全力打造全市产业科技创新中心和创新型经济发展高地。</w:t>
      </w:r>
    </w:p>
    <w:p w14:paraId="778D2086">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(4)政策叠加效应显著，有利于改革发展和高新产业布局</w:t>
      </w:r>
    </w:p>
    <w:p w14:paraId="053C516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中央支持福建加快发展的力度加大，泉州创建21世纪海上丝绸之路先行区、金融服务实体经济综合改革试验区、民营经济综合配套改革试验区、“中国制造2025”样板城市、国家自主创新示范区、国家生态文明示范市步伐加快，政策叠加效应将进一步显现，不断激发新动力、释放新红利、拓展新空间。随着城际铁路、高速铁路泉港段(站)的开工动建，泉港区交通条件将得到极大改善，大工业、大港口和对台、开放等优势进一步凸显，石化产业的发展和管理累积大量经验，在全省继续保持先发优势，十分有利于泉港高新区的改革发展和高新产业布局。</w:t>
      </w:r>
    </w:p>
    <w:p w14:paraId="5FF97EA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3.1.2存在的主要问题</w:t>
      </w:r>
    </w:p>
    <w:p w14:paraId="14C6B01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2018年，泉州高新区发展取得了较好成效，但还存在着与创新驱动发展不相适应的一些问题。</w:t>
      </w:r>
    </w:p>
    <w:p w14:paraId="1EE9328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一是高新区在全国的排名还比较靠后。</w:t>
      </w:r>
    </w:p>
    <w:p w14:paraId="7C780E2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高新技术企业应有的辐射作用尚未发挥，高新技术产业增加值占地区生产总值的比重还需提高，高新技术产业发展整体水平较低。</w:t>
      </w:r>
    </w:p>
    <w:p w14:paraId="77DF672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二是企业技术创新能力不强。</w:t>
      </w:r>
    </w:p>
    <w:p w14:paraId="1F48476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50%以上企业没有开展研发活动，研发经费投入不足，全社会R&amp;D投入占全市生产总值比重低于福建省、全国平均水平。企业掌握的关键核心技术少，泉州市每万人口发明专利拥有量偏低。</w:t>
      </w:r>
    </w:p>
    <w:p w14:paraId="3545C56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三是创新创业氛围不够浓厚。</w:t>
      </w:r>
    </w:p>
    <w:p w14:paraId="3B3FF64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当前泉州高新区正大力发展集成电路、智能制造等新兴产业的技术人才储备不足，科技人才总量较少，质量不高；科技成果转化不够顺畅，技术交易不活跃，成果转化率偏低。</w:t>
      </w:r>
    </w:p>
    <w:p w14:paraId="5C2FAB2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3.2泉港高新区发展现状</w:t>
      </w:r>
    </w:p>
    <w:p w14:paraId="494515C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3.2.1泉港高新区发展沿革</w:t>
      </w:r>
    </w:p>
    <w:p w14:paraId="6B3E659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纳入泉州国家高新区管理，承接福厦泉国家自主创新示范区泉州片区建设福建泉港新材料高新技术产业园区(以下简称“泉港高新区”)，原名普安高新技术开发区，成立于2002年5月，位于泉港区的西南部，紧邻国家一类口岸肖厝港，距离泉州晋江机场50公里、厦门高崎机场120公里、福州长乐机场150公里。毗邻沈海高速公路、国道324线，省道201线穿过泉港高新区。泉港高新区具备铁路、高速公路、港口等多种形式的对外交通网络。交通便捷，微观区位条件突出。</w:t>
      </w:r>
    </w:p>
    <w:p w14:paraId="54F73F3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2015年12月，泉港高新区纳入泉州国家高新区“一区十园”管理，目前已成为全国科技进步先进区和科普示范区。</w:t>
      </w:r>
    </w:p>
    <w:p w14:paraId="6CAC1D9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2016年6月，福厦泉国家自主创新示范区获得国务院批复建设，泉港高新区承接建设福厦泉国家自主创新示范区泉州片区，泉港高新区成为泉州创新战略的重要一环。</w:t>
      </w:r>
    </w:p>
    <w:p w14:paraId="71A74EC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(2)以高技术产业为导向、产学研联动发展格局初步建立</w:t>
      </w:r>
    </w:p>
    <w:p w14:paraId="32E1BF5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主要打造以先进高分子新材料、高端精细化工、石化装备制造等具有高技术含量、高附加值、微消耗特点的高技术产业为主导的高新技术产业园区。该区域目前已累计引进各类高新技术项目108个，总投资30多亿元，项目主要涉及石化新材料、高端精细化工、环保设备以及汽配机械等产业。</w:t>
      </w:r>
    </w:p>
    <w:p w14:paraId="2D81C92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泉港高新区已建有泉港石化高新技术孵化基地、泉港区生产力促进中心、福建省功能性聚醚—聚氨酯企业工程技术研究中心、泉州市聚氨酯树脂工程技术研究中心、福建省新型管材星火行业技术开发中心等科技创新服务平台，同时与福州大学联合创办福州大学泉港石化学院(本一批)，与福建师范大学联合创建泉州石化研究院(福建师范大学泉港石化研究院)，积极打造福建石化产业科技创新平台，推进石化高端产业快速发展。</w:t>
      </w:r>
    </w:p>
    <w:p w14:paraId="5D864688">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园区积极加强企业研发平台建设，建立一批省级创新型试点企业和高新技术企业，新建2个省级行业技术开发中心、5个市级工程技术研究中心和3个市级行业技术开发中心。泉州市正在积极推进福州大学和中科院联合在福州大学泉港校区创办“绿色石油化工科学与技术福建省实验室”、福建纳川管材科技股份有限公司建立企业博士后科研工作站和院士工作站。</w:t>
      </w:r>
    </w:p>
    <w:p w14:paraId="419225B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泉州市政府牵头，以福州大学、中化泉州石化有限公司为依托，成立“中国福建化学工程科学与技术实验室”，采取“政地校企”创新性建设方式，围绕先进催化、合成材料、精细化学品、环保与安全等领域开展重大前沿基础研究和关键技术攻关，瞄准福建省和泉州市当前和未来发展的战略需求，以基础研究、应用基础研究、技术创新为路线，形成以技术创新与孵化转化的技术研发基地、人才汇集与培养的创新基地和产业培育与示范的高新产业基地，引领和支撑化学化工产业高质量发展。总部设在泉港高新区石化科教园区，建设“催化科学与技术”“专用化学品”和“合成材料”三个创新中心。</w:t>
      </w:r>
    </w:p>
    <w:p w14:paraId="0EED63C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形成较好产业基础，经济增速显著泉港高新区目前拥有35家正常生产企业，包括泉州首家创业板上市公司—福建纳川管材科技股份有限公司等高新技术企业、科技型上市后备企业，拥有纳川、百川、开普勒、万家鑫、本益、德诚、和盛、恒昂、天线宝宝等一批骨干企业。泉港高新区主要生产企业及产品见下表。</w:t>
      </w:r>
    </w:p>
    <w:p w14:paraId="17758304">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ascii="黑体" w:hAnsi="黑体" w:eastAsia="黑体" w:cs="黑体"/>
          <w:spacing w:val="10"/>
          <w:sz w:val="23"/>
          <w:szCs w:val="23"/>
        </w:rPr>
        <w:t>泉港高新区主要生产企业及产品</w:t>
      </w:r>
      <w:r>
        <w:rPr>
          <w:rFonts w:ascii="黑体" w:hAnsi="黑体" w:eastAsia="黑体" w:cs="黑体"/>
          <w:spacing w:val="7"/>
          <w:sz w:val="23"/>
          <w:szCs w:val="23"/>
        </w:rPr>
        <w:t>表</w:t>
      </w:r>
    </w:p>
    <w:tbl>
      <w:tblPr>
        <w:tblStyle w:val="9"/>
        <w:tblW w:w="964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65"/>
        <w:gridCol w:w="3740"/>
        <w:gridCol w:w="3674"/>
        <w:gridCol w:w="1461"/>
      </w:tblGrid>
      <w:tr w14:paraId="5FF176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20" w:hRule="atLeast"/>
          <w:tblHeader/>
          <w:jc w:val="center"/>
        </w:trPr>
        <w:tc>
          <w:tcPr>
            <w:tcW w:w="765" w:type="dxa"/>
            <w:tcBorders>
              <w:tl2br w:val="nil"/>
              <w:tr2bl w:val="nil"/>
            </w:tcBorders>
            <w:noWrap w:val="0"/>
            <w:vAlign w:val="center"/>
          </w:tcPr>
          <w:p w14:paraId="1F6AE546">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序号</w:t>
            </w:r>
          </w:p>
        </w:tc>
        <w:tc>
          <w:tcPr>
            <w:tcW w:w="3740" w:type="dxa"/>
            <w:tcBorders>
              <w:tl2br w:val="nil"/>
              <w:tr2bl w:val="nil"/>
            </w:tcBorders>
            <w:noWrap w:val="0"/>
            <w:vAlign w:val="center"/>
          </w:tcPr>
          <w:p w14:paraId="4ED6C642">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企业名称</w:t>
            </w:r>
          </w:p>
        </w:tc>
        <w:tc>
          <w:tcPr>
            <w:tcW w:w="3674" w:type="dxa"/>
            <w:tcBorders>
              <w:tl2br w:val="nil"/>
              <w:tr2bl w:val="nil"/>
            </w:tcBorders>
            <w:noWrap w:val="0"/>
            <w:vAlign w:val="center"/>
          </w:tcPr>
          <w:p w14:paraId="25A79FC0">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主要产品</w:t>
            </w:r>
          </w:p>
        </w:tc>
        <w:tc>
          <w:tcPr>
            <w:tcW w:w="1461" w:type="dxa"/>
            <w:tcBorders>
              <w:tl2br w:val="nil"/>
              <w:tr2bl w:val="nil"/>
            </w:tcBorders>
            <w:noWrap w:val="0"/>
            <w:vAlign w:val="center"/>
          </w:tcPr>
          <w:p w14:paraId="45F78CE8">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产业板块</w:t>
            </w:r>
          </w:p>
        </w:tc>
      </w:tr>
      <w:tr w14:paraId="411D9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7" w:hRule="atLeast"/>
          <w:jc w:val="center"/>
        </w:trPr>
        <w:tc>
          <w:tcPr>
            <w:tcW w:w="765" w:type="dxa"/>
            <w:tcBorders>
              <w:tl2br w:val="nil"/>
              <w:tr2bl w:val="nil"/>
            </w:tcBorders>
            <w:noWrap w:val="0"/>
            <w:vAlign w:val="center"/>
          </w:tcPr>
          <w:p w14:paraId="57C896B4">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1</w:t>
            </w:r>
          </w:p>
        </w:tc>
        <w:tc>
          <w:tcPr>
            <w:tcW w:w="3740" w:type="dxa"/>
            <w:tcBorders>
              <w:tl2br w:val="nil"/>
              <w:tr2bl w:val="nil"/>
            </w:tcBorders>
            <w:noWrap w:val="0"/>
            <w:vAlign w:val="center"/>
          </w:tcPr>
          <w:p w14:paraId="57DDBB64">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福建纳川管材科技股份有限公司</w:t>
            </w:r>
          </w:p>
        </w:tc>
        <w:tc>
          <w:tcPr>
            <w:tcW w:w="3674" w:type="dxa"/>
            <w:tcBorders>
              <w:tl2br w:val="nil"/>
              <w:tr2bl w:val="nil"/>
            </w:tcBorders>
            <w:noWrap w:val="0"/>
            <w:vAlign w:val="center"/>
          </w:tcPr>
          <w:p w14:paraId="4CD6A67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8"/>
                <w:sz w:val="23"/>
                <w:szCs w:val="23"/>
              </w:rPr>
              <w:t>高</w:t>
            </w:r>
            <w:r>
              <w:rPr>
                <w:rFonts w:ascii="仿宋" w:hAnsi="仿宋" w:eastAsia="仿宋" w:cs="仿宋"/>
                <w:spacing w:val="7"/>
                <w:sz w:val="23"/>
                <w:szCs w:val="23"/>
              </w:rPr>
              <w:t>密度聚乙烯管</w:t>
            </w:r>
          </w:p>
        </w:tc>
        <w:tc>
          <w:tcPr>
            <w:tcW w:w="1461" w:type="dxa"/>
            <w:vMerge w:val="restart"/>
            <w:tcBorders>
              <w:tl2br w:val="nil"/>
              <w:tr2bl w:val="nil"/>
            </w:tcBorders>
            <w:noWrap w:val="0"/>
            <w:vAlign w:val="center"/>
          </w:tcPr>
          <w:p w14:paraId="74BFC278">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橡</w:t>
            </w:r>
            <w:r>
              <w:rPr>
                <w:rFonts w:ascii="仿宋" w:hAnsi="仿宋" w:eastAsia="仿宋" w:cs="仿宋"/>
                <w:spacing w:val="8"/>
                <w:sz w:val="23"/>
                <w:szCs w:val="23"/>
              </w:rPr>
              <w:t>胶和塑料</w:t>
            </w:r>
            <w:r>
              <w:rPr>
                <w:rFonts w:ascii="仿宋" w:hAnsi="仿宋" w:eastAsia="仿宋" w:cs="仿宋"/>
                <w:spacing w:val="5"/>
                <w:sz w:val="23"/>
                <w:szCs w:val="23"/>
              </w:rPr>
              <w:t>制</w:t>
            </w:r>
            <w:r>
              <w:rPr>
                <w:rFonts w:ascii="仿宋" w:hAnsi="仿宋" w:eastAsia="仿宋" w:cs="仿宋"/>
                <w:spacing w:val="4"/>
                <w:sz w:val="23"/>
                <w:szCs w:val="23"/>
              </w:rPr>
              <w:t>品业</w:t>
            </w:r>
          </w:p>
        </w:tc>
      </w:tr>
      <w:tr w14:paraId="49E141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1B4158FC">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2</w:t>
            </w:r>
          </w:p>
        </w:tc>
        <w:tc>
          <w:tcPr>
            <w:tcW w:w="3740" w:type="dxa"/>
            <w:tcBorders>
              <w:tl2br w:val="nil"/>
              <w:tr2bl w:val="nil"/>
            </w:tcBorders>
            <w:noWrap w:val="0"/>
            <w:vAlign w:val="center"/>
          </w:tcPr>
          <w:p w14:paraId="38CAAFBE">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福建路通管业科技股份有限公司</w:t>
            </w:r>
          </w:p>
        </w:tc>
        <w:tc>
          <w:tcPr>
            <w:tcW w:w="3674" w:type="dxa"/>
            <w:tcBorders>
              <w:tl2br w:val="nil"/>
              <w:tr2bl w:val="nil"/>
            </w:tcBorders>
            <w:noWrap w:val="0"/>
            <w:vAlign w:val="center"/>
          </w:tcPr>
          <w:p w14:paraId="70D577A2">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4"/>
                <w:sz w:val="23"/>
                <w:szCs w:val="23"/>
              </w:rPr>
              <w:t>超</w:t>
            </w:r>
            <w:r>
              <w:rPr>
                <w:rFonts w:ascii="仿宋" w:hAnsi="仿宋" w:eastAsia="仿宋" w:cs="仿宋"/>
                <w:spacing w:val="9"/>
                <w:sz w:val="23"/>
                <w:szCs w:val="23"/>
              </w:rPr>
              <w:t>大口径化学建材管道</w:t>
            </w:r>
          </w:p>
        </w:tc>
        <w:tc>
          <w:tcPr>
            <w:tcW w:w="1461" w:type="dxa"/>
            <w:vMerge w:val="continue"/>
            <w:tcBorders>
              <w:tl2br w:val="nil"/>
              <w:tr2bl w:val="nil"/>
            </w:tcBorders>
            <w:noWrap w:val="0"/>
            <w:vAlign w:val="center"/>
          </w:tcPr>
          <w:p w14:paraId="3E5E375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70AFB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66" w:hRule="atLeast"/>
          <w:jc w:val="center"/>
        </w:trPr>
        <w:tc>
          <w:tcPr>
            <w:tcW w:w="765" w:type="dxa"/>
            <w:tcBorders>
              <w:tl2br w:val="nil"/>
              <w:tr2bl w:val="nil"/>
            </w:tcBorders>
            <w:noWrap w:val="0"/>
            <w:vAlign w:val="center"/>
          </w:tcPr>
          <w:p w14:paraId="42A1D7F6">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3</w:t>
            </w:r>
          </w:p>
        </w:tc>
        <w:tc>
          <w:tcPr>
            <w:tcW w:w="3740" w:type="dxa"/>
            <w:tcBorders>
              <w:tl2br w:val="nil"/>
              <w:tr2bl w:val="nil"/>
            </w:tcBorders>
            <w:noWrap w:val="0"/>
            <w:vAlign w:val="center"/>
          </w:tcPr>
          <w:p w14:paraId="6B46E5D5">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泉州市德诚高新树脂有限公司</w:t>
            </w:r>
          </w:p>
        </w:tc>
        <w:tc>
          <w:tcPr>
            <w:tcW w:w="3674" w:type="dxa"/>
            <w:tcBorders>
              <w:tl2br w:val="nil"/>
              <w:tr2bl w:val="nil"/>
            </w:tcBorders>
            <w:noWrap w:val="0"/>
            <w:vAlign w:val="center"/>
          </w:tcPr>
          <w:p w14:paraId="5C3F8ED7">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5"/>
                <w:sz w:val="23"/>
                <w:szCs w:val="23"/>
              </w:rPr>
              <w:t>聚</w:t>
            </w:r>
            <w:r>
              <w:rPr>
                <w:rFonts w:ascii="仿宋" w:hAnsi="仿宋" w:eastAsia="仿宋" w:cs="仿宋"/>
                <w:spacing w:val="3"/>
                <w:sz w:val="23"/>
                <w:szCs w:val="23"/>
              </w:rPr>
              <w:t>氨酯树脂、高分子材料、涂</w:t>
            </w:r>
            <w:r>
              <w:rPr>
                <w:rFonts w:ascii="仿宋" w:hAnsi="仿宋" w:eastAsia="仿宋" w:cs="仿宋"/>
                <w:spacing w:val="6"/>
                <w:sz w:val="23"/>
                <w:szCs w:val="23"/>
              </w:rPr>
              <w:t>料</w:t>
            </w:r>
            <w:r>
              <w:rPr>
                <w:rFonts w:ascii="仿宋" w:hAnsi="仿宋" w:eastAsia="仿宋" w:cs="仿宋"/>
                <w:spacing w:val="3"/>
                <w:sz w:val="23"/>
                <w:szCs w:val="23"/>
              </w:rPr>
              <w:t>、油漆、电磁材料、磁性材</w:t>
            </w:r>
            <w:r>
              <w:rPr>
                <w:rFonts w:ascii="仿宋" w:hAnsi="仿宋" w:eastAsia="仿宋" w:cs="仿宋"/>
                <w:sz w:val="23"/>
                <w:szCs w:val="23"/>
              </w:rPr>
              <w:t>料</w:t>
            </w:r>
          </w:p>
        </w:tc>
        <w:tc>
          <w:tcPr>
            <w:tcW w:w="1461" w:type="dxa"/>
            <w:vMerge w:val="restart"/>
            <w:tcBorders>
              <w:tl2br w:val="nil"/>
              <w:tr2bl w:val="nil"/>
            </w:tcBorders>
            <w:noWrap w:val="0"/>
            <w:vAlign w:val="center"/>
          </w:tcPr>
          <w:p w14:paraId="525D5F0E">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8"/>
                <w:sz w:val="23"/>
                <w:szCs w:val="23"/>
              </w:rPr>
              <w:t>化</w:t>
            </w:r>
            <w:r>
              <w:rPr>
                <w:rFonts w:ascii="仿宋" w:hAnsi="仿宋" w:eastAsia="仿宋" w:cs="仿宋"/>
                <w:spacing w:val="6"/>
                <w:sz w:val="23"/>
                <w:szCs w:val="23"/>
              </w:rPr>
              <w:t>学原料和</w:t>
            </w:r>
          </w:p>
          <w:p w14:paraId="20DC5720">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8"/>
                <w:sz w:val="23"/>
                <w:szCs w:val="23"/>
              </w:rPr>
              <w:t>化</w:t>
            </w:r>
            <w:r>
              <w:rPr>
                <w:rFonts w:ascii="仿宋" w:hAnsi="仿宋" w:eastAsia="仿宋" w:cs="仿宋"/>
                <w:spacing w:val="6"/>
                <w:sz w:val="23"/>
                <w:szCs w:val="23"/>
              </w:rPr>
              <w:t>学制品制</w:t>
            </w:r>
          </w:p>
          <w:p w14:paraId="643126E6">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4"/>
                <w:sz w:val="23"/>
                <w:szCs w:val="23"/>
              </w:rPr>
              <w:t>造</w:t>
            </w:r>
            <w:r>
              <w:rPr>
                <w:rFonts w:ascii="仿宋" w:hAnsi="仿宋" w:eastAsia="仿宋" w:cs="仿宋"/>
                <w:spacing w:val="3"/>
                <w:sz w:val="23"/>
                <w:szCs w:val="23"/>
              </w:rPr>
              <w:t>业</w:t>
            </w:r>
          </w:p>
        </w:tc>
      </w:tr>
      <w:tr w14:paraId="513AD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182F5C4A">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pacing w:val="2"/>
                <w:sz w:val="23"/>
                <w:szCs w:val="23"/>
              </w:rPr>
              <w:t>4</w:t>
            </w:r>
          </w:p>
        </w:tc>
        <w:tc>
          <w:tcPr>
            <w:tcW w:w="3740" w:type="dxa"/>
            <w:tcBorders>
              <w:tl2br w:val="nil"/>
              <w:tr2bl w:val="nil"/>
            </w:tcBorders>
            <w:noWrap w:val="0"/>
            <w:vAlign w:val="center"/>
          </w:tcPr>
          <w:p w14:paraId="641EC73E">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泉州市泉港源盛工贸有限公司</w:t>
            </w:r>
          </w:p>
        </w:tc>
        <w:tc>
          <w:tcPr>
            <w:tcW w:w="3674" w:type="dxa"/>
            <w:tcBorders>
              <w:tl2br w:val="nil"/>
              <w:tr2bl w:val="nil"/>
            </w:tcBorders>
            <w:noWrap w:val="0"/>
            <w:vAlign w:val="center"/>
          </w:tcPr>
          <w:p w14:paraId="652F3F46">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8"/>
                <w:sz w:val="23"/>
                <w:szCs w:val="23"/>
              </w:rPr>
              <w:t>聚</w:t>
            </w:r>
            <w:r>
              <w:rPr>
                <w:rFonts w:ascii="仿宋" w:hAnsi="仿宋" w:eastAsia="仿宋" w:cs="仿宋"/>
                <w:spacing w:val="7"/>
                <w:sz w:val="23"/>
                <w:szCs w:val="23"/>
              </w:rPr>
              <w:t>合物多元醇</w:t>
            </w:r>
          </w:p>
        </w:tc>
        <w:tc>
          <w:tcPr>
            <w:tcW w:w="1461" w:type="dxa"/>
            <w:vMerge w:val="continue"/>
            <w:tcBorders>
              <w:tl2br w:val="nil"/>
              <w:tr2bl w:val="nil"/>
            </w:tcBorders>
            <w:noWrap w:val="0"/>
            <w:vAlign w:val="center"/>
          </w:tcPr>
          <w:p w14:paraId="45235577">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338206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34A95CDB">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5</w:t>
            </w:r>
          </w:p>
        </w:tc>
        <w:tc>
          <w:tcPr>
            <w:tcW w:w="3740" w:type="dxa"/>
            <w:tcBorders>
              <w:tl2br w:val="nil"/>
              <w:tr2bl w:val="nil"/>
            </w:tcBorders>
            <w:noWrap w:val="0"/>
            <w:vAlign w:val="center"/>
          </w:tcPr>
          <w:p w14:paraId="655EF5DF">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州德立化工有限公司</w:t>
            </w:r>
          </w:p>
        </w:tc>
        <w:tc>
          <w:tcPr>
            <w:tcW w:w="3674" w:type="dxa"/>
            <w:tcBorders>
              <w:tl2br w:val="nil"/>
              <w:tr2bl w:val="nil"/>
            </w:tcBorders>
            <w:noWrap w:val="0"/>
            <w:vAlign w:val="center"/>
          </w:tcPr>
          <w:p w14:paraId="58534589">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7"/>
                <w:sz w:val="23"/>
                <w:szCs w:val="23"/>
              </w:rPr>
              <w:t>粘合剂</w:t>
            </w:r>
          </w:p>
        </w:tc>
        <w:tc>
          <w:tcPr>
            <w:tcW w:w="1461" w:type="dxa"/>
            <w:vMerge w:val="continue"/>
            <w:tcBorders>
              <w:tl2br w:val="nil"/>
              <w:tr2bl w:val="nil"/>
            </w:tcBorders>
            <w:noWrap w:val="0"/>
            <w:vAlign w:val="center"/>
          </w:tcPr>
          <w:p w14:paraId="42799B2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158B36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727" w:hRule="atLeast"/>
          <w:jc w:val="center"/>
        </w:trPr>
        <w:tc>
          <w:tcPr>
            <w:tcW w:w="765" w:type="dxa"/>
            <w:tcBorders>
              <w:tl2br w:val="nil"/>
              <w:tr2bl w:val="nil"/>
            </w:tcBorders>
            <w:noWrap w:val="0"/>
            <w:vAlign w:val="center"/>
          </w:tcPr>
          <w:p w14:paraId="40061A5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6</w:t>
            </w:r>
          </w:p>
        </w:tc>
        <w:tc>
          <w:tcPr>
            <w:tcW w:w="3740" w:type="dxa"/>
            <w:tcBorders>
              <w:tl2br w:val="nil"/>
              <w:tr2bl w:val="nil"/>
            </w:tcBorders>
            <w:noWrap w:val="0"/>
            <w:vAlign w:val="center"/>
          </w:tcPr>
          <w:p w14:paraId="2DF43A8D">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0"/>
                <w:sz w:val="23"/>
                <w:szCs w:val="23"/>
              </w:rPr>
              <w:t>泉</w:t>
            </w:r>
            <w:r>
              <w:rPr>
                <w:rFonts w:ascii="仿宋" w:hAnsi="仿宋" w:eastAsia="仿宋" w:cs="仿宋"/>
                <w:spacing w:val="9"/>
                <w:sz w:val="23"/>
                <w:szCs w:val="23"/>
              </w:rPr>
              <w:t>州泉港华福密胺树脂有限公司</w:t>
            </w:r>
          </w:p>
        </w:tc>
        <w:tc>
          <w:tcPr>
            <w:tcW w:w="3674" w:type="dxa"/>
            <w:tcBorders>
              <w:tl2br w:val="nil"/>
              <w:tr2bl w:val="nil"/>
            </w:tcBorders>
            <w:noWrap w:val="0"/>
            <w:vAlign w:val="center"/>
          </w:tcPr>
          <w:p w14:paraId="2BD3CE04">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2"/>
                <w:sz w:val="23"/>
                <w:szCs w:val="23"/>
              </w:rPr>
              <w:t>三聚氰胺树脂成型粉、尿素树</w:t>
            </w:r>
            <w:r>
              <w:rPr>
                <w:rFonts w:ascii="仿宋" w:hAnsi="仿宋" w:eastAsia="仿宋" w:cs="仿宋"/>
                <w:spacing w:val="13"/>
                <w:sz w:val="23"/>
                <w:szCs w:val="23"/>
              </w:rPr>
              <w:t>脂</w:t>
            </w:r>
            <w:r>
              <w:rPr>
                <w:rFonts w:ascii="仿宋" w:hAnsi="仿宋" w:eastAsia="仿宋" w:cs="仿宋"/>
                <w:spacing w:val="8"/>
                <w:sz w:val="23"/>
                <w:szCs w:val="23"/>
              </w:rPr>
              <w:t>成型粉及亮光粉</w:t>
            </w:r>
          </w:p>
        </w:tc>
        <w:tc>
          <w:tcPr>
            <w:tcW w:w="1461" w:type="dxa"/>
            <w:vMerge w:val="continue"/>
            <w:tcBorders>
              <w:tl2br w:val="nil"/>
              <w:tr2bl w:val="nil"/>
            </w:tcBorders>
            <w:noWrap w:val="0"/>
            <w:vAlign w:val="center"/>
          </w:tcPr>
          <w:p w14:paraId="77B276CA">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3E71F6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21C40C6C">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7</w:t>
            </w:r>
          </w:p>
        </w:tc>
        <w:tc>
          <w:tcPr>
            <w:tcW w:w="3740" w:type="dxa"/>
            <w:tcBorders>
              <w:tl2br w:val="nil"/>
              <w:tr2bl w:val="nil"/>
            </w:tcBorders>
            <w:noWrap w:val="0"/>
            <w:vAlign w:val="center"/>
          </w:tcPr>
          <w:p w14:paraId="70A5D6C0">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泉州市卓达环保科技有限公司</w:t>
            </w:r>
          </w:p>
        </w:tc>
        <w:tc>
          <w:tcPr>
            <w:tcW w:w="3674" w:type="dxa"/>
            <w:tcBorders>
              <w:tl2br w:val="nil"/>
              <w:tr2bl w:val="nil"/>
            </w:tcBorders>
            <w:noWrap w:val="0"/>
            <w:vAlign w:val="center"/>
          </w:tcPr>
          <w:p w14:paraId="6C428E30">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水</w:t>
            </w:r>
            <w:r>
              <w:rPr>
                <w:rFonts w:ascii="仿宋" w:hAnsi="仿宋" w:eastAsia="仿宋" w:cs="仿宋"/>
                <w:spacing w:val="8"/>
                <w:sz w:val="23"/>
                <w:szCs w:val="23"/>
              </w:rPr>
              <w:t>处理药剂</w:t>
            </w:r>
          </w:p>
        </w:tc>
        <w:tc>
          <w:tcPr>
            <w:tcW w:w="1461" w:type="dxa"/>
            <w:vMerge w:val="continue"/>
            <w:tcBorders>
              <w:tl2br w:val="nil"/>
              <w:tr2bl w:val="nil"/>
            </w:tcBorders>
            <w:noWrap w:val="0"/>
            <w:vAlign w:val="center"/>
          </w:tcPr>
          <w:p w14:paraId="3200EAEC">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261364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36DB41B2">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8</w:t>
            </w:r>
          </w:p>
        </w:tc>
        <w:tc>
          <w:tcPr>
            <w:tcW w:w="3740" w:type="dxa"/>
            <w:tcBorders>
              <w:tl2br w:val="nil"/>
              <w:tr2bl w:val="nil"/>
            </w:tcBorders>
            <w:noWrap w:val="0"/>
            <w:vAlign w:val="center"/>
          </w:tcPr>
          <w:p w14:paraId="26FF48E8">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州博超实业有限公司</w:t>
            </w:r>
          </w:p>
        </w:tc>
        <w:tc>
          <w:tcPr>
            <w:tcW w:w="3674" w:type="dxa"/>
            <w:tcBorders>
              <w:tl2br w:val="nil"/>
              <w:tr2bl w:val="nil"/>
            </w:tcBorders>
            <w:noWrap w:val="0"/>
            <w:vAlign w:val="center"/>
          </w:tcPr>
          <w:p w14:paraId="32799CDA">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4"/>
                <w:sz w:val="23"/>
                <w:szCs w:val="23"/>
              </w:rPr>
              <w:t>医</w:t>
            </w:r>
            <w:r>
              <w:rPr>
                <w:rFonts w:ascii="仿宋" w:hAnsi="仿宋" w:eastAsia="仿宋" w:cs="仿宋"/>
                <w:spacing w:val="2"/>
                <w:sz w:val="23"/>
                <w:szCs w:val="23"/>
              </w:rPr>
              <w:t>药中间体</w:t>
            </w:r>
          </w:p>
        </w:tc>
        <w:tc>
          <w:tcPr>
            <w:tcW w:w="1461" w:type="dxa"/>
            <w:vMerge w:val="continue"/>
            <w:tcBorders>
              <w:tl2br w:val="nil"/>
              <w:tr2bl w:val="nil"/>
            </w:tcBorders>
            <w:noWrap w:val="0"/>
            <w:vAlign w:val="center"/>
          </w:tcPr>
          <w:p w14:paraId="56676CC0">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7D5013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3FEC33F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z w:val="23"/>
                <w:szCs w:val="23"/>
              </w:rPr>
              <w:t>9</w:t>
            </w:r>
          </w:p>
        </w:tc>
        <w:tc>
          <w:tcPr>
            <w:tcW w:w="3740" w:type="dxa"/>
            <w:tcBorders>
              <w:tl2br w:val="nil"/>
              <w:tr2bl w:val="nil"/>
            </w:tcBorders>
            <w:noWrap w:val="0"/>
            <w:vAlign w:val="center"/>
          </w:tcPr>
          <w:p w14:paraId="50123889">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福建百川资源再生科技有限公司</w:t>
            </w:r>
          </w:p>
        </w:tc>
        <w:tc>
          <w:tcPr>
            <w:tcW w:w="3674" w:type="dxa"/>
            <w:tcBorders>
              <w:tl2br w:val="nil"/>
              <w:tr2bl w:val="nil"/>
            </w:tcBorders>
            <w:noWrap w:val="0"/>
            <w:vAlign w:val="center"/>
          </w:tcPr>
          <w:p w14:paraId="159F0DF0">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0"/>
                <w:sz w:val="23"/>
                <w:szCs w:val="23"/>
              </w:rPr>
              <w:t>涤</w:t>
            </w:r>
            <w:r>
              <w:rPr>
                <w:rFonts w:ascii="仿宋" w:hAnsi="仿宋" w:eastAsia="仿宋" w:cs="仿宋"/>
                <w:spacing w:val="7"/>
                <w:sz w:val="23"/>
                <w:szCs w:val="23"/>
              </w:rPr>
              <w:t>纶丝、牛津布</w:t>
            </w:r>
          </w:p>
        </w:tc>
        <w:tc>
          <w:tcPr>
            <w:tcW w:w="1461" w:type="dxa"/>
            <w:vMerge w:val="restart"/>
            <w:tcBorders>
              <w:tl2br w:val="nil"/>
              <w:tr2bl w:val="nil"/>
            </w:tcBorders>
            <w:noWrap w:val="0"/>
            <w:vAlign w:val="center"/>
          </w:tcPr>
          <w:p w14:paraId="2DE54155">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5"/>
                <w:sz w:val="23"/>
                <w:szCs w:val="23"/>
              </w:rPr>
              <w:t>纺织</w:t>
            </w:r>
            <w:r>
              <w:rPr>
                <w:rFonts w:ascii="仿宋" w:hAnsi="仿宋" w:eastAsia="仿宋" w:cs="仿宋"/>
                <w:spacing w:val="4"/>
                <w:sz w:val="23"/>
                <w:szCs w:val="23"/>
              </w:rPr>
              <w:t>业</w:t>
            </w:r>
          </w:p>
        </w:tc>
      </w:tr>
      <w:tr w14:paraId="47E37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7" w:hRule="atLeast"/>
          <w:jc w:val="center"/>
        </w:trPr>
        <w:tc>
          <w:tcPr>
            <w:tcW w:w="765" w:type="dxa"/>
            <w:tcBorders>
              <w:tl2br w:val="nil"/>
              <w:tr2bl w:val="nil"/>
            </w:tcBorders>
            <w:noWrap w:val="0"/>
            <w:vAlign w:val="center"/>
          </w:tcPr>
          <w:p w14:paraId="24E22B36">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3740" w:type="dxa"/>
            <w:tcBorders>
              <w:tl2br w:val="nil"/>
              <w:tr2bl w:val="nil"/>
            </w:tcBorders>
            <w:noWrap w:val="0"/>
            <w:vAlign w:val="center"/>
          </w:tcPr>
          <w:p w14:paraId="53E29EC7">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福建省泉州弘耕鞋材有限公</w:t>
            </w:r>
            <w:r>
              <w:rPr>
                <w:rFonts w:ascii="仿宋" w:hAnsi="仿宋" w:eastAsia="仿宋" w:cs="仿宋"/>
                <w:spacing w:val="8"/>
                <w:sz w:val="23"/>
                <w:szCs w:val="23"/>
              </w:rPr>
              <w:t>司</w:t>
            </w:r>
          </w:p>
        </w:tc>
        <w:tc>
          <w:tcPr>
            <w:tcW w:w="3674" w:type="dxa"/>
            <w:tcBorders>
              <w:tl2br w:val="nil"/>
              <w:tr2bl w:val="nil"/>
            </w:tcBorders>
            <w:noWrap w:val="0"/>
            <w:vAlign w:val="center"/>
          </w:tcPr>
          <w:p w14:paraId="7DE4DF3B">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无</w:t>
            </w:r>
            <w:r>
              <w:rPr>
                <w:rFonts w:ascii="仿宋" w:hAnsi="仿宋" w:eastAsia="仿宋" w:cs="仿宋"/>
                <w:spacing w:val="6"/>
                <w:sz w:val="23"/>
                <w:szCs w:val="23"/>
              </w:rPr>
              <w:t>纺布衬料</w:t>
            </w:r>
          </w:p>
        </w:tc>
        <w:tc>
          <w:tcPr>
            <w:tcW w:w="1461" w:type="dxa"/>
            <w:vMerge w:val="continue"/>
            <w:tcBorders>
              <w:tl2br w:val="nil"/>
              <w:tr2bl w:val="nil"/>
            </w:tcBorders>
            <w:noWrap w:val="0"/>
            <w:vAlign w:val="center"/>
          </w:tcPr>
          <w:p w14:paraId="28145F8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642DA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726" w:hRule="atLeast"/>
          <w:jc w:val="center"/>
        </w:trPr>
        <w:tc>
          <w:tcPr>
            <w:tcW w:w="765" w:type="dxa"/>
            <w:tcBorders>
              <w:tl2br w:val="nil"/>
              <w:tr2bl w:val="nil"/>
            </w:tcBorders>
            <w:noWrap w:val="0"/>
            <w:vAlign w:val="center"/>
          </w:tcPr>
          <w:p w14:paraId="6F8FA6C8">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pacing w:val="-11"/>
                <w:sz w:val="23"/>
                <w:szCs w:val="23"/>
              </w:rPr>
              <w:t>1</w:t>
            </w:r>
            <w:r>
              <w:rPr>
                <w:rFonts w:ascii="Arial" w:hAnsi="Arial" w:eastAsia="Arial" w:cs="Arial"/>
                <w:spacing w:val="-36"/>
                <w:sz w:val="23"/>
                <w:szCs w:val="23"/>
              </w:rPr>
              <w:t xml:space="preserve"> </w:t>
            </w:r>
            <w:r>
              <w:rPr>
                <w:rFonts w:ascii="Arial" w:hAnsi="Arial" w:eastAsia="Arial" w:cs="Arial"/>
                <w:spacing w:val="-11"/>
                <w:sz w:val="23"/>
                <w:szCs w:val="23"/>
              </w:rPr>
              <w:t>1</w:t>
            </w:r>
          </w:p>
        </w:tc>
        <w:tc>
          <w:tcPr>
            <w:tcW w:w="3740" w:type="dxa"/>
            <w:tcBorders>
              <w:tl2br w:val="nil"/>
              <w:tr2bl w:val="nil"/>
            </w:tcBorders>
            <w:noWrap w:val="0"/>
            <w:vAlign w:val="center"/>
          </w:tcPr>
          <w:p w14:paraId="131BE256">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0"/>
                <w:sz w:val="23"/>
                <w:szCs w:val="23"/>
              </w:rPr>
              <w:t>中平神马(福建)科技发展有限公司</w:t>
            </w:r>
          </w:p>
        </w:tc>
        <w:tc>
          <w:tcPr>
            <w:tcW w:w="3674" w:type="dxa"/>
            <w:tcBorders>
              <w:tl2br w:val="nil"/>
              <w:tr2bl w:val="nil"/>
            </w:tcBorders>
            <w:noWrap w:val="0"/>
            <w:vAlign w:val="center"/>
          </w:tcPr>
          <w:p w14:paraId="6408A76A">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0"/>
                <w:sz w:val="23"/>
                <w:szCs w:val="23"/>
              </w:rPr>
              <w:t>生产尼龙</w:t>
            </w:r>
            <w:r>
              <w:rPr>
                <w:rFonts w:ascii="Arial" w:hAnsi="Arial" w:eastAsia="Arial" w:cs="Arial"/>
                <w:spacing w:val="0"/>
                <w:sz w:val="23"/>
                <w:szCs w:val="23"/>
              </w:rPr>
              <w:t>66</w:t>
            </w:r>
            <w:r>
              <w:rPr>
                <w:rFonts w:ascii="仿宋" w:hAnsi="仿宋" w:eastAsia="仿宋" w:cs="仿宋"/>
                <w:spacing w:val="0"/>
                <w:sz w:val="23"/>
                <w:szCs w:val="23"/>
              </w:rPr>
              <w:t>切片和鞋类产品、服装、包袋等体育用品</w:t>
            </w:r>
          </w:p>
        </w:tc>
        <w:tc>
          <w:tcPr>
            <w:tcW w:w="1461" w:type="dxa"/>
            <w:vMerge w:val="restart"/>
            <w:tcBorders>
              <w:tl2br w:val="nil"/>
              <w:tr2bl w:val="nil"/>
            </w:tcBorders>
            <w:noWrap w:val="0"/>
            <w:vAlign w:val="center"/>
          </w:tcPr>
          <w:p w14:paraId="73D275D3">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3"/>
                <w:sz w:val="23"/>
                <w:szCs w:val="23"/>
              </w:rPr>
              <w:t>纺织服装、</w:t>
            </w:r>
            <w:r>
              <w:rPr>
                <w:rFonts w:ascii="仿宋" w:hAnsi="仿宋" w:eastAsia="仿宋" w:cs="仿宋"/>
                <w:spacing w:val="6"/>
                <w:sz w:val="23"/>
                <w:szCs w:val="23"/>
              </w:rPr>
              <w:t>服饰</w:t>
            </w:r>
            <w:r>
              <w:rPr>
                <w:rFonts w:ascii="仿宋" w:hAnsi="仿宋" w:eastAsia="仿宋" w:cs="仿宋"/>
                <w:spacing w:val="5"/>
                <w:sz w:val="23"/>
                <w:szCs w:val="23"/>
              </w:rPr>
              <w:t>业</w:t>
            </w:r>
          </w:p>
        </w:tc>
      </w:tr>
      <w:tr w14:paraId="434A6A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1038" w:hRule="atLeast"/>
          <w:jc w:val="center"/>
        </w:trPr>
        <w:tc>
          <w:tcPr>
            <w:tcW w:w="765" w:type="dxa"/>
            <w:tcBorders>
              <w:tl2br w:val="nil"/>
              <w:tr2bl w:val="nil"/>
            </w:tcBorders>
            <w:noWrap w:val="0"/>
            <w:vAlign w:val="center"/>
          </w:tcPr>
          <w:p w14:paraId="582A98F1">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2</w:t>
            </w:r>
          </w:p>
        </w:tc>
        <w:tc>
          <w:tcPr>
            <w:tcW w:w="3740" w:type="dxa"/>
            <w:tcBorders>
              <w:tl2br w:val="nil"/>
              <w:tr2bl w:val="nil"/>
            </w:tcBorders>
            <w:noWrap w:val="0"/>
            <w:vAlign w:val="center"/>
          </w:tcPr>
          <w:p w14:paraId="7724AE4A">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州佳和服饰有限公司</w:t>
            </w:r>
          </w:p>
        </w:tc>
        <w:tc>
          <w:tcPr>
            <w:tcW w:w="3674" w:type="dxa"/>
            <w:tcBorders>
              <w:tl2br w:val="nil"/>
              <w:tr2bl w:val="nil"/>
            </w:tcBorders>
            <w:noWrap w:val="0"/>
            <w:vAlign w:val="center"/>
          </w:tcPr>
          <w:p w14:paraId="4D5BEEED">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1"/>
                <w:sz w:val="23"/>
                <w:szCs w:val="23"/>
              </w:rPr>
              <w:t>服</w:t>
            </w:r>
            <w:r>
              <w:rPr>
                <w:rFonts w:ascii="仿宋" w:hAnsi="仿宋" w:eastAsia="仿宋" w:cs="仿宋"/>
                <w:spacing w:val="8"/>
                <w:sz w:val="23"/>
                <w:szCs w:val="23"/>
              </w:rPr>
              <w:t>装辅料、钮扣、胶针胶链、</w:t>
            </w:r>
          </w:p>
          <w:p w14:paraId="20F6115A">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2"/>
                <w:sz w:val="23"/>
                <w:szCs w:val="23"/>
              </w:rPr>
              <w:t>四合扣、多</w:t>
            </w:r>
            <w:r>
              <w:rPr>
                <w:rFonts w:ascii="仿宋" w:hAnsi="仿宋" w:eastAsia="仿宋" w:cs="仿宋"/>
                <w:spacing w:val="1"/>
                <w:sz w:val="23"/>
                <w:szCs w:val="23"/>
              </w:rPr>
              <w:t>用扣、吊粒、衣裤</w:t>
            </w:r>
            <w:r>
              <w:rPr>
                <w:rFonts w:ascii="仿宋" w:hAnsi="仿宋" w:eastAsia="仿宋" w:cs="仿宋"/>
                <w:spacing w:val="10"/>
                <w:sz w:val="23"/>
                <w:szCs w:val="23"/>
              </w:rPr>
              <w:t>夹</w:t>
            </w:r>
            <w:r>
              <w:rPr>
                <w:rFonts w:ascii="仿宋" w:hAnsi="仿宋" w:eastAsia="仿宋" w:cs="仿宋"/>
                <w:spacing w:val="8"/>
                <w:sz w:val="23"/>
                <w:szCs w:val="23"/>
              </w:rPr>
              <w:t>、衣架、箱包扣</w:t>
            </w:r>
          </w:p>
        </w:tc>
        <w:tc>
          <w:tcPr>
            <w:tcW w:w="1461" w:type="dxa"/>
            <w:vMerge w:val="continue"/>
            <w:tcBorders>
              <w:tl2br w:val="nil"/>
              <w:tr2bl w:val="nil"/>
            </w:tcBorders>
            <w:noWrap w:val="0"/>
            <w:vAlign w:val="center"/>
          </w:tcPr>
          <w:p w14:paraId="65E1AE9D">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25E8DD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6" w:hRule="atLeast"/>
          <w:jc w:val="center"/>
        </w:trPr>
        <w:tc>
          <w:tcPr>
            <w:tcW w:w="765" w:type="dxa"/>
            <w:tcBorders>
              <w:tl2br w:val="nil"/>
              <w:tr2bl w:val="nil"/>
            </w:tcBorders>
            <w:noWrap w:val="0"/>
            <w:vAlign w:val="center"/>
          </w:tcPr>
          <w:p w14:paraId="52577F17">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3</w:t>
            </w:r>
          </w:p>
        </w:tc>
        <w:tc>
          <w:tcPr>
            <w:tcW w:w="3740" w:type="dxa"/>
            <w:tcBorders>
              <w:tl2br w:val="nil"/>
              <w:tr2bl w:val="nil"/>
            </w:tcBorders>
            <w:noWrap w:val="0"/>
            <w:vAlign w:val="center"/>
          </w:tcPr>
          <w:p w14:paraId="518497D3">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3"/>
                <w:sz w:val="23"/>
                <w:szCs w:val="23"/>
              </w:rPr>
              <w:t>泉</w:t>
            </w:r>
            <w:r>
              <w:rPr>
                <w:rFonts w:ascii="仿宋" w:hAnsi="仿宋" w:eastAsia="仿宋" w:cs="仿宋"/>
                <w:spacing w:val="8"/>
                <w:sz w:val="23"/>
                <w:szCs w:val="23"/>
              </w:rPr>
              <w:t>州泉港万家鑫集团</w:t>
            </w:r>
          </w:p>
        </w:tc>
        <w:tc>
          <w:tcPr>
            <w:tcW w:w="3674" w:type="dxa"/>
            <w:tcBorders>
              <w:tl2br w:val="nil"/>
              <w:tr2bl w:val="nil"/>
            </w:tcBorders>
            <w:noWrap w:val="0"/>
            <w:vAlign w:val="center"/>
          </w:tcPr>
          <w:p w14:paraId="2A26C229">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成</w:t>
            </w:r>
            <w:r>
              <w:rPr>
                <w:rFonts w:ascii="仿宋" w:hAnsi="仿宋" w:eastAsia="仿宋" w:cs="仿宋"/>
                <w:spacing w:val="7"/>
                <w:sz w:val="23"/>
                <w:szCs w:val="23"/>
              </w:rPr>
              <w:t>品鞋及鞋底</w:t>
            </w:r>
          </w:p>
        </w:tc>
        <w:tc>
          <w:tcPr>
            <w:tcW w:w="1461" w:type="dxa"/>
            <w:vMerge w:val="continue"/>
            <w:tcBorders>
              <w:tl2br w:val="nil"/>
              <w:tr2bl w:val="nil"/>
            </w:tcBorders>
            <w:noWrap w:val="0"/>
            <w:vAlign w:val="center"/>
          </w:tcPr>
          <w:p w14:paraId="5CC398F9">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63EFF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2038FC72">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4</w:t>
            </w:r>
          </w:p>
        </w:tc>
        <w:tc>
          <w:tcPr>
            <w:tcW w:w="3740" w:type="dxa"/>
            <w:tcBorders>
              <w:tl2br w:val="nil"/>
              <w:tr2bl w:val="nil"/>
            </w:tcBorders>
            <w:noWrap w:val="0"/>
            <w:vAlign w:val="center"/>
          </w:tcPr>
          <w:p w14:paraId="0BD2C613">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9"/>
                <w:sz w:val="23"/>
                <w:szCs w:val="23"/>
              </w:rPr>
              <w:t>泉州市泉港兢诚轻工有限公司</w:t>
            </w:r>
          </w:p>
        </w:tc>
        <w:tc>
          <w:tcPr>
            <w:tcW w:w="3674" w:type="dxa"/>
            <w:tcBorders>
              <w:tl2br w:val="nil"/>
              <w:tr2bl w:val="nil"/>
            </w:tcBorders>
            <w:noWrap w:val="0"/>
            <w:vAlign w:val="center"/>
          </w:tcPr>
          <w:p w14:paraId="462476CF">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z w:val="23"/>
                <w:szCs w:val="23"/>
              </w:rPr>
            </w:pPr>
            <w:r>
              <w:rPr>
                <w:rFonts w:ascii="仿宋" w:hAnsi="仿宋" w:eastAsia="仿宋" w:cs="仿宋"/>
                <w:spacing w:val="10"/>
                <w:sz w:val="23"/>
                <w:szCs w:val="23"/>
              </w:rPr>
              <w:t>箱</w:t>
            </w:r>
            <w:r>
              <w:rPr>
                <w:rFonts w:ascii="仿宋" w:hAnsi="仿宋" w:eastAsia="仿宋" w:cs="仿宋"/>
                <w:spacing w:val="8"/>
                <w:sz w:val="23"/>
                <w:szCs w:val="23"/>
              </w:rPr>
              <w:t>包、旅行袋</w:t>
            </w:r>
          </w:p>
        </w:tc>
        <w:tc>
          <w:tcPr>
            <w:tcW w:w="1461" w:type="dxa"/>
            <w:vMerge w:val="continue"/>
            <w:tcBorders>
              <w:tl2br w:val="nil"/>
              <w:tr2bl w:val="nil"/>
            </w:tcBorders>
            <w:noWrap w:val="0"/>
            <w:vAlign w:val="center"/>
          </w:tcPr>
          <w:p w14:paraId="71219512">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sz w:val="21"/>
              </w:rPr>
            </w:pPr>
          </w:p>
        </w:tc>
      </w:tr>
      <w:tr w14:paraId="2F828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5D7EB1DA">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Arial" w:hAnsi="Arial" w:eastAsia="Arial" w:cs="Arial"/>
                <w:snapToGrid w:val="0"/>
                <w:color w:val="000000"/>
                <w:kern w:val="0"/>
                <w:sz w:val="23"/>
                <w:szCs w:val="23"/>
              </w:rPr>
            </w:pPr>
            <w:r>
              <w:rPr>
                <w:rFonts w:ascii="Arial" w:hAnsi="Arial" w:eastAsia="Arial" w:cs="Arial"/>
                <w:spacing w:val="-8"/>
                <w:sz w:val="23"/>
                <w:szCs w:val="23"/>
              </w:rPr>
              <w:t>1</w:t>
            </w:r>
            <w:r>
              <w:rPr>
                <w:rFonts w:ascii="Arial" w:hAnsi="Arial" w:eastAsia="Arial" w:cs="Arial"/>
                <w:spacing w:val="-7"/>
                <w:sz w:val="23"/>
                <w:szCs w:val="23"/>
              </w:rPr>
              <w:t>5</w:t>
            </w:r>
          </w:p>
        </w:tc>
        <w:tc>
          <w:tcPr>
            <w:tcW w:w="3740" w:type="dxa"/>
            <w:tcBorders>
              <w:tl2br w:val="nil"/>
              <w:tr2bl w:val="nil"/>
            </w:tcBorders>
            <w:noWrap w:val="0"/>
            <w:vAlign w:val="center"/>
          </w:tcPr>
          <w:p w14:paraId="55BF7231">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仿宋" w:hAnsi="仿宋" w:eastAsia="仿宋" w:cs="仿宋"/>
                <w:snapToGrid w:val="0"/>
                <w:color w:val="000000"/>
                <w:kern w:val="0"/>
                <w:sz w:val="23"/>
                <w:szCs w:val="23"/>
              </w:rPr>
            </w:pPr>
            <w:r>
              <w:rPr>
                <w:rFonts w:ascii="仿宋" w:hAnsi="仿宋" w:eastAsia="仿宋" w:cs="仿宋"/>
                <w:spacing w:val="10"/>
                <w:sz w:val="23"/>
                <w:szCs w:val="23"/>
              </w:rPr>
              <w:t>泉</w:t>
            </w:r>
            <w:r>
              <w:rPr>
                <w:rFonts w:ascii="仿宋" w:hAnsi="仿宋" w:eastAsia="仿宋" w:cs="仿宋"/>
                <w:spacing w:val="9"/>
                <w:sz w:val="23"/>
                <w:szCs w:val="23"/>
              </w:rPr>
              <w:t>州市泉港区南港工贸有限公司</w:t>
            </w:r>
          </w:p>
        </w:tc>
        <w:tc>
          <w:tcPr>
            <w:tcW w:w="3674" w:type="dxa"/>
            <w:tcBorders>
              <w:tl2br w:val="nil"/>
              <w:tr2bl w:val="nil"/>
            </w:tcBorders>
            <w:noWrap w:val="0"/>
            <w:vAlign w:val="center"/>
          </w:tcPr>
          <w:p w14:paraId="1D7CFCF8">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仿宋" w:hAnsi="仿宋" w:eastAsia="仿宋" w:cs="仿宋"/>
                <w:snapToGrid w:val="0"/>
                <w:color w:val="000000"/>
                <w:kern w:val="0"/>
                <w:sz w:val="23"/>
                <w:szCs w:val="23"/>
              </w:rPr>
            </w:pPr>
            <w:r>
              <w:rPr>
                <w:rFonts w:ascii="仿宋" w:hAnsi="仿宋" w:eastAsia="仿宋" w:cs="仿宋"/>
                <w:spacing w:val="12"/>
                <w:sz w:val="23"/>
                <w:szCs w:val="23"/>
              </w:rPr>
              <w:t>生</w:t>
            </w:r>
            <w:r>
              <w:rPr>
                <w:rFonts w:ascii="仿宋" w:hAnsi="仿宋" w:eastAsia="仿宋" w:cs="仿宋"/>
                <w:spacing w:val="7"/>
                <w:sz w:val="23"/>
                <w:szCs w:val="23"/>
              </w:rPr>
              <w:t>产针织布面料及服装</w:t>
            </w:r>
          </w:p>
        </w:tc>
        <w:tc>
          <w:tcPr>
            <w:tcW w:w="1461" w:type="dxa"/>
            <w:tcBorders>
              <w:tl2br w:val="nil"/>
              <w:tr2bl w:val="nil"/>
            </w:tcBorders>
            <w:noWrap w:val="0"/>
            <w:vAlign w:val="center"/>
          </w:tcPr>
          <w:p w14:paraId="0ED101BC">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napToGrid w:val="0"/>
                <w:color w:val="000000"/>
                <w:kern w:val="0"/>
                <w:sz w:val="21"/>
                <w:szCs w:val="21"/>
              </w:rPr>
            </w:pPr>
          </w:p>
        </w:tc>
      </w:tr>
      <w:tr w14:paraId="169656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7D762CAF">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Arial" w:hAnsi="Arial" w:eastAsia="Arial" w:cs="Arial"/>
                <w:spacing w:val="-8"/>
                <w:sz w:val="23"/>
                <w:szCs w:val="23"/>
              </w:rPr>
            </w:pPr>
            <w:r>
              <w:rPr>
                <w:rFonts w:ascii="Arial" w:hAnsi="Arial" w:eastAsia="Arial" w:cs="Arial"/>
                <w:spacing w:val="-8"/>
                <w:sz w:val="23"/>
                <w:szCs w:val="23"/>
              </w:rPr>
              <w:t>1</w:t>
            </w:r>
            <w:r>
              <w:rPr>
                <w:rFonts w:ascii="Arial" w:hAnsi="Arial" w:eastAsia="Arial" w:cs="Arial"/>
                <w:spacing w:val="-7"/>
                <w:sz w:val="23"/>
                <w:szCs w:val="23"/>
              </w:rPr>
              <w:t>6</w:t>
            </w:r>
          </w:p>
        </w:tc>
        <w:tc>
          <w:tcPr>
            <w:tcW w:w="3740" w:type="dxa"/>
            <w:tcBorders>
              <w:tl2br w:val="nil"/>
              <w:tr2bl w:val="nil"/>
            </w:tcBorders>
            <w:noWrap w:val="0"/>
            <w:vAlign w:val="center"/>
          </w:tcPr>
          <w:p w14:paraId="24AC9BB2">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仿宋" w:hAnsi="仿宋" w:eastAsia="仿宋" w:cs="仿宋"/>
                <w:spacing w:val="10"/>
                <w:sz w:val="23"/>
                <w:szCs w:val="23"/>
              </w:rPr>
            </w:pPr>
            <w:r>
              <w:rPr>
                <w:rFonts w:ascii="仿宋" w:hAnsi="仿宋" w:eastAsia="仿宋" w:cs="仿宋"/>
                <w:spacing w:val="9"/>
                <w:sz w:val="23"/>
                <w:szCs w:val="23"/>
              </w:rPr>
              <w:t>福建省鑫佳鼎轻工实业有限公司</w:t>
            </w:r>
          </w:p>
        </w:tc>
        <w:tc>
          <w:tcPr>
            <w:tcW w:w="3674" w:type="dxa"/>
            <w:tcBorders>
              <w:tl2br w:val="nil"/>
              <w:tr2bl w:val="nil"/>
            </w:tcBorders>
            <w:noWrap w:val="0"/>
            <w:vAlign w:val="center"/>
          </w:tcPr>
          <w:p w14:paraId="59537F52">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仿宋" w:hAnsi="仿宋" w:eastAsia="仿宋" w:cs="仿宋"/>
                <w:spacing w:val="12"/>
                <w:sz w:val="23"/>
                <w:szCs w:val="23"/>
              </w:rPr>
            </w:pPr>
            <w:r>
              <w:rPr>
                <w:rFonts w:ascii="仿宋" w:hAnsi="仿宋" w:eastAsia="仿宋" w:cs="仿宋"/>
                <w:spacing w:val="6"/>
                <w:sz w:val="23"/>
                <w:szCs w:val="23"/>
              </w:rPr>
              <w:t>纺织机械</w:t>
            </w:r>
          </w:p>
        </w:tc>
        <w:tc>
          <w:tcPr>
            <w:tcW w:w="1461" w:type="dxa"/>
            <w:vMerge w:val="restart"/>
            <w:tcBorders>
              <w:tl2br w:val="nil"/>
              <w:tr2bl w:val="nil"/>
            </w:tcBorders>
            <w:noWrap w:val="0"/>
            <w:vAlign w:val="center"/>
          </w:tcPr>
          <w:p w14:paraId="7FD34F1D">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Arial" w:hAnsi="Arial" w:eastAsia="Arial" w:cs="Arial"/>
                <w:snapToGrid w:val="0"/>
                <w:color w:val="000000"/>
                <w:kern w:val="0"/>
                <w:sz w:val="21"/>
                <w:szCs w:val="21"/>
              </w:rPr>
            </w:pPr>
            <w:r>
              <w:rPr>
                <w:rFonts w:ascii="仿宋" w:hAnsi="仿宋" w:eastAsia="仿宋" w:cs="仿宋"/>
                <w:spacing w:val="9"/>
                <w:sz w:val="23"/>
                <w:szCs w:val="23"/>
              </w:rPr>
              <w:t>专</w:t>
            </w:r>
            <w:r>
              <w:rPr>
                <w:rFonts w:ascii="仿宋" w:hAnsi="仿宋" w:eastAsia="仿宋" w:cs="仿宋"/>
                <w:spacing w:val="6"/>
                <w:sz w:val="23"/>
                <w:szCs w:val="23"/>
              </w:rPr>
              <w:t>用设备制</w:t>
            </w:r>
            <w:r>
              <w:rPr>
                <w:rFonts w:ascii="仿宋" w:hAnsi="仿宋" w:eastAsia="仿宋" w:cs="仿宋"/>
                <w:spacing w:val="4"/>
                <w:sz w:val="23"/>
                <w:szCs w:val="23"/>
              </w:rPr>
              <w:t>造</w:t>
            </w:r>
            <w:r>
              <w:rPr>
                <w:rFonts w:ascii="仿宋" w:hAnsi="仿宋" w:eastAsia="仿宋" w:cs="仿宋"/>
                <w:spacing w:val="3"/>
                <w:sz w:val="23"/>
                <w:szCs w:val="23"/>
              </w:rPr>
              <w:t>业</w:t>
            </w:r>
          </w:p>
        </w:tc>
      </w:tr>
      <w:tr w14:paraId="56DD2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1A9C79EB">
            <w:pPr>
              <w:keepNext w:val="0"/>
              <w:keepLines w:val="0"/>
              <w:pageBreakBefore w:val="0"/>
              <w:widowControl w:val="0"/>
              <w:kinsoku/>
              <w:wordWrap/>
              <w:overflowPunct/>
              <w:topLinePunct/>
              <w:autoSpaceDE/>
              <w:autoSpaceDN/>
              <w:bidi w:val="0"/>
              <w:adjustRightInd w:val="0"/>
              <w:snapToGrid w:val="0"/>
              <w:spacing w:line="320" w:lineRule="exact"/>
              <w:ind w:left="0" w:leftChars="0" w:right="0" w:firstLine="0"/>
              <w:jc w:val="center"/>
              <w:textAlignment w:val="baseline"/>
              <w:rPr>
                <w:rFonts w:ascii="Arial" w:hAnsi="Arial" w:eastAsia="Arial" w:cs="Arial"/>
                <w:spacing w:val="-8"/>
                <w:kern w:val="2"/>
                <w:sz w:val="23"/>
                <w:szCs w:val="23"/>
                <w:lang w:val="en-US" w:eastAsia="zh-CN" w:bidi="ar-SA"/>
              </w:rPr>
            </w:pPr>
            <w:r>
              <w:rPr>
                <w:rFonts w:ascii="Arial" w:hAnsi="Arial" w:eastAsia="Arial" w:cs="Arial"/>
                <w:spacing w:val="-8"/>
                <w:sz w:val="23"/>
                <w:szCs w:val="23"/>
              </w:rPr>
              <w:t>1</w:t>
            </w:r>
            <w:r>
              <w:rPr>
                <w:rFonts w:ascii="Arial" w:hAnsi="Arial" w:eastAsia="Arial" w:cs="Arial"/>
                <w:spacing w:val="-7"/>
                <w:sz w:val="23"/>
                <w:szCs w:val="23"/>
              </w:rPr>
              <w:t>7</w:t>
            </w:r>
          </w:p>
        </w:tc>
        <w:tc>
          <w:tcPr>
            <w:tcW w:w="3740" w:type="dxa"/>
            <w:tcBorders>
              <w:tl2br w:val="nil"/>
              <w:tr2bl w:val="nil"/>
            </w:tcBorders>
            <w:noWrap w:val="0"/>
            <w:vAlign w:val="center"/>
          </w:tcPr>
          <w:p w14:paraId="4774DC59">
            <w:pPr>
              <w:keepNext w:val="0"/>
              <w:keepLines w:val="0"/>
              <w:pageBreakBefore w:val="0"/>
              <w:widowControl w:val="0"/>
              <w:kinsoku/>
              <w:wordWrap/>
              <w:overflowPunct/>
              <w:topLinePunct/>
              <w:autoSpaceDE/>
              <w:autoSpaceDN/>
              <w:bidi w:val="0"/>
              <w:adjustRightInd w:val="0"/>
              <w:snapToGrid w:val="0"/>
              <w:spacing w:line="320" w:lineRule="exact"/>
              <w:ind w:left="0" w:leftChars="0" w:right="0" w:rightChars="0" w:firstLine="0" w:firstLineChars="0"/>
              <w:jc w:val="center"/>
              <w:textAlignment w:val="baseline"/>
              <w:rPr>
                <w:rFonts w:ascii="仿宋" w:hAnsi="仿宋" w:eastAsia="仿宋" w:cs="仿宋"/>
                <w:spacing w:val="10"/>
                <w:kern w:val="2"/>
                <w:sz w:val="23"/>
                <w:szCs w:val="23"/>
                <w:lang w:val="en-US" w:eastAsia="zh-CN" w:bidi="ar-SA"/>
              </w:rPr>
            </w:pPr>
            <w:r>
              <w:rPr>
                <w:rFonts w:ascii="仿宋" w:hAnsi="仿宋" w:eastAsia="仿宋" w:cs="仿宋"/>
                <w:spacing w:val="9"/>
                <w:sz w:val="23"/>
                <w:szCs w:val="23"/>
              </w:rPr>
              <w:t>福建和盛置信非晶合金变压器有</w:t>
            </w:r>
            <w:r>
              <w:rPr>
                <w:rFonts w:ascii="仿宋" w:hAnsi="仿宋" w:eastAsia="仿宋" w:cs="仿宋"/>
                <w:spacing w:val="-2"/>
                <w:sz w:val="23"/>
                <w:szCs w:val="23"/>
              </w:rPr>
              <w:t>限</w:t>
            </w:r>
            <w:r>
              <w:rPr>
                <w:rFonts w:ascii="仿宋" w:hAnsi="仿宋" w:eastAsia="仿宋" w:cs="仿宋"/>
                <w:spacing w:val="-1"/>
                <w:sz w:val="23"/>
                <w:szCs w:val="23"/>
              </w:rPr>
              <w:t>公司</w:t>
            </w:r>
          </w:p>
        </w:tc>
        <w:tc>
          <w:tcPr>
            <w:tcW w:w="3674" w:type="dxa"/>
            <w:tcBorders>
              <w:tl2br w:val="nil"/>
              <w:tr2bl w:val="nil"/>
            </w:tcBorders>
            <w:noWrap w:val="0"/>
            <w:vAlign w:val="center"/>
          </w:tcPr>
          <w:p w14:paraId="0FF1D455">
            <w:pPr>
              <w:keepNext w:val="0"/>
              <w:keepLines w:val="0"/>
              <w:pageBreakBefore w:val="0"/>
              <w:widowControl w:val="0"/>
              <w:kinsoku/>
              <w:wordWrap/>
              <w:overflowPunct/>
              <w:topLinePunct/>
              <w:autoSpaceDE/>
              <w:autoSpaceDN/>
              <w:bidi w:val="0"/>
              <w:adjustRightInd w:val="0"/>
              <w:snapToGrid w:val="0"/>
              <w:spacing w:line="320" w:lineRule="exact"/>
              <w:ind w:left="0" w:leftChars="0" w:right="0" w:rightChars="0" w:firstLine="0" w:firstLineChars="0"/>
              <w:jc w:val="center"/>
              <w:textAlignment w:val="baseline"/>
              <w:rPr>
                <w:rFonts w:ascii="仿宋" w:hAnsi="仿宋" w:eastAsia="仿宋" w:cs="仿宋"/>
                <w:spacing w:val="12"/>
                <w:kern w:val="2"/>
                <w:sz w:val="23"/>
                <w:szCs w:val="23"/>
                <w:lang w:val="en-US" w:eastAsia="zh-CN" w:bidi="ar-SA"/>
              </w:rPr>
            </w:pPr>
            <w:r>
              <w:rPr>
                <w:rFonts w:ascii="仿宋" w:hAnsi="仿宋" w:eastAsia="仿宋" w:cs="仿宋"/>
                <w:spacing w:val="11"/>
                <w:sz w:val="23"/>
                <w:szCs w:val="23"/>
              </w:rPr>
              <w:t>非</w:t>
            </w:r>
            <w:r>
              <w:rPr>
                <w:rFonts w:ascii="仿宋" w:hAnsi="仿宋" w:eastAsia="仿宋" w:cs="仿宋"/>
                <w:spacing w:val="6"/>
                <w:sz w:val="23"/>
                <w:szCs w:val="23"/>
              </w:rPr>
              <w:t>晶合金变压器</w:t>
            </w:r>
          </w:p>
        </w:tc>
        <w:tc>
          <w:tcPr>
            <w:tcW w:w="1461" w:type="dxa"/>
            <w:vMerge w:val="continue"/>
            <w:tcBorders>
              <w:tl2br w:val="nil"/>
              <w:tr2bl w:val="nil"/>
            </w:tcBorders>
            <w:noWrap w:val="0"/>
            <w:vAlign w:val="center"/>
          </w:tcPr>
          <w:p w14:paraId="30C741B4">
            <w:pPr>
              <w:keepNext w:val="0"/>
              <w:keepLines w:val="0"/>
              <w:pageBreakBefore w:val="0"/>
              <w:widowControl w:val="0"/>
              <w:kinsoku/>
              <w:wordWrap/>
              <w:overflowPunct/>
              <w:topLinePunct/>
              <w:autoSpaceDE/>
              <w:autoSpaceDN/>
              <w:bidi w:val="0"/>
              <w:adjustRightInd w:val="0"/>
              <w:snapToGrid w:val="0"/>
              <w:spacing w:line="320" w:lineRule="exact"/>
              <w:ind w:left="0" w:right="0" w:firstLine="0"/>
              <w:jc w:val="center"/>
              <w:textAlignment w:val="baseline"/>
              <w:rPr>
                <w:rFonts w:ascii="仿宋" w:hAnsi="仿宋" w:eastAsia="仿宋" w:cs="仿宋"/>
                <w:spacing w:val="9"/>
                <w:sz w:val="23"/>
                <w:szCs w:val="23"/>
              </w:rPr>
            </w:pPr>
          </w:p>
        </w:tc>
      </w:tr>
      <w:tr w14:paraId="1067F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2EF73B62">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8"/>
                <w:sz w:val="23"/>
                <w:szCs w:val="23"/>
              </w:rPr>
              <w:t>1</w:t>
            </w:r>
            <w:r>
              <w:rPr>
                <w:rFonts w:ascii="Arial" w:hAnsi="Arial" w:eastAsia="Arial" w:cs="Arial"/>
                <w:spacing w:val="-7"/>
                <w:sz w:val="23"/>
                <w:szCs w:val="23"/>
              </w:rPr>
              <w:t>8</w:t>
            </w:r>
          </w:p>
        </w:tc>
        <w:tc>
          <w:tcPr>
            <w:tcW w:w="3740" w:type="dxa"/>
            <w:tcBorders>
              <w:tl2br w:val="nil"/>
              <w:tr2bl w:val="nil"/>
            </w:tcBorders>
            <w:noWrap w:val="0"/>
            <w:vAlign w:val="center"/>
          </w:tcPr>
          <w:p w14:paraId="40A8AF89">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本益科技股份有限公司</w:t>
            </w:r>
          </w:p>
        </w:tc>
        <w:tc>
          <w:tcPr>
            <w:tcW w:w="3674" w:type="dxa"/>
            <w:tcBorders>
              <w:tl2br w:val="nil"/>
              <w:tr2bl w:val="nil"/>
            </w:tcBorders>
            <w:noWrap w:val="0"/>
            <w:vAlign w:val="center"/>
          </w:tcPr>
          <w:p w14:paraId="659E75D2">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石</w:t>
            </w:r>
            <w:r>
              <w:rPr>
                <w:rFonts w:ascii="仿宋" w:hAnsi="仿宋" w:eastAsia="仿宋" w:cs="仿宋"/>
                <w:spacing w:val="5"/>
                <w:sz w:val="23"/>
                <w:szCs w:val="23"/>
              </w:rPr>
              <w:t>材加工</w:t>
            </w:r>
          </w:p>
        </w:tc>
        <w:tc>
          <w:tcPr>
            <w:tcW w:w="1461" w:type="dxa"/>
            <w:vMerge w:val="restart"/>
            <w:tcBorders>
              <w:tl2br w:val="nil"/>
              <w:tr2bl w:val="nil"/>
            </w:tcBorders>
            <w:noWrap w:val="0"/>
            <w:vAlign w:val="center"/>
          </w:tcPr>
          <w:p w14:paraId="1AA3C528">
            <w:pPr>
              <w:keepNext w:val="0"/>
              <w:keepLines w:val="0"/>
              <w:pageBreakBefore w:val="0"/>
              <w:widowControl w:val="0"/>
              <w:kinsoku/>
              <w:wordWrap/>
              <w:overflowPunct/>
              <w:topLinePunct/>
              <w:autoSpaceDE/>
              <w:autoSpaceDN/>
              <w:bidi w:val="0"/>
              <w:adjustRightInd w:val="0"/>
              <w:snapToGrid w:val="0"/>
              <w:spacing w:line="320" w:lineRule="exact"/>
              <w:ind w:left="0" w:right="0" w:rightChars="0"/>
              <w:jc w:val="center"/>
              <w:textAlignment w:val="baseline"/>
              <w:rPr>
                <w:rFonts w:ascii="仿宋" w:hAnsi="仿宋" w:eastAsia="仿宋" w:cs="仿宋"/>
                <w:spacing w:val="9"/>
                <w:sz w:val="23"/>
                <w:szCs w:val="23"/>
              </w:rPr>
            </w:pPr>
            <w:r>
              <w:rPr>
                <w:rFonts w:ascii="仿宋" w:hAnsi="仿宋" w:eastAsia="仿宋" w:cs="仿宋"/>
                <w:spacing w:val="7"/>
                <w:sz w:val="23"/>
                <w:szCs w:val="23"/>
              </w:rPr>
              <w:t>非</w:t>
            </w:r>
            <w:r>
              <w:rPr>
                <w:rFonts w:ascii="仿宋" w:hAnsi="仿宋" w:eastAsia="仿宋" w:cs="仿宋"/>
                <w:spacing w:val="5"/>
                <w:sz w:val="23"/>
                <w:szCs w:val="23"/>
              </w:rPr>
              <w:t>金属矿物制</w:t>
            </w:r>
            <w:r>
              <w:rPr>
                <w:rFonts w:ascii="仿宋" w:hAnsi="仿宋" w:eastAsia="仿宋" w:cs="仿宋"/>
                <w:spacing w:val="4"/>
                <w:sz w:val="23"/>
                <w:szCs w:val="23"/>
              </w:rPr>
              <w:t>品业</w:t>
            </w:r>
          </w:p>
        </w:tc>
      </w:tr>
      <w:tr w14:paraId="494C26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14F38401">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8"/>
                <w:sz w:val="23"/>
                <w:szCs w:val="23"/>
              </w:rPr>
              <w:t>1</w:t>
            </w:r>
            <w:r>
              <w:rPr>
                <w:rFonts w:ascii="Arial" w:hAnsi="Arial" w:eastAsia="Arial" w:cs="Arial"/>
                <w:spacing w:val="-7"/>
                <w:sz w:val="23"/>
                <w:szCs w:val="23"/>
              </w:rPr>
              <w:t>9</w:t>
            </w:r>
          </w:p>
        </w:tc>
        <w:tc>
          <w:tcPr>
            <w:tcW w:w="3740" w:type="dxa"/>
            <w:tcBorders>
              <w:tl2br w:val="nil"/>
              <w:tr2bl w:val="nil"/>
            </w:tcBorders>
            <w:noWrap w:val="0"/>
            <w:vAlign w:val="center"/>
          </w:tcPr>
          <w:p w14:paraId="53B18DBF">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4"/>
                <w:sz w:val="23"/>
                <w:szCs w:val="23"/>
              </w:rPr>
              <w:t>德</w:t>
            </w:r>
            <w:r>
              <w:rPr>
                <w:rFonts w:ascii="仿宋" w:hAnsi="仿宋" w:eastAsia="仿宋" w:cs="仿宋"/>
                <w:spacing w:val="9"/>
                <w:sz w:val="23"/>
                <w:szCs w:val="23"/>
              </w:rPr>
              <w:t>和水泥制品有限公司</w:t>
            </w:r>
          </w:p>
        </w:tc>
        <w:tc>
          <w:tcPr>
            <w:tcW w:w="3674" w:type="dxa"/>
            <w:tcBorders>
              <w:tl2br w:val="nil"/>
              <w:tr2bl w:val="nil"/>
            </w:tcBorders>
            <w:noWrap w:val="0"/>
            <w:vAlign w:val="center"/>
          </w:tcPr>
          <w:p w14:paraId="1442EC0D">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8"/>
                <w:sz w:val="23"/>
                <w:szCs w:val="23"/>
              </w:rPr>
              <w:t>水泥制</w:t>
            </w:r>
            <w:r>
              <w:rPr>
                <w:rFonts w:ascii="仿宋" w:hAnsi="仿宋" w:eastAsia="仿宋" w:cs="仿宋"/>
                <w:spacing w:val="7"/>
                <w:sz w:val="23"/>
                <w:szCs w:val="23"/>
              </w:rPr>
              <w:t>品</w:t>
            </w:r>
          </w:p>
        </w:tc>
        <w:tc>
          <w:tcPr>
            <w:tcW w:w="1461" w:type="dxa"/>
            <w:vMerge w:val="continue"/>
            <w:tcBorders>
              <w:tl2br w:val="nil"/>
              <w:tr2bl w:val="nil"/>
            </w:tcBorders>
            <w:noWrap w:val="0"/>
            <w:vAlign w:val="center"/>
          </w:tcPr>
          <w:p w14:paraId="12DDB0C6">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315342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2BE276C7">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0</w:t>
            </w:r>
          </w:p>
        </w:tc>
        <w:tc>
          <w:tcPr>
            <w:tcW w:w="3740" w:type="dxa"/>
            <w:tcBorders>
              <w:tl2br w:val="nil"/>
              <w:tr2bl w:val="nil"/>
            </w:tcBorders>
            <w:noWrap w:val="0"/>
            <w:vAlign w:val="center"/>
          </w:tcPr>
          <w:p w14:paraId="5869DEF9">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泉州市泉港厦日建材有限公司</w:t>
            </w:r>
          </w:p>
        </w:tc>
        <w:tc>
          <w:tcPr>
            <w:tcW w:w="3674" w:type="dxa"/>
            <w:tcBorders>
              <w:tl2br w:val="nil"/>
              <w:tr2bl w:val="nil"/>
            </w:tcBorders>
            <w:noWrap w:val="0"/>
            <w:vAlign w:val="center"/>
          </w:tcPr>
          <w:p w14:paraId="5F06847E">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3"/>
                <w:sz w:val="23"/>
                <w:szCs w:val="23"/>
              </w:rPr>
              <w:t>防</w:t>
            </w:r>
            <w:r>
              <w:rPr>
                <w:rFonts w:ascii="仿宋" w:hAnsi="仿宋" w:eastAsia="仿宋" w:cs="仿宋"/>
                <w:spacing w:val="2"/>
                <w:sz w:val="23"/>
                <w:szCs w:val="23"/>
              </w:rPr>
              <w:t>水涂料</w:t>
            </w:r>
          </w:p>
        </w:tc>
        <w:tc>
          <w:tcPr>
            <w:tcW w:w="1461" w:type="dxa"/>
            <w:vMerge w:val="continue"/>
            <w:tcBorders>
              <w:tl2br w:val="nil"/>
              <w:tr2bl w:val="nil"/>
            </w:tcBorders>
            <w:noWrap w:val="0"/>
            <w:vAlign w:val="center"/>
          </w:tcPr>
          <w:p w14:paraId="323ACBEF">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38853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71DCF449">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1</w:t>
            </w:r>
          </w:p>
        </w:tc>
        <w:tc>
          <w:tcPr>
            <w:tcW w:w="3740" w:type="dxa"/>
            <w:tcBorders>
              <w:tl2br w:val="nil"/>
              <w:tr2bl w:val="nil"/>
            </w:tcBorders>
            <w:noWrap w:val="0"/>
            <w:vAlign w:val="center"/>
          </w:tcPr>
          <w:p w14:paraId="5674FC1A">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5"/>
                <w:sz w:val="23"/>
                <w:szCs w:val="23"/>
              </w:rPr>
              <w:t>泉</w:t>
            </w:r>
            <w:r>
              <w:rPr>
                <w:rFonts w:ascii="仿宋" w:hAnsi="仿宋" w:eastAsia="仿宋" w:cs="仿宋"/>
                <w:spacing w:val="8"/>
                <w:sz w:val="23"/>
                <w:szCs w:val="23"/>
              </w:rPr>
              <w:t>州市泉港安兴石材厂</w:t>
            </w:r>
          </w:p>
        </w:tc>
        <w:tc>
          <w:tcPr>
            <w:tcW w:w="3674" w:type="dxa"/>
            <w:tcBorders>
              <w:tl2br w:val="nil"/>
              <w:tr2bl w:val="nil"/>
            </w:tcBorders>
            <w:noWrap w:val="0"/>
            <w:vAlign w:val="center"/>
          </w:tcPr>
          <w:p w14:paraId="0B3ED67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石</w:t>
            </w:r>
            <w:r>
              <w:rPr>
                <w:rFonts w:ascii="仿宋" w:hAnsi="仿宋" w:eastAsia="仿宋" w:cs="仿宋"/>
                <w:spacing w:val="5"/>
                <w:sz w:val="23"/>
                <w:szCs w:val="23"/>
              </w:rPr>
              <w:t>材加工</w:t>
            </w:r>
          </w:p>
        </w:tc>
        <w:tc>
          <w:tcPr>
            <w:tcW w:w="1461" w:type="dxa"/>
            <w:vMerge w:val="continue"/>
            <w:tcBorders>
              <w:tl2br w:val="nil"/>
              <w:tr2bl w:val="nil"/>
            </w:tcBorders>
            <w:noWrap w:val="0"/>
            <w:vAlign w:val="center"/>
          </w:tcPr>
          <w:p w14:paraId="73BF34B7">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401D5B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0C6A6E6B">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2</w:t>
            </w:r>
          </w:p>
        </w:tc>
        <w:tc>
          <w:tcPr>
            <w:tcW w:w="3740" w:type="dxa"/>
            <w:tcBorders>
              <w:tl2br w:val="nil"/>
              <w:tr2bl w:val="nil"/>
            </w:tcBorders>
            <w:noWrap w:val="0"/>
            <w:vAlign w:val="center"/>
          </w:tcPr>
          <w:p w14:paraId="018BECF8">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泉州开普勒车用电机有限公司</w:t>
            </w:r>
          </w:p>
        </w:tc>
        <w:tc>
          <w:tcPr>
            <w:tcW w:w="3674" w:type="dxa"/>
            <w:tcBorders>
              <w:tl2br w:val="nil"/>
              <w:tr2bl w:val="nil"/>
            </w:tcBorders>
            <w:noWrap w:val="0"/>
            <w:vAlign w:val="center"/>
          </w:tcPr>
          <w:p w14:paraId="69BB9994">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4"/>
                <w:sz w:val="23"/>
                <w:szCs w:val="23"/>
              </w:rPr>
              <w:t>汽车用</w:t>
            </w:r>
            <w:r>
              <w:rPr>
                <w:rFonts w:ascii="仿宋" w:hAnsi="仿宋" w:eastAsia="仿宋" w:cs="仿宋"/>
                <w:spacing w:val="2"/>
                <w:sz w:val="23"/>
                <w:szCs w:val="23"/>
              </w:rPr>
              <w:t>起动机、汽车用发电机</w:t>
            </w:r>
          </w:p>
        </w:tc>
        <w:tc>
          <w:tcPr>
            <w:tcW w:w="1461" w:type="dxa"/>
            <w:vMerge w:val="restart"/>
            <w:tcBorders>
              <w:tl2br w:val="nil"/>
              <w:tr2bl w:val="nil"/>
            </w:tcBorders>
            <w:noWrap w:val="0"/>
            <w:vAlign w:val="center"/>
          </w:tcPr>
          <w:p w14:paraId="23652510">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6"/>
                <w:sz w:val="23"/>
                <w:szCs w:val="23"/>
              </w:rPr>
              <w:t>汽车制造</w:t>
            </w:r>
            <w:r>
              <w:rPr>
                <w:rFonts w:ascii="仿宋" w:hAnsi="仿宋" w:eastAsia="仿宋" w:cs="仿宋"/>
                <w:spacing w:val="5"/>
                <w:sz w:val="23"/>
                <w:szCs w:val="23"/>
              </w:rPr>
              <w:t>业</w:t>
            </w:r>
          </w:p>
        </w:tc>
      </w:tr>
      <w:tr w14:paraId="2A6B3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078CEBEA">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3</w:t>
            </w:r>
          </w:p>
        </w:tc>
        <w:tc>
          <w:tcPr>
            <w:tcW w:w="3740" w:type="dxa"/>
            <w:tcBorders>
              <w:tl2br w:val="nil"/>
              <w:tr2bl w:val="nil"/>
            </w:tcBorders>
            <w:noWrap w:val="0"/>
            <w:vAlign w:val="center"/>
          </w:tcPr>
          <w:p w14:paraId="4D2C91A7">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泉州市良辉液力机械有限公司</w:t>
            </w:r>
          </w:p>
        </w:tc>
        <w:tc>
          <w:tcPr>
            <w:tcW w:w="3674" w:type="dxa"/>
            <w:tcBorders>
              <w:tl2br w:val="nil"/>
              <w:tr2bl w:val="nil"/>
            </w:tcBorders>
            <w:noWrap w:val="0"/>
            <w:vAlign w:val="center"/>
          </w:tcPr>
          <w:p w14:paraId="18188963">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液力机械</w:t>
            </w:r>
          </w:p>
        </w:tc>
        <w:tc>
          <w:tcPr>
            <w:tcW w:w="1461" w:type="dxa"/>
            <w:vMerge w:val="continue"/>
            <w:tcBorders>
              <w:tl2br w:val="nil"/>
              <w:tr2bl w:val="nil"/>
            </w:tcBorders>
            <w:noWrap w:val="0"/>
            <w:vAlign w:val="center"/>
          </w:tcPr>
          <w:p w14:paraId="606F1DE0">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72465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3DEEB454">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4</w:t>
            </w:r>
          </w:p>
        </w:tc>
        <w:tc>
          <w:tcPr>
            <w:tcW w:w="3740" w:type="dxa"/>
            <w:tcBorders>
              <w:tl2br w:val="nil"/>
              <w:tr2bl w:val="nil"/>
            </w:tcBorders>
            <w:noWrap w:val="0"/>
            <w:vAlign w:val="center"/>
          </w:tcPr>
          <w:p w14:paraId="4280DD7E">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fldChar w:fldCharType="begin"/>
            </w:r>
            <w:r>
              <w:instrText xml:space="preserve">HYPERLINK"http://www.baidu.com/link?url=Jy5JyMBJBMVbSwdUqXgS4yfFeKOeZNliSw_lZWEdS7vHH5RGDqbNBB2fSo4qoXsl6M5rrY3BvxckB4PQBJf7IgEnDysUMVtHz_9Z5YmvRPoI9GYeyh96vljAUNiWFXGo-UAcKHPtBBfTmhM3JLqVvGzyNGt51VR_dZm3JYc-CG_XRExlK0y8deVRHWMorHZdSVyvZWy2LJhb-PGHZ4BJJK"</w:instrText>
            </w:r>
            <w:r>
              <w:fldChar w:fldCharType="separate"/>
            </w:r>
            <w:r>
              <w:rPr>
                <w:rFonts w:ascii="仿宋" w:hAnsi="仿宋" w:eastAsia="仿宋" w:cs="仿宋"/>
                <w:spacing w:val="9"/>
                <w:sz w:val="23"/>
                <w:szCs w:val="23"/>
              </w:rPr>
              <w:t>泉州市东方世家皮革有限公司</w:t>
            </w:r>
            <w:r>
              <w:rPr>
                <w:rFonts w:ascii="仿宋" w:hAnsi="仿宋" w:eastAsia="仿宋" w:cs="仿宋"/>
                <w:spacing w:val="9"/>
                <w:sz w:val="23"/>
                <w:szCs w:val="23"/>
              </w:rPr>
              <w:fldChar w:fldCharType="end"/>
            </w:r>
          </w:p>
        </w:tc>
        <w:tc>
          <w:tcPr>
            <w:tcW w:w="3674" w:type="dxa"/>
            <w:tcBorders>
              <w:tl2br w:val="nil"/>
              <w:tr2bl w:val="nil"/>
            </w:tcBorders>
            <w:noWrap w:val="0"/>
            <w:vAlign w:val="center"/>
          </w:tcPr>
          <w:p w14:paraId="5C1E424F">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皮革</w:t>
            </w:r>
          </w:p>
        </w:tc>
        <w:tc>
          <w:tcPr>
            <w:tcW w:w="1461" w:type="dxa"/>
            <w:vMerge w:val="restart"/>
            <w:tcBorders>
              <w:tl2br w:val="nil"/>
              <w:tr2bl w:val="nil"/>
            </w:tcBorders>
            <w:noWrap w:val="0"/>
            <w:vAlign w:val="center"/>
          </w:tcPr>
          <w:p w14:paraId="24792F78">
            <w:pPr>
              <w:keepNext w:val="0"/>
              <w:keepLines w:val="0"/>
              <w:pageBreakBefore w:val="0"/>
              <w:widowControl w:val="0"/>
              <w:kinsoku/>
              <w:wordWrap/>
              <w:overflowPunct/>
              <w:topLinePunct/>
              <w:autoSpaceDE/>
              <w:autoSpaceDN/>
              <w:bidi w:val="0"/>
              <w:adjustRightInd w:val="0"/>
              <w:snapToGrid w:val="0"/>
              <w:spacing w:line="320" w:lineRule="exact"/>
              <w:ind w:left="0" w:right="0" w:rightChars="0"/>
              <w:jc w:val="center"/>
              <w:textAlignment w:val="baseline"/>
              <w:rPr>
                <w:rFonts w:ascii="仿宋" w:hAnsi="仿宋" w:eastAsia="仿宋" w:cs="仿宋"/>
                <w:spacing w:val="9"/>
                <w:sz w:val="23"/>
                <w:szCs w:val="23"/>
              </w:rPr>
            </w:pPr>
            <w:r>
              <w:rPr>
                <w:rFonts w:ascii="仿宋" w:hAnsi="仿宋" w:eastAsia="仿宋" w:cs="仿宋"/>
                <w:spacing w:val="-20"/>
                <w:sz w:val="23"/>
                <w:szCs w:val="23"/>
              </w:rPr>
              <w:t>皮</w:t>
            </w:r>
            <w:r>
              <w:rPr>
                <w:rFonts w:ascii="仿宋" w:hAnsi="仿宋" w:eastAsia="仿宋" w:cs="仿宋"/>
                <w:spacing w:val="-16"/>
                <w:sz w:val="23"/>
                <w:szCs w:val="23"/>
              </w:rPr>
              <w:t>革、毛皮、</w:t>
            </w:r>
            <w:r>
              <w:rPr>
                <w:rFonts w:ascii="仿宋" w:hAnsi="仿宋" w:eastAsia="仿宋" w:cs="仿宋"/>
                <w:spacing w:val="10"/>
                <w:sz w:val="23"/>
                <w:szCs w:val="23"/>
              </w:rPr>
              <w:t>羽</w:t>
            </w:r>
            <w:r>
              <w:rPr>
                <w:rFonts w:ascii="仿宋" w:hAnsi="仿宋" w:eastAsia="仿宋" w:cs="仿宋"/>
                <w:spacing w:val="8"/>
                <w:sz w:val="23"/>
                <w:szCs w:val="23"/>
              </w:rPr>
              <w:t>毛及其制</w:t>
            </w:r>
            <w:r>
              <w:rPr>
                <w:rFonts w:ascii="仿宋" w:hAnsi="仿宋" w:eastAsia="仿宋" w:cs="仿宋"/>
                <w:spacing w:val="5"/>
                <w:sz w:val="23"/>
                <w:szCs w:val="23"/>
              </w:rPr>
              <w:t>品和制鞋业</w:t>
            </w:r>
          </w:p>
        </w:tc>
      </w:tr>
      <w:tr w14:paraId="6519D3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0C854085">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5</w:t>
            </w:r>
          </w:p>
        </w:tc>
        <w:tc>
          <w:tcPr>
            <w:tcW w:w="3740" w:type="dxa"/>
            <w:tcBorders>
              <w:tl2br w:val="nil"/>
              <w:tr2bl w:val="nil"/>
            </w:tcBorders>
            <w:noWrap w:val="0"/>
            <w:vAlign w:val="center"/>
          </w:tcPr>
          <w:p w14:paraId="68DA72C2">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5"/>
                <w:sz w:val="23"/>
                <w:szCs w:val="23"/>
              </w:rPr>
              <w:t>泉</w:t>
            </w:r>
            <w:r>
              <w:rPr>
                <w:rFonts w:ascii="仿宋" w:hAnsi="仿宋" w:eastAsia="仿宋" w:cs="仿宋"/>
                <w:spacing w:val="8"/>
                <w:sz w:val="23"/>
                <w:szCs w:val="23"/>
              </w:rPr>
              <w:t>州隆泰皮革有限公司</w:t>
            </w:r>
          </w:p>
        </w:tc>
        <w:tc>
          <w:tcPr>
            <w:tcW w:w="3674" w:type="dxa"/>
            <w:tcBorders>
              <w:tl2br w:val="nil"/>
              <w:tr2bl w:val="nil"/>
            </w:tcBorders>
            <w:noWrap w:val="0"/>
            <w:vAlign w:val="center"/>
          </w:tcPr>
          <w:p w14:paraId="4CEED0F3">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人造革</w:t>
            </w:r>
          </w:p>
        </w:tc>
        <w:tc>
          <w:tcPr>
            <w:tcW w:w="1461" w:type="dxa"/>
            <w:vMerge w:val="continue"/>
            <w:tcBorders>
              <w:tl2br w:val="nil"/>
              <w:tr2bl w:val="nil"/>
            </w:tcBorders>
            <w:noWrap w:val="0"/>
            <w:vAlign w:val="center"/>
          </w:tcPr>
          <w:p w14:paraId="0E06CB62">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3C12B5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31925158">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6</w:t>
            </w:r>
          </w:p>
        </w:tc>
        <w:tc>
          <w:tcPr>
            <w:tcW w:w="3740" w:type="dxa"/>
            <w:tcBorders>
              <w:tl2br w:val="nil"/>
              <w:tr2bl w:val="nil"/>
            </w:tcBorders>
            <w:noWrap w:val="0"/>
            <w:vAlign w:val="center"/>
          </w:tcPr>
          <w:p w14:paraId="69598540">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0"/>
                <w:sz w:val="23"/>
                <w:szCs w:val="23"/>
              </w:rPr>
              <w:t>泉</w:t>
            </w:r>
            <w:r>
              <w:rPr>
                <w:rFonts w:ascii="仿宋" w:hAnsi="仿宋" w:eastAsia="仿宋" w:cs="仿宋"/>
                <w:spacing w:val="9"/>
                <w:sz w:val="23"/>
                <w:szCs w:val="23"/>
              </w:rPr>
              <w:t>州市恒兴泰鞋业轻工有限公司</w:t>
            </w:r>
          </w:p>
        </w:tc>
        <w:tc>
          <w:tcPr>
            <w:tcW w:w="3674" w:type="dxa"/>
            <w:tcBorders>
              <w:tl2br w:val="nil"/>
              <w:tr2bl w:val="nil"/>
            </w:tcBorders>
            <w:noWrap w:val="0"/>
            <w:vAlign w:val="center"/>
          </w:tcPr>
          <w:p w14:paraId="00043871">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3"/>
                <w:sz w:val="23"/>
                <w:szCs w:val="23"/>
              </w:rPr>
              <w:t>劳保</w:t>
            </w:r>
            <w:r>
              <w:rPr>
                <w:rFonts w:ascii="仿宋" w:hAnsi="仿宋" w:eastAsia="仿宋" w:cs="仿宋"/>
                <w:spacing w:val="2"/>
                <w:sz w:val="23"/>
                <w:szCs w:val="23"/>
              </w:rPr>
              <w:t>鞋</w:t>
            </w:r>
          </w:p>
        </w:tc>
        <w:tc>
          <w:tcPr>
            <w:tcW w:w="1461" w:type="dxa"/>
            <w:vMerge w:val="continue"/>
            <w:tcBorders>
              <w:tl2br w:val="nil"/>
              <w:tr2bl w:val="nil"/>
            </w:tcBorders>
            <w:noWrap w:val="0"/>
            <w:vAlign w:val="center"/>
          </w:tcPr>
          <w:p w14:paraId="6AC43D4F">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481AD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75FCD7A5">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7</w:t>
            </w:r>
          </w:p>
        </w:tc>
        <w:tc>
          <w:tcPr>
            <w:tcW w:w="3740" w:type="dxa"/>
            <w:tcBorders>
              <w:tl2br w:val="nil"/>
              <w:tr2bl w:val="nil"/>
            </w:tcBorders>
            <w:noWrap w:val="0"/>
            <w:vAlign w:val="center"/>
          </w:tcPr>
          <w:p w14:paraId="6562C93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泉州成辉达门业有限公</w:t>
            </w:r>
            <w:r>
              <w:rPr>
                <w:rFonts w:ascii="仿宋" w:hAnsi="仿宋" w:eastAsia="仿宋" w:cs="仿宋"/>
                <w:spacing w:val="7"/>
                <w:sz w:val="23"/>
                <w:szCs w:val="23"/>
              </w:rPr>
              <w:t>司</w:t>
            </w:r>
          </w:p>
        </w:tc>
        <w:tc>
          <w:tcPr>
            <w:tcW w:w="3674" w:type="dxa"/>
            <w:tcBorders>
              <w:tl2br w:val="nil"/>
              <w:tr2bl w:val="nil"/>
            </w:tcBorders>
            <w:noWrap w:val="0"/>
            <w:vAlign w:val="center"/>
          </w:tcPr>
          <w:p w14:paraId="306AF43B">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钢艺门</w:t>
            </w:r>
            <w:r>
              <w:rPr>
                <w:rFonts w:ascii="仿宋" w:hAnsi="仿宋" w:eastAsia="仿宋" w:cs="仿宋"/>
                <w:spacing w:val="3"/>
                <w:sz w:val="23"/>
                <w:szCs w:val="23"/>
              </w:rPr>
              <w:t>、钢木门、木门、铜门</w:t>
            </w:r>
          </w:p>
        </w:tc>
        <w:tc>
          <w:tcPr>
            <w:tcW w:w="1461" w:type="dxa"/>
            <w:vMerge w:val="restart"/>
            <w:tcBorders>
              <w:tl2br w:val="nil"/>
              <w:tr2bl w:val="nil"/>
            </w:tcBorders>
            <w:noWrap w:val="0"/>
            <w:vAlign w:val="center"/>
          </w:tcPr>
          <w:p w14:paraId="7607DECD">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6"/>
                <w:sz w:val="23"/>
                <w:szCs w:val="23"/>
              </w:rPr>
              <w:t>建材</w:t>
            </w:r>
          </w:p>
        </w:tc>
      </w:tr>
      <w:tr w14:paraId="2AD3B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076BA64B">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8</w:t>
            </w:r>
          </w:p>
        </w:tc>
        <w:tc>
          <w:tcPr>
            <w:tcW w:w="3740" w:type="dxa"/>
            <w:tcBorders>
              <w:tl2br w:val="nil"/>
              <w:tr2bl w:val="nil"/>
            </w:tcBorders>
            <w:noWrap w:val="0"/>
            <w:vAlign w:val="center"/>
          </w:tcPr>
          <w:p w14:paraId="1F4261C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泉州鸿泰钢结构实业有限公司</w:t>
            </w:r>
          </w:p>
        </w:tc>
        <w:tc>
          <w:tcPr>
            <w:tcW w:w="3674" w:type="dxa"/>
            <w:tcBorders>
              <w:tl2br w:val="nil"/>
              <w:tr2bl w:val="nil"/>
            </w:tcBorders>
            <w:noWrap w:val="0"/>
            <w:vAlign w:val="center"/>
          </w:tcPr>
          <w:p w14:paraId="05A19C65">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8"/>
                <w:sz w:val="23"/>
                <w:szCs w:val="23"/>
              </w:rPr>
              <w:t>钢</w:t>
            </w:r>
            <w:r>
              <w:rPr>
                <w:rFonts w:ascii="仿宋" w:hAnsi="仿宋" w:eastAsia="仿宋" w:cs="仿宋"/>
                <w:spacing w:val="-7"/>
                <w:sz w:val="23"/>
                <w:szCs w:val="23"/>
              </w:rPr>
              <w:t>构</w:t>
            </w:r>
            <w:r>
              <w:rPr>
                <w:rFonts w:ascii="仿宋" w:hAnsi="仿宋" w:eastAsia="仿宋" w:cs="仿宋"/>
                <w:spacing w:val="-4"/>
                <w:sz w:val="23"/>
                <w:szCs w:val="23"/>
              </w:rPr>
              <w:t>件、网架制造</w:t>
            </w:r>
          </w:p>
        </w:tc>
        <w:tc>
          <w:tcPr>
            <w:tcW w:w="1461" w:type="dxa"/>
            <w:vMerge w:val="continue"/>
            <w:tcBorders>
              <w:tl2br w:val="nil"/>
              <w:tr2bl w:val="nil"/>
            </w:tcBorders>
            <w:noWrap w:val="0"/>
            <w:vAlign w:val="center"/>
          </w:tcPr>
          <w:p w14:paraId="5AE9D8A8">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78334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69907B97">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3"/>
                <w:sz w:val="23"/>
                <w:szCs w:val="23"/>
              </w:rPr>
              <w:t>2</w:t>
            </w:r>
            <w:r>
              <w:rPr>
                <w:rFonts w:ascii="Arial" w:hAnsi="Arial" w:eastAsia="Arial" w:cs="Arial"/>
                <w:spacing w:val="2"/>
                <w:sz w:val="23"/>
                <w:szCs w:val="23"/>
              </w:rPr>
              <w:t>9</w:t>
            </w:r>
          </w:p>
        </w:tc>
        <w:tc>
          <w:tcPr>
            <w:tcW w:w="3740" w:type="dxa"/>
            <w:tcBorders>
              <w:tl2br w:val="nil"/>
              <w:tr2bl w:val="nil"/>
            </w:tcBorders>
            <w:noWrap w:val="0"/>
            <w:vAlign w:val="center"/>
          </w:tcPr>
          <w:p w14:paraId="1C402583">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0"/>
                <w:sz w:val="23"/>
                <w:szCs w:val="23"/>
              </w:rPr>
              <w:t>泉</w:t>
            </w:r>
            <w:r>
              <w:rPr>
                <w:rFonts w:ascii="仿宋" w:hAnsi="仿宋" w:eastAsia="仿宋" w:cs="仿宋"/>
                <w:spacing w:val="9"/>
                <w:sz w:val="23"/>
                <w:szCs w:val="23"/>
              </w:rPr>
              <w:t>州市泉港区天龙泉建材加工厂</w:t>
            </w:r>
          </w:p>
        </w:tc>
        <w:tc>
          <w:tcPr>
            <w:tcW w:w="3674" w:type="dxa"/>
            <w:tcBorders>
              <w:tl2br w:val="nil"/>
              <w:tr2bl w:val="nil"/>
            </w:tcBorders>
            <w:noWrap w:val="0"/>
            <w:vAlign w:val="center"/>
          </w:tcPr>
          <w:p w14:paraId="4A80DA28">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10"/>
                <w:sz w:val="23"/>
                <w:szCs w:val="23"/>
              </w:rPr>
              <w:t>钢</w:t>
            </w:r>
            <w:r>
              <w:rPr>
                <w:rFonts w:ascii="仿宋" w:hAnsi="仿宋" w:eastAsia="仿宋" w:cs="仿宋"/>
                <w:spacing w:val="8"/>
                <w:sz w:val="23"/>
                <w:szCs w:val="23"/>
              </w:rPr>
              <w:t>管、扣件</w:t>
            </w:r>
          </w:p>
        </w:tc>
        <w:tc>
          <w:tcPr>
            <w:tcW w:w="1461" w:type="dxa"/>
            <w:vMerge w:val="continue"/>
            <w:tcBorders>
              <w:tl2br w:val="nil"/>
              <w:tr2bl w:val="nil"/>
            </w:tcBorders>
            <w:noWrap w:val="0"/>
            <w:vAlign w:val="center"/>
          </w:tcPr>
          <w:p w14:paraId="5E96D03E">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52B2F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61A8B16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1"/>
                <w:sz w:val="23"/>
                <w:szCs w:val="23"/>
              </w:rPr>
              <w:t>3</w:t>
            </w:r>
            <w:r>
              <w:rPr>
                <w:rFonts w:ascii="Arial" w:hAnsi="Arial" w:eastAsia="Arial" w:cs="Arial"/>
                <w:sz w:val="23"/>
                <w:szCs w:val="23"/>
              </w:rPr>
              <w:t>0</w:t>
            </w:r>
          </w:p>
        </w:tc>
        <w:tc>
          <w:tcPr>
            <w:tcW w:w="3740" w:type="dxa"/>
            <w:tcBorders>
              <w:tl2br w:val="nil"/>
              <w:tr2bl w:val="nil"/>
            </w:tcBorders>
            <w:noWrap w:val="0"/>
            <w:vAlign w:val="center"/>
          </w:tcPr>
          <w:p w14:paraId="0642A268">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福建荣盛钢结构实业有限公</w:t>
            </w:r>
            <w:r>
              <w:rPr>
                <w:rFonts w:ascii="仿宋" w:hAnsi="仿宋" w:eastAsia="仿宋" w:cs="仿宋"/>
                <w:spacing w:val="8"/>
                <w:sz w:val="23"/>
                <w:szCs w:val="23"/>
              </w:rPr>
              <w:t>司</w:t>
            </w:r>
          </w:p>
        </w:tc>
        <w:tc>
          <w:tcPr>
            <w:tcW w:w="3674" w:type="dxa"/>
            <w:tcBorders>
              <w:tl2br w:val="nil"/>
              <w:tr2bl w:val="nil"/>
            </w:tcBorders>
            <w:noWrap w:val="0"/>
            <w:vAlign w:val="center"/>
          </w:tcPr>
          <w:p w14:paraId="28DFE27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9"/>
                <w:sz w:val="23"/>
                <w:szCs w:val="23"/>
              </w:rPr>
              <w:t>钢结构、彩钢</w:t>
            </w:r>
            <w:r>
              <w:rPr>
                <w:rFonts w:ascii="仿宋" w:hAnsi="仿宋" w:eastAsia="仿宋" w:cs="仿宋"/>
                <w:spacing w:val="8"/>
                <w:sz w:val="23"/>
                <w:szCs w:val="23"/>
              </w:rPr>
              <w:t>板</w:t>
            </w:r>
          </w:p>
        </w:tc>
        <w:tc>
          <w:tcPr>
            <w:tcW w:w="1461" w:type="dxa"/>
            <w:vMerge w:val="continue"/>
            <w:tcBorders>
              <w:tl2br w:val="nil"/>
              <w:tr2bl w:val="nil"/>
            </w:tcBorders>
            <w:noWrap w:val="0"/>
            <w:vAlign w:val="center"/>
          </w:tcPr>
          <w:p w14:paraId="2449091F">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1537E1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01E7B83E">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1"/>
                <w:sz w:val="23"/>
                <w:szCs w:val="23"/>
              </w:rPr>
              <w:t>3</w:t>
            </w:r>
            <w:r>
              <w:rPr>
                <w:rFonts w:ascii="Arial" w:hAnsi="Arial" w:eastAsia="Arial" w:cs="Arial"/>
                <w:sz w:val="23"/>
                <w:szCs w:val="23"/>
              </w:rPr>
              <w:t>1</w:t>
            </w:r>
          </w:p>
        </w:tc>
        <w:tc>
          <w:tcPr>
            <w:tcW w:w="3740" w:type="dxa"/>
            <w:tcBorders>
              <w:tl2br w:val="nil"/>
              <w:tr2bl w:val="nil"/>
            </w:tcBorders>
            <w:noWrap w:val="0"/>
            <w:vAlign w:val="center"/>
          </w:tcPr>
          <w:p w14:paraId="360DDECB">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6"/>
                <w:sz w:val="23"/>
                <w:szCs w:val="23"/>
              </w:rPr>
              <w:t>德</w:t>
            </w:r>
            <w:r>
              <w:rPr>
                <w:rFonts w:ascii="仿宋" w:hAnsi="仿宋" w:eastAsia="仿宋" w:cs="仿宋"/>
                <w:spacing w:val="9"/>
                <w:sz w:val="23"/>
                <w:szCs w:val="23"/>
              </w:rPr>
              <w:t>和铁塔设备制品有限公司</w:t>
            </w:r>
          </w:p>
        </w:tc>
        <w:tc>
          <w:tcPr>
            <w:tcW w:w="3674" w:type="dxa"/>
            <w:tcBorders>
              <w:tl2br w:val="nil"/>
              <w:tr2bl w:val="nil"/>
            </w:tcBorders>
            <w:noWrap w:val="0"/>
            <w:vAlign w:val="center"/>
          </w:tcPr>
          <w:p w14:paraId="356A67C8">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10"/>
                <w:sz w:val="23"/>
                <w:szCs w:val="23"/>
              </w:rPr>
              <w:t>金</w:t>
            </w:r>
            <w:r>
              <w:rPr>
                <w:rFonts w:ascii="仿宋" w:hAnsi="仿宋" w:eastAsia="仿宋" w:cs="仿宋"/>
                <w:spacing w:val="7"/>
                <w:sz w:val="23"/>
                <w:szCs w:val="23"/>
              </w:rPr>
              <w:t>属制品业</w:t>
            </w:r>
          </w:p>
        </w:tc>
        <w:tc>
          <w:tcPr>
            <w:tcW w:w="1461" w:type="dxa"/>
            <w:vMerge w:val="continue"/>
            <w:tcBorders>
              <w:tl2br w:val="nil"/>
              <w:tr2bl w:val="nil"/>
            </w:tcBorders>
            <w:noWrap w:val="0"/>
            <w:vAlign w:val="center"/>
          </w:tcPr>
          <w:p w14:paraId="6D2A177A">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17501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5548D383">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1"/>
                <w:sz w:val="23"/>
                <w:szCs w:val="23"/>
              </w:rPr>
              <w:t>3</w:t>
            </w:r>
            <w:r>
              <w:rPr>
                <w:rFonts w:ascii="Arial" w:hAnsi="Arial" w:eastAsia="Arial" w:cs="Arial"/>
                <w:sz w:val="23"/>
                <w:szCs w:val="23"/>
              </w:rPr>
              <w:t>2</w:t>
            </w:r>
          </w:p>
        </w:tc>
        <w:tc>
          <w:tcPr>
            <w:tcW w:w="3740" w:type="dxa"/>
            <w:tcBorders>
              <w:tl2br w:val="nil"/>
              <w:tr2bl w:val="nil"/>
            </w:tcBorders>
            <w:noWrap w:val="0"/>
            <w:vAlign w:val="center"/>
          </w:tcPr>
          <w:p w14:paraId="5925248A">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福建坚石电力配件制造有限公司</w:t>
            </w:r>
          </w:p>
        </w:tc>
        <w:tc>
          <w:tcPr>
            <w:tcW w:w="3674" w:type="dxa"/>
            <w:tcBorders>
              <w:tl2br w:val="nil"/>
              <w:tr2bl w:val="nil"/>
            </w:tcBorders>
            <w:noWrap w:val="0"/>
            <w:vAlign w:val="center"/>
          </w:tcPr>
          <w:p w14:paraId="30D959AC">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z w:val="23"/>
                <w:szCs w:val="23"/>
              </w:rPr>
            </w:pPr>
            <w:r>
              <w:rPr>
                <w:rFonts w:ascii="仿宋" w:hAnsi="仿宋" w:eastAsia="仿宋" w:cs="仿宋"/>
                <w:spacing w:val="4"/>
                <w:sz w:val="23"/>
                <w:szCs w:val="23"/>
              </w:rPr>
              <w:t>生</w:t>
            </w:r>
            <w:r>
              <w:rPr>
                <w:rFonts w:ascii="仿宋" w:hAnsi="仿宋" w:eastAsia="仿宋" w:cs="仿宋"/>
                <w:spacing w:val="2"/>
                <w:sz w:val="23"/>
                <w:szCs w:val="23"/>
              </w:rPr>
              <w:t>产铁塔、棱形钢管杆、钢管</w:t>
            </w:r>
          </w:p>
          <w:p w14:paraId="7FE184E4">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z w:val="23"/>
                <w:szCs w:val="23"/>
              </w:rPr>
            </w:pPr>
            <w:r>
              <w:rPr>
                <w:rFonts w:ascii="仿宋" w:hAnsi="仿宋" w:eastAsia="仿宋" w:cs="仿宋"/>
                <w:spacing w:val="4"/>
                <w:sz w:val="23"/>
                <w:szCs w:val="23"/>
              </w:rPr>
              <w:t>塔</w:t>
            </w:r>
            <w:r>
              <w:rPr>
                <w:rFonts w:ascii="仿宋" w:hAnsi="仿宋" w:eastAsia="仿宋" w:cs="仿宋"/>
                <w:spacing w:val="3"/>
                <w:sz w:val="23"/>
                <w:szCs w:val="23"/>
              </w:rPr>
              <w:t>、钢管变电构支架、立体停</w:t>
            </w:r>
          </w:p>
          <w:p w14:paraId="2FB260A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8"/>
                <w:sz w:val="23"/>
                <w:szCs w:val="23"/>
              </w:rPr>
              <w:t>车设备及相关配套产品</w:t>
            </w:r>
          </w:p>
        </w:tc>
        <w:tc>
          <w:tcPr>
            <w:tcW w:w="1461" w:type="dxa"/>
            <w:vMerge w:val="continue"/>
            <w:tcBorders>
              <w:tl2br w:val="nil"/>
              <w:tr2bl w:val="nil"/>
            </w:tcBorders>
            <w:noWrap w:val="0"/>
            <w:vAlign w:val="center"/>
          </w:tcPr>
          <w:p w14:paraId="5936E70A">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67EFE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5FEEB8D4">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1"/>
                <w:sz w:val="23"/>
                <w:szCs w:val="23"/>
              </w:rPr>
              <w:t>3</w:t>
            </w:r>
            <w:r>
              <w:rPr>
                <w:rFonts w:ascii="Arial" w:hAnsi="Arial" w:eastAsia="Arial" w:cs="Arial"/>
                <w:sz w:val="23"/>
                <w:szCs w:val="23"/>
              </w:rPr>
              <w:t>3</w:t>
            </w:r>
          </w:p>
        </w:tc>
        <w:tc>
          <w:tcPr>
            <w:tcW w:w="3740" w:type="dxa"/>
            <w:tcBorders>
              <w:tl2br w:val="nil"/>
              <w:tr2bl w:val="nil"/>
            </w:tcBorders>
            <w:noWrap w:val="0"/>
            <w:vAlign w:val="center"/>
          </w:tcPr>
          <w:p w14:paraId="67702B70">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泉州玺堡家纺科技有限公</w:t>
            </w:r>
            <w:r>
              <w:rPr>
                <w:rFonts w:ascii="仿宋" w:hAnsi="仿宋" w:eastAsia="仿宋" w:cs="仿宋"/>
                <w:spacing w:val="8"/>
                <w:sz w:val="23"/>
                <w:szCs w:val="23"/>
              </w:rPr>
              <w:t>司</w:t>
            </w:r>
          </w:p>
        </w:tc>
        <w:tc>
          <w:tcPr>
            <w:tcW w:w="3674" w:type="dxa"/>
            <w:tcBorders>
              <w:tl2br w:val="nil"/>
              <w:tr2bl w:val="nil"/>
            </w:tcBorders>
            <w:noWrap w:val="0"/>
            <w:vAlign w:val="center"/>
          </w:tcPr>
          <w:p w14:paraId="6024109E">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9"/>
                <w:sz w:val="23"/>
                <w:szCs w:val="23"/>
              </w:rPr>
              <w:t>乳</w:t>
            </w:r>
            <w:r>
              <w:rPr>
                <w:rFonts w:ascii="仿宋" w:hAnsi="仿宋" w:eastAsia="仿宋" w:cs="仿宋"/>
                <w:spacing w:val="8"/>
                <w:sz w:val="23"/>
                <w:szCs w:val="23"/>
              </w:rPr>
              <w:t>胶床垫、乳胶枕头</w:t>
            </w:r>
          </w:p>
        </w:tc>
        <w:tc>
          <w:tcPr>
            <w:tcW w:w="1461" w:type="dxa"/>
            <w:vMerge w:val="restart"/>
            <w:tcBorders>
              <w:tl2br w:val="nil"/>
              <w:tr2bl w:val="nil"/>
            </w:tcBorders>
            <w:noWrap w:val="0"/>
            <w:vAlign w:val="center"/>
          </w:tcPr>
          <w:p w14:paraId="0609EB14">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6"/>
                <w:sz w:val="23"/>
                <w:szCs w:val="23"/>
              </w:rPr>
              <w:t>家具家居</w:t>
            </w:r>
          </w:p>
        </w:tc>
      </w:tr>
      <w:tr w14:paraId="0C848A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2A77E579">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1"/>
                <w:sz w:val="23"/>
                <w:szCs w:val="23"/>
              </w:rPr>
              <w:t>3</w:t>
            </w:r>
            <w:r>
              <w:rPr>
                <w:rFonts w:ascii="Arial" w:hAnsi="Arial" w:eastAsia="Arial" w:cs="Arial"/>
                <w:sz w:val="23"/>
                <w:szCs w:val="23"/>
              </w:rPr>
              <w:t>4</w:t>
            </w:r>
          </w:p>
        </w:tc>
        <w:tc>
          <w:tcPr>
            <w:tcW w:w="3740" w:type="dxa"/>
            <w:tcBorders>
              <w:tl2br w:val="nil"/>
              <w:tr2bl w:val="nil"/>
            </w:tcBorders>
            <w:noWrap w:val="0"/>
            <w:vAlign w:val="center"/>
          </w:tcPr>
          <w:p w14:paraId="5EBA2104">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15"/>
                <w:sz w:val="23"/>
                <w:szCs w:val="23"/>
              </w:rPr>
              <w:t>泉</w:t>
            </w:r>
            <w:r>
              <w:rPr>
                <w:rFonts w:ascii="仿宋" w:hAnsi="仿宋" w:eastAsia="仿宋" w:cs="仿宋"/>
                <w:spacing w:val="8"/>
                <w:sz w:val="23"/>
                <w:szCs w:val="23"/>
              </w:rPr>
              <w:t>州恒昂工贸有限公司</w:t>
            </w:r>
          </w:p>
        </w:tc>
        <w:tc>
          <w:tcPr>
            <w:tcW w:w="3674" w:type="dxa"/>
            <w:tcBorders>
              <w:tl2br w:val="nil"/>
              <w:tr2bl w:val="nil"/>
            </w:tcBorders>
            <w:noWrap w:val="0"/>
            <w:vAlign w:val="center"/>
          </w:tcPr>
          <w:p w14:paraId="56A8036E">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9"/>
                <w:sz w:val="23"/>
                <w:szCs w:val="23"/>
              </w:rPr>
              <w:t>乳</w:t>
            </w:r>
            <w:r>
              <w:rPr>
                <w:rFonts w:ascii="仿宋" w:hAnsi="仿宋" w:eastAsia="仿宋" w:cs="仿宋"/>
                <w:spacing w:val="8"/>
                <w:sz w:val="23"/>
                <w:szCs w:val="23"/>
              </w:rPr>
              <w:t>胶床垫、乳胶枕头</w:t>
            </w:r>
          </w:p>
        </w:tc>
        <w:tc>
          <w:tcPr>
            <w:tcW w:w="1461" w:type="dxa"/>
            <w:vMerge w:val="continue"/>
            <w:tcBorders>
              <w:tl2br w:val="nil"/>
              <w:tr2bl w:val="nil"/>
            </w:tcBorders>
            <w:noWrap w:val="0"/>
            <w:vAlign w:val="center"/>
          </w:tcPr>
          <w:p w14:paraId="18D1F280">
            <w:pPr>
              <w:keepNext w:val="0"/>
              <w:keepLines w:val="0"/>
              <w:pageBreakBefore w:val="0"/>
              <w:widowControl w:val="0"/>
              <w:kinsoku/>
              <w:wordWrap/>
              <w:overflowPunct/>
              <w:topLinePunct/>
              <w:autoSpaceDE/>
              <w:autoSpaceDN/>
              <w:bidi w:val="0"/>
              <w:adjustRightInd w:val="0"/>
              <w:snapToGrid w:val="0"/>
              <w:spacing w:line="320" w:lineRule="exact"/>
              <w:ind w:left="0" w:right="0"/>
              <w:jc w:val="center"/>
              <w:textAlignment w:val="baseline"/>
              <w:rPr>
                <w:rFonts w:ascii="仿宋" w:hAnsi="仿宋" w:eastAsia="仿宋" w:cs="仿宋"/>
                <w:spacing w:val="9"/>
                <w:sz w:val="23"/>
                <w:szCs w:val="23"/>
              </w:rPr>
            </w:pPr>
          </w:p>
        </w:tc>
      </w:tr>
      <w:tr w14:paraId="6081A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6C2713F9">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1"/>
                <w:sz w:val="23"/>
                <w:szCs w:val="23"/>
              </w:rPr>
              <w:t>3</w:t>
            </w:r>
            <w:r>
              <w:rPr>
                <w:rFonts w:ascii="Arial" w:hAnsi="Arial" w:eastAsia="Arial" w:cs="Arial"/>
                <w:sz w:val="23"/>
                <w:szCs w:val="23"/>
              </w:rPr>
              <w:t>5</w:t>
            </w:r>
          </w:p>
        </w:tc>
        <w:tc>
          <w:tcPr>
            <w:tcW w:w="3740" w:type="dxa"/>
            <w:tcBorders>
              <w:tl2br w:val="nil"/>
              <w:tr2bl w:val="nil"/>
            </w:tcBorders>
            <w:noWrap w:val="0"/>
            <w:vAlign w:val="center"/>
          </w:tcPr>
          <w:p w14:paraId="3613CA64">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福建天线宝宝食品股份有限公司</w:t>
            </w:r>
          </w:p>
        </w:tc>
        <w:tc>
          <w:tcPr>
            <w:tcW w:w="3674" w:type="dxa"/>
            <w:tcBorders>
              <w:tl2br w:val="nil"/>
              <w:tr2bl w:val="nil"/>
            </w:tcBorders>
            <w:noWrap w:val="0"/>
            <w:vAlign w:val="center"/>
          </w:tcPr>
          <w:p w14:paraId="00490EA1">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11"/>
                <w:sz w:val="23"/>
                <w:szCs w:val="23"/>
              </w:rPr>
              <w:t>果</w:t>
            </w:r>
            <w:r>
              <w:rPr>
                <w:rFonts w:ascii="仿宋" w:hAnsi="仿宋" w:eastAsia="仿宋" w:cs="仿宋"/>
                <w:spacing w:val="9"/>
                <w:sz w:val="23"/>
                <w:szCs w:val="23"/>
              </w:rPr>
              <w:t>冻、糕点、糖果制品</w:t>
            </w:r>
          </w:p>
        </w:tc>
        <w:tc>
          <w:tcPr>
            <w:tcW w:w="1461" w:type="dxa"/>
            <w:tcBorders>
              <w:tl2br w:val="nil"/>
              <w:tr2bl w:val="nil"/>
            </w:tcBorders>
            <w:noWrap w:val="0"/>
            <w:vAlign w:val="center"/>
          </w:tcPr>
          <w:p w14:paraId="690F0C73">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8"/>
                <w:sz w:val="23"/>
                <w:szCs w:val="23"/>
              </w:rPr>
              <w:t>食</w:t>
            </w:r>
            <w:r>
              <w:rPr>
                <w:rFonts w:ascii="仿宋" w:hAnsi="仿宋" w:eastAsia="仿宋" w:cs="仿宋"/>
                <w:spacing w:val="7"/>
                <w:sz w:val="23"/>
                <w:szCs w:val="23"/>
              </w:rPr>
              <w:t>品制造业</w:t>
            </w:r>
          </w:p>
        </w:tc>
      </w:tr>
      <w:tr w14:paraId="08BF8E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8" w:hRule="atLeast"/>
          <w:jc w:val="center"/>
        </w:trPr>
        <w:tc>
          <w:tcPr>
            <w:tcW w:w="765" w:type="dxa"/>
            <w:tcBorders>
              <w:tl2br w:val="nil"/>
              <w:tr2bl w:val="nil"/>
            </w:tcBorders>
            <w:noWrap w:val="0"/>
            <w:vAlign w:val="center"/>
          </w:tcPr>
          <w:p w14:paraId="7A4A27CC">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Arial" w:hAnsi="Arial" w:eastAsia="Arial" w:cs="Arial"/>
                <w:spacing w:val="-8"/>
                <w:sz w:val="23"/>
                <w:szCs w:val="23"/>
              </w:rPr>
            </w:pPr>
            <w:r>
              <w:rPr>
                <w:rFonts w:ascii="Arial" w:hAnsi="Arial" w:eastAsia="Arial" w:cs="Arial"/>
                <w:spacing w:val="-8"/>
                <w:sz w:val="23"/>
                <w:szCs w:val="23"/>
              </w:rPr>
              <w:t>1</w:t>
            </w:r>
            <w:r>
              <w:rPr>
                <w:rFonts w:ascii="Arial" w:hAnsi="Arial" w:eastAsia="Arial" w:cs="Arial"/>
                <w:spacing w:val="-7"/>
                <w:sz w:val="23"/>
                <w:szCs w:val="23"/>
              </w:rPr>
              <w:t>8</w:t>
            </w:r>
          </w:p>
        </w:tc>
        <w:tc>
          <w:tcPr>
            <w:tcW w:w="3740" w:type="dxa"/>
            <w:tcBorders>
              <w:tl2br w:val="nil"/>
              <w:tr2bl w:val="nil"/>
            </w:tcBorders>
            <w:noWrap w:val="0"/>
            <w:vAlign w:val="center"/>
          </w:tcPr>
          <w:p w14:paraId="40256C36">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9"/>
                <w:sz w:val="23"/>
                <w:szCs w:val="23"/>
              </w:rPr>
            </w:pPr>
            <w:r>
              <w:rPr>
                <w:rFonts w:ascii="仿宋" w:hAnsi="仿宋" w:eastAsia="仿宋" w:cs="仿宋"/>
                <w:spacing w:val="9"/>
                <w:sz w:val="23"/>
                <w:szCs w:val="23"/>
              </w:rPr>
              <w:t>本益科技股份有限公司</w:t>
            </w:r>
          </w:p>
        </w:tc>
        <w:tc>
          <w:tcPr>
            <w:tcW w:w="3674" w:type="dxa"/>
            <w:tcBorders>
              <w:tl2br w:val="nil"/>
              <w:tr2bl w:val="nil"/>
            </w:tcBorders>
            <w:noWrap w:val="0"/>
            <w:vAlign w:val="center"/>
          </w:tcPr>
          <w:p w14:paraId="27A033D5">
            <w:pPr>
              <w:keepNext w:val="0"/>
              <w:keepLines w:val="0"/>
              <w:pageBreakBefore w:val="0"/>
              <w:widowControl w:val="0"/>
              <w:kinsoku/>
              <w:wordWrap/>
              <w:overflowPunct/>
              <w:topLinePunct/>
              <w:autoSpaceDE/>
              <w:autoSpaceDN/>
              <w:bidi w:val="0"/>
              <w:adjustRightInd w:val="0"/>
              <w:snapToGrid w:val="0"/>
              <w:spacing w:line="320" w:lineRule="exact"/>
              <w:ind w:left="0" w:leftChars="0" w:right="0"/>
              <w:jc w:val="center"/>
              <w:textAlignment w:val="baseline"/>
              <w:rPr>
                <w:rFonts w:ascii="仿宋" w:hAnsi="仿宋" w:eastAsia="仿宋" w:cs="仿宋"/>
                <w:spacing w:val="11"/>
                <w:sz w:val="23"/>
                <w:szCs w:val="23"/>
              </w:rPr>
            </w:pPr>
            <w:r>
              <w:rPr>
                <w:rFonts w:ascii="仿宋" w:hAnsi="仿宋" w:eastAsia="仿宋" w:cs="仿宋"/>
                <w:spacing w:val="6"/>
                <w:sz w:val="23"/>
                <w:szCs w:val="23"/>
              </w:rPr>
              <w:t>石</w:t>
            </w:r>
            <w:r>
              <w:rPr>
                <w:rFonts w:ascii="仿宋" w:hAnsi="仿宋" w:eastAsia="仿宋" w:cs="仿宋"/>
                <w:spacing w:val="5"/>
                <w:sz w:val="23"/>
                <w:szCs w:val="23"/>
              </w:rPr>
              <w:t>材加工</w:t>
            </w:r>
          </w:p>
        </w:tc>
        <w:tc>
          <w:tcPr>
            <w:tcW w:w="1461" w:type="dxa"/>
            <w:tcBorders>
              <w:tl2br w:val="nil"/>
              <w:tr2bl w:val="nil"/>
            </w:tcBorders>
            <w:noWrap w:val="0"/>
            <w:vAlign w:val="center"/>
          </w:tcPr>
          <w:p w14:paraId="79A23EFC">
            <w:pPr>
              <w:keepNext w:val="0"/>
              <w:keepLines w:val="0"/>
              <w:pageBreakBefore w:val="0"/>
              <w:widowControl w:val="0"/>
              <w:kinsoku/>
              <w:wordWrap/>
              <w:overflowPunct/>
              <w:topLinePunct/>
              <w:autoSpaceDE/>
              <w:autoSpaceDN/>
              <w:bidi w:val="0"/>
              <w:adjustRightInd w:val="0"/>
              <w:snapToGrid w:val="0"/>
              <w:spacing w:line="320" w:lineRule="exact"/>
              <w:ind w:left="0" w:right="0" w:rightChars="0"/>
              <w:jc w:val="center"/>
              <w:textAlignment w:val="baseline"/>
              <w:rPr>
                <w:rFonts w:ascii="仿宋" w:hAnsi="仿宋" w:eastAsia="仿宋" w:cs="仿宋"/>
                <w:spacing w:val="9"/>
                <w:sz w:val="23"/>
                <w:szCs w:val="23"/>
              </w:rPr>
            </w:pPr>
            <w:r>
              <w:rPr>
                <w:rFonts w:ascii="仿宋" w:hAnsi="仿宋" w:eastAsia="仿宋" w:cs="仿宋"/>
                <w:spacing w:val="7"/>
                <w:sz w:val="23"/>
                <w:szCs w:val="23"/>
              </w:rPr>
              <w:t>非</w:t>
            </w:r>
            <w:r>
              <w:rPr>
                <w:rFonts w:ascii="仿宋" w:hAnsi="仿宋" w:eastAsia="仿宋" w:cs="仿宋"/>
                <w:spacing w:val="5"/>
                <w:sz w:val="23"/>
                <w:szCs w:val="23"/>
              </w:rPr>
              <w:t>金属矿物制</w:t>
            </w:r>
            <w:r>
              <w:rPr>
                <w:rFonts w:ascii="仿宋" w:hAnsi="仿宋" w:eastAsia="仿宋" w:cs="仿宋"/>
                <w:spacing w:val="4"/>
                <w:sz w:val="23"/>
                <w:szCs w:val="23"/>
              </w:rPr>
              <w:t>品业</w:t>
            </w:r>
          </w:p>
        </w:tc>
      </w:tr>
    </w:tbl>
    <w:p w14:paraId="2054F978">
      <w:pPr>
        <w:keepNext w:val="0"/>
        <w:keepLines w:val="0"/>
        <w:pageBreakBefore w:val="0"/>
        <w:widowControl w:val="0"/>
        <w:wordWrap/>
        <w:overflowPunct/>
        <w:bidi w:val="0"/>
        <w:spacing w:line="139" w:lineRule="exact"/>
      </w:pPr>
    </w:p>
    <w:p w14:paraId="17661587">
      <w:pPr>
        <w:keepNext w:val="0"/>
        <w:keepLines w:val="0"/>
        <w:pageBreakBefore w:val="0"/>
        <w:widowControl w:val="0"/>
        <w:kinsoku/>
        <w:wordWrap/>
        <w:overflowPunct/>
        <w:topLinePunct w:val="0"/>
        <w:autoSpaceDE/>
        <w:autoSpaceDN/>
        <w:bidi w:val="0"/>
        <w:adjustRightInd/>
        <w:snapToGrid/>
        <w:spacing w:before="313" w:beforeLines="100" w:after="157" w:afterLines="50" w:line="226" w:lineRule="auto"/>
        <w:jc w:val="center"/>
        <w:textAlignment w:val="auto"/>
        <w:rPr>
          <w:rFonts w:ascii="黑体" w:hAnsi="黑体" w:eastAsia="黑体" w:cs="黑体"/>
          <w:sz w:val="23"/>
          <w:szCs w:val="23"/>
        </w:rPr>
      </w:pPr>
      <w:r>
        <w:rPr>
          <w:rFonts w:ascii="黑体" w:hAnsi="黑体" w:eastAsia="黑体" w:cs="黑体"/>
          <w:spacing w:val="17"/>
          <w:sz w:val="23"/>
          <w:szCs w:val="23"/>
        </w:rPr>
        <w:t>泉</w:t>
      </w:r>
      <w:r>
        <w:rPr>
          <w:rFonts w:ascii="黑体" w:hAnsi="黑体" w:eastAsia="黑体" w:cs="黑体"/>
          <w:spacing w:val="9"/>
          <w:sz w:val="23"/>
          <w:szCs w:val="23"/>
        </w:rPr>
        <w:t>港高新区主要生产企业列表</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4379"/>
        <w:gridCol w:w="3858"/>
      </w:tblGrid>
      <w:tr w14:paraId="637B6A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055" w:type="dxa"/>
            <w:tcBorders>
              <w:tl2br w:val="nil"/>
              <w:tr2bl w:val="nil"/>
            </w:tcBorders>
            <w:noWrap w:val="0"/>
            <w:vAlign w:val="center"/>
          </w:tcPr>
          <w:p w14:paraId="615E2EEB">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序号</w:t>
            </w:r>
          </w:p>
        </w:tc>
        <w:tc>
          <w:tcPr>
            <w:tcW w:w="4379" w:type="dxa"/>
            <w:tcBorders>
              <w:tl2br w:val="nil"/>
              <w:tr2bl w:val="nil"/>
            </w:tcBorders>
            <w:noWrap w:val="0"/>
            <w:vAlign w:val="center"/>
          </w:tcPr>
          <w:p w14:paraId="68A147B6">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企业名称</w:t>
            </w:r>
          </w:p>
        </w:tc>
        <w:tc>
          <w:tcPr>
            <w:tcW w:w="3858" w:type="dxa"/>
            <w:tcBorders>
              <w:tl2br w:val="nil"/>
              <w:tr2bl w:val="nil"/>
            </w:tcBorders>
            <w:noWrap w:val="0"/>
            <w:vAlign w:val="center"/>
          </w:tcPr>
          <w:p w14:paraId="056A7FED">
            <w:pPr>
              <w:keepNext w:val="0"/>
              <w:keepLines w:val="0"/>
              <w:pageBreakBefore w:val="0"/>
              <w:widowControl w:val="0"/>
              <w:kinsoku/>
              <w:wordWrap/>
              <w:overflowPunct/>
              <w:topLinePunct w:val="0"/>
              <w:autoSpaceDE/>
              <w:autoSpaceDN/>
              <w:bidi w:val="0"/>
              <w:adjustRightInd/>
              <w:snapToGrid/>
              <w:spacing w:line="295" w:lineRule="exact"/>
              <w:ind w:left="130"/>
              <w:jc w:val="center"/>
              <w:textAlignment w:val="auto"/>
              <w:rPr>
                <w:rFonts w:hint="eastAsia" w:ascii="黑体" w:hAnsi="黑体" w:eastAsia="黑体" w:cs="黑体"/>
                <w:spacing w:val="-8"/>
                <w:sz w:val="22"/>
                <w:szCs w:val="22"/>
              </w:rPr>
            </w:pPr>
            <w:r>
              <w:rPr>
                <w:rFonts w:hint="eastAsia" w:ascii="黑体" w:hAnsi="黑体" w:eastAsia="黑体" w:cs="黑体"/>
                <w:spacing w:val="-8"/>
                <w:sz w:val="22"/>
                <w:szCs w:val="22"/>
              </w:rPr>
              <w:t>主要产品</w:t>
            </w:r>
          </w:p>
        </w:tc>
      </w:tr>
      <w:tr w14:paraId="2496D0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6" w:hRule="atLeast"/>
          <w:jc w:val="center"/>
        </w:trPr>
        <w:tc>
          <w:tcPr>
            <w:tcW w:w="1055" w:type="dxa"/>
            <w:tcBorders>
              <w:tl2br w:val="nil"/>
              <w:tr2bl w:val="nil"/>
            </w:tcBorders>
            <w:noWrap w:val="0"/>
            <w:vAlign w:val="center"/>
          </w:tcPr>
          <w:p w14:paraId="079F28AD">
            <w:pPr>
              <w:keepNext w:val="0"/>
              <w:keepLines w:val="0"/>
              <w:pageBreakBefore w:val="0"/>
              <w:widowControl w:val="0"/>
              <w:kinsoku/>
              <w:wordWrap/>
              <w:overflowPunct/>
              <w:topLinePunct/>
              <w:autoSpaceDE/>
              <w:autoSpaceDN/>
              <w:bidi w:val="0"/>
              <w:adjustRightInd w:val="0"/>
              <w:snapToGrid w:val="0"/>
              <w:spacing w:line="360" w:lineRule="exact"/>
              <w:ind w:left="0"/>
              <w:jc w:val="center"/>
              <w:textAlignment w:val="baseline"/>
              <w:rPr>
                <w:rFonts w:ascii="Arial" w:hAnsi="Arial" w:eastAsia="Arial" w:cs="Arial"/>
                <w:sz w:val="23"/>
                <w:szCs w:val="23"/>
              </w:rPr>
            </w:pPr>
            <w:r>
              <w:rPr>
                <w:rFonts w:ascii="Arial" w:hAnsi="Arial" w:eastAsia="Arial" w:cs="Arial"/>
                <w:sz w:val="23"/>
                <w:szCs w:val="23"/>
              </w:rPr>
              <w:t>1</w:t>
            </w:r>
          </w:p>
        </w:tc>
        <w:tc>
          <w:tcPr>
            <w:tcW w:w="4379" w:type="dxa"/>
            <w:tcBorders>
              <w:tl2br w:val="nil"/>
              <w:tr2bl w:val="nil"/>
            </w:tcBorders>
            <w:noWrap w:val="0"/>
            <w:vAlign w:val="top"/>
          </w:tcPr>
          <w:p w14:paraId="7B0B2F7C">
            <w:pPr>
              <w:keepNext w:val="0"/>
              <w:keepLines w:val="0"/>
              <w:pageBreakBefore w:val="0"/>
              <w:widowControl w:val="0"/>
              <w:kinsoku/>
              <w:wordWrap/>
              <w:overflowPunct/>
              <w:topLinePunct/>
              <w:autoSpaceDE/>
              <w:autoSpaceDN/>
              <w:bidi w:val="0"/>
              <w:adjustRightInd w:val="0"/>
              <w:snapToGrid w:val="0"/>
              <w:spacing w:line="360" w:lineRule="exact"/>
              <w:ind w:left="0"/>
              <w:textAlignment w:val="baseline"/>
              <w:rPr>
                <w:rFonts w:ascii="仿宋" w:hAnsi="仿宋" w:eastAsia="仿宋" w:cs="仿宋"/>
                <w:sz w:val="23"/>
                <w:szCs w:val="23"/>
              </w:rPr>
            </w:pPr>
            <w:r>
              <w:rPr>
                <w:rFonts w:ascii="仿宋" w:hAnsi="仿宋" w:eastAsia="仿宋" w:cs="仿宋"/>
                <w:spacing w:val="7"/>
                <w:sz w:val="23"/>
                <w:szCs w:val="23"/>
              </w:rPr>
              <w:t>中平神马(福建)科技发展有限公</w:t>
            </w:r>
            <w:r>
              <w:rPr>
                <w:rFonts w:ascii="仿宋" w:hAnsi="仿宋" w:eastAsia="仿宋" w:cs="仿宋"/>
                <w:spacing w:val="3"/>
                <w:sz w:val="23"/>
                <w:szCs w:val="23"/>
              </w:rPr>
              <w:t>司</w:t>
            </w:r>
          </w:p>
        </w:tc>
        <w:tc>
          <w:tcPr>
            <w:tcW w:w="3858" w:type="dxa"/>
            <w:tcBorders>
              <w:tl2br w:val="nil"/>
              <w:tr2bl w:val="nil"/>
            </w:tcBorders>
            <w:noWrap w:val="0"/>
            <w:vAlign w:val="top"/>
          </w:tcPr>
          <w:p w14:paraId="3FA36B04">
            <w:pPr>
              <w:keepNext w:val="0"/>
              <w:keepLines w:val="0"/>
              <w:pageBreakBefore w:val="0"/>
              <w:widowControl w:val="0"/>
              <w:kinsoku/>
              <w:wordWrap/>
              <w:overflowPunct/>
              <w:topLinePunct/>
              <w:autoSpaceDE/>
              <w:autoSpaceDN/>
              <w:bidi w:val="0"/>
              <w:adjustRightInd w:val="0"/>
              <w:snapToGrid w:val="0"/>
              <w:spacing w:line="360" w:lineRule="exact"/>
              <w:ind w:left="656" w:right="0" w:hanging="656"/>
              <w:jc w:val="center"/>
              <w:textAlignment w:val="baseline"/>
              <w:rPr>
                <w:rFonts w:ascii="仿宋" w:hAnsi="仿宋" w:eastAsia="仿宋" w:cs="仿宋"/>
                <w:spacing w:val="3"/>
                <w:sz w:val="23"/>
                <w:szCs w:val="23"/>
              </w:rPr>
            </w:pPr>
            <w:r>
              <w:rPr>
                <w:rFonts w:ascii="仿宋" w:hAnsi="仿宋" w:eastAsia="仿宋" w:cs="仿宋"/>
                <w:spacing w:val="6"/>
                <w:sz w:val="23"/>
                <w:szCs w:val="23"/>
              </w:rPr>
              <w:t>生产</w:t>
            </w:r>
            <w:r>
              <w:rPr>
                <w:rFonts w:ascii="仿宋" w:hAnsi="仿宋" w:eastAsia="仿宋" w:cs="仿宋"/>
                <w:spacing w:val="3"/>
                <w:sz w:val="23"/>
                <w:szCs w:val="23"/>
              </w:rPr>
              <w:t>尼龙</w:t>
            </w:r>
            <w:r>
              <w:rPr>
                <w:rFonts w:ascii="Arial" w:hAnsi="Arial" w:eastAsia="Arial" w:cs="Arial"/>
                <w:spacing w:val="3"/>
                <w:sz w:val="23"/>
                <w:szCs w:val="23"/>
              </w:rPr>
              <w:t>66</w:t>
            </w:r>
            <w:r>
              <w:rPr>
                <w:rFonts w:ascii="仿宋" w:hAnsi="仿宋" w:eastAsia="仿宋" w:cs="仿宋"/>
                <w:spacing w:val="3"/>
                <w:sz w:val="23"/>
                <w:szCs w:val="23"/>
              </w:rPr>
              <w:t>切片和鞋类产品、</w:t>
            </w:r>
          </w:p>
          <w:p w14:paraId="52F8B9AC">
            <w:pPr>
              <w:keepNext w:val="0"/>
              <w:keepLines w:val="0"/>
              <w:pageBreakBefore w:val="0"/>
              <w:widowControl w:val="0"/>
              <w:kinsoku/>
              <w:wordWrap/>
              <w:overflowPunct/>
              <w:topLinePunct/>
              <w:autoSpaceDE/>
              <w:autoSpaceDN/>
              <w:bidi w:val="0"/>
              <w:adjustRightInd w:val="0"/>
              <w:snapToGrid w:val="0"/>
              <w:spacing w:line="360" w:lineRule="exact"/>
              <w:ind w:left="656" w:right="0" w:hanging="656"/>
              <w:jc w:val="center"/>
              <w:textAlignment w:val="baseline"/>
              <w:rPr>
                <w:rFonts w:ascii="仿宋" w:hAnsi="仿宋" w:eastAsia="仿宋" w:cs="仿宋"/>
                <w:sz w:val="23"/>
                <w:szCs w:val="23"/>
              </w:rPr>
            </w:pPr>
            <w:r>
              <w:rPr>
                <w:rFonts w:ascii="仿宋" w:hAnsi="仿宋" w:eastAsia="仿宋" w:cs="仿宋"/>
                <w:spacing w:val="3"/>
                <w:sz w:val="23"/>
                <w:szCs w:val="23"/>
              </w:rPr>
              <w:t>服</w:t>
            </w:r>
            <w:r>
              <w:rPr>
                <w:rFonts w:ascii="仿宋" w:hAnsi="仿宋" w:eastAsia="仿宋" w:cs="仿宋"/>
                <w:spacing w:val="9"/>
                <w:sz w:val="23"/>
                <w:szCs w:val="23"/>
              </w:rPr>
              <w:t>装、包袋等体育用</w:t>
            </w:r>
            <w:r>
              <w:rPr>
                <w:rFonts w:ascii="仿宋" w:hAnsi="仿宋" w:eastAsia="仿宋" w:cs="仿宋"/>
                <w:spacing w:val="8"/>
                <w:sz w:val="23"/>
                <w:szCs w:val="23"/>
              </w:rPr>
              <w:t>品</w:t>
            </w:r>
          </w:p>
        </w:tc>
      </w:tr>
      <w:tr w14:paraId="251E4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055" w:type="dxa"/>
            <w:tcBorders>
              <w:tl2br w:val="nil"/>
              <w:tr2bl w:val="nil"/>
            </w:tcBorders>
            <w:noWrap w:val="0"/>
            <w:vAlign w:val="center"/>
          </w:tcPr>
          <w:p w14:paraId="7EE87C53">
            <w:pPr>
              <w:keepNext w:val="0"/>
              <w:keepLines w:val="0"/>
              <w:pageBreakBefore w:val="0"/>
              <w:widowControl w:val="0"/>
              <w:kinsoku/>
              <w:wordWrap/>
              <w:overflowPunct/>
              <w:topLinePunct/>
              <w:autoSpaceDE/>
              <w:autoSpaceDN/>
              <w:bidi w:val="0"/>
              <w:adjustRightInd w:val="0"/>
              <w:snapToGrid w:val="0"/>
              <w:spacing w:line="360" w:lineRule="exact"/>
              <w:ind w:left="0"/>
              <w:jc w:val="center"/>
              <w:textAlignment w:val="baseline"/>
              <w:rPr>
                <w:rFonts w:ascii="Arial" w:hAnsi="Arial" w:eastAsia="Arial" w:cs="Arial"/>
                <w:sz w:val="23"/>
                <w:szCs w:val="23"/>
              </w:rPr>
            </w:pPr>
            <w:r>
              <w:rPr>
                <w:rFonts w:ascii="Arial" w:hAnsi="Arial" w:eastAsia="Arial" w:cs="Arial"/>
                <w:sz w:val="23"/>
                <w:szCs w:val="23"/>
              </w:rPr>
              <w:t>2</w:t>
            </w:r>
          </w:p>
        </w:tc>
        <w:tc>
          <w:tcPr>
            <w:tcW w:w="4379" w:type="dxa"/>
            <w:tcBorders>
              <w:tl2br w:val="nil"/>
              <w:tr2bl w:val="nil"/>
            </w:tcBorders>
            <w:noWrap w:val="0"/>
            <w:vAlign w:val="top"/>
          </w:tcPr>
          <w:p w14:paraId="6F008D44">
            <w:pPr>
              <w:keepNext w:val="0"/>
              <w:keepLines w:val="0"/>
              <w:pageBreakBefore w:val="0"/>
              <w:widowControl w:val="0"/>
              <w:kinsoku/>
              <w:wordWrap/>
              <w:overflowPunct/>
              <w:topLinePunct/>
              <w:autoSpaceDE/>
              <w:autoSpaceDN/>
              <w:bidi w:val="0"/>
              <w:adjustRightInd w:val="0"/>
              <w:snapToGrid w:val="0"/>
              <w:spacing w:line="360" w:lineRule="exact"/>
              <w:ind w:left="0"/>
              <w:textAlignment w:val="baseline"/>
              <w:rPr>
                <w:rFonts w:ascii="仿宋" w:hAnsi="仿宋" w:eastAsia="仿宋" w:cs="仿宋"/>
                <w:sz w:val="23"/>
                <w:szCs w:val="23"/>
              </w:rPr>
            </w:pPr>
            <w:r>
              <w:rPr>
                <w:rFonts w:ascii="仿宋" w:hAnsi="仿宋" w:eastAsia="仿宋" w:cs="仿宋"/>
                <w:spacing w:val="15"/>
                <w:sz w:val="23"/>
                <w:szCs w:val="23"/>
              </w:rPr>
              <w:t>泉</w:t>
            </w:r>
            <w:r>
              <w:rPr>
                <w:rFonts w:ascii="仿宋" w:hAnsi="仿宋" w:eastAsia="仿宋" w:cs="仿宋"/>
                <w:spacing w:val="8"/>
                <w:sz w:val="23"/>
                <w:szCs w:val="23"/>
              </w:rPr>
              <w:t>州恒昂工贸有限公司</w:t>
            </w:r>
          </w:p>
        </w:tc>
        <w:tc>
          <w:tcPr>
            <w:tcW w:w="3858" w:type="dxa"/>
            <w:tcBorders>
              <w:tl2br w:val="nil"/>
              <w:tr2bl w:val="nil"/>
            </w:tcBorders>
            <w:noWrap w:val="0"/>
            <w:vAlign w:val="top"/>
          </w:tcPr>
          <w:p w14:paraId="3A5FDA15">
            <w:pPr>
              <w:keepNext w:val="0"/>
              <w:keepLines w:val="0"/>
              <w:pageBreakBefore w:val="0"/>
              <w:widowControl w:val="0"/>
              <w:kinsoku/>
              <w:wordWrap/>
              <w:overflowPunct/>
              <w:topLinePunct/>
              <w:autoSpaceDE/>
              <w:autoSpaceDN/>
              <w:bidi w:val="0"/>
              <w:adjustRightInd w:val="0"/>
              <w:snapToGrid w:val="0"/>
              <w:spacing w:line="360" w:lineRule="exact"/>
              <w:ind w:left="0"/>
              <w:jc w:val="center"/>
              <w:textAlignment w:val="baseline"/>
              <w:rPr>
                <w:rFonts w:ascii="仿宋" w:hAnsi="仿宋" w:eastAsia="仿宋" w:cs="仿宋"/>
                <w:sz w:val="23"/>
                <w:szCs w:val="23"/>
              </w:rPr>
            </w:pPr>
            <w:r>
              <w:rPr>
                <w:rFonts w:ascii="仿宋" w:hAnsi="仿宋" w:eastAsia="仿宋" w:cs="仿宋"/>
                <w:spacing w:val="9"/>
                <w:sz w:val="23"/>
                <w:szCs w:val="23"/>
              </w:rPr>
              <w:t>乳</w:t>
            </w:r>
            <w:r>
              <w:rPr>
                <w:rFonts w:ascii="仿宋" w:hAnsi="仿宋" w:eastAsia="仿宋" w:cs="仿宋"/>
                <w:spacing w:val="8"/>
                <w:sz w:val="23"/>
                <w:szCs w:val="23"/>
              </w:rPr>
              <w:t>胶床垫、乳胶枕头</w:t>
            </w:r>
          </w:p>
        </w:tc>
      </w:tr>
      <w:tr w14:paraId="0E27F6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055" w:type="dxa"/>
            <w:tcBorders>
              <w:tl2br w:val="nil"/>
              <w:tr2bl w:val="nil"/>
            </w:tcBorders>
            <w:noWrap w:val="0"/>
            <w:vAlign w:val="center"/>
          </w:tcPr>
          <w:p w14:paraId="7CE5954E">
            <w:pPr>
              <w:keepNext w:val="0"/>
              <w:keepLines w:val="0"/>
              <w:pageBreakBefore w:val="0"/>
              <w:widowControl w:val="0"/>
              <w:kinsoku/>
              <w:wordWrap/>
              <w:overflowPunct/>
              <w:topLinePunct/>
              <w:autoSpaceDE/>
              <w:autoSpaceDN/>
              <w:bidi w:val="0"/>
              <w:adjustRightInd w:val="0"/>
              <w:snapToGrid w:val="0"/>
              <w:spacing w:line="360" w:lineRule="exact"/>
              <w:ind w:left="0"/>
              <w:jc w:val="center"/>
              <w:textAlignment w:val="baseline"/>
              <w:rPr>
                <w:rFonts w:ascii="Arial" w:hAnsi="Arial" w:eastAsia="Arial" w:cs="Arial"/>
                <w:sz w:val="23"/>
                <w:szCs w:val="23"/>
              </w:rPr>
            </w:pPr>
            <w:r>
              <w:rPr>
                <w:rFonts w:ascii="Arial" w:hAnsi="Arial" w:eastAsia="Arial" w:cs="Arial"/>
                <w:sz w:val="23"/>
                <w:szCs w:val="23"/>
              </w:rPr>
              <w:t>3</w:t>
            </w:r>
          </w:p>
        </w:tc>
        <w:tc>
          <w:tcPr>
            <w:tcW w:w="4379" w:type="dxa"/>
            <w:tcBorders>
              <w:tl2br w:val="nil"/>
              <w:tr2bl w:val="nil"/>
            </w:tcBorders>
            <w:noWrap w:val="0"/>
            <w:vAlign w:val="top"/>
          </w:tcPr>
          <w:p w14:paraId="0A431CBC">
            <w:pPr>
              <w:keepNext w:val="0"/>
              <w:keepLines w:val="0"/>
              <w:pageBreakBefore w:val="0"/>
              <w:widowControl w:val="0"/>
              <w:kinsoku/>
              <w:wordWrap/>
              <w:overflowPunct/>
              <w:topLinePunct/>
              <w:autoSpaceDE/>
              <w:autoSpaceDN/>
              <w:bidi w:val="0"/>
              <w:adjustRightInd w:val="0"/>
              <w:snapToGrid w:val="0"/>
              <w:spacing w:line="360" w:lineRule="exact"/>
              <w:ind w:left="0"/>
              <w:textAlignment w:val="baseline"/>
              <w:rPr>
                <w:rFonts w:ascii="仿宋" w:hAnsi="仿宋" w:eastAsia="仿宋" w:cs="仿宋"/>
                <w:sz w:val="23"/>
                <w:szCs w:val="23"/>
              </w:rPr>
            </w:pPr>
            <w:r>
              <w:rPr>
                <w:rFonts w:ascii="仿宋" w:hAnsi="仿宋" w:eastAsia="仿宋" w:cs="仿宋"/>
                <w:spacing w:val="9"/>
                <w:sz w:val="23"/>
                <w:szCs w:val="23"/>
              </w:rPr>
              <w:t>泉州市德诚高新树脂有限公司</w:t>
            </w:r>
          </w:p>
        </w:tc>
        <w:tc>
          <w:tcPr>
            <w:tcW w:w="3858" w:type="dxa"/>
            <w:tcBorders>
              <w:tl2br w:val="nil"/>
              <w:tr2bl w:val="nil"/>
            </w:tcBorders>
            <w:noWrap w:val="0"/>
            <w:vAlign w:val="top"/>
          </w:tcPr>
          <w:p w14:paraId="1782E0B4">
            <w:pPr>
              <w:keepNext w:val="0"/>
              <w:keepLines w:val="0"/>
              <w:pageBreakBefore w:val="0"/>
              <w:widowControl w:val="0"/>
              <w:kinsoku/>
              <w:wordWrap/>
              <w:overflowPunct/>
              <w:topLinePunct/>
              <w:autoSpaceDE/>
              <w:autoSpaceDN/>
              <w:bidi w:val="0"/>
              <w:adjustRightInd w:val="0"/>
              <w:snapToGrid w:val="0"/>
              <w:spacing w:line="360" w:lineRule="exact"/>
              <w:ind w:left="365" w:right="0" w:hanging="365"/>
              <w:jc w:val="center"/>
              <w:textAlignment w:val="baseline"/>
              <w:rPr>
                <w:rFonts w:ascii="仿宋" w:hAnsi="仿宋" w:eastAsia="仿宋" w:cs="仿宋"/>
                <w:spacing w:val="5"/>
                <w:sz w:val="23"/>
                <w:szCs w:val="23"/>
              </w:rPr>
            </w:pPr>
            <w:r>
              <w:rPr>
                <w:rFonts w:ascii="仿宋" w:hAnsi="仿宋" w:eastAsia="仿宋" w:cs="仿宋"/>
                <w:spacing w:val="10"/>
                <w:sz w:val="23"/>
                <w:szCs w:val="23"/>
              </w:rPr>
              <w:t>聚</w:t>
            </w:r>
            <w:r>
              <w:rPr>
                <w:rFonts w:ascii="仿宋" w:hAnsi="仿宋" w:eastAsia="仿宋" w:cs="仿宋"/>
                <w:spacing w:val="9"/>
                <w:sz w:val="23"/>
                <w:szCs w:val="23"/>
              </w:rPr>
              <w:t>氨</w:t>
            </w:r>
            <w:r>
              <w:rPr>
                <w:rFonts w:ascii="仿宋" w:hAnsi="仿宋" w:eastAsia="仿宋" w:cs="仿宋"/>
                <w:spacing w:val="5"/>
                <w:sz w:val="23"/>
                <w:szCs w:val="23"/>
              </w:rPr>
              <w:t>酯树脂、高分子材料、涂料、</w:t>
            </w:r>
          </w:p>
          <w:p w14:paraId="43C3F250">
            <w:pPr>
              <w:keepNext w:val="0"/>
              <w:keepLines w:val="0"/>
              <w:pageBreakBefore w:val="0"/>
              <w:widowControl w:val="0"/>
              <w:kinsoku/>
              <w:wordWrap/>
              <w:overflowPunct/>
              <w:topLinePunct/>
              <w:autoSpaceDE/>
              <w:autoSpaceDN/>
              <w:bidi w:val="0"/>
              <w:adjustRightInd w:val="0"/>
              <w:snapToGrid w:val="0"/>
              <w:spacing w:line="360" w:lineRule="exact"/>
              <w:ind w:left="365" w:right="0" w:hanging="365"/>
              <w:jc w:val="center"/>
              <w:textAlignment w:val="baseline"/>
              <w:rPr>
                <w:rFonts w:ascii="仿宋" w:hAnsi="仿宋" w:eastAsia="仿宋" w:cs="仿宋"/>
                <w:sz w:val="23"/>
                <w:szCs w:val="23"/>
              </w:rPr>
            </w:pPr>
            <w:r>
              <w:rPr>
                <w:rFonts w:ascii="仿宋" w:hAnsi="仿宋" w:eastAsia="仿宋" w:cs="仿宋"/>
                <w:spacing w:val="-2"/>
                <w:sz w:val="23"/>
                <w:szCs w:val="23"/>
              </w:rPr>
              <w:t>油漆、电</w:t>
            </w:r>
            <w:r>
              <w:rPr>
                <w:rFonts w:ascii="仿宋" w:hAnsi="仿宋" w:eastAsia="仿宋" w:cs="仿宋"/>
                <w:spacing w:val="-1"/>
                <w:sz w:val="23"/>
                <w:szCs w:val="23"/>
              </w:rPr>
              <w:t>磁材料、磁性材料</w:t>
            </w:r>
          </w:p>
        </w:tc>
      </w:tr>
      <w:tr w14:paraId="7D431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055" w:type="dxa"/>
            <w:tcBorders>
              <w:tl2br w:val="nil"/>
              <w:tr2bl w:val="nil"/>
            </w:tcBorders>
            <w:noWrap w:val="0"/>
            <w:vAlign w:val="center"/>
          </w:tcPr>
          <w:p w14:paraId="2A9597C5">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pacing w:val="2"/>
                <w:sz w:val="23"/>
                <w:szCs w:val="23"/>
              </w:rPr>
              <w:t>4</w:t>
            </w:r>
          </w:p>
        </w:tc>
        <w:tc>
          <w:tcPr>
            <w:tcW w:w="4379" w:type="dxa"/>
            <w:tcBorders>
              <w:tl2br w:val="nil"/>
              <w:tr2bl w:val="nil"/>
            </w:tcBorders>
            <w:noWrap w:val="0"/>
            <w:vAlign w:val="top"/>
          </w:tcPr>
          <w:p w14:paraId="719630A0">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泉州玺堡家纺科技有限公</w:t>
            </w:r>
            <w:r>
              <w:rPr>
                <w:rFonts w:ascii="仿宋" w:hAnsi="仿宋" w:eastAsia="仿宋" w:cs="仿宋"/>
                <w:spacing w:val="8"/>
                <w:sz w:val="23"/>
                <w:szCs w:val="23"/>
              </w:rPr>
              <w:t>司</w:t>
            </w:r>
          </w:p>
        </w:tc>
        <w:tc>
          <w:tcPr>
            <w:tcW w:w="3858" w:type="dxa"/>
            <w:tcBorders>
              <w:tl2br w:val="nil"/>
              <w:tr2bl w:val="nil"/>
            </w:tcBorders>
            <w:noWrap w:val="0"/>
            <w:vAlign w:val="top"/>
          </w:tcPr>
          <w:p w14:paraId="0406CC2A">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9"/>
                <w:sz w:val="23"/>
                <w:szCs w:val="23"/>
              </w:rPr>
              <w:t>乳</w:t>
            </w:r>
            <w:r>
              <w:rPr>
                <w:rFonts w:ascii="仿宋" w:hAnsi="仿宋" w:eastAsia="仿宋" w:cs="仿宋"/>
                <w:spacing w:val="8"/>
                <w:sz w:val="23"/>
                <w:szCs w:val="23"/>
              </w:rPr>
              <w:t>胶床垫、乳胶枕头</w:t>
            </w:r>
          </w:p>
        </w:tc>
      </w:tr>
      <w:tr w14:paraId="6AC570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055" w:type="dxa"/>
            <w:tcBorders>
              <w:tl2br w:val="nil"/>
              <w:tr2bl w:val="nil"/>
            </w:tcBorders>
            <w:noWrap w:val="0"/>
            <w:vAlign w:val="center"/>
          </w:tcPr>
          <w:p w14:paraId="73F51600">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z w:val="23"/>
                <w:szCs w:val="23"/>
              </w:rPr>
              <w:t>5</w:t>
            </w:r>
          </w:p>
        </w:tc>
        <w:tc>
          <w:tcPr>
            <w:tcW w:w="4379" w:type="dxa"/>
            <w:tcBorders>
              <w:tl2br w:val="nil"/>
              <w:tr2bl w:val="nil"/>
            </w:tcBorders>
            <w:noWrap w:val="0"/>
            <w:vAlign w:val="top"/>
          </w:tcPr>
          <w:p w14:paraId="7B6E99B9">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15"/>
                <w:sz w:val="23"/>
                <w:szCs w:val="23"/>
              </w:rPr>
              <w:t>泉</w:t>
            </w:r>
            <w:r>
              <w:rPr>
                <w:rFonts w:ascii="仿宋" w:hAnsi="仿宋" w:eastAsia="仿宋" w:cs="仿宋"/>
                <w:spacing w:val="8"/>
                <w:sz w:val="23"/>
                <w:szCs w:val="23"/>
              </w:rPr>
              <w:t>州市泉港安兴石材厂</w:t>
            </w:r>
          </w:p>
        </w:tc>
        <w:tc>
          <w:tcPr>
            <w:tcW w:w="3858" w:type="dxa"/>
            <w:tcBorders>
              <w:tl2br w:val="nil"/>
              <w:tr2bl w:val="nil"/>
            </w:tcBorders>
            <w:noWrap w:val="0"/>
            <w:vAlign w:val="top"/>
          </w:tcPr>
          <w:p w14:paraId="4D9CB0F9">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6"/>
                <w:sz w:val="23"/>
                <w:szCs w:val="23"/>
              </w:rPr>
              <w:t>石</w:t>
            </w:r>
            <w:r>
              <w:rPr>
                <w:rFonts w:ascii="仿宋" w:hAnsi="仿宋" w:eastAsia="仿宋" w:cs="仿宋"/>
                <w:spacing w:val="5"/>
                <w:sz w:val="23"/>
                <w:szCs w:val="23"/>
              </w:rPr>
              <w:t>材加工</w:t>
            </w:r>
          </w:p>
        </w:tc>
      </w:tr>
      <w:tr w14:paraId="10DAAA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055" w:type="dxa"/>
            <w:tcBorders>
              <w:tl2br w:val="nil"/>
              <w:tr2bl w:val="nil"/>
            </w:tcBorders>
            <w:noWrap w:val="0"/>
            <w:vAlign w:val="center"/>
          </w:tcPr>
          <w:p w14:paraId="3CC189DE">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z w:val="23"/>
                <w:szCs w:val="23"/>
              </w:rPr>
              <w:t>6</w:t>
            </w:r>
          </w:p>
        </w:tc>
        <w:tc>
          <w:tcPr>
            <w:tcW w:w="4379" w:type="dxa"/>
            <w:tcBorders>
              <w:tl2br w:val="nil"/>
              <w:tr2bl w:val="nil"/>
            </w:tcBorders>
            <w:noWrap w:val="0"/>
            <w:vAlign w:val="top"/>
          </w:tcPr>
          <w:p w14:paraId="1BC38E2B">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福建百川资源再生科技有限公司</w:t>
            </w:r>
          </w:p>
        </w:tc>
        <w:tc>
          <w:tcPr>
            <w:tcW w:w="3858" w:type="dxa"/>
            <w:tcBorders>
              <w:tl2br w:val="nil"/>
              <w:tr2bl w:val="nil"/>
            </w:tcBorders>
            <w:noWrap w:val="0"/>
            <w:vAlign w:val="top"/>
          </w:tcPr>
          <w:p w14:paraId="4078E1B1">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10"/>
                <w:sz w:val="23"/>
                <w:szCs w:val="23"/>
              </w:rPr>
              <w:t>涤</w:t>
            </w:r>
            <w:r>
              <w:rPr>
                <w:rFonts w:ascii="仿宋" w:hAnsi="仿宋" w:eastAsia="仿宋" w:cs="仿宋"/>
                <w:spacing w:val="7"/>
                <w:sz w:val="23"/>
                <w:szCs w:val="23"/>
              </w:rPr>
              <w:t>纶丝、牛津布</w:t>
            </w:r>
          </w:p>
        </w:tc>
      </w:tr>
      <w:tr w14:paraId="713D0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1055" w:type="dxa"/>
            <w:tcBorders>
              <w:tl2br w:val="nil"/>
              <w:tr2bl w:val="nil"/>
            </w:tcBorders>
            <w:noWrap w:val="0"/>
            <w:vAlign w:val="center"/>
          </w:tcPr>
          <w:p w14:paraId="2885FDF3">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z w:val="23"/>
                <w:szCs w:val="23"/>
              </w:rPr>
              <w:t>7</w:t>
            </w:r>
          </w:p>
        </w:tc>
        <w:tc>
          <w:tcPr>
            <w:tcW w:w="4379" w:type="dxa"/>
            <w:tcBorders>
              <w:tl2br w:val="nil"/>
              <w:tr2bl w:val="nil"/>
            </w:tcBorders>
            <w:noWrap w:val="0"/>
            <w:vAlign w:val="top"/>
          </w:tcPr>
          <w:p w14:paraId="06C00A53">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福建省泉州弘耕鞋材有限公</w:t>
            </w:r>
            <w:r>
              <w:rPr>
                <w:rFonts w:ascii="仿宋" w:hAnsi="仿宋" w:eastAsia="仿宋" w:cs="仿宋"/>
                <w:spacing w:val="8"/>
                <w:sz w:val="23"/>
                <w:szCs w:val="23"/>
              </w:rPr>
              <w:t>司</w:t>
            </w:r>
          </w:p>
        </w:tc>
        <w:tc>
          <w:tcPr>
            <w:tcW w:w="3858" w:type="dxa"/>
            <w:tcBorders>
              <w:tl2br w:val="nil"/>
              <w:tr2bl w:val="nil"/>
            </w:tcBorders>
            <w:noWrap w:val="0"/>
            <w:vAlign w:val="top"/>
          </w:tcPr>
          <w:p w14:paraId="143B6537">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9"/>
                <w:sz w:val="23"/>
                <w:szCs w:val="23"/>
              </w:rPr>
              <w:t>无</w:t>
            </w:r>
            <w:r>
              <w:rPr>
                <w:rFonts w:ascii="仿宋" w:hAnsi="仿宋" w:eastAsia="仿宋" w:cs="仿宋"/>
                <w:spacing w:val="6"/>
                <w:sz w:val="23"/>
                <w:szCs w:val="23"/>
              </w:rPr>
              <w:t>纺布衬料</w:t>
            </w:r>
          </w:p>
        </w:tc>
      </w:tr>
      <w:tr w14:paraId="05845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55" w:type="dxa"/>
            <w:tcBorders>
              <w:tl2br w:val="nil"/>
              <w:tr2bl w:val="nil"/>
            </w:tcBorders>
            <w:noWrap w:val="0"/>
            <w:vAlign w:val="center"/>
          </w:tcPr>
          <w:p w14:paraId="23E88F8D">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z w:val="23"/>
                <w:szCs w:val="23"/>
              </w:rPr>
              <w:t>8</w:t>
            </w:r>
          </w:p>
        </w:tc>
        <w:tc>
          <w:tcPr>
            <w:tcW w:w="4379" w:type="dxa"/>
            <w:tcBorders>
              <w:tl2br w:val="nil"/>
              <w:tr2bl w:val="nil"/>
            </w:tcBorders>
            <w:noWrap w:val="0"/>
            <w:vAlign w:val="top"/>
          </w:tcPr>
          <w:p w14:paraId="6957159D">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福建纳川管材科技股份有限公司</w:t>
            </w:r>
          </w:p>
        </w:tc>
        <w:tc>
          <w:tcPr>
            <w:tcW w:w="3858" w:type="dxa"/>
            <w:tcBorders>
              <w:tl2br w:val="nil"/>
              <w:tr2bl w:val="nil"/>
            </w:tcBorders>
            <w:noWrap w:val="0"/>
            <w:vAlign w:val="top"/>
          </w:tcPr>
          <w:p w14:paraId="12F13184">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8"/>
                <w:sz w:val="23"/>
                <w:szCs w:val="23"/>
              </w:rPr>
              <w:t>高</w:t>
            </w:r>
            <w:r>
              <w:rPr>
                <w:rFonts w:ascii="仿宋" w:hAnsi="仿宋" w:eastAsia="仿宋" w:cs="仿宋"/>
                <w:spacing w:val="7"/>
                <w:sz w:val="23"/>
                <w:szCs w:val="23"/>
              </w:rPr>
              <w:t>密度聚乙烯管</w:t>
            </w:r>
          </w:p>
        </w:tc>
      </w:tr>
      <w:tr w14:paraId="40152C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1055" w:type="dxa"/>
            <w:tcBorders>
              <w:tl2br w:val="nil"/>
              <w:tr2bl w:val="nil"/>
            </w:tcBorders>
            <w:noWrap w:val="0"/>
            <w:vAlign w:val="center"/>
          </w:tcPr>
          <w:p w14:paraId="2E0B839E">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z w:val="23"/>
                <w:szCs w:val="23"/>
              </w:rPr>
              <w:t>9</w:t>
            </w:r>
          </w:p>
        </w:tc>
        <w:tc>
          <w:tcPr>
            <w:tcW w:w="4379" w:type="dxa"/>
            <w:tcBorders>
              <w:tl2br w:val="nil"/>
              <w:tr2bl w:val="nil"/>
            </w:tcBorders>
            <w:noWrap w:val="0"/>
            <w:vAlign w:val="top"/>
          </w:tcPr>
          <w:p w14:paraId="6376697C">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12"/>
                <w:sz w:val="23"/>
                <w:szCs w:val="23"/>
              </w:rPr>
              <w:t>福</w:t>
            </w:r>
            <w:r>
              <w:rPr>
                <w:rFonts w:ascii="仿宋" w:hAnsi="仿宋" w:eastAsia="仿宋" w:cs="仿宋"/>
                <w:spacing w:val="9"/>
                <w:sz w:val="23"/>
                <w:szCs w:val="23"/>
              </w:rPr>
              <w:t>建和盛置信非晶合金变压器有限公司</w:t>
            </w:r>
          </w:p>
        </w:tc>
        <w:tc>
          <w:tcPr>
            <w:tcW w:w="3858" w:type="dxa"/>
            <w:tcBorders>
              <w:tl2br w:val="nil"/>
              <w:tr2bl w:val="nil"/>
            </w:tcBorders>
            <w:noWrap w:val="0"/>
            <w:vAlign w:val="top"/>
          </w:tcPr>
          <w:p w14:paraId="5CDE95F1">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11"/>
                <w:sz w:val="23"/>
                <w:szCs w:val="23"/>
              </w:rPr>
              <w:t>非</w:t>
            </w:r>
            <w:r>
              <w:rPr>
                <w:rFonts w:ascii="仿宋" w:hAnsi="仿宋" w:eastAsia="仿宋" w:cs="仿宋"/>
                <w:spacing w:val="6"/>
                <w:sz w:val="23"/>
                <w:szCs w:val="23"/>
              </w:rPr>
              <w:t>晶合金变压器</w:t>
            </w:r>
          </w:p>
        </w:tc>
      </w:tr>
      <w:tr w14:paraId="510ECF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055" w:type="dxa"/>
            <w:tcBorders>
              <w:tl2br w:val="nil"/>
              <w:tr2bl w:val="nil"/>
            </w:tcBorders>
            <w:noWrap w:val="0"/>
            <w:vAlign w:val="center"/>
          </w:tcPr>
          <w:p w14:paraId="17262C5A">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0</w:t>
            </w:r>
          </w:p>
        </w:tc>
        <w:tc>
          <w:tcPr>
            <w:tcW w:w="4379" w:type="dxa"/>
            <w:tcBorders>
              <w:tl2br w:val="nil"/>
              <w:tr2bl w:val="nil"/>
            </w:tcBorders>
            <w:noWrap w:val="0"/>
            <w:vAlign w:val="top"/>
          </w:tcPr>
          <w:p w14:paraId="5ABA4B97">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泉州开普勒车用电机有限公司</w:t>
            </w:r>
          </w:p>
        </w:tc>
        <w:tc>
          <w:tcPr>
            <w:tcW w:w="3858" w:type="dxa"/>
            <w:tcBorders>
              <w:tl2br w:val="nil"/>
              <w:tr2bl w:val="nil"/>
            </w:tcBorders>
            <w:noWrap w:val="0"/>
            <w:vAlign w:val="top"/>
          </w:tcPr>
          <w:p w14:paraId="4ABC8453">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13"/>
                <w:sz w:val="23"/>
                <w:szCs w:val="23"/>
              </w:rPr>
              <w:t>汽</w:t>
            </w:r>
            <w:r>
              <w:rPr>
                <w:rFonts w:ascii="仿宋" w:hAnsi="仿宋" w:eastAsia="仿宋" w:cs="仿宋"/>
                <w:spacing w:val="8"/>
                <w:sz w:val="23"/>
                <w:szCs w:val="23"/>
              </w:rPr>
              <w:t>车用起动机、汽车用发电机</w:t>
            </w:r>
          </w:p>
        </w:tc>
      </w:tr>
      <w:tr w14:paraId="1C550C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1055" w:type="dxa"/>
            <w:tcBorders>
              <w:tl2br w:val="nil"/>
              <w:tr2bl w:val="nil"/>
            </w:tcBorders>
            <w:noWrap w:val="0"/>
            <w:vAlign w:val="center"/>
          </w:tcPr>
          <w:p w14:paraId="65E8D68F">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pacing w:val="-11"/>
                <w:sz w:val="23"/>
                <w:szCs w:val="23"/>
              </w:rPr>
              <w:t>1</w:t>
            </w:r>
            <w:r>
              <w:rPr>
                <w:rFonts w:ascii="Arial" w:hAnsi="Arial" w:eastAsia="Arial" w:cs="Arial"/>
                <w:spacing w:val="-36"/>
                <w:sz w:val="23"/>
                <w:szCs w:val="23"/>
              </w:rPr>
              <w:t xml:space="preserve"> </w:t>
            </w:r>
            <w:r>
              <w:rPr>
                <w:rFonts w:ascii="Arial" w:hAnsi="Arial" w:eastAsia="Arial" w:cs="Arial"/>
                <w:spacing w:val="-11"/>
                <w:sz w:val="23"/>
                <w:szCs w:val="23"/>
              </w:rPr>
              <w:t>1</w:t>
            </w:r>
          </w:p>
        </w:tc>
        <w:tc>
          <w:tcPr>
            <w:tcW w:w="4379" w:type="dxa"/>
            <w:tcBorders>
              <w:tl2br w:val="nil"/>
              <w:tr2bl w:val="nil"/>
            </w:tcBorders>
            <w:noWrap w:val="0"/>
            <w:vAlign w:val="top"/>
          </w:tcPr>
          <w:p w14:paraId="29710D23">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福建荣盛钢结构实业有限公</w:t>
            </w:r>
            <w:r>
              <w:rPr>
                <w:rFonts w:ascii="仿宋" w:hAnsi="仿宋" w:eastAsia="仿宋" w:cs="仿宋"/>
                <w:spacing w:val="8"/>
                <w:sz w:val="23"/>
                <w:szCs w:val="23"/>
              </w:rPr>
              <w:t>司</w:t>
            </w:r>
          </w:p>
        </w:tc>
        <w:tc>
          <w:tcPr>
            <w:tcW w:w="3858" w:type="dxa"/>
            <w:tcBorders>
              <w:tl2br w:val="nil"/>
              <w:tr2bl w:val="nil"/>
            </w:tcBorders>
            <w:noWrap w:val="0"/>
            <w:vAlign w:val="top"/>
          </w:tcPr>
          <w:p w14:paraId="0101AD50">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9"/>
                <w:sz w:val="23"/>
                <w:szCs w:val="23"/>
              </w:rPr>
              <w:t>钢结构、彩钢</w:t>
            </w:r>
            <w:r>
              <w:rPr>
                <w:rFonts w:ascii="仿宋" w:hAnsi="仿宋" w:eastAsia="仿宋" w:cs="仿宋"/>
                <w:spacing w:val="8"/>
                <w:sz w:val="23"/>
                <w:szCs w:val="23"/>
              </w:rPr>
              <w:t>板</w:t>
            </w:r>
          </w:p>
        </w:tc>
      </w:tr>
      <w:tr w14:paraId="05B5C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055" w:type="dxa"/>
            <w:tcBorders>
              <w:tl2br w:val="nil"/>
              <w:tr2bl w:val="nil"/>
            </w:tcBorders>
            <w:noWrap w:val="0"/>
            <w:vAlign w:val="center"/>
          </w:tcPr>
          <w:p w14:paraId="79C403E3">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2</w:t>
            </w:r>
          </w:p>
        </w:tc>
        <w:tc>
          <w:tcPr>
            <w:tcW w:w="4379" w:type="dxa"/>
            <w:tcBorders>
              <w:tl2br w:val="nil"/>
              <w:tr2bl w:val="nil"/>
            </w:tcBorders>
            <w:noWrap w:val="0"/>
            <w:vAlign w:val="top"/>
          </w:tcPr>
          <w:p w14:paraId="0015A13A">
            <w:pPr>
              <w:keepNext w:val="0"/>
              <w:keepLines w:val="0"/>
              <w:pageBreakBefore w:val="0"/>
              <w:widowControl w:val="0"/>
              <w:kinsoku/>
              <w:wordWrap/>
              <w:overflowPunct/>
              <w:topLinePunct/>
              <w:autoSpaceDE/>
              <w:autoSpaceDN/>
              <w:bidi w:val="0"/>
              <w:adjustRightInd w:val="0"/>
              <w:snapToGrid w:val="0"/>
              <w:spacing w:line="360" w:lineRule="exact"/>
              <w:ind w:left="0" w:leftChars="0" w:right="103" w:rightChars="0" w:hanging="4" w:firstLineChars="0"/>
              <w:textAlignment w:val="baseline"/>
              <w:rPr>
                <w:rFonts w:ascii="仿宋" w:hAnsi="仿宋" w:eastAsia="仿宋" w:cs="仿宋"/>
                <w:spacing w:val="9"/>
                <w:sz w:val="23"/>
                <w:szCs w:val="23"/>
              </w:rPr>
            </w:pPr>
            <w:r>
              <w:rPr>
                <w:rFonts w:ascii="仿宋" w:hAnsi="仿宋" w:eastAsia="仿宋" w:cs="仿宋"/>
                <w:spacing w:val="23"/>
                <w:sz w:val="23"/>
                <w:szCs w:val="23"/>
              </w:rPr>
              <w:t>泉</w:t>
            </w:r>
            <w:r>
              <w:rPr>
                <w:rFonts w:ascii="仿宋" w:hAnsi="仿宋" w:eastAsia="仿宋" w:cs="仿宋"/>
                <w:spacing w:val="13"/>
                <w:sz w:val="23"/>
                <w:szCs w:val="23"/>
              </w:rPr>
              <w:t>州鸿泰钢结构实业有限公司(荣盛钢</w:t>
            </w:r>
            <w:r>
              <w:rPr>
                <w:rFonts w:ascii="仿宋" w:hAnsi="仿宋" w:eastAsia="仿宋" w:cs="仿宋"/>
                <w:spacing w:val="4"/>
                <w:sz w:val="23"/>
                <w:szCs w:val="23"/>
              </w:rPr>
              <w:t>结</w:t>
            </w:r>
            <w:r>
              <w:rPr>
                <w:rFonts w:ascii="仿宋" w:hAnsi="仿宋" w:eastAsia="仿宋" w:cs="仿宋"/>
                <w:spacing w:val="2"/>
                <w:sz w:val="23"/>
                <w:szCs w:val="23"/>
              </w:rPr>
              <w:t>构)</w:t>
            </w:r>
          </w:p>
        </w:tc>
        <w:tc>
          <w:tcPr>
            <w:tcW w:w="3858" w:type="dxa"/>
            <w:tcBorders>
              <w:tl2br w:val="nil"/>
              <w:tr2bl w:val="nil"/>
            </w:tcBorders>
            <w:noWrap w:val="0"/>
            <w:vAlign w:val="top"/>
          </w:tcPr>
          <w:p w14:paraId="0E912630">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jc w:val="center"/>
              <w:textAlignment w:val="baseline"/>
              <w:rPr>
                <w:rFonts w:ascii="仿宋" w:hAnsi="仿宋" w:eastAsia="仿宋" w:cs="仿宋"/>
                <w:spacing w:val="10"/>
                <w:sz w:val="23"/>
                <w:szCs w:val="23"/>
              </w:rPr>
            </w:pPr>
            <w:r>
              <w:rPr>
                <w:rFonts w:ascii="仿宋" w:hAnsi="仿宋" w:eastAsia="仿宋" w:cs="仿宋"/>
                <w:spacing w:val="10"/>
                <w:sz w:val="23"/>
                <w:szCs w:val="23"/>
              </w:rPr>
              <w:t>钢</w:t>
            </w:r>
            <w:r>
              <w:rPr>
                <w:rFonts w:ascii="仿宋" w:hAnsi="仿宋" w:eastAsia="仿宋" w:cs="仿宋"/>
                <w:spacing w:val="8"/>
                <w:sz w:val="23"/>
                <w:szCs w:val="23"/>
              </w:rPr>
              <w:t>构件加工</w:t>
            </w:r>
          </w:p>
        </w:tc>
      </w:tr>
      <w:tr w14:paraId="1BEEB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055" w:type="dxa"/>
            <w:tcBorders>
              <w:tl2br w:val="nil"/>
              <w:tr2bl w:val="nil"/>
            </w:tcBorders>
            <w:noWrap w:val="0"/>
            <w:vAlign w:val="center"/>
          </w:tcPr>
          <w:p w14:paraId="13A465E3">
            <w:pPr>
              <w:keepNext w:val="0"/>
              <w:keepLines w:val="0"/>
              <w:pageBreakBefore w:val="0"/>
              <w:widowControl w:val="0"/>
              <w:kinsoku/>
              <w:wordWrap/>
              <w:overflowPunct/>
              <w:topLinePunct/>
              <w:autoSpaceDE/>
              <w:autoSpaceDN/>
              <w:bidi w:val="0"/>
              <w:adjustRightInd w:val="0"/>
              <w:snapToGrid w:val="0"/>
              <w:spacing w:line="360" w:lineRule="exact"/>
              <w:ind w:left="0" w:leftChars="0"/>
              <w:jc w:val="center"/>
              <w:textAlignment w:val="baseline"/>
              <w:rPr>
                <w:rFonts w:ascii="Arial" w:hAnsi="Arial" w:eastAsia="Arial" w:cs="Arial"/>
                <w:sz w:val="23"/>
                <w:szCs w:val="23"/>
              </w:rPr>
            </w:pPr>
            <w:r>
              <w:rPr>
                <w:rFonts w:ascii="Arial" w:hAnsi="Arial" w:eastAsia="Arial" w:cs="Arial"/>
                <w:spacing w:val="-8"/>
                <w:sz w:val="23"/>
                <w:szCs w:val="23"/>
              </w:rPr>
              <w:t>1</w:t>
            </w:r>
            <w:r>
              <w:rPr>
                <w:rFonts w:ascii="Arial" w:hAnsi="Arial" w:eastAsia="Arial" w:cs="Arial"/>
                <w:spacing w:val="-7"/>
                <w:sz w:val="23"/>
                <w:szCs w:val="23"/>
              </w:rPr>
              <w:t>3</w:t>
            </w:r>
          </w:p>
        </w:tc>
        <w:tc>
          <w:tcPr>
            <w:tcW w:w="4379" w:type="dxa"/>
            <w:tcBorders>
              <w:tl2br w:val="nil"/>
              <w:tr2bl w:val="nil"/>
            </w:tcBorders>
            <w:noWrap w:val="0"/>
            <w:vAlign w:val="top"/>
          </w:tcPr>
          <w:p w14:paraId="2DF8E6F7">
            <w:pPr>
              <w:keepNext w:val="0"/>
              <w:keepLines w:val="0"/>
              <w:pageBreakBefore w:val="0"/>
              <w:widowControl w:val="0"/>
              <w:kinsoku/>
              <w:wordWrap/>
              <w:overflowPunct/>
              <w:topLinePunct/>
              <w:autoSpaceDE/>
              <w:autoSpaceDN/>
              <w:bidi w:val="0"/>
              <w:adjustRightInd w:val="0"/>
              <w:snapToGrid w:val="0"/>
              <w:spacing w:line="360" w:lineRule="exact"/>
              <w:ind w:left="0"/>
              <w:textAlignment w:val="baseline"/>
              <w:rPr>
                <w:rFonts w:ascii="Arial"/>
                <w:sz w:val="21"/>
              </w:rPr>
            </w:pPr>
          </w:p>
          <w:p w14:paraId="12E2FB0D">
            <w:pPr>
              <w:keepNext w:val="0"/>
              <w:keepLines w:val="0"/>
              <w:pageBreakBefore w:val="0"/>
              <w:widowControl w:val="0"/>
              <w:kinsoku/>
              <w:wordWrap/>
              <w:overflowPunct/>
              <w:topLinePunct/>
              <w:autoSpaceDE/>
              <w:autoSpaceDN/>
              <w:bidi w:val="0"/>
              <w:adjustRightInd w:val="0"/>
              <w:snapToGrid w:val="0"/>
              <w:spacing w:line="360" w:lineRule="exact"/>
              <w:ind w:left="0" w:leftChars="0"/>
              <w:textAlignment w:val="baseline"/>
              <w:rPr>
                <w:rFonts w:ascii="仿宋" w:hAnsi="仿宋" w:eastAsia="仿宋" w:cs="仿宋"/>
                <w:spacing w:val="9"/>
                <w:sz w:val="23"/>
                <w:szCs w:val="23"/>
              </w:rPr>
            </w:pPr>
            <w:r>
              <w:rPr>
                <w:rFonts w:ascii="仿宋" w:hAnsi="仿宋" w:eastAsia="仿宋" w:cs="仿宋"/>
                <w:spacing w:val="9"/>
                <w:sz w:val="23"/>
                <w:szCs w:val="23"/>
              </w:rPr>
              <w:t>福建坚石电力配件制造有限公司</w:t>
            </w:r>
          </w:p>
        </w:tc>
        <w:tc>
          <w:tcPr>
            <w:tcW w:w="3858" w:type="dxa"/>
            <w:tcBorders>
              <w:tl2br w:val="nil"/>
              <w:tr2bl w:val="nil"/>
            </w:tcBorders>
            <w:noWrap w:val="0"/>
            <w:vAlign w:val="top"/>
          </w:tcPr>
          <w:p w14:paraId="507D4541">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17" w:firstLineChars="0"/>
              <w:jc w:val="center"/>
              <w:textAlignment w:val="baseline"/>
              <w:rPr>
                <w:rFonts w:ascii="仿宋" w:hAnsi="仿宋" w:eastAsia="仿宋" w:cs="仿宋"/>
                <w:spacing w:val="10"/>
                <w:sz w:val="23"/>
                <w:szCs w:val="23"/>
              </w:rPr>
            </w:pPr>
            <w:r>
              <w:rPr>
                <w:rFonts w:ascii="仿宋" w:hAnsi="仿宋" w:eastAsia="仿宋" w:cs="仿宋"/>
                <w:spacing w:val="13"/>
                <w:sz w:val="23"/>
                <w:szCs w:val="23"/>
              </w:rPr>
              <w:t>生</w:t>
            </w:r>
            <w:r>
              <w:rPr>
                <w:rFonts w:ascii="仿宋" w:hAnsi="仿宋" w:eastAsia="仿宋" w:cs="仿宋"/>
                <w:spacing w:val="8"/>
                <w:sz w:val="23"/>
                <w:szCs w:val="23"/>
              </w:rPr>
              <w:t>产铁塔、棱形钢管杆、钢管塔、</w:t>
            </w:r>
            <w:r>
              <w:rPr>
                <w:rFonts w:ascii="仿宋" w:hAnsi="仿宋" w:eastAsia="仿宋" w:cs="仿宋"/>
                <w:spacing w:val="16"/>
                <w:sz w:val="23"/>
                <w:szCs w:val="23"/>
              </w:rPr>
              <w:t>钢</w:t>
            </w:r>
            <w:r>
              <w:rPr>
                <w:rFonts w:ascii="仿宋" w:hAnsi="仿宋" w:eastAsia="仿宋" w:cs="仿宋"/>
                <w:spacing w:val="9"/>
                <w:sz w:val="23"/>
                <w:szCs w:val="23"/>
              </w:rPr>
              <w:t>管变电构支架、立体停车设备及相关配套产</w:t>
            </w:r>
            <w:r>
              <w:rPr>
                <w:rFonts w:ascii="仿宋" w:hAnsi="仿宋" w:eastAsia="仿宋" w:cs="仿宋"/>
                <w:spacing w:val="8"/>
                <w:sz w:val="23"/>
                <w:szCs w:val="23"/>
              </w:rPr>
              <w:t>品</w:t>
            </w:r>
          </w:p>
        </w:tc>
      </w:tr>
    </w:tbl>
    <w:p w14:paraId="2F0D12BB">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3.2.2存在主要问题</w:t>
      </w:r>
    </w:p>
    <w:p w14:paraId="63D9820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泉港高新区已形成较好产业基础，但还存在着与发展需求不相适应的一些问题。</w:t>
      </w:r>
    </w:p>
    <w:p w14:paraId="1FA7C9F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一是主导产业如先进高分子新材料等产业缺乏龙头企业，产业上下游关联度较为松散。</w:t>
      </w:r>
    </w:p>
    <w:p w14:paraId="22FA212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大力发展新材料产业，重点发展了新型管材建材、高分子材料和新型纺织材料，引进以纳川、百川等为代表的企业群，但泉港高新区目前产业规模较小，具有绝对优势的高技术产业格局尚未形成，主导产业不突出。</w:t>
      </w:r>
    </w:p>
    <w:p w14:paraId="0A0992C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二是泉港高新区目前可供工业用地较为紧张。</w:t>
      </w:r>
    </w:p>
    <w:p w14:paraId="34223F2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新增工业用地需面临拆迁，同时部分闲置厂房及土地，需要制定土地盘活相关措施及土地政策，保障企业发展用地需求。</w:t>
      </w:r>
    </w:p>
    <w:p w14:paraId="58EF965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三是产业发展面临的环境保护压力较大。</w:t>
      </w:r>
    </w:p>
    <w:p w14:paraId="651E9C8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产城融合度高、环境保护要求严的背景下，对产业门类要求更高。泉港高新区不仅要求从事重污染、高环境风险的三类生产企业迁出，而且对污染较大、能耗较高的二类生产企业也要逐步迁出，因此对引进企业环保水平要求更高，项目选择、招商引资的难度相应增大。</w:t>
      </w:r>
    </w:p>
    <w:p w14:paraId="6E07DAD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3.3泉州及周边产业发展概况</w:t>
      </w:r>
    </w:p>
    <w:p w14:paraId="25CD914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3.3.1泉州市产业发展概况</w:t>
      </w:r>
    </w:p>
    <w:p w14:paraId="41C51CF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市工业产业发达，2018年全部工业增加值达到4346.46亿元，增长8.9%，工业对经济增长的贡献率达53.2%。其中规模以上工业增加值3911.97亿元，增长9.1%。全年规模以上工业实现销售产值15994.79亿元，其中出口交货值2590.68亿元，增长18.7%。拥有超亿元企业2692家，比上年增加169家，其中超10亿元企业281家，比上年增加35家。</w:t>
      </w:r>
    </w:p>
    <w:p w14:paraId="060618F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通过多年的发展，泉州市产业已初步形成集群式发展模式，形成了传统、重化、高新“三大板块”，已成为海峡西岸重要的先进制造业基地。泉港石化工业区和泉惠石化工业区是湄洲湾石化基地石化产业发展的重点区域。泉港石化工业区已建成1400万吨/年炼油、110万吨/年乙烯、80万吨/年芳烃产能；泉惠石化工业区已建成1200万吨/年炼油项目，1500万吨/年炼油改扩建、100万吨/年乙烯、80万吨/年芳烃项目正在筹备建设。</w:t>
      </w:r>
    </w:p>
    <w:p w14:paraId="7A73EC1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市民营经济发达，是泉州经济发展的主要力量和主要支撑，无论是企业数量、产值还是就业人数均占全市九成以上。2018年全年民间投资增长18.6%，对全市固定资产投资增长的贡献达78.1%。在经济转型的过程中，无论是传统产业的升级，还是战略性新兴产业的发展，民营投资对固定资产投资贡献率呈现不断提高势头，泉州市经济发展具有较强的活力。</w:t>
      </w:r>
    </w:p>
    <w:p w14:paraId="567E834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3.3.2周边产业发展概况</w:t>
      </w:r>
    </w:p>
    <w:p w14:paraId="5BF4F65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3.3.2.1石化产业发展概况</w:t>
      </w:r>
    </w:p>
    <w:p w14:paraId="115265F8">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福建省抓住国家石化产业结构调整和海西经济全面崛起的契机，通过推动湄洲湾石化基地、古雷石化基地和江阴化工新材料专区(即“两基地一专区”)的建设，全省石化产业规模快速提升，支撑作用不断增强。其中湄洲湾石化基地以泉港、泉惠石化工业区为主。2018年，福建省石化和化工行业发挥技术和市场优势再上新台阶。依托“两基地一专区”，福建省石化和化工产业链逐步完善，中化泉州石化有限公司原油加工量首次突破设计能力(1200万吨/年)，达1279.8万吨，同比增长9.14%，累计产值再创新高；申远新材料等大型石化项目建成投产，聚丙烯、己内酰胺产能实现翻番；两大百万吨级乙烯及配套项目正在建设。2018年，虽然原油加工量基本与上年持平，但重点石化企业产值创新高。如今，石化产业作为福建省主导产业之一，支撑作用正日益增强。</w:t>
      </w:r>
    </w:p>
    <w:p w14:paraId="10F68B8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产业布局上，福建省重点建设湄洲湾石化基地和古雷石化基地，湄洲湾石化基地以泉港、泉惠石化工业区为主。适度发展江阴化工新材料专区，发展以非炼化一体化的化工新材料为主导的产业链。严格控制其他区域化工产业发展，除上述三个区域外，其他地区不再布局新的石化中上游项目。</w:t>
      </w:r>
    </w:p>
    <w:p w14:paraId="0EBA2E7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湄洲湾石化基地已有福建联合石化炼化一体化项目和中化泉州石化大炼油项目，石化上游产业已经形成一定规模，目前福建省炼油、乙烯的生产都集中在湄洲湾石化基地，中化泉州石化乙烯项目已列入国家《石化产业布局规划》。古雷石化基地作为规划布局的新建产业基地，被列入国家《石化产业布局规划》中，该基地规划了三套大型炼化一体化项目，未来可望成为福建省炼化产业的又一个集聚区。</w:t>
      </w:r>
    </w:p>
    <w:p w14:paraId="3DB8B93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作为福建省重要的临港产业基地，福州江阴港城经济区通过福建耀隆、东南电化等企业的退城入园搬迁建设，目前基本形成以煤化工与盐化工有机结合的化工生产基地，形成的特色产品有TDI、己内酰胺和聚丙烯等。其中，中国软包装集团中景石化以进口丙烷为原料的年产150万吨多元共聚聚丙烯项目是世界上单产产能最大的聚丙烯装置，其投产后将改变国内高品质聚丙烯原材料大部分依靠进口的局面。另外，福建的三明和南平地区依托丰富的萤石资源，形成了一批有特色的氟化工产品，包括含氟精细化学品、新型氟制冷剂、含氟聚合物、电子级氟化氢和含氟表面活性剂。</w:t>
      </w:r>
    </w:p>
    <w:p w14:paraId="5968A4B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泉州地区石化基地下游产品中，有机化工中间体资源不足，对中下游产业和产品的带动性较小，不能为制造业提供充足和符合性能要求的精细化学品、化工新材料、合成材料和化纤原料等。产品品种少、分散、附加值低。</w:t>
      </w:r>
    </w:p>
    <w:p w14:paraId="602B7F1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3.3.2.2其他产业发展概况</w:t>
      </w:r>
    </w:p>
    <w:p w14:paraId="4CE3B9E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4月，福建省委省政府做出了以福州都市区和厦漳泉都市区建设为引擎，进一步带动闽东北经济协作区和闽西南经济协作区加快发展，在新起点上进一步形成双轮驱动、南北互动、协调推进、统筹发展的良好格局。其中闽东北(包括福州、莆田、宁德、南平、平潭)经济协作区工作由福州市牵头；闽西南(包括厦门、漳州、泉州、三明、龙岩)经济协作区工作由厦门市牵头。</w:t>
      </w:r>
    </w:p>
    <w:p w14:paraId="7928A23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闽西南五市包括厦门、漳州、泉州、三明、龙岩。五个城市山海相连，具有联通南北、承东启西的区位优势，积累了多年协作发展的经验，具备加快融合、推动一体化发展的基础和条件。</w:t>
      </w:r>
    </w:p>
    <w:p w14:paraId="6CD719A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厦门：电子和机械装备是厦门两大支柱产业，其规模快速发展，地位和作用进一步增强。2018年，厦门电子、机械两大支柱产业完成工业总产值4443.99亿元，占全市规模以上工业总产值的69.5%，产值规模跃上新台阶。电子行业已经发展为企业数最多、产值最高、上下游配套最全的制造业支柱行业，2018年实现工业总产值2520.99亿元，占全市规模以上工业总产值的39.4%。其中,平板显示产业2018年实现工业总产值1314.87亿元，成为厦门市首条千亿产业链；计算机与通信设备产业作为厦门市打造的十大千亿产业链(群)之一，已形成以计算机、手机、定位导航等产品为主导的产业体系，2018年实现工业总产值1204.44亿元；半导体和集成电路产业正加快布局，蓄势发展。机械装备产业基本形成了以金龙、厦工、ABB、林德叉车及厦船重工等骨干企业为主导，中小企业配套、物流配送为保障的生产组织体系，大中型客车、输配电设备、工程机械等产品在国内外市场上都占有重要地位。2018年实现规模以上工业产值1037.05亿元，占厦门市市规模以上工业总产值的16.1%。其中，汽车产业完成工业产值416.12亿元；输配电及控制设备产业完成工业产值351.21亿元；航空工业产业完成工业产值141.47亿元；工程机械产业完成工业产值112.71亿元。</w:t>
      </w:r>
    </w:p>
    <w:p w14:paraId="7566647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漳州：石化工业、食品工业、装备制造业、特殊钢铁是漳州四大主导产业；生物医药、新能源、电子信息、新材料是漳州四大新兴产业。2018年，四大主导产业实现增加值919.99亿元，增长9.4%，分别为：食品工业412.12亿元，增长9.3%；装备制造业265.30亿元，增长2.0%；特殊钢铁113.62亿元，增长10.0%；石化工业128.94亿元，增长29.8%。四大新兴产业实现增加值437.43亿元，增长11.5%，分别为：生物医药23.01亿元，增长15.8%；新材料318.74亿元，增长9.9%；电子信息产业81.70亿元，增长15.6%；新能源15.43亿元，增长14.8%。高技术产业产值417.45亿元，增长10.9%，占规模以上工业总产值的比重为7.4%。</w:t>
      </w:r>
    </w:p>
    <w:p w14:paraId="2A48AA4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3.4小结</w:t>
      </w:r>
    </w:p>
    <w:p w14:paraId="0A2B025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福建省是我国经济较为发达地区，近年来致力于加快科学发展跨越发展，经济总量保持了较快增长速度，经济结构也不断优化。福建的发展得到了国家的大力支持，在国家“一带一路”</w:t>
      </w:r>
      <w:r>
        <w:rPr>
          <w:rFonts w:hint="eastAsia" w:ascii="仿宋_GB2312" w:hAnsi="仿宋_GB2312" w:eastAsia="仿宋_GB2312" w:cs="仿宋_GB2312"/>
          <w:spacing w:val="0"/>
          <w:sz w:val="28"/>
          <w:szCs w:val="28"/>
          <w:lang w:val="en-US" w:eastAsia="zh-CN"/>
        </w:rPr>
        <w:t>倡议</w:t>
      </w:r>
      <w:bookmarkStart w:id="0" w:name="_GoBack"/>
      <w:bookmarkEnd w:id="0"/>
      <w:r>
        <w:rPr>
          <w:rFonts w:hint="default" w:ascii="仿宋_GB2312" w:hAnsi="仿宋_GB2312" w:eastAsia="仿宋_GB2312" w:cs="仿宋_GB2312"/>
          <w:spacing w:val="0"/>
          <w:sz w:val="28"/>
          <w:szCs w:val="28"/>
          <w:lang w:val="en-US" w:eastAsia="zh-CN"/>
        </w:rPr>
        <w:t>中，福建省将建设成21世纪海上丝绸之路核心区，随着该战略的实施，福建省将有更多的发展机遇。福建省工业产业门类较为齐全，创新转型是未来发展的重点，包括传统产业升级和战略性新兴产业发展。泉港高新区大工业、大港口和对台、开放等优势进一步凸显，石化产业的发展和管理累积大量经验，在全省继续保持先发优势，十分有利于泉港高新区的改革发展和高新产业布局。</w:t>
      </w:r>
    </w:p>
    <w:p w14:paraId="633806C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泉州市经济总量和工业发展均处于福建省首位，多个产业在全国也具有重要地位。泉州民营经济非常发达，经济发展具有较强的活力。</w:t>
      </w:r>
    </w:p>
    <w:p w14:paraId="1D04DAD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泉州高新区自开创以来，围绕“发展高科技，实现产业化”发展目标，把大力发展高新技术产业作为泉州高新区的首要任务，积极推进产业结构升级和经济发展方式转型。</w:t>
      </w:r>
    </w:p>
    <w:p w14:paraId="5A6B7EA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区在微波通信、纺织鞋服、机械装备三大主导产业稳定发展的基础上，推动光电产业等成长型产业集群化，培育了新一代信息技术、新材料、太阳能光伏、轨道交通装备等战略性新兴产业，并加大力度推进现代服务业发展。高新区产业结构不断优化，经济发展方式开始向创新驱动转变。</w:t>
      </w:r>
    </w:p>
    <w:p w14:paraId="5E78770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泉州高新区已形成“一区十园”格局，分园区融合区域资源与产业积累，形成了各具特色的发展基础。但在全国高新区中排名还比较靠后，高新技术产业发展整体水平较低。</w:t>
      </w:r>
    </w:p>
    <w:p w14:paraId="0F9A868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目前主要打造以先进高分子新材料、高端精细化工、石化装备制造等具有高技术含量、高附加值、微消耗特点的高技术产业为主导的高新技术产业园区。但主导产业缺乏龙头企业，产业上下游关联度较为松散。</w:t>
      </w:r>
    </w:p>
    <w:p w14:paraId="5EB031B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上，泉州高新区产业发展的外部环境是较为有利的，主要有利因素包括宏观经济前景、21世纪海上丝绸之路等战略的实施、区域经济和相关产业的发展前景等。存在的主要问题是高新技术产业发展整体水平较低，企业技术创新能力亟待加强，技术人才储备不足，泉港高新区土地、环境保护压力较大。</w:t>
      </w:r>
    </w:p>
    <w:p w14:paraId="7D72CED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876C82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4546CF61">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4发展战略选择</w:t>
      </w:r>
    </w:p>
    <w:p w14:paraId="326FB88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B15334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4.1优劣势分析</w:t>
      </w:r>
    </w:p>
    <w:p w14:paraId="6956B18F">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4.1.1优势</w:t>
      </w:r>
    </w:p>
    <w:p w14:paraId="7137834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46" name="图片 1"/>
            <wp:cNvGraphicFramePr/>
            <a:graphic xmlns:a="http://schemas.openxmlformats.org/drawingml/2006/main">
              <a:graphicData uri="http://schemas.openxmlformats.org/drawingml/2006/picture">
                <pic:pic xmlns:pic="http://schemas.openxmlformats.org/drawingml/2006/picture">
                  <pic:nvPicPr>
                    <pic:cNvPr id="46" name="图片 1"/>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石化资源丰富</w:t>
      </w:r>
    </w:p>
    <w:p w14:paraId="4BCC31C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化产业是泉州市的支柱产业，泉州地区已有福建联合石化炼化一体化项目和中化泉州石化大炼油项目，石化上游产业已经形成一定规模，目前福建省炼油、乙烯的生产都集中在湄洲湾石化基地，中化泉州石化乙烯项目已列入国家《石化产业布局规划》。近年来泉州地区石化产业保持了较快的增长速度，有机原料及下游产品产量不断上升，发展下游深加工的原料较为充足。</w:t>
      </w:r>
    </w:p>
    <w:p w14:paraId="0D78F5E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49" name="图片 2"/>
            <wp:cNvGraphicFramePr/>
            <a:graphic xmlns:a="http://schemas.openxmlformats.org/drawingml/2006/main">
              <a:graphicData uri="http://schemas.openxmlformats.org/drawingml/2006/picture">
                <pic:pic xmlns:pic="http://schemas.openxmlformats.org/drawingml/2006/picture">
                  <pic:nvPicPr>
                    <pic:cNvPr id="49" name="图片 2"/>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区位优势突出</w:t>
      </w:r>
    </w:p>
    <w:p w14:paraId="6E0826E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(1)“一带一路”重要节点城市</w:t>
      </w:r>
    </w:p>
    <w:p w14:paraId="5BD4034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海上丝绸之路的先行区。自2013年国家提出“一带一路”开始，泉州乘着“一带一路”东风，以建设“21世纪海上丝绸之路”先行区为契机，与海上丝绸之路沿线国家和地区进出口贸易额实现稳步增长，贸易合作逐步驶入深水区。口岸主要指标实现全面增长，培育外贸新优势成效显著。2017年，泉州对海上丝绸之路沿线国家和地区贸易额达720亿元，占全市同期进出口总额的近一半，创历史新高。与此同时，泉州贸易多元化战略稳步实施，目前已与207个国家和地区建立了贸易往来，有13大类商品年出口额均超过1亿美元。</w:t>
      </w:r>
    </w:p>
    <w:p w14:paraId="5B665FF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(2)福厦泉国家自主创新示范区的核心位置</w:t>
      </w:r>
    </w:p>
    <w:p w14:paraId="40E3274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2016年，福厦泉国家自主创新示范区获批建设，正式纳入国家全面创新布局，对于加快发展战略性新兴产业，推进创新驱动发展，加快转变经济发展方式等方面将发挥重要的引领、辐射、带动作用。福厦泉国家自创区以福州、厦门、泉州三个国家高新区为核心区域，而泉州正位于其核心位置。</w:t>
      </w:r>
    </w:p>
    <w:p w14:paraId="167D445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0" name="图片 3"/>
            <wp:cNvGraphicFramePr/>
            <a:graphic xmlns:a="http://schemas.openxmlformats.org/drawingml/2006/main">
              <a:graphicData uri="http://schemas.openxmlformats.org/drawingml/2006/picture">
                <pic:pic xmlns:pic="http://schemas.openxmlformats.org/drawingml/2006/picture">
                  <pic:nvPicPr>
                    <pic:cNvPr id="50"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交通网络发达</w:t>
      </w:r>
    </w:p>
    <w:p w14:paraId="4BB9AFE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地处闽东南繁荣区域的中间地带，距台湾基隆港174海里，距高雄194海里，324国道、福厦高速公路贯穿泉港区，漳泉肖铁路直达港区，交通条件十分便捷，既是闽东南南北交通的重要通道，又是东南海上航道的辐射中心。此地北上福州可达浙沪、南下厦门可出粤赣，乘火车经鹰厦线可通全国各地，海上船运可直达沿海各港口、台湾及亚太地区。泉州也是海峡西岸经济区的重要枢纽城市，形成了全方位、多层次的海、陆、空口岸开放态势，是福建省口岸开放数量最多、口岸运量增长较快、口岸基础设施较为完善的地区之一。</w:t>
      </w:r>
    </w:p>
    <w:p w14:paraId="2B9691F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1" name="图片 3"/>
            <wp:cNvGraphicFramePr/>
            <a:graphic xmlns:a="http://schemas.openxmlformats.org/drawingml/2006/main">
              <a:graphicData uri="http://schemas.openxmlformats.org/drawingml/2006/picture">
                <pic:pic xmlns:pic="http://schemas.openxmlformats.org/drawingml/2006/picture">
                  <pic:nvPicPr>
                    <pic:cNvPr id="51"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人才优势</w:t>
      </w:r>
    </w:p>
    <w:p w14:paraId="0910833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泉港高新区已建有泉港石化高新技术孵化基地、泉港区生产力促进中心、福建省功能性聚醚—聚氨酯企业工程技术研究中心、泉州市聚氨酯树脂工程技术研究中心、福建省新型管材星火行业技术开发中心等科技创新服务平台，同时与福州大学联合创办福州大学泉港石化学院(本一批)，与福建师范大学联合创建泉州石化研究院(福建师范大学泉港石化研究院)，积极打造福建石化产业科技创新平台，推进石化高端产业快速发展。此外，园区积极加强企业研发平台建设，建立一批省级创新型试点企业和高新技术企业，新建2个省级行业技术开发中心、5个市级工程技术研究中心和3个市级行业技术开发中心，正在积极推进福建纳川管材科技股份有限公司建立企业博士后科研工作站和院士工作站。</w:t>
      </w:r>
    </w:p>
    <w:p w14:paraId="75EB84E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综合来看，泉港高新区在相关行业人力资源方面具有较好优势，劳动力资源丰富。</w:t>
      </w:r>
    </w:p>
    <w:p w14:paraId="0349EFD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4.1.2劣势</w:t>
      </w:r>
    </w:p>
    <w:p w14:paraId="74374E6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2" name="图片 3"/>
            <wp:cNvGraphicFramePr/>
            <a:graphic xmlns:a="http://schemas.openxmlformats.org/drawingml/2006/main">
              <a:graphicData uri="http://schemas.openxmlformats.org/drawingml/2006/picture">
                <pic:pic xmlns:pic="http://schemas.openxmlformats.org/drawingml/2006/picture">
                  <pic:nvPicPr>
                    <pic:cNvPr id="52"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土地开发难度大</w:t>
      </w:r>
    </w:p>
    <w:p w14:paraId="1DDC8C2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规划范围内涉及村庄居民点分布广且多，涉及村庄人口多、建筑数量大，现状“厂村混杂”问题较为突出，近期拆迁难度较大。规划范围内涉及生态林地、基本农田保护区，近期开发难度较大。现状和规划的公路、铁路、高压走廊等分割了开发区用地，使规划区内用地分散。土地利用粗放，产业用地散乱分布。</w:t>
      </w:r>
    </w:p>
    <w:p w14:paraId="630A02F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3" name="图片 3"/>
            <wp:cNvGraphicFramePr/>
            <a:graphic xmlns:a="http://schemas.openxmlformats.org/drawingml/2006/main">
              <a:graphicData uri="http://schemas.openxmlformats.org/drawingml/2006/picture">
                <pic:pic xmlns:pic="http://schemas.openxmlformats.org/drawingml/2006/picture">
                  <pic:nvPicPr>
                    <pic:cNvPr id="53"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基础设施建设滞后</w:t>
      </w:r>
    </w:p>
    <w:p w14:paraId="564C02A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目前，福建泉港高新区基础设施建设滞后，开发区缺乏集中的供水、污水处理、消防等公用设施。路网道路干线道路不足，也未形成完整的次、支等级道路，道路系统不完善。</w:t>
      </w:r>
    </w:p>
    <w:p w14:paraId="4EE432C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5" name="图片 3"/>
            <wp:cNvGraphicFramePr/>
            <a:graphic xmlns:a="http://schemas.openxmlformats.org/drawingml/2006/main">
              <a:graphicData uri="http://schemas.openxmlformats.org/drawingml/2006/picture">
                <pic:pic xmlns:pic="http://schemas.openxmlformats.org/drawingml/2006/picture">
                  <pic:nvPicPr>
                    <pic:cNvPr id="55"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产业基础相对薄弱</w:t>
      </w:r>
    </w:p>
    <w:p w14:paraId="39BF1D4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泉港高新区虽然取得了较快的发展，但产业整体处于价值链低端环节，仍为初级产品为主，产品纵向延伸度有限，链条偏短，特别是具有明显竞争优势的战略性新兴产业未形成规模化的产业集群，多呈点状布局，竞争力需进一步加强。整体来看，产业链不完整，产品档次低，产业结构不合理；企业规模小，企业的滚动发展能力和自主创新能力较差，可利用的存量资产不多，而且工业信息化水平较低。产业空间布局较分散，暂未形成有规模、协同性强的空间聚集。</w:t>
      </w:r>
    </w:p>
    <w:p w14:paraId="0295B72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4" name="图片 3"/>
            <wp:cNvGraphicFramePr/>
            <a:graphic xmlns:a="http://schemas.openxmlformats.org/drawingml/2006/main">
              <a:graphicData uri="http://schemas.openxmlformats.org/drawingml/2006/picture">
                <pic:pic xmlns:pic="http://schemas.openxmlformats.org/drawingml/2006/picture">
                  <pic:nvPicPr>
                    <pic:cNvPr id="54"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环境压力日趋严峻</w:t>
      </w:r>
    </w:p>
    <w:p w14:paraId="07EBE19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对环保、安全要求越来越高，而企业的污染物排放总量与环境容量之间的矛盾越来越大，企业的发展一定程度上受到影响；有些企业布局违规，再加上管理不严，污染物违规排放，影响群众生活，生产企业与周边矛盾激化，造成群众对石化产业的惧怕。</w:t>
      </w:r>
    </w:p>
    <w:p w14:paraId="57603D1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4.2机遇和挑战</w:t>
      </w:r>
    </w:p>
    <w:p w14:paraId="44AF65E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4.2.1机遇</w:t>
      </w:r>
    </w:p>
    <w:p w14:paraId="7A39C9B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6" name="图片 3"/>
            <wp:cNvGraphicFramePr/>
            <a:graphic xmlns:a="http://schemas.openxmlformats.org/drawingml/2006/main">
              <a:graphicData uri="http://schemas.openxmlformats.org/drawingml/2006/picture">
                <pic:pic xmlns:pic="http://schemas.openxmlformats.org/drawingml/2006/picture">
                  <pic:nvPicPr>
                    <pic:cNvPr id="56"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产业结构优化升级</w:t>
      </w:r>
    </w:p>
    <w:p w14:paraId="47E1A65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推进产业结构优化升级是中国目前经济发展的一项重要任务，也是新常态下我国经济的重要特征之一。在供给侧结构性改革和创新驱动发展战略等共同作用下，我国产业发展呈现出产业经济运行平稳、企业效益明显好转、新动能快速壮大、转型升级步伐加快的“稳好新转”的运行格局，产业结构持续优化，质量和效益明显改善，为产业持续健康发展奠定了良好基础。去产能、降成本、去杠杆取得积极进展，传统产业智能化改造步伐加快，人工智能、物联网、大数据、高端装备、节能环保、生物医药、数字创意等新兴产业蓬勃兴起。</w:t>
      </w:r>
    </w:p>
    <w:p w14:paraId="549DC28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7" name="图片 3"/>
            <wp:cNvGraphicFramePr/>
            <a:graphic xmlns:a="http://schemas.openxmlformats.org/drawingml/2006/main">
              <a:graphicData uri="http://schemas.openxmlformats.org/drawingml/2006/picture">
                <pic:pic xmlns:pic="http://schemas.openxmlformats.org/drawingml/2006/picture">
                  <pic:nvPicPr>
                    <pic:cNvPr id="57"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国家积极引导各类要素向制造业聚集</w:t>
      </w:r>
    </w:p>
    <w:p w14:paraId="13F85AF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当前正推动产业高质量发展，引导各类要素向制造业聚集，围绕轨道交通装备、高端船舶和海洋工程装备、智能机器人、智能汽车、现代农业机械、高端医疗机械和药品、新材料、制造业智能化、重大技术装备等重点领域，组织实施关键技术产业化，通过建设新型技术装备研发试验检测平台、发展高新技术产品、提升关键系统和核心配套能力，推动互联网、大数据、人工智能和实体经济深度融合，不断增强制造业核心竞争力。</w:t>
      </w:r>
    </w:p>
    <w:p w14:paraId="4E62EBF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8" name="图片 3"/>
            <wp:cNvGraphicFramePr/>
            <a:graphic xmlns:a="http://schemas.openxmlformats.org/drawingml/2006/main">
              <a:graphicData uri="http://schemas.openxmlformats.org/drawingml/2006/picture">
                <pic:pic xmlns:pic="http://schemas.openxmlformats.org/drawingml/2006/picture">
                  <pic:nvPicPr>
                    <pic:cNvPr id="58"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高新区政策支持创新发展</w:t>
      </w:r>
    </w:p>
    <w:p w14:paraId="2857D4F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实施自主创新，建设创新型国家的战略指引下，高新区被定位为“促进技术进步和增强自主创新能力的重要载体、带动经济结构调整和经济增长方式转变的强大引擎、高新技术产业走出去参与国际竞争的服务平台、抢占世界高新技术产业制高点的前沿阵地”。习近平总书记在党的十九大报告中指出，创新是引领发展的第一动力，是建设现代化经济体系的战略支撑。这为泉港加快创新驱动发展指明了前进方向，为了落实国家自主创新战略，加快创新型城市建设，泉港高新区的建设顺应党的十九大鼓励创新发展的潮流。</w:t>
      </w:r>
    </w:p>
    <w:p w14:paraId="5592CB8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59" name="图片 3"/>
            <wp:cNvGraphicFramePr/>
            <a:graphic xmlns:a="http://schemas.openxmlformats.org/drawingml/2006/main">
              <a:graphicData uri="http://schemas.openxmlformats.org/drawingml/2006/picture">
                <pic:pic xmlns:pic="http://schemas.openxmlformats.org/drawingml/2006/picture">
                  <pic:nvPicPr>
                    <pic:cNvPr id="59"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福建省发展战略机遇</w:t>
      </w:r>
    </w:p>
    <w:p w14:paraId="5314F0A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2016年，国务院批复福厦泉国家高新区建设国家自主创新示范区，同意福州、厦门、泉州3个国家高新技术产业示范区建设国家自主创新示范区，是我国批准建设的第15个自主创新示范区。国务院有关部门将结合各自职能，在重大项目安排、政策先行先试、体制机制创新等方面给予积极支持。</w:t>
      </w:r>
    </w:p>
    <w:p w14:paraId="7A6C77E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60" name="图片 3"/>
            <wp:cNvGraphicFramePr/>
            <a:graphic xmlns:a="http://schemas.openxmlformats.org/drawingml/2006/main">
              <a:graphicData uri="http://schemas.openxmlformats.org/drawingml/2006/picture">
                <pic:pic xmlns:pic="http://schemas.openxmlformats.org/drawingml/2006/picture">
                  <pic:nvPicPr>
                    <pic:cNvPr id="60"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泉州是“海上丝绸之路”的重要起点</w:t>
      </w:r>
    </w:p>
    <w:p w14:paraId="715732F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泉州是全国首个东亚文化之都，联合国教科文组织唯一认定的海上丝绸之路起点，是列入国家“一带一路”</w:t>
      </w:r>
      <w:r>
        <w:rPr>
          <w:rFonts w:hint="eastAsia" w:ascii="仿宋_GB2312" w:hAnsi="仿宋_GB2312" w:eastAsia="仿宋_GB2312" w:cs="仿宋_GB2312"/>
          <w:spacing w:val="0"/>
          <w:sz w:val="28"/>
          <w:szCs w:val="28"/>
          <w:lang w:val="en-US" w:eastAsia="zh-CN"/>
        </w:rPr>
        <w:t>倡议</w:t>
      </w:r>
      <w:r>
        <w:rPr>
          <w:rFonts w:hint="default" w:ascii="仿宋_GB2312" w:hAnsi="仿宋_GB2312" w:eastAsia="仿宋_GB2312" w:cs="仿宋_GB2312"/>
          <w:spacing w:val="0"/>
          <w:sz w:val="28"/>
          <w:szCs w:val="28"/>
          <w:lang w:val="en-US" w:eastAsia="zh-CN"/>
        </w:rPr>
        <w:t>的21世纪海上丝绸之路先行区。泉州为强化同海丝沿线地区的经贸合作，发挥2个国家级外贸转型升级示范基地和4个省级出口基地的作用，建设出口产品质量安全示范区；用好外贸企业融资风险共担资金池、跨境贸易人民币结算、出口信保等政策，健全外贸风险预警体系；支持企业设立境外营销网点，开展国际商标注册和国际品牌并购，培育本土跨国企业；推广关检合作通关新模式，促进一批重点企业货源回归、就地通关。</w:t>
      </w:r>
    </w:p>
    <w:p w14:paraId="0198C0FF">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4.2.2挑战</w:t>
      </w:r>
    </w:p>
    <w:p w14:paraId="6676D64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61" name="图片 3"/>
            <wp:cNvGraphicFramePr/>
            <a:graphic xmlns:a="http://schemas.openxmlformats.org/drawingml/2006/main">
              <a:graphicData uri="http://schemas.openxmlformats.org/drawingml/2006/picture">
                <pic:pic xmlns:pic="http://schemas.openxmlformats.org/drawingml/2006/picture">
                  <pic:nvPicPr>
                    <pic:cNvPr id="61"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传统经济发展难以为继</w:t>
      </w:r>
    </w:p>
    <w:p w14:paraId="2DF0676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在经济大环境疲软，新城建设需求释放趋缓的形势下，经济发展单纯依靠传统产业、城市建设、投资拉动等动力拉动不足，高新区经济发展风险将加大。</w:t>
      </w:r>
    </w:p>
    <w:p w14:paraId="337B827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62" name="图片 3"/>
            <wp:cNvGraphicFramePr/>
            <a:graphic xmlns:a="http://schemas.openxmlformats.org/drawingml/2006/main">
              <a:graphicData uri="http://schemas.openxmlformats.org/drawingml/2006/picture">
                <pic:pic xmlns:pic="http://schemas.openxmlformats.org/drawingml/2006/picture">
                  <pic:nvPicPr>
                    <pic:cNvPr id="62"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周边高新区发展带来的竞争</w:t>
      </w:r>
    </w:p>
    <w:p w14:paraId="0DA780B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的国家级高新区集中在东部和东南部沿海地区，周边多个高新区的发展速度较快、产业结构较丰富，基本形成了以信息技术、先进制造、新材料、新能源、技术服务等产业为主导的产业结构，目前泉港高新区处在传统制造业为主导，辅以信息技术、新能源、医疗大健康等产业的发展初期阶段。今后一段时期，厦门、福州高新区等凭借先发优势仍将保持快速发展势头，区域内竞争将进一步加剧。</w:t>
      </w:r>
    </w:p>
    <w:p w14:paraId="3517E416">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63" name="图片 3"/>
            <wp:cNvGraphicFramePr/>
            <a:graphic xmlns:a="http://schemas.openxmlformats.org/drawingml/2006/main">
              <a:graphicData uri="http://schemas.openxmlformats.org/drawingml/2006/picture">
                <pic:pic xmlns:pic="http://schemas.openxmlformats.org/drawingml/2006/picture">
                  <pic:nvPicPr>
                    <pic:cNvPr id="63"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转变增长方式的挑战</w:t>
      </w:r>
    </w:p>
    <w:p w14:paraId="07CBB22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产业结构调整的目标是推进产业结构优化升级，促进一、二、三产业健康协调发展，逐步形成农业为基础、高新技术产业为先导、基础产业和制造业为支撑、服务业全面发展的产业格局，坚持节约发展、清洁发展、安全发展，实现可持续发展。泉港高新区产业发展顺应当前增长方式转变，要求加大自主创新的潮流，坚持科技含量高、经济效益好、资源消耗低、环境污染少、安全有保障产业发展道路的要求更为迫切。</w:t>
      </w:r>
    </w:p>
    <w:p w14:paraId="3EAC99F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02870" cy="197485"/>
            <wp:effectExtent l="0" t="0" r="5080" b="0"/>
            <wp:docPr id="64" name="图片 3"/>
            <wp:cNvGraphicFramePr/>
            <a:graphic xmlns:a="http://schemas.openxmlformats.org/drawingml/2006/main">
              <a:graphicData uri="http://schemas.openxmlformats.org/drawingml/2006/picture">
                <pic:pic xmlns:pic="http://schemas.openxmlformats.org/drawingml/2006/picture">
                  <pic:nvPicPr>
                    <pic:cNvPr id="64" name="图片 3"/>
                    <pic:cNvPicPr/>
                  </pic:nvPicPr>
                  <pic:blipFill>
                    <a:blip r:embed="rId52"/>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招商引资难度加大</w:t>
      </w:r>
    </w:p>
    <w:p w14:paraId="45510B4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内经济发达地区通过引入大量外资，解决了发展资金不足的问题，同时外资带来了许多新技术、新品种和新的发展机遇。泉港高新区相对而言由于起步较晚、宣传力度不足等原因，外资利用水平与国家级高新区等相比有很大的差距。</w:t>
      </w:r>
    </w:p>
    <w:p w14:paraId="38C6CCF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随着我国市场经济体制的不断完善，局部地区减税让利等政策性措施将逐渐弱化，国际国内市场竞争加剧，招商引资难度加大。</w:t>
      </w:r>
    </w:p>
    <w:p w14:paraId="190AAB87">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4.3发展战略选择</w:t>
      </w:r>
    </w:p>
    <w:p w14:paraId="161EC80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合前述外部环境和内部条件的分析可以看出，在福建泉港地区建设高新区，必须充分发挥和维持固有优势，把握国民经济和行业发展带来的机遇，采取适当措施克服困难和挑战，制定科学的产业发展战略。泉港高新区产业发展的优势、劣势、机遇、挑战，以及由此得出的发展战略选择如下表所示：</w:t>
      </w:r>
    </w:p>
    <w:p w14:paraId="5622A7F3">
      <w:pPr>
        <w:keepNext w:val="0"/>
        <w:keepLines w:val="0"/>
        <w:pageBreakBefore w:val="0"/>
        <w:widowControl w:val="0"/>
        <w:wordWrap/>
        <w:overflowPunct/>
        <w:bidi w:val="0"/>
        <w:spacing w:before="75" w:line="225" w:lineRule="auto"/>
        <w:ind w:left="2427"/>
        <w:rPr>
          <w:rFonts w:ascii="黑体" w:hAnsi="黑体" w:eastAsia="黑体" w:cs="黑体"/>
          <w:sz w:val="23"/>
          <w:szCs w:val="23"/>
        </w:rPr>
      </w:pPr>
      <w:r>
        <w:rPr>
          <w:rFonts w:ascii="黑体" w:hAnsi="黑体" w:eastAsia="黑体" w:cs="黑体"/>
          <w:spacing w:val="17"/>
          <w:sz w:val="23"/>
          <w:szCs w:val="23"/>
        </w:rPr>
        <w:t>泉</w:t>
      </w:r>
      <w:r>
        <w:rPr>
          <w:rFonts w:ascii="黑体" w:hAnsi="黑体" w:eastAsia="黑体" w:cs="黑体"/>
          <w:spacing w:val="9"/>
          <w:sz w:val="23"/>
          <w:szCs w:val="23"/>
        </w:rPr>
        <w:t>港高新区产业发展战略(</w:t>
      </w:r>
      <w:r>
        <w:rPr>
          <w:rFonts w:ascii="Arial" w:hAnsi="Arial" w:eastAsia="Arial" w:cs="Arial"/>
          <w:b/>
          <w:bCs/>
          <w:sz w:val="23"/>
          <w:szCs w:val="23"/>
        </w:rPr>
        <w:t>SWOT</w:t>
      </w:r>
      <w:r>
        <w:rPr>
          <w:rFonts w:ascii="黑体" w:hAnsi="黑体" w:eastAsia="黑体" w:cs="黑体"/>
          <w:spacing w:val="9"/>
          <w:sz w:val="23"/>
          <w:szCs w:val="23"/>
        </w:rPr>
        <w:t>分析)</w:t>
      </w:r>
    </w:p>
    <w:p w14:paraId="6F97286E">
      <w:pPr>
        <w:keepNext w:val="0"/>
        <w:keepLines w:val="0"/>
        <w:pageBreakBefore w:val="0"/>
        <w:widowControl w:val="0"/>
        <w:wordWrap/>
        <w:overflowPunct/>
        <w:bidi w:val="0"/>
        <w:spacing w:line="140" w:lineRule="exact"/>
      </w:pPr>
    </w:p>
    <w:tbl>
      <w:tblPr>
        <w:tblStyle w:val="9"/>
        <w:tblW w:w="917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90"/>
        <w:gridCol w:w="4818"/>
        <w:gridCol w:w="3568"/>
      </w:tblGrid>
      <w:tr w14:paraId="116D30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790" w:type="dxa"/>
            <w:vMerge w:val="restart"/>
            <w:tcBorders>
              <w:tl2br w:val="nil"/>
              <w:tr2bl w:val="nil"/>
            </w:tcBorders>
            <w:shd w:val="clear" w:color="auto" w:fill="auto"/>
            <w:noWrap w:val="0"/>
            <w:textDirection w:val="tbRlV"/>
            <w:vAlign w:val="center"/>
          </w:tcPr>
          <w:p w14:paraId="2FD8EB27">
            <w:pPr>
              <w:keepNext w:val="0"/>
              <w:keepLines w:val="0"/>
              <w:pageBreakBefore w:val="0"/>
              <w:widowControl w:val="0"/>
              <w:kinsoku/>
              <w:wordWrap/>
              <w:overflowPunct/>
              <w:topLinePunct w:val="0"/>
              <w:autoSpaceDE/>
              <w:autoSpaceDN/>
              <w:bidi w:val="0"/>
              <w:adjustRightInd/>
              <w:snapToGrid/>
              <w:spacing w:line="208" w:lineRule="auto"/>
              <w:ind w:left="0"/>
              <w:jc w:val="center"/>
              <w:textAlignment w:val="auto"/>
              <w:rPr>
                <w:rFonts w:ascii="仿宋" w:hAnsi="仿宋" w:eastAsia="仿宋" w:cs="仿宋"/>
                <w:sz w:val="23"/>
                <w:szCs w:val="23"/>
              </w:rPr>
            </w:pPr>
            <w:r>
              <w:rPr>
                <w:rFonts w:ascii="仿宋" w:hAnsi="仿宋" w:eastAsia="仿宋" w:cs="仿宋"/>
                <w:spacing w:val="13"/>
                <w:position w:val="1"/>
                <w:sz w:val="23"/>
                <w:szCs w:val="23"/>
              </w:rPr>
              <w:t>内</w:t>
            </w:r>
            <w:r>
              <w:rPr>
                <w:rFonts w:ascii="仿宋" w:hAnsi="仿宋" w:eastAsia="仿宋" w:cs="仿宋"/>
                <w:spacing w:val="12"/>
                <w:sz w:val="23"/>
                <w:szCs w:val="23"/>
              </w:rPr>
              <w:t>部条件</w:t>
            </w:r>
          </w:p>
        </w:tc>
        <w:tc>
          <w:tcPr>
            <w:tcW w:w="4818" w:type="dxa"/>
            <w:tcBorders>
              <w:tl2br w:val="nil"/>
              <w:tr2bl w:val="nil"/>
            </w:tcBorders>
            <w:shd w:val="clear" w:color="auto" w:fill="C0504D"/>
            <w:noWrap w:val="0"/>
            <w:vAlign w:val="top"/>
          </w:tcPr>
          <w:p w14:paraId="4FA07CAE">
            <w:pPr>
              <w:keepNext w:val="0"/>
              <w:keepLines w:val="0"/>
              <w:pageBreakBefore w:val="0"/>
              <w:widowControl w:val="0"/>
              <w:wordWrap/>
              <w:overflowPunct/>
              <w:bidi w:val="0"/>
              <w:spacing w:before="149" w:line="225" w:lineRule="auto"/>
              <w:ind w:left="242"/>
              <w:rPr>
                <w:rFonts w:ascii="仿宋" w:hAnsi="仿宋" w:eastAsia="仿宋" w:cs="仿宋"/>
                <w:sz w:val="23"/>
                <w:szCs w:val="23"/>
              </w:rPr>
            </w:pPr>
            <w:r>
              <w:rPr>
                <w:rFonts w:ascii="仿宋" w:hAnsi="仿宋" w:eastAsia="仿宋" w:cs="仿宋"/>
                <w:spacing w:val="7"/>
                <w:sz w:val="23"/>
                <w:szCs w:val="23"/>
              </w:rPr>
              <w:t>优势(</w:t>
            </w:r>
            <w:r>
              <w:rPr>
                <w:rFonts w:ascii="Arial" w:hAnsi="Arial" w:eastAsia="Arial" w:cs="Arial"/>
                <w:b/>
                <w:bCs/>
                <w:sz w:val="23"/>
                <w:szCs w:val="23"/>
              </w:rPr>
              <w:t>S</w:t>
            </w:r>
            <w:r>
              <w:rPr>
                <w:rFonts w:ascii="仿宋" w:hAnsi="仿宋" w:eastAsia="仿宋" w:cs="仿宋"/>
                <w:spacing w:val="7"/>
                <w:sz w:val="23"/>
                <w:szCs w:val="23"/>
              </w:rPr>
              <w:t>)</w:t>
            </w:r>
          </w:p>
        </w:tc>
        <w:tc>
          <w:tcPr>
            <w:tcW w:w="3568" w:type="dxa"/>
            <w:tcBorders>
              <w:tl2br w:val="nil"/>
              <w:tr2bl w:val="nil"/>
            </w:tcBorders>
            <w:shd w:val="clear" w:color="auto" w:fill="4F81BD"/>
            <w:noWrap w:val="0"/>
            <w:vAlign w:val="top"/>
          </w:tcPr>
          <w:p w14:paraId="12C2C25B">
            <w:pPr>
              <w:keepNext w:val="0"/>
              <w:keepLines w:val="0"/>
              <w:pageBreakBefore w:val="0"/>
              <w:widowControl w:val="0"/>
              <w:wordWrap/>
              <w:overflowPunct/>
              <w:bidi w:val="0"/>
              <w:spacing w:before="148" w:line="226" w:lineRule="auto"/>
              <w:ind w:left="261"/>
              <w:rPr>
                <w:rFonts w:ascii="仿宋" w:hAnsi="仿宋" w:eastAsia="仿宋" w:cs="仿宋"/>
                <w:sz w:val="23"/>
                <w:szCs w:val="23"/>
              </w:rPr>
            </w:pPr>
            <w:r>
              <w:rPr>
                <w:rFonts w:ascii="仿宋" w:hAnsi="仿宋" w:eastAsia="仿宋" w:cs="仿宋"/>
                <w:spacing w:val="6"/>
                <w:sz w:val="23"/>
                <w:szCs w:val="23"/>
              </w:rPr>
              <w:t>劣势(</w:t>
            </w:r>
            <w:r>
              <w:rPr>
                <w:rFonts w:ascii="Arial" w:hAnsi="Arial" w:eastAsia="Arial" w:cs="Arial"/>
                <w:b/>
                <w:bCs/>
                <w:sz w:val="23"/>
                <w:szCs w:val="23"/>
              </w:rPr>
              <w:t>W</w:t>
            </w:r>
            <w:r>
              <w:rPr>
                <w:rFonts w:ascii="仿宋" w:hAnsi="仿宋" w:eastAsia="仿宋" w:cs="仿宋"/>
                <w:spacing w:val="6"/>
                <w:sz w:val="23"/>
                <w:szCs w:val="23"/>
              </w:rPr>
              <w:t>)</w:t>
            </w:r>
          </w:p>
        </w:tc>
      </w:tr>
      <w:tr w14:paraId="7B76F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78" w:hRule="atLeast"/>
          <w:jc w:val="center"/>
        </w:trPr>
        <w:tc>
          <w:tcPr>
            <w:tcW w:w="790" w:type="dxa"/>
            <w:vMerge w:val="continue"/>
            <w:tcBorders>
              <w:tl2br w:val="nil"/>
              <w:tr2bl w:val="nil"/>
            </w:tcBorders>
            <w:noWrap w:val="0"/>
            <w:textDirection w:val="tbRlV"/>
            <w:vAlign w:val="center"/>
          </w:tcPr>
          <w:p w14:paraId="1B3F7188">
            <w:pPr>
              <w:keepNext w:val="0"/>
              <w:keepLines w:val="0"/>
              <w:pageBreakBefore w:val="0"/>
              <w:widowControl w:val="0"/>
              <w:kinsoku/>
              <w:wordWrap/>
              <w:overflowPunct/>
              <w:topLinePunct w:val="0"/>
              <w:autoSpaceDE/>
              <w:autoSpaceDN/>
              <w:bidi w:val="0"/>
              <w:adjustRightInd/>
              <w:snapToGrid/>
              <w:ind w:left="0"/>
              <w:jc w:val="center"/>
              <w:textAlignment w:val="auto"/>
              <w:rPr>
                <w:rFonts w:ascii="Arial"/>
                <w:sz w:val="21"/>
              </w:rPr>
            </w:pPr>
          </w:p>
        </w:tc>
        <w:tc>
          <w:tcPr>
            <w:tcW w:w="4818" w:type="dxa"/>
            <w:tcBorders>
              <w:tl2br w:val="nil"/>
              <w:tr2bl w:val="nil"/>
            </w:tcBorders>
            <w:noWrap w:val="0"/>
            <w:vAlign w:val="top"/>
          </w:tcPr>
          <w:p w14:paraId="77DF780C">
            <w:pPr>
              <w:keepNext w:val="0"/>
              <w:keepLines w:val="0"/>
              <w:pageBreakBefore w:val="0"/>
              <w:widowControl w:val="0"/>
              <w:wordWrap/>
              <w:overflowPunct/>
              <w:bidi w:val="0"/>
              <w:spacing w:before="185" w:line="234" w:lineRule="auto"/>
              <w:ind w:left="159"/>
              <w:rPr>
                <w:rFonts w:ascii="仿宋" w:hAnsi="仿宋" w:eastAsia="仿宋" w:cs="仿宋"/>
                <w:sz w:val="20"/>
                <w:szCs w:val="20"/>
              </w:rPr>
            </w:pPr>
            <w:r>
              <w:rPr>
                <w:rFonts w:ascii="Arial" w:hAnsi="Arial" w:eastAsia="Arial" w:cs="Arial"/>
                <w:spacing w:val="-1"/>
                <w:sz w:val="20"/>
                <w:szCs w:val="20"/>
              </w:rPr>
              <w:t>1</w:t>
            </w:r>
            <w:r>
              <w:rPr>
                <w:rFonts w:ascii="仿宋" w:hAnsi="仿宋" w:eastAsia="仿宋" w:cs="仿宋"/>
                <w:spacing w:val="-1"/>
                <w:sz w:val="20"/>
                <w:szCs w:val="20"/>
              </w:rPr>
              <w:t>、石</w:t>
            </w:r>
            <w:r>
              <w:rPr>
                <w:rFonts w:ascii="仿宋" w:hAnsi="仿宋" w:eastAsia="仿宋" w:cs="仿宋"/>
                <w:sz w:val="20"/>
                <w:szCs w:val="20"/>
              </w:rPr>
              <w:t>化资源丰富</w:t>
            </w:r>
          </w:p>
          <w:p w14:paraId="067BC981">
            <w:pPr>
              <w:keepNext w:val="0"/>
              <w:keepLines w:val="0"/>
              <w:pageBreakBefore w:val="0"/>
              <w:widowControl w:val="0"/>
              <w:wordWrap/>
              <w:overflowPunct/>
              <w:bidi w:val="0"/>
              <w:spacing w:before="77" w:line="225" w:lineRule="auto"/>
              <w:ind w:left="142"/>
              <w:rPr>
                <w:rFonts w:ascii="仿宋" w:hAnsi="仿宋" w:eastAsia="仿宋" w:cs="仿宋"/>
                <w:sz w:val="20"/>
                <w:szCs w:val="20"/>
              </w:rPr>
            </w:pPr>
            <w:r>
              <w:rPr>
                <w:rFonts w:ascii="Arial" w:hAnsi="Arial" w:eastAsia="Arial" w:cs="Arial"/>
                <w:spacing w:val="-15"/>
                <w:sz w:val="20"/>
                <w:szCs w:val="20"/>
              </w:rPr>
              <w:t>2</w:t>
            </w:r>
            <w:r>
              <w:rPr>
                <w:rFonts w:ascii="仿宋" w:hAnsi="仿宋" w:eastAsia="仿宋" w:cs="仿宋"/>
                <w:spacing w:val="-8"/>
                <w:sz w:val="20"/>
                <w:szCs w:val="20"/>
              </w:rPr>
              <w:t>、区位优势突出</w:t>
            </w:r>
          </w:p>
          <w:p w14:paraId="71D8A5DD">
            <w:pPr>
              <w:keepNext w:val="0"/>
              <w:keepLines w:val="0"/>
              <w:pageBreakBefore w:val="0"/>
              <w:widowControl w:val="0"/>
              <w:wordWrap/>
              <w:overflowPunct/>
              <w:bidi w:val="0"/>
              <w:spacing w:before="87" w:line="234" w:lineRule="auto"/>
              <w:ind w:left="145"/>
              <w:rPr>
                <w:rFonts w:ascii="仿宋" w:hAnsi="仿宋" w:eastAsia="仿宋" w:cs="仿宋"/>
                <w:sz w:val="20"/>
                <w:szCs w:val="20"/>
              </w:rPr>
            </w:pPr>
            <w:r>
              <w:rPr>
                <w:rFonts w:ascii="Arial" w:hAnsi="Arial" w:eastAsia="Arial" w:cs="Arial"/>
                <w:spacing w:val="2"/>
                <w:sz w:val="20"/>
                <w:szCs w:val="20"/>
              </w:rPr>
              <w:t>3</w:t>
            </w:r>
            <w:r>
              <w:rPr>
                <w:rFonts w:ascii="仿宋" w:hAnsi="仿宋" w:eastAsia="仿宋" w:cs="仿宋"/>
                <w:spacing w:val="1"/>
                <w:sz w:val="20"/>
                <w:szCs w:val="20"/>
              </w:rPr>
              <w:t>、交通网络发达</w:t>
            </w:r>
          </w:p>
          <w:p w14:paraId="40BC79C5">
            <w:pPr>
              <w:keepNext w:val="0"/>
              <w:keepLines w:val="0"/>
              <w:pageBreakBefore w:val="0"/>
              <w:widowControl w:val="0"/>
              <w:wordWrap/>
              <w:overflowPunct/>
              <w:bidi w:val="0"/>
              <w:spacing w:before="80" w:line="234" w:lineRule="auto"/>
              <w:ind w:left="139"/>
              <w:rPr>
                <w:rFonts w:ascii="仿宋" w:hAnsi="仿宋" w:eastAsia="仿宋" w:cs="仿宋"/>
                <w:sz w:val="20"/>
                <w:szCs w:val="20"/>
              </w:rPr>
            </w:pPr>
            <w:r>
              <w:rPr>
                <w:rFonts w:ascii="Arial" w:hAnsi="Arial" w:eastAsia="Arial" w:cs="Arial"/>
                <w:spacing w:val="6"/>
                <w:sz w:val="20"/>
                <w:szCs w:val="20"/>
              </w:rPr>
              <w:t>4</w:t>
            </w:r>
            <w:r>
              <w:rPr>
                <w:rFonts w:ascii="仿宋" w:hAnsi="仿宋" w:eastAsia="仿宋" w:cs="仿宋"/>
                <w:spacing w:val="3"/>
                <w:sz w:val="20"/>
                <w:szCs w:val="20"/>
              </w:rPr>
              <w:t>、人力资源优势突出</w:t>
            </w:r>
          </w:p>
        </w:tc>
        <w:tc>
          <w:tcPr>
            <w:tcW w:w="3568" w:type="dxa"/>
            <w:tcBorders>
              <w:tl2br w:val="nil"/>
              <w:tr2bl w:val="nil"/>
            </w:tcBorders>
            <w:noWrap w:val="0"/>
            <w:vAlign w:val="top"/>
          </w:tcPr>
          <w:p w14:paraId="6159DB52">
            <w:pPr>
              <w:keepNext w:val="0"/>
              <w:keepLines w:val="0"/>
              <w:pageBreakBefore w:val="0"/>
              <w:widowControl w:val="0"/>
              <w:wordWrap/>
              <w:overflowPunct/>
              <w:bidi w:val="0"/>
              <w:spacing w:before="185" w:line="234" w:lineRule="auto"/>
              <w:ind w:left="172"/>
              <w:rPr>
                <w:rFonts w:ascii="仿宋" w:hAnsi="仿宋" w:eastAsia="仿宋" w:cs="仿宋"/>
                <w:sz w:val="20"/>
                <w:szCs w:val="20"/>
              </w:rPr>
            </w:pPr>
            <w:r>
              <w:rPr>
                <w:rFonts w:ascii="Arial" w:hAnsi="Arial" w:eastAsia="Arial" w:cs="Arial"/>
                <w:spacing w:val="1"/>
                <w:sz w:val="20"/>
                <w:szCs w:val="20"/>
              </w:rPr>
              <w:t>1</w:t>
            </w:r>
            <w:r>
              <w:rPr>
                <w:rFonts w:ascii="仿宋" w:hAnsi="仿宋" w:eastAsia="仿宋" w:cs="仿宋"/>
                <w:spacing w:val="1"/>
                <w:sz w:val="20"/>
                <w:szCs w:val="20"/>
              </w:rPr>
              <w:t>、土地</w:t>
            </w:r>
            <w:r>
              <w:rPr>
                <w:rFonts w:ascii="仿宋" w:hAnsi="仿宋" w:eastAsia="仿宋" w:cs="仿宋"/>
                <w:sz w:val="20"/>
                <w:szCs w:val="20"/>
              </w:rPr>
              <w:t>开发难度大</w:t>
            </w:r>
          </w:p>
          <w:p w14:paraId="72E8C322">
            <w:pPr>
              <w:keepNext w:val="0"/>
              <w:keepLines w:val="0"/>
              <w:pageBreakBefore w:val="0"/>
              <w:widowControl w:val="0"/>
              <w:wordWrap/>
              <w:overflowPunct/>
              <w:bidi w:val="0"/>
              <w:spacing w:before="77" w:line="234" w:lineRule="auto"/>
              <w:ind w:left="155"/>
              <w:rPr>
                <w:rFonts w:ascii="仿宋" w:hAnsi="仿宋" w:eastAsia="仿宋" w:cs="仿宋"/>
                <w:sz w:val="20"/>
                <w:szCs w:val="20"/>
              </w:rPr>
            </w:pPr>
            <w:r>
              <w:rPr>
                <w:rFonts w:ascii="Arial" w:hAnsi="Arial" w:eastAsia="Arial" w:cs="Arial"/>
                <w:spacing w:val="3"/>
                <w:sz w:val="20"/>
                <w:szCs w:val="20"/>
              </w:rPr>
              <w:t>2</w:t>
            </w:r>
            <w:r>
              <w:rPr>
                <w:rFonts w:ascii="仿宋" w:hAnsi="仿宋" w:eastAsia="仿宋" w:cs="仿宋"/>
                <w:spacing w:val="3"/>
                <w:sz w:val="20"/>
                <w:szCs w:val="20"/>
              </w:rPr>
              <w:t>、基础设施建设滞后</w:t>
            </w:r>
          </w:p>
          <w:p w14:paraId="6F91D7A5">
            <w:pPr>
              <w:keepNext w:val="0"/>
              <w:keepLines w:val="0"/>
              <w:pageBreakBefore w:val="0"/>
              <w:widowControl w:val="0"/>
              <w:wordWrap/>
              <w:overflowPunct/>
              <w:bidi w:val="0"/>
              <w:spacing w:before="77" w:line="234" w:lineRule="auto"/>
              <w:ind w:left="158"/>
              <w:rPr>
                <w:rFonts w:ascii="仿宋" w:hAnsi="仿宋" w:eastAsia="仿宋" w:cs="仿宋"/>
                <w:sz w:val="20"/>
                <w:szCs w:val="20"/>
              </w:rPr>
            </w:pPr>
            <w:r>
              <w:rPr>
                <w:rFonts w:ascii="Arial" w:hAnsi="Arial" w:eastAsia="Arial" w:cs="Arial"/>
                <w:spacing w:val="3"/>
                <w:sz w:val="20"/>
                <w:szCs w:val="20"/>
              </w:rPr>
              <w:t>3</w:t>
            </w:r>
            <w:r>
              <w:rPr>
                <w:rFonts w:ascii="仿宋" w:hAnsi="仿宋" w:eastAsia="仿宋" w:cs="仿宋"/>
                <w:spacing w:val="3"/>
                <w:sz w:val="20"/>
                <w:szCs w:val="20"/>
              </w:rPr>
              <w:t>、产业基础相对薄</w:t>
            </w:r>
            <w:r>
              <w:rPr>
                <w:rFonts w:ascii="仿宋" w:hAnsi="仿宋" w:eastAsia="仿宋" w:cs="仿宋"/>
                <w:sz w:val="20"/>
                <w:szCs w:val="20"/>
              </w:rPr>
              <w:t>弱</w:t>
            </w:r>
          </w:p>
          <w:p w14:paraId="13228A85">
            <w:pPr>
              <w:keepNext w:val="0"/>
              <w:keepLines w:val="0"/>
              <w:pageBreakBefore w:val="0"/>
              <w:widowControl w:val="0"/>
              <w:wordWrap/>
              <w:overflowPunct/>
              <w:bidi w:val="0"/>
              <w:spacing w:before="80" w:line="234" w:lineRule="auto"/>
              <w:ind w:left="152"/>
              <w:rPr>
                <w:rFonts w:ascii="仿宋" w:hAnsi="仿宋" w:eastAsia="仿宋" w:cs="仿宋"/>
                <w:sz w:val="20"/>
                <w:szCs w:val="20"/>
              </w:rPr>
            </w:pPr>
            <w:r>
              <w:rPr>
                <w:rFonts w:ascii="Arial" w:hAnsi="Arial" w:eastAsia="Arial" w:cs="Arial"/>
                <w:spacing w:val="6"/>
                <w:sz w:val="20"/>
                <w:szCs w:val="20"/>
              </w:rPr>
              <w:t>4</w:t>
            </w:r>
            <w:r>
              <w:rPr>
                <w:rFonts w:ascii="仿宋" w:hAnsi="仿宋" w:eastAsia="仿宋" w:cs="仿宋"/>
                <w:spacing w:val="3"/>
                <w:sz w:val="20"/>
                <w:szCs w:val="20"/>
              </w:rPr>
              <w:t>、环境压力日趋严峻</w:t>
            </w:r>
          </w:p>
        </w:tc>
      </w:tr>
      <w:tr w14:paraId="791C0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790" w:type="dxa"/>
            <w:vMerge w:val="restart"/>
            <w:tcBorders>
              <w:tl2br w:val="nil"/>
              <w:tr2bl w:val="nil"/>
            </w:tcBorders>
            <w:shd w:val="clear" w:color="auto" w:fill="auto"/>
            <w:noWrap w:val="0"/>
            <w:textDirection w:val="tbRlV"/>
            <w:vAlign w:val="center"/>
          </w:tcPr>
          <w:p w14:paraId="611BF2FF">
            <w:pPr>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rFonts w:ascii="仿宋" w:hAnsi="仿宋" w:eastAsia="仿宋" w:cs="仿宋"/>
                <w:sz w:val="23"/>
                <w:szCs w:val="23"/>
              </w:rPr>
            </w:pPr>
            <w:r>
              <w:rPr>
                <w:rFonts w:ascii="仿宋" w:hAnsi="仿宋" w:eastAsia="仿宋" w:cs="仿宋"/>
                <w:spacing w:val="15"/>
                <w:sz w:val="23"/>
                <w:szCs w:val="23"/>
              </w:rPr>
              <w:t>外</w:t>
            </w:r>
            <w:r>
              <w:rPr>
                <w:rFonts w:ascii="仿宋" w:hAnsi="仿宋" w:eastAsia="仿宋" w:cs="仿宋"/>
                <w:spacing w:val="12"/>
                <w:sz w:val="23"/>
                <w:szCs w:val="23"/>
              </w:rPr>
              <w:t>部环境</w:t>
            </w:r>
          </w:p>
        </w:tc>
        <w:tc>
          <w:tcPr>
            <w:tcW w:w="4818" w:type="dxa"/>
            <w:tcBorders>
              <w:tl2br w:val="nil"/>
              <w:tr2bl w:val="nil"/>
            </w:tcBorders>
            <w:shd w:val="clear" w:color="auto" w:fill="F79646"/>
            <w:noWrap w:val="0"/>
            <w:vAlign w:val="top"/>
          </w:tcPr>
          <w:p w14:paraId="20D11A04">
            <w:pPr>
              <w:keepNext w:val="0"/>
              <w:keepLines w:val="0"/>
              <w:pageBreakBefore w:val="0"/>
              <w:widowControl w:val="0"/>
              <w:wordWrap/>
              <w:overflowPunct/>
              <w:bidi w:val="0"/>
              <w:spacing w:before="121" w:line="225" w:lineRule="auto"/>
              <w:ind w:left="240"/>
              <w:rPr>
                <w:rFonts w:ascii="仿宋" w:hAnsi="仿宋" w:eastAsia="仿宋" w:cs="仿宋"/>
                <w:sz w:val="23"/>
                <w:szCs w:val="23"/>
              </w:rPr>
            </w:pPr>
            <w:r>
              <w:rPr>
                <w:rFonts w:ascii="仿宋" w:hAnsi="仿宋" w:eastAsia="仿宋" w:cs="仿宋"/>
                <w:spacing w:val="10"/>
                <w:sz w:val="23"/>
                <w:szCs w:val="23"/>
              </w:rPr>
              <w:t>机</w:t>
            </w:r>
            <w:r>
              <w:rPr>
                <w:rFonts w:ascii="仿宋" w:hAnsi="仿宋" w:eastAsia="仿宋" w:cs="仿宋"/>
                <w:spacing w:val="7"/>
                <w:sz w:val="23"/>
                <w:szCs w:val="23"/>
              </w:rPr>
              <w:t>遇(</w:t>
            </w:r>
            <w:r>
              <w:rPr>
                <w:rFonts w:ascii="Arial" w:hAnsi="Arial" w:eastAsia="Arial" w:cs="Arial"/>
                <w:b/>
                <w:bCs/>
                <w:sz w:val="23"/>
                <w:szCs w:val="23"/>
              </w:rPr>
              <w:t>O</w:t>
            </w:r>
            <w:r>
              <w:rPr>
                <w:rFonts w:ascii="仿宋" w:hAnsi="仿宋" w:eastAsia="仿宋" w:cs="仿宋"/>
                <w:spacing w:val="7"/>
                <w:sz w:val="23"/>
                <w:szCs w:val="23"/>
              </w:rPr>
              <w:t>)</w:t>
            </w:r>
          </w:p>
        </w:tc>
        <w:tc>
          <w:tcPr>
            <w:tcW w:w="3568" w:type="dxa"/>
            <w:tcBorders>
              <w:tl2br w:val="nil"/>
              <w:tr2bl w:val="nil"/>
            </w:tcBorders>
            <w:shd w:val="clear" w:color="auto" w:fill="8064A2"/>
            <w:noWrap w:val="0"/>
            <w:vAlign w:val="top"/>
          </w:tcPr>
          <w:p w14:paraId="4E320F53">
            <w:pPr>
              <w:keepNext w:val="0"/>
              <w:keepLines w:val="0"/>
              <w:pageBreakBefore w:val="0"/>
              <w:widowControl w:val="0"/>
              <w:wordWrap/>
              <w:overflowPunct/>
              <w:bidi w:val="0"/>
              <w:spacing w:before="121" w:line="226" w:lineRule="auto"/>
              <w:ind w:left="258"/>
              <w:rPr>
                <w:rFonts w:ascii="仿宋" w:hAnsi="仿宋" w:eastAsia="仿宋" w:cs="仿宋"/>
                <w:sz w:val="23"/>
                <w:szCs w:val="23"/>
              </w:rPr>
            </w:pPr>
            <w:r>
              <w:rPr>
                <w:rFonts w:ascii="仿宋" w:hAnsi="仿宋" w:eastAsia="仿宋" w:cs="仿宋"/>
                <w:spacing w:val="7"/>
                <w:sz w:val="23"/>
                <w:szCs w:val="23"/>
              </w:rPr>
              <w:t>挑</w:t>
            </w:r>
            <w:r>
              <w:rPr>
                <w:rFonts w:ascii="仿宋" w:hAnsi="仿宋" w:eastAsia="仿宋" w:cs="仿宋"/>
                <w:spacing w:val="6"/>
                <w:sz w:val="23"/>
                <w:szCs w:val="23"/>
              </w:rPr>
              <w:t>战(</w:t>
            </w:r>
            <w:r>
              <w:rPr>
                <w:rFonts w:ascii="Arial" w:hAnsi="Arial" w:eastAsia="Arial" w:cs="Arial"/>
                <w:b/>
                <w:bCs/>
                <w:sz w:val="23"/>
                <w:szCs w:val="23"/>
              </w:rPr>
              <w:t>T</w:t>
            </w:r>
            <w:r>
              <w:rPr>
                <w:rFonts w:ascii="仿宋" w:hAnsi="仿宋" w:eastAsia="仿宋" w:cs="仿宋"/>
                <w:spacing w:val="6"/>
                <w:sz w:val="23"/>
                <w:szCs w:val="23"/>
              </w:rPr>
              <w:t>)</w:t>
            </w:r>
          </w:p>
        </w:tc>
      </w:tr>
      <w:tr w14:paraId="57F92A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9" w:hRule="atLeast"/>
          <w:jc w:val="center"/>
        </w:trPr>
        <w:tc>
          <w:tcPr>
            <w:tcW w:w="790" w:type="dxa"/>
            <w:vMerge w:val="continue"/>
            <w:tcBorders>
              <w:tl2br w:val="nil"/>
              <w:tr2bl w:val="nil"/>
            </w:tcBorders>
            <w:noWrap w:val="0"/>
            <w:textDirection w:val="tbRlV"/>
            <w:vAlign w:val="top"/>
          </w:tcPr>
          <w:p w14:paraId="6A132391">
            <w:pPr>
              <w:keepNext w:val="0"/>
              <w:keepLines w:val="0"/>
              <w:pageBreakBefore w:val="0"/>
              <w:widowControl w:val="0"/>
              <w:wordWrap/>
              <w:overflowPunct/>
              <w:bidi w:val="0"/>
              <w:rPr>
                <w:rFonts w:ascii="Arial"/>
                <w:sz w:val="21"/>
              </w:rPr>
            </w:pPr>
          </w:p>
        </w:tc>
        <w:tc>
          <w:tcPr>
            <w:tcW w:w="4818" w:type="dxa"/>
            <w:tcBorders>
              <w:tl2br w:val="nil"/>
              <w:tr2bl w:val="nil"/>
            </w:tcBorders>
            <w:noWrap w:val="0"/>
            <w:vAlign w:val="top"/>
          </w:tcPr>
          <w:p w14:paraId="2BA05A99">
            <w:pPr>
              <w:keepNext w:val="0"/>
              <w:keepLines w:val="0"/>
              <w:pageBreakBefore w:val="0"/>
              <w:widowControl w:val="0"/>
              <w:wordWrap/>
              <w:overflowPunct/>
              <w:bidi w:val="0"/>
              <w:spacing w:before="133" w:line="234" w:lineRule="auto"/>
              <w:ind w:left="159"/>
              <w:rPr>
                <w:rFonts w:ascii="仿宋" w:hAnsi="仿宋" w:eastAsia="仿宋" w:cs="仿宋"/>
                <w:sz w:val="20"/>
                <w:szCs w:val="20"/>
              </w:rPr>
            </w:pPr>
            <w:r>
              <w:rPr>
                <w:rFonts w:ascii="Arial" w:hAnsi="Arial" w:eastAsia="Arial" w:cs="Arial"/>
                <w:spacing w:val="2"/>
                <w:sz w:val="20"/>
                <w:szCs w:val="20"/>
              </w:rPr>
              <w:t>1</w:t>
            </w:r>
            <w:r>
              <w:rPr>
                <w:rFonts w:ascii="仿宋" w:hAnsi="仿宋" w:eastAsia="仿宋" w:cs="仿宋"/>
                <w:spacing w:val="2"/>
                <w:sz w:val="20"/>
                <w:szCs w:val="20"/>
              </w:rPr>
              <w:t>、产业</w:t>
            </w:r>
            <w:r>
              <w:rPr>
                <w:rFonts w:ascii="仿宋" w:hAnsi="仿宋" w:eastAsia="仿宋" w:cs="仿宋"/>
                <w:spacing w:val="1"/>
                <w:sz w:val="20"/>
                <w:szCs w:val="20"/>
              </w:rPr>
              <w:t>结构优化升级</w:t>
            </w:r>
          </w:p>
          <w:p w14:paraId="65EB01E2">
            <w:pPr>
              <w:keepNext w:val="0"/>
              <w:keepLines w:val="0"/>
              <w:pageBreakBefore w:val="0"/>
              <w:widowControl w:val="0"/>
              <w:wordWrap/>
              <w:overflowPunct/>
              <w:bidi w:val="0"/>
              <w:spacing w:before="77" w:line="234" w:lineRule="auto"/>
              <w:ind w:left="142"/>
              <w:rPr>
                <w:rFonts w:ascii="仿宋" w:hAnsi="仿宋" w:eastAsia="仿宋" w:cs="仿宋"/>
                <w:sz w:val="20"/>
                <w:szCs w:val="20"/>
              </w:rPr>
            </w:pPr>
            <w:r>
              <w:rPr>
                <w:rFonts w:ascii="Arial" w:hAnsi="Arial" w:eastAsia="Arial" w:cs="Arial"/>
                <w:spacing w:val="6"/>
                <w:sz w:val="20"/>
                <w:szCs w:val="20"/>
              </w:rPr>
              <w:t>2</w:t>
            </w:r>
            <w:r>
              <w:rPr>
                <w:rFonts w:ascii="仿宋" w:hAnsi="仿宋" w:eastAsia="仿宋" w:cs="仿宋"/>
                <w:spacing w:val="6"/>
                <w:sz w:val="20"/>
                <w:szCs w:val="20"/>
              </w:rPr>
              <w:t>、国家积极引导各类要素向制造业集</w:t>
            </w:r>
            <w:r>
              <w:rPr>
                <w:rFonts w:ascii="仿宋" w:hAnsi="仿宋" w:eastAsia="仿宋" w:cs="仿宋"/>
                <w:spacing w:val="5"/>
                <w:sz w:val="20"/>
                <w:szCs w:val="20"/>
              </w:rPr>
              <w:t>聚</w:t>
            </w:r>
          </w:p>
          <w:p w14:paraId="5E945E99">
            <w:pPr>
              <w:keepNext w:val="0"/>
              <w:keepLines w:val="0"/>
              <w:pageBreakBefore w:val="0"/>
              <w:widowControl w:val="0"/>
              <w:wordWrap/>
              <w:overflowPunct/>
              <w:bidi w:val="0"/>
              <w:spacing w:before="75" w:line="236" w:lineRule="auto"/>
              <w:ind w:left="145"/>
              <w:rPr>
                <w:rFonts w:ascii="仿宋" w:hAnsi="仿宋" w:eastAsia="仿宋" w:cs="仿宋"/>
                <w:sz w:val="20"/>
                <w:szCs w:val="20"/>
              </w:rPr>
            </w:pPr>
            <w:r>
              <w:rPr>
                <w:rFonts w:ascii="Arial" w:hAnsi="Arial" w:eastAsia="Arial" w:cs="Arial"/>
                <w:spacing w:val="7"/>
                <w:sz w:val="20"/>
                <w:szCs w:val="20"/>
              </w:rPr>
              <w:t>3</w:t>
            </w:r>
            <w:r>
              <w:rPr>
                <w:rFonts w:ascii="仿宋" w:hAnsi="仿宋" w:eastAsia="仿宋" w:cs="仿宋"/>
                <w:spacing w:val="4"/>
                <w:sz w:val="20"/>
                <w:szCs w:val="20"/>
              </w:rPr>
              <w:t>、高新区政策支持创新发展</w:t>
            </w:r>
          </w:p>
          <w:p w14:paraId="428D8345">
            <w:pPr>
              <w:keepNext w:val="0"/>
              <w:keepLines w:val="0"/>
              <w:pageBreakBefore w:val="0"/>
              <w:widowControl w:val="0"/>
              <w:wordWrap/>
              <w:overflowPunct/>
              <w:bidi w:val="0"/>
              <w:spacing w:before="77" w:line="236" w:lineRule="auto"/>
              <w:ind w:left="139"/>
              <w:rPr>
                <w:rFonts w:ascii="仿宋" w:hAnsi="仿宋" w:eastAsia="仿宋" w:cs="仿宋"/>
                <w:sz w:val="20"/>
                <w:szCs w:val="20"/>
              </w:rPr>
            </w:pPr>
            <w:r>
              <w:rPr>
                <w:rFonts w:ascii="Arial" w:hAnsi="Arial" w:eastAsia="Arial" w:cs="Arial"/>
                <w:spacing w:val="12"/>
                <w:sz w:val="20"/>
                <w:szCs w:val="20"/>
              </w:rPr>
              <w:t>4</w:t>
            </w:r>
            <w:r>
              <w:rPr>
                <w:rFonts w:ascii="仿宋" w:hAnsi="仿宋" w:eastAsia="仿宋" w:cs="仿宋"/>
                <w:spacing w:val="7"/>
                <w:sz w:val="20"/>
                <w:szCs w:val="20"/>
              </w:rPr>
              <w:t>、</w:t>
            </w:r>
            <w:r>
              <w:rPr>
                <w:rFonts w:ascii="仿宋" w:hAnsi="仿宋" w:eastAsia="仿宋" w:cs="仿宋"/>
                <w:spacing w:val="6"/>
                <w:sz w:val="20"/>
                <w:szCs w:val="20"/>
              </w:rPr>
              <w:t>国家批复福厦泉高新区建设自主创新示范区</w:t>
            </w:r>
          </w:p>
          <w:p w14:paraId="238935E9">
            <w:pPr>
              <w:keepNext w:val="0"/>
              <w:keepLines w:val="0"/>
              <w:pageBreakBefore w:val="0"/>
              <w:widowControl w:val="0"/>
              <w:wordWrap/>
              <w:overflowPunct/>
              <w:bidi w:val="0"/>
              <w:spacing w:before="81" w:line="234" w:lineRule="auto"/>
              <w:ind w:left="145"/>
              <w:rPr>
                <w:rFonts w:ascii="仿宋" w:hAnsi="仿宋" w:eastAsia="仿宋" w:cs="仿宋"/>
                <w:sz w:val="20"/>
                <w:szCs w:val="20"/>
              </w:rPr>
            </w:pPr>
            <w:r>
              <w:rPr>
                <w:rFonts w:ascii="Arial" w:hAnsi="Arial" w:eastAsia="Arial" w:cs="Arial"/>
                <w:spacing w:val="5"/>
                <w:sz w:val="20"/>
                <w:szCs w:val="20"/>
              </w:rPr>
              <w:t>5</w:t>
            </w:r>
            <w:r>
              <w:rPr>
                <w:rFonts w:ascii="仿宋" w:hAnsi="仿宋" w:eastAsia="仿宋" w:cs="仿宋"/>
                <w:spacing w:val="5"/>
                <w:sz w:val="20"/>
                <w:szCs w:val="20"/>
              </w:rPr>
              <w:t>、国家发展一带一路的重要契</w:t>
            </w:r>
            <w:r>
              <w:rPr>
                <w:rFonts w:ascii="仿宋" w:hAnsi="仿宋" w:eastAsia="仿宋" w:cs="仿宋"/>
                <w:spacing w:val="4"/>
                <w:sz w:val="20"/>
                <w:szCs w:val="20"/>
              </w:rPr>
              <w:t>机</w:t>
            </w:r>
          </w:p>
        </w:tc>
        <w:tc>
          <w:tcPr>
            <w:tcW w:w="3568" w:type="dxa"/>
            <w:tcBorders>
              <w:tl2br w:val="nil"/>
              <w:tr2bl w:val="nil"/>
            </w:tcBorders>
            <w:noWrap w:val="0"/>
            <w:vAlign w:val="top"/>
          </w:tcPr>
          <w:p w14:paraId="6F382ABE">
            <w:pPr>
              <w:keepNext w:val="0"/>
              <w:keepLines w:val="0"/>
              <w:pageBreakBefore w:val="0"/>
              <w:widowControl w:val="0"/>
              <w:wordWrap/>
              <w:overflowPunct/>
              <w:bidi w:val="0"/>
              <w:spacing w:before="287" w:line="234" w:lineRule="auto"/>
              <w:ind w:left="172"/>
              <w:rPr>
                <w:rFonts w:ascii="仿宋" w:hAnsi="仿宋" w:eastAsia="仿宋" w:cs="仿宋"/>
                <w:sz w:val="20"/>
                <w:szCs w:val="20"/>
              </w:rPr>
            </w:pPr>
            <w:r>
              <w:rPr>
                <w:rFonts w:ascii="Arial" w:hAnsi="Arial" w:eastAsia="Arial" w:cs="Arial"/>
                <w:spacing w:val="3"/>
                <w:sz w:val="20"/>
                <w:szCs w:val="20"/>
              </w:rPr>
              <w:t>1</w:t>
            </w:r>
            <w:r>
              <w:rPr>
                <w:rFonts w:ascii="仿宋" w:hAnsi="仿宋" w:eastAsia="仿宋" w:cs="仿宋"/>
                <w:spacing w:val="3"/>
                <w:sz w:val="20"/>
                <w:szCs w:val="20"/>
              </w:rPr>
              <w:t>、传统产业发展难以为</w:t>
            </w:r>
            <w:r>
              <w:rPr>
                <w:rFonts w:ascii="仿宋" w:hAnsi="仿宋" w:eastAsia="仿宋" w:cs="仿宋"/>
                <w:sz w:val="20"/>
                <w:szCs w:val="20"/>
              </w:rPr>
              <w:t>继</w:t>
            </w:r>
          </w:p>
          <w:p w14:paraId="27D0AF3C">
            <w:pPr>
              <w:keepNext w:val="0"/>
              <w:keepLines w:val="0"/>
              <w:pageBreakBefore w:val="0"/>
              <w:widowControl w:val="0"/>
              <w:wordWrap/>
              <w:overflowPunct/>
              <w:bidi w:val="0"/>
              <w:spacing w:before="76" w:line="216" w:lineRule="auto"/>
              <w:ind w:left="155"/>
              <w:rPr>
                <w:rFonts w:ascii="仿宋" w:hAnsi="仿宋" w:eastAsia="仿宋" w:cs="仿宋"/>
                <w:sz w:val="22"/>
                <w:szCs w:val="22"/>
              </w:rPr>
            </w:pPr>
            <w:r>
              <w:rPr>
                <w:rFonts w:ascii="Arial" w:hAnsi="Arial" w:eastAsia="Arial" w:cs="Arial"/>
                <w:spacing w:val="-3"/>
                <w:sz w:val="20"/>
                <w:szCs w:val="20"/>
              </w:rPr>
              <w:t>2</w:t>
            </w:r>
            <w:r>
              <w:rPr>
                <w:rFonts w:ascii="仿宋" w:hAnsi="仿宋" w:eastAsia="仿宋" w:cs="仿宋"/>
                <w:spacing w:val="-3"/>
                <w:sz w:val="20"/>
                <w:szCs w:val="20"/>
              </w:rPr>
              <w:t>、</w:t>
            </w:r>
            <w:r>
              <w:rPr>
                <w:rFonts w:ascii="仿宋" w:hAnsi="仿宋" w:eastAsia="仿宋" w:cs="仿宋"/>
                <w:spacing w:val="-3"/>
                <w:sz w:val="22"/>
                <w:szCs w:val="22"/>
              </w:rPr>
              <w:t>周边高新区发展带来的竞争</w:t>
            </w:r>
          </w:p>
          <w:p w14:paraId="46D5A3E4">
            <w:pPr>
              <w:keepNext w:val="0"/>
              <w:keepLines w:val="0"/>
              <w:pageBreakBefore w:val="0"/>
              <w:widowControl w:val="0"/>
              <w:wordWrap/>
              <w:overflowPunct/>
              <w:bidi w:val="0"/>
              <w:spacing w:before="89" w:line="234" w:lineRule="auto"/>
              <w:ind w:left="158"/>
              <w:rPr>
                <w:rFonts w:ascii="仿宋" w:hAnsi="仿宋" w:eastAsia="仿宋" w:cs="仿宋"/>
                <w:sz w:val="20"/>
                <w:szCs w:val="20"/>
              </w:rPr>
            </w:pPr>
            <w:r>
              <w:rPr>
                <w:rFonts w:ascii="Arial" w:hAnsi="Arial" w:eastAsia="Arial" w:cs="Arial"/>
                <w:spacing w:val="4"/>
                <w:sz w:val="20"/>
                <w:szCs w:val="20"/>
              </w:rPr>
              <w:t>3</w:t>
            </w:r>
            <w:r>
              <w:rPr>
                <w:rFonts w:ascii="仿宋" w:hAnsi="仿宋" w:eastAsia="仿宋" w:cs="仿宋"/>
                <w:spacing w:val="4"/>
                <w:sz w:val="20"/>
                <w:szCs w:val="20"/>
              </w:rPr>
              <w:t>、产业</w:t>
            </w:r>
            <w:r>
              <w:rPr>
                <w:rFonts w:ascii="仿宋" w:hAnsi="仿宋" w:eastAsia="仿宋" w:cs="仿宋"/>
                <w:spacing w:val="2"/>
                <w:sz w:val="20"/>
                <w:szCs w:val="20"/>
              </w:rPr>
              <w:t>种类多，高新区管理要求高</w:t>
            </w:r>
          </w:p>
          <w:p w14:paraId="189988E1">
            <w:pPr>
              <w:keepNext w:val="0"/>
              <w:keepLines w:val="0"/>
              <w:pageBreakBefore w:val="0"/>
              <w:widowControl w:val="0"/>
              <w:wordWrap/>
              <w:overflowPunct/>
              <w:bidi w:val="0"/>
              <w:spacing w:before="79" w:line="218" w:lineRule="auto"/>
              <w:ind w:left="152"/>
              <w:rPr>
                <w:rFonts w:ascii="仿宋" w:hAnsi="仿宋" w:eastAsia="仿宋" w:cs="仿宋"/>
                <w:sz w:val="22"/>
                <w:szCs w:val="22"/>
              </w:rPr>
            </w:pPr>
            <w:r>
              <w:rPr>
                <w:rFonts w:ascii="Arial" w:hAnsi="Arial" w:eastAsia="Arial" w:cs="Arial"/>
                <w:spacing w:val="-6"/>
                <w:sz w:val="20"/>
                <w:szCs w:val="20"/>
              </w:rPr>
              <w:t>4</w:t>
            </w:r>
            <w:r>
              <w:rPr>
                <w:rFonts w:ascii="仿宋" w:hAnsi="仿宋" w:eastAsia="仿宋" w:cs="仿宋"/>
                <w:spacing w:val="-6"/>
                <w:sz w:val="20"/>
                <w:szCs w:val="20"/>
              </w:rPr>
              <w:t>、</w:t>
            </w:r>
            <w:r>
              <w:rPr>
                <w:rFonts w:ascii="仿宋" w:hAnsi="仿宋" w:eastAsia="仿宋" w:cs="仿宋"/>
                <w:spacing w:val="-3"/>
                <w:sz w:val="22"/>
                <w:szCs w:val="22"/>
              </w:rPr>
              <w:t>招商引资难度加大</w:t>
            </w:r>
          </w:p>
        </w:tc>
      </w:tr>
      <w:tr w14:paraId="46CAEF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9" w:hRule="atLeast"/>
          <w:jc w:val="center"/>
        </w:trPr>
        <w:tc>
          <w:tcPr>
            <w:tcW w:w="790" w:type="dxa"/>
            <w:vMerge w:val="restart"/>
            <w:tcBorders>
              <w:tl2br w:val="nil"/>
              <w:tr2bl w:val="nil"/>
            </w:tcBorders>
            <w:noWrap w:val="0"/>
            <w:textDirection w:val="tbRlV"/>
            <w:vAlign w:val="center"/>
          </w:tcPr>
          <w:p w14:paraId="26910A38">
            <w:pPr>
              <w:keepNext w:val="0"/>
              <w:keepLines w:val="0"/>
              <w:pageBreakBefore w:val="0"/>
              <w:widowControl w:val="0"/>
              <w:wordWrap/>
              <w:overflowPunct/>
              <w:bidi w:val="0"/>
              <w:jc w:val="center"/>
              <w:rPr>
                <w:rFonts w:ascii="Arial"/>
                <w:sz w:val="21"/>
              </w:rPr>
            </w:pPr>
            <w:r>
              <w:rPr>
                <w:rFonts w:ascii="仿宋" w:hAnsi="仿宋" w:eastAsia="仿宋" w:cs="仿宋"/>
                <w:spacing w:val="13"/>
                <w:sz w:val="23"/>
                <w:szCs w:val="23"/>
              </w:rPr>
              <w:t>战</w:t>
            </w:r>
            <w:r>
              <w:rPr>
                <w:rFonts w:ascii="仿宋" w:hAnsi="仿宋" w:eastAsia="仿宋" w:cs="仿宋"/>
                <w:spacing w:val="12"/>
                <w:sz w:val="23"/>
                <w:szCs w:val="23"/>
              </w:rPr>
              <w:t>略选择</w:t>
            </w:r>
          </w:p>
        </w:tc>
        <w:tc>
          <w:tcPr>
            <w:tcW w:w="4818" w:type="dxa"/>
            <w:tcBorders>
              <w:tl2br w:val="nil"/>
              <w:tr2bl w:val="nil"/>
            </w:tcBorders>
            <w:noWrap w:val="0"/>
            <w:vAlign w:val="top"/>
          </w:tcPr>
          <w:p w14:paraId="45F79017">
            <w:pPr>
              <w:keepNext w:val="0"/>
              <w:keepLines w:val="0"/>
              <w:pageBreakBefore w:val="0"/>
              <w:widowControl w:val="0"/>
              <w:kinsoku/>
              <w:wordWrap/>
              <w:overflowPunct/>
              <w:topLinePunct/>
              <w:autoSpaceDE/>
              <w:autoSpaceDN/>
              <w:bidi w:val="0"/>
              <w:adjustRightInd w:val="0"/>
              <w:snapToGrid w:val="0"/>
              <w:spacing w:before="182" w:line="225" w:lineRule="auto"/>
              <w:ind w:left="241"/>
              <w:textAlignment w:val="baseline"/>
              <w:rPr>
                <w:rFonts w:ascii="仿宋" w:hAnsi="仿宋" w:eastAsia="仿宋" w:cs="仿宋"/>
                <w:sz w:val="23"/>
                <w:szCs w:val="23"/>
              </w:rPr>
            </w:pPr>
            <w:r>
              <w:rPr>
                <w:rFonts w:ascii="Arial" w:hAnsi="Arial" w:eastAsia="Arial" w:cs="Arial"/>
                <w:b/>
                <w:bCs/>
                <w:sz w:val="23"/>
                <w:szCs w:val="23"/>
              </w:rPr>
              <w:t>SO</w:t>
            </w:r>
            <w:r>
              <w:rPr>
                <w:rFonts w:ascii="仿宋" w:hAnsi="仿宋" w:eastAsia="仿宋" w:cs="仿宋"/>
                <w:spacing w:val="7"/>
                <w:sz w:val="23"/>
                <w:szCs w:val="23"/>
              </w:rPr>
              <w:t>战</w:t>
            </w:r>
            <w:r>
              <w:rPr>
                <w:rFonts w:ascii="仿宋" w:hAnsi="仿宋" w:eastAsia="仿宋" w:cs="仿宋"/>
                <w:spacing w:val="6"/>
                <w:sz w:val="23"/>
                <w:szCs w:val="23"/>
              </w:rPr>
              <w:t>略</w:t>
            </w:r>
          </w:p>
          <w:p w14:paraId="5D3BB341">
            <w:pPr>
              <w:keepNext w:val="0"/>
              <w:keepLines w:val="0"/>
              <w:pageBreakBefore w:val="0"/>
              <w:widowControl w:val="0"/>
              <w:kinsoku/>
              <w:wordWrap/>
              <w:overflowPunct/>
              <w:topLinePunct/>
              <w:autoSpaceDE/>
              <w:autoSpaceDN/>
              <w:bidi w:val="0"/>
              <w:adjustRightInd w:val="0"/>
              <w:snapToGrid w:val="0"/>
              <w:spacing w:before="87" w:line="270" w:lineRule="auto"/>
              <w:ind w:left="238" w:right="178" w:hanging="1"/>
              <w:textAlignment w:val="baseline"/>
              <w:rPr>
                <w:rFonts w:ascii="仿宋" w:hAnsi="仿宋" w:eastAsia="仿宋" w:cs="仿宋"/>
                <w:sz w:val="20"/>
                <w:szCs w:val="20"/>
              </w:rPr>
            </w:pPr>
            <w:r>
              <w:rPr>
                <w:rFonts w:ascii="仿宋" w:hAnsi="仿宋" w:eastAsia="仿宋" w:cs="仿宋"/>
                <w:spacing w:val="17"/>
                <w:sz w:val="20"/>
                <w:szCs w:val="20"/>
              </w:rPr>
              <w:t>(利用现有优势，抓住机会</w:t>
            </w:r>
            <w:r>
              <w:rPr>
                <w:rFonts w:ascii="仿宋" w:hAnsi="仿宋" w:eastAsia="仿宋" w:cs="仿宋"/>
                <w:spacing w:val="15"/>
                <w:sz w:val="20"/>
                <w:szCs w:val="20"/>
              </w:rPr>
              <w:t>)</w:t>
            </w:r>
            <w:r>
              <w:rPr>
                <w:rFonts w:ascii="Arial" w:hAnsi="Arial" w:eastAsia="Arial" w:cs="Arial"/>
                <w:spacing w:val="6"/>
                <w:sz w:val="20"/>
                <w:szCs w:val="20"/>
              </w:rPr>
              <w:t>1</w:t>
            </w:r>
            <w:r>
              <w:rPr>
                <w:rFonts w:ascii="仿宋" w:hAnsi="仿宋" w:eastAsia="仿宋" w:cs="仿宋"/>
                <w:spacing w:val="6"/>
                <w:sz w:val="20"/>
                <w:szCs w:val="20"/>
              </w:rPr>
              <w:t>、大力</w:t>
            </w:r>
            <w:r>
              <w:rPr>
                <w:rFonts w:ascii="仿宋" w:hAnsi="仿宋" w:eastAsia="仿宋" w:cs="仿宋"/>
                <w:spacing w:val="4"/>
                <w:sz w:val="20"/>
                <w:szCs w:val="20"/>
              </w:rPr>
              <w:t>发</w:t>
            </w:r>
            <w:r>
              <w:rPr>
                <w:rFonts w:ascii="仿宋" w:hAnsi="仿宋" w:eastAsia="仿宋" w:cs="仿宋"/>
                <w:spacing w:val="3"/>
                <w:sz w:val="20"/>
                <w:szCs w:val="20"/>
              </w:rPr>
              <w:t>展与国民经济发展主流相适应的石化、</w:t>
            </w:r>
            <w:r>
              <w:rPr>
                <w:rFonts w:ascii="仿宋" w:hAnsi="仿宋" w:eastAsia="仿宋" w:cs="仿宋"/>
                <w:spacing w:val="-1"/>
                <w:sz w:val="20"/>
                <w:szCs w:val="20"/>
              </w:rPr>
              <w:t>新能源、节能环保、</w:t>
            </w:r>
            <w:r>
              <w:rPr>
                <w:rFonts w:ascii="仿宋" w:hAnsi="仿宋" w:eastAsia="仿宋" w:cs="仿宋"/>
                <w:sz w:val="20"/>
                <w:szCs w:val="20"/>
              </w:rPr>
              <w:t>大健康等行业用新材料产业，</w:t>
            </w:r>
            <w:r>
              <w:rPr>
                <w:rFonts w:ascii="仿宋" w:hAnsi="仿宋" w:eastAsia="仿宋" w:cs="仿宋"/>
                <w:spacing w:val="8"/>
                <w:sz w:val="20"/>
                <w:szCs w:val="20"/>
              </w:rPr>
              <w:t>重</w:t>
            </w:r>
            <w:r>
              <w:rPr>
                <w:rFonts w:ascii="仿宋" w:hAnsi="仿宋" w:eastAsia="仿宋" w:cs="仿宋"/>
                <w:spacing w:val="6"/>
                <w:sz w:val="20"/>
                <w:szCs w:val="20"/>
              </w:rPr>
              <w:t>点引进与上游石化关联度高、附加值高、市场</w:t>
            </w:r>
            <w:r>
              <w:rPr>
                <w:rFonts w:ascii="仿宋" w:hAnsi="仿宋" w:eastAsia="仿宋" w:cs="仿宋"/>
                <w:spacing w:val="15"/>
                <w:sz w:val="20"/>
                <w:szCs w:val="20"/>
              </w:rPr>
              <w:t>缺</w:t>
            </w:r>
            <w:r>
              <w:rPr>
                <w:rFonts w:ascii="仿宋" w:hAnsi="仿宋" w:eastAsia="仿宋" w:cs="仿宋"/>
                <w:spacing w:val="10"/>
                <w:sz w:val="20"/>
                <w:szCs w:val="20"/>
              </w:rPr>
              <w:t>口大、对环境影响较小的新材料产业项目。</w:t>
            </w:r>
            <w:r>
              <w:rPr>
                <w:rFonts w:ascii="Arial" w:hAnsi="Arial" w:eastAsia="Arial" w:cs="Arial"/>
                <w:spacing w:val="13"/>
                <w:sz w:val="20"/>
                <w:szCs w:val="20"/>
              </w:rPr>
              <w:t>2</w:t>
            </w:r>
            <w:r>
              <w:rPr>
                <w:rFonts w:ascii="仿宋" w:hAnsi="仿宋" w:eastAsia="仿宋" w:cs="仿宋"/>
                <w:spacing w:val="8"/>
                <w:sz w:val="20"/>
                <w:szCs w:val="20"/>
              </w:rPr>
              <w:t>、发挥泉州地区突出的临港、原料配套优势，吸</w:t>
            </w:r>
            <w:r>
              <w:rPr>
                <w:rFonts w:ascii="仿宋" w:hAnsi="仿宋" w:eastAsia="仿宋" w:cs="仿宋"/>
                <w:spacing w:val="6"/>
                <w:sz w:val="20"/>
                <w:szCs w:val="20"/>
              </w:rPr>
              <w:t>引国内外投资，发展外向型经济，向国内一流</w:t>
            </w:r>
            <w:r>
              <w:rPr>
                <w:rFonts w:ascii="仿宋" w:hAnsi="仿宋" w:eastAsia="仿宋" w:cs="仿宋"/>
                <w:spacing w:val="8"/>
                <w:sz w:val="20"/>
                <w:szCs w:val="20"/>
              </w:rPr>
              <w:t>的高新园区迈进</w:t>
            </w:r>
            <w:r>
              <w:rPr>
                <w:rFonts w:ascii="仿宋" w:hAnsi="仿宋" w:eastAsia="仿宋" w:cs="仿宋"/>
                <w:spacing w:val="6"/>
                <w:sz w:val="20"/>
                <w:szCs w:val="20"/>
              </w:rPr>
              <w:t>。</w:t>
            </w:r>
          </w:p>
          <w:p w14:paraId="4F65A329">
            <w:pPr>
              <w:keepNext w:val="0"/>
              <w:keepLines w:val="0"/>
              <w:pageBreakBefore w:val="0"/>
              <w:widowControl w:val="0"/>
              <w:kinsoku/>
              <w:wordWrap/>
              <w:overflowPunct/>
              <w:topLinePunct/>
              <w:autoSpaceDE/>
              <w:autoSpaceDN/>
              <w:bidi w:val="0"/>
              <w:adjustRightInd w:val="0"/>
              <w:snapToGrid w:val="0"/>
              <w:spacing w:before="17" w:line="251" w:lineRule="auto"/>
              <w:ind w:left="258" w:right="240" w:hanging="17"/>
              <w:textAlignment w:val="baseline"/>
              <w:rPr>
                <w:rFonts w:ascii="仿宋" w:hAnsi="仿宋" w:eastAsia="仿宋" w:cs="仿宋"/>
                <w:sz w:val="20"/>
                <w:szCs w:val="20"/>
              </w:rPr>
            </w:pPr>
            <w:r>
              <w:rPr>
                <w:rFonts w:ascii="Arial" w:hAnsi="Arial" w:eastAsia="Arial" w:cs="Arial"/>
                <w:spacing w:val="4"/>
                <w:sz w:val="20"/>
                <w:szCs w:val="20"/>
              </w:rPr>
              <w:t>3</w:t>
            </w:r>
            <w:r>
              <w:rPr>
                <w:rFonts w:ascii="仿宋" w:hAnsi="仿宋" w:eastAsia="仿宋" w:cs="仿宋"/>
                <w:spacing w:val="4"/>
                <w:sz w:val="20"/>
                <w:szCs w:val="20"/>
              </w:rPr>
              <w:t>、以新</w:t>
            </w:r>
            <w:r>
              <w:rPr>
                <w:rFonts w:ascii="仿宋" w:hAnsi="仿宋" w:eastAsia="仿宋" w:cs="仿宋"/>
                <w:spacing w:val="3"/>
                <w:sz w:val="20"/>
                <w:szCs w:val="20"/>
              </w:rPr>
              <w:t>材</w:t>
            </w:r>
            <w:r>
              <w:rPr>
                <w:rFonts w:ascii="仿宋" w:hAnsi="仿宋" w:eastAsia="仿宋" w:cs="仿宋"/>
                <w:spacing w:val="2"/>
                <w:sz w:val="20"/>
                <w:szCs w:val="20"/>
              </w:rPr>
              <w:t>料为发展重点，融合发展新能源、节</w:t>
            </w:r>
            <w:r>
              <w:rPr>
                <w:rFonts w:ascii="仿宋" w:hAnsi="仿宋" w:eastAsia="仿宋" w:cs="仿宋"/>
                <w:spacing w:val="8"/>
                <w:sz w:val="20"/>
                <w:szCs w:val="20"/>
              </w:rPr>
              <w:t>能</w:t>
            </w:r>
            <w:r>
              <w:rPr>
                <w:rFonts w:ascii="仿宋" w:hAnsi="仿宋" w:eastAsia="仿宋" w:cs="仿宋"/>
                <w:spacing w:val="5"/>
                <w:sz w:val="20"/>
                <w:szCs w:val="20"/>
              </w:rPr>
              <w:t>环保、大健康产业所需新材料，用港口运输条</w:t>
            </w:r>
          </w:p>
          <w:p w14:paraId="5310AC5E">
            <w:pPr>
              <w:keepNext w:val="0"/>
              <w:keepLines w:val="0"/>
              <w:pageBreakBefore w:val="0"/>
              <w:widowControl w:val="0"/>
              <w:kinsoku/>
              <w:wordWrap/>
              <w:overflowPunct/>
              <w:topLinePunct/>
              <w:autoSpaceDE/>
              <w:autoSpaceDN/>
              <w:bidi w:val="0"/>
              <w:adjustRightInd w:val="0"/>
              <w:snapToGrid w:val="0"/>
              <w:spacing w:before="3" w:line="275" w:lineRule="auto"/>
              <w:ind w:left="235" w:leftChars="0" w:right="240" w:rightChars="0" w:firstLine="2" w:firstLineChars="0"/>
              <w:textAlignment w:val="baseline"/>
              <w:rPr>
                <w:rFonts w:ascii="Arial" w:hAnsi="Arial" w:eastAsia="Arial" w:cs="Arial"/>
                <w:spacing w:val="5"/>
                <w:sz w:val="20"/>
                <w:szCs w:val="20"/>
              </w:rPr>
            </w:pPr>
            <w:r>
              <w:rPr>
                <w:rFonts w:ascii="仿宋" w:hAnsi="仿宋" w:eastAsia="仿宋" w:cs="仿宋"/>
                <w:spacing w:val="8"/>
                <w:sz w:val="20"/>
                <w:szCs w:val="20"/>
              </w:rPr>
              <w:t>件</w:t>
            </w:r>
            <w:r>
              <w:rPr>
                <w:rFonts w:ascii="仿宋" w:hAnsi="仿宋" w:eastAsia="仿宋" w:cs="仿宋"/>
                <w:spacing w:val="6"/>
                <w:sz w:val="20"/>
                <w:szCs w:val="20"/>
              </w:rPr>
              <w:t>运入基本原料，与本地产业结合，着力解决原</w:t>
            </w:r>
            <w:r>
              <w:rPr>
                <w:rFonts w:ascii="仿宋" w:hAnsi="仿宋" w:eastAsia="仿宋" w:cs="仿宋"/>
                <w:spacing w:val="12"/>
                <w:sz w:val="20"/>
                <w:szCs w:val="20"/>
              </w:rPr>
              <w:t>料</w:t>
            </w:r>
            <w:r>
              <w:rPr>
                <w:rFonts w:ascii="仿宋" w:hAnsi="仿宋" w:eastAsia="仿宋" w:cs="仿宋"/>
                <w:spacing w:val="11"/>
                <w:sz w:val="20"/>
                <w:szCs w:val="20"/>
              </w:rPr>
              <w:t>供应和市场培育。</w:t>
            </w:r>
            <w:r>
              <w:rPr>
                <w:rFonts w:ascii="Arial" w:hAnsi="Arial" w:eastAsia="Arial" w:cs="Arial"/>
                <w:spacing w:val="14"/>
                <w:sz w:val="20"/>
                <w:szCs w:val="20"/>
              </w:rPr>
              <w:t>4</w:t>
            </w:r>
            <w:r>
              <w:rPr>
                <w:rFonts w:ascii="仿宋" w:hAnsi="仿宋" w:eastAsia="仿宋" w:cs="仿宋"/>
                <w:spacing w:val="7"/>
                <w:sz w:val="20"/>
                <w:szCs w:val="20"/>
              </w:rPr>
              <w:t>、积极推动龙头项目的建设，打造具有区域特</w:t>
            </w:r>
            <w:r>
              <w:rPr>
                <w:rFonts w:ascii="仿宋" w:hAnsi="仿宋" w:eastAsia="仿宋" w:cs="仿宋"/>
                <w:spacing w:val="8"/>
                <w:sz w:val="20"/>
                <w:szCs w:val="20"/>
              </w:rPr>
              <w:t>色的产业集群</w:t>
            </w:r>
            <w:r>
              <w:rPr>
                <w:rFonts w:ascii="仿宋" w:hAnsi="仿宋" w:eastAsia="仿宋" w:cs="仿宋"/>
                <w:spacing w:val="7"/>
                <w:sz w:val="20"/>
                <w:szCs w:val="20"/>
              </w:rPr>
              <w:t>。</w:t>
            </w:r>
          </w:p>
        </w:tc>
        <w:tc>
          <w:tcPr>
            <w:tcW w:w="3568" w:type="dxa"/>
            <w:tcBorders>
              <w:tl2br w:val="nil"/>
              <w:tr2bl w:val="nil"/>
            </w:tcBorders>
            <w:noWrap w:val="0"/>
            <w:vAlign w:val="top"/>
          </w:tcPr>
          <w:p w14:paraId="09DFA455">
            <w:pPr>
              <w:keepNext w:val="0"/>
              <w:keepLines w:val="0"/>
              <w:pageBreakBefore w:val="0"/>
              <w:widowControl w:val="0"/>
              <w:kinsoku/>
              <w:wordWrap/>
              <w:overflowPunct/>
              <w:topLinePunct/>
              <w:autoSpaceDE/>
              <w:autoSpaceDN/>
              <w:bidi w:val="0"/>
              <w:adjustRightInd w:val="0"/>
              <w:snapToGrid w:val="0"/>
              <w:spacing w:before="182" w:line="225" w:lineRule="auto"/>
              <w:ind w:left="254"/>
              <w:textAlignment w:val="baseline"/>
              <w:rPr>
                <w:rFonts w:ascii="仿宋" w:hAnsi="仿宋" w:eastAsia="仿宋" w:cs="仿宋"/>
                <w:sz w:val="23"/>
                <w:szCs w:val="23"/>
              </w:rPr>
            </w:pPr>
            <w:r>
              <w:rPr>
                <w:rFonts w:ascii="Arial" w:hAnsi="Arial" w:eastAsia="Arial" w:cs="Arial"/>
                <w:b/>
                <w:bCs/>
                <w:sz w:val="23"/>
                <w:szCs w:val="23"/>
              </w:rPr>
              <w:t>ST</w:t>
            </w:r>
            <w:r>
              <w:rPr>
                <w:rFonts w:ascii="仿宋" w:hAnsi="仿宋" w:eastAsia="仿宋" w:cs="仿宋"/>
                <w:spacing w:val="6"/>
                <w:sz w:val="23"/>
                <w:szCs w:val="23"/>
              </w:rPr>
              <w:t>战略</w:t>
            </w:r>
          </w:p>
          <w:p w14:paraId="78FDBD1A">
            <w:pPr>
              <w:keepNext w:val="0"/>
              <w:keepLines w:val="0"/>
              <w:pageBreakBefore w:val="0"/>
              <w:widowControl w:val="0"/>
              <w:kinsoku/>
              <w:wordWrap/>
              <w:overflowPunct/>
              <w:topLinePunct/>
              <w:autoSpaceDE/>
              <w:autoSpaceDN/>
              <w:bidi w:val="0"/>
              <w:adjustRightInd w:val="0"/>
              <w:snapToGrid w:val="0"/>
              <w:spacing w:before="83" w:line="279" w:lineRule="auto"/>
              <w:ind w:left="248" w:leftChars="0" w:right="237" w:rightChars="0" w:firstLine="1" w:firstLineChars="0"/>
              <w:textAlignment w:val="baseline"/>
              <w:rPr>
                <w:rFonts w:ascii="Arial" w:hAnsi="Arial" w:eastAsia="Arial" w:cs="Arial"/>
                <w:spacing w:val="-6"/>
                <w:sz w:val="20"/>
                <w:szCs w:val="20"/>
              </w:rPr>
            </w:pPr>
            <w:r>
              <w:rPr>
                <w:rFonts w:ascii="仿宋" w:hAnsi="仿宋" w:eastAsia="仿宋" w:cs="仿宋"/>
                <w:spacing w:val="17"/>
                <w:sz w:val="20"/>
                <w:szCs w:val="20"/>
              </w:rPr>
              <w:t>(利用现有优势，避开威胁</w:t>
            </w:r>
            <w:r>
              <w:rPr>
                <w:rFonts w:ascii="仿宋" w:hAnsi="仿宋" w:eastAsia="仿宋" w:cs="仿宋"/>
                <w:spacing w:val="15"/>
                <w:sz w:val="20"/>
                <w:szCs w:val="20"/>
              </w:rPr>
              <w:t>)</w:t>
            </w:r>
            <w:r>
              <w:rPr>
                <w:rFonts w:ascii="Arial" w:hAnsi="Arial" w:eastAsia="Arial" w:cs="Arial"/>
                <w:spacing w:val="7"/>
                <w:sz w:val="20"/>
                <w:szCs w:val="20"/>
              </w:rPr>
              <w:t>1</w:t>
            </w:r>
            <w:r>
              <w:rPr>
                <w:rFonts w:ascii="仿宋" w:hAnsi="仿宋" w:eastAsia="仿宋" w:cs="仿宋"/>
                <w:spacing w:val="6"/>
                <w:sz w:val="20"/>
                <w:szCs w:val="20"/>
              </w:rPr>
              <w:t>、避免与周边地区同质化，发展</w:t>
            </w:r>
            <w:r>
              <w:rPr>
                <w:rFonts w:ascii="仿宋" w:hAnsi="仿宋" w:eastAsia="仿宋" w:cs="仿宋"/>
                <w:spacing w:val="18"/>
                <w:sz w:val="20"/>
                <w:szCs w:val="20"/>
              </w:rPr>
              <w:t>市</w:t>
            </w:r>
            <w:r>
              <w:rPr>
                <w:rFonts w:ascii="仿宋" w:hAnsi="仿宋" w:eastAsia="仿宋" w:cs="仿宋"/>
                <w:spacing w:val="10"/>
                <w:sz w:val="20"/>
                <w:szCs w:val="20"/>
              </w:rPr>
              <w:t>场风险抵抗力强的特色产业。</w:t>
            </w:r>
            <w:r>
              <w:rPr>
                <w:rFonts w:ascii="Arial" w:hAnsi="Arial" w:eastAsia="Arial" w:cs="Arial"/>
                <w:spacing w:val="7"/>
                <w:sz w:val="20"/>
                <w:szCs w:val="20"/>
              </w:rPr>
              <w:t>2</w:t>
            </w:r>
            <w:r>
              <w:rPr>
                <w:rFonts w:ascii="仿宋" w:hAnsi="仿宋" w:eastAsia="仿宋" w:cs="仿宋"/>
                <w:spacing w:val="6"/>
                <w:sz w:val="20"/>
                <w:szCs w:val="20"/>
              </w:rPr>
              <w:t>、加快推进具有带动性的新材料</w:t>
            </w:r>
            <w:r>
              <w:rPr>
                <w:rFonts w:ascii="仿宋" w:hAnsi="仿宋" w:eastAsia="仿宋" w:cs="仿宋"/>
                <w:spacing w:val="12"/>
                <w:sz w:val="20"/>
                <w:szCs w:val="20"/>
              </w:rPr>
              <w:t>产业发展。</w:t>
            </w:r>
            <w:r>
              <w:rPr>
                <w:rFonts w:ascii="Arial" w:hAnsi="Arial" w:eastAsia="Arial" w:cs="Arial"/>
                <w:spacing w:val="7"/>
                <w:sz w:val="20"/>
                <w:szCs w:val="20"/>
              </w:rPr>
              <w:t>3</w:t>
            </w:r>
            <w:r>
              <w:rPr>
                <w:rFonts w:ascii="仿宋" w:hAnsi="仿宋" w:eastAsia="仿宋" w:cs="仿宋"/>
                <w:spacing w:val="6"/>
                <w:sz w:val="20"/>
                <w:szCs w:val="20"/>
              </w:rPr>
              <w:t>、注重土地、水资源合理有序的</w:t>
            </w:r>
            <w:r>
              <w:rPr>
                <w:rFonts w:ascii="仿宋" w:hAnsi="仿宋" w:eastAsia="仿宋" w:cs="仿宋"/>
                <w:spacing w:val="12"/>
                <w:sz w:val="20"/>
                <w:szCs w:val="20"/>
              </w:rPr>
              <w:t>开发利用。</w:t>
            </w:r>
            <w:r>
              <w:rPr>
                <w:rFonts w:ascii="Arial" w:hAnsi="Arial" w:eastAsia="Arial" w:cs="Arial"/>
                <w:spacing w:val="7"/>
                <w:sz w:val="20"/>
                <w:szCs w:val="20"/>
              </w:rPr>
              <w:t>4</w:t>
            </w:r>
            <w:r>
              <w:rPr>
                <w:rFonts w:ascii="仿宋" w:hAnsi="仿宋" w:eastAsia="仿宋" w:cs="仿宋"/>
                <w:spacing w:val="6"/>
                <w:sz w:val="20"/>
                <w:szCs w:val="20"/>
              </w:rPr>
              <w:t>、加强对投资项目的安全环保监</w:t>
            </w:r>
            <w:r>
              <w:rPr>
                <w:rFonts w:ascii="仿宋" w:hAnsi="仿宋" w:eastAsia="仿宋" w:cs="仿宋"/>
                <w:spacing w:val="8"/>
                <w:sz w:val="20"/>
                <w:szCs w:val="20"/>
              </w:rPr>
              <w:t>管</w:t>
            </w:r>
            <w:r>
              <w:rPr>
                <w:rFonts w:ascii="仿宋" w:hAnsi="仿宋" w:eastAsia="仿宋" w:cs="仿宋"/>
                <w:spacing w:val="4"/>
                <w:sz w:val="20"/>
                <w:szCs w:val="20"/>
              </w:rPr>
              <w:t>，实现产业与生态环境的和谐发</w:t>
            </w:r>
            <w:r>
              <w:rPr>
                <w:rFonts w:ascii="仿宋" w:hAnsi="仿宋" w:eastAsia="仿宋" w:cs="仿宋"/>
                <w:spacing w:val="3"/>
                <w:sz w:val="20"/>
                <w:szCs w:val="20"/>
              </w:rPr>
              <w:t>展。</w:t>
            </w:r>
          </w:p>
        </w:tc>
      </w:tr>
      <w:tr w14:paraId="163BB7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19" w:hRule="atLeast"/>
          <w:jc w:val="center"/>
        </w:trPr>
        <w:tc>
          <w:tcPr>
            <w:tcW w:w="790" w:type="dxa"/>
            <w:vMerge w:val="continue"/>
            <w:tcBorders>
              <w:tl2br w:val="nil"/>
              <w:tr2bl w:val="nil"/>
            </w:tcBorders>
            <w:noWrap w:val="0"/>
            <w:textDirection w:val="tbRlV"/>
            <w:vAlign w:val="top"/>
          </w:tcPr>
          <w:p w14:paraId="3ECF187E">
            <w:pPr>
              <w:keepNext w:val="0"/>
              <w:keepLines w:val="0"/>
              <w:pageBreakBefore w:val="0"/>
              <w:widowControl w:val="0"/>
              <w:wordWrap/>
              <w:overflowPunct/>
              <w:bidi w:val="0"/>
              <w:rPr>
                <w:rFonts w:ascii="Arial"/>
                <w:sz w:val="21"/>
              </w:rPr>
            </w:pPr>
          </w:p>
        </w:tc>
        <w:tc>
          <w:tcPr>
            <w:tcW w:w="4818" w:type="dxa"/>
            <w:tcBorders>
              <w:tl2br w:val="nil"/>
              <w:tr2bl w:val="nil"/>
            </w:tcBorders>
            <w:noWrap w:val="0"/>
            <w:vAlign w:val="top"/>
          </w:tcPr>
          <w:p w14:paraId="36292315">
            <w:pPr>
              <w:keepNext w:val="0"/>
              <w:keepLines w:val="0"/>
              <w:pageBreakBefore w:val="0"/>
              <w:widowControl w:val="0"/>
              <w:kinsoku/>
              <w:wordWrap/>
              <w:overflowPunct/>
              <w:topLinePunct/>
              <w:autoSpaceDE/>
              <w:autoSpaceDN/>
              <w:bidi w:val="0"/>
              <w:adjustRightInd w:val="0"/>
              <w:snapToGrid w:val="0"/>
              <w:spacing w:before="162" w:line="225" w:lineRule="auto"/>
              <w:ind w:left="233"/>
              <w:textAlignment w:val="baseline"/>
              <w:rPr>
                <w:rFonts w:ascii="仿宋" w:hAnsi="仿宋" w:eastAsia="仿宋" w:cs="仿宋"/>
                <w:sz w:val="23"/>
                <w:szCs w:val="23"/>
              </w:rPr>
            </w:pPr>
            <w:r>
              <w:rPr>
                <w:rFonts w:ascii="Arial" w:hAnsi="Arial" w:eastAsia="Arial" w:cs="Arial"/>
                <w:b/>
                <w:bCs/>
                <w:sz w:val="23"/>
                <w:szCs w:val="23"/>
              </w:rPr>
              <w:t>WO</w:t>
            </w:r>
            <w:r>
              <w:rPr>
                <w:rFonts w:ascii="仿宋" w:hAnsi="仿宋" w:eastAsia="仿宋" w:cs="仿宋"/>
                <w:spacing w:val="10"/>
                <w:sz w:val="23"/>
                <w:szCs w:val="23"/>
              </w:rPr>
              <w:t>战略</w:t>
            </w:r>
          </w:p>
          <w:p w14:paraId="08979180">
            <w:pPr>
              <w:keepNext w:val="0"/>
              <w:keepLines w:val="0"/>
              <w:pageBreakBefore w:val="0"/>
              <w:widowControl w:val="0"/>
              <w:kinsoku/>
              <w:wordWrap/>
              <w:overflowPunct/>
              <w:topLinePunct/>
              <w:autoSpaceDE/>
              <w:autoSpaceDN/>
              <w:bidi w:val="0"/>
              <w:adjustRightInd w:val="0"/>
              <w:snapToGrid w:val="0"/>
              <w:spacing w:before="88" w:line="276" w:lineRule="auto"/>
              <w:ind w:left="240" w:right="240" w:hanging="3"/>
              <w:textAlignment w:val="baseline"/>
              <w:rPr>
                <w:rFonts w:ascii="仿宋" w:hAnsi="仿宋" w:eastAsia="仿宋" w:cs="仿宋"/>
                <w:sz w:val="20"/>
                <w:szCs w:val="20"/>
              </w:rPr>
            </w:pPr>
            <w:r>
              <w:rPr>
                <w:rFonts w:ascii="仿宋" w:hAnsi="仿宋" w:eastAsia="仿宋" w:cs="仿宋"/>
                <w:spacing w:val="15"/>
                <w:sz w:val="20"/>
                <w:szCs w:val="20"/>
              </w:rPr>
              <w:t>(</w:t>
            </w:r>
            <w:r>
              <w:rPr>
                <w:rFonts w:ascii="仿宋" w:hAnsi="仿宋" w:eastAsia="仿宋" w:cs="仿宋"/>
                <w:spacing w:val="8"/>
                <w:sz w:val="20"/>
                <w:szCs w:val="20"/>
              </w:rPr>
              <w:t>抓住机会，改进内部劣势)</w:t>
            </w:r>
            <w:r>
              <w:rPr>
                <w:rFonts w:ascii="Arial" w:hAnsi="Arial" w:eastAsia="Arial" w:cs="Arial"/>
                <w:spacing w:val="12"/>
                <w:sz w:val="20"/>
                <w:szCs w:val="20"/>
              </w:rPr>
              <w:t>1</w:t>
            </w:r>
            <w:r>
              <w:rPr>
                <w:rFonts w:ascii="仿宋" w:hAnsi="仿宋" w:eastAsia="仿宋" w:cs="仿宋"/>
                <w:spacing w:val="7"/>
                <w:sz w:val="20"/>
                <w:szCs w:val="20"/>
              </w:rPr>
              <w:t>、鼓励和引导企业</w:t>
            </w:r>
            <w:r>
              <w:rPr>
                <w:rFonts w:hint="eastAsia" w:ascii="仿宋" w:hAnsi="仿宋" w:eastAsia="仿宋" w:cs="仿宋"/>
                <w:spacing w:val="7"/>
                <w:sz w:val="20"/>
                <w:szCs w:val="20"/>
                <w:lang w:eastAsia="zh-CN"/>
              </w:rPr>
              <w:t>开阔</w:t>
            </w:r>
            <w:r>
              <w:rPr>
                <w:rFonts w:ascii="仿宋" w:hAnsi="仿宋" w:eastAsia="仿宋" w:cs="仿宋"/>
                <w:spacing w:val="7"/>
                <w:sz w:val="20"/>
                <w:szCs w:val="20"/>
              </w:rPr>
              <w:t>视野，争取国际技术合</w:t>
            </w:r>
            <w:r>
              <w:rPr>
                <w:rFonts w:ascii="仿宋" w:hAnsi="仿宋" w:eastAsia="仿宋" w:cs="仿宋"/>
                <w:spacing w:val="6"/>
                <w:sz w:val="20"/>
                <w:szCs w:val="20"/>
              </w:rPr>
              <w:t>作，选取国内市场亟需的产品和项目，发展新</w:t>
            </w:r>
            <w:r>
              <w:rPr>
                <w:rFonts w:hint="eastAsia" w:ascii="仿宋" w:hAnsi="仿宋" w:eastAsia="仿宋" w:cs="仿宋"/>
                <w:spacing w:val="6"/>
                <w:sz w:val="20"/>
                <w:szCs w:val="20"/>
                <w:lang w:eastAsia="zh-CN"/>
              </w:rPr>
              <w:t>兴</w:t>
            </w:r>
            <w:r>
              <w:rPr>
                <w:rFonts w:ascii="仿宋" w:hAnsi="仿宋" w:eastAsia="仿宋" w:cs="仿宋"/>
                <w:spacing w:val="3"/>
                <w:sz w:val="20"/>
                <w:szCs w:val="20"/>
              </w:rPr>
              <w:t>产业。</w:t>
            </w:r>
          </w:p>
          <w:p w14:paraId="5B750F31">
            <w:pPr>
              <w:keepNext w:val="0"/>
              <w:keepLines w:val="0"/>
              <w:pageBreakBefore w:val="0"/>
              <w:widowControl w:val="0"/>
              <w:kinsoku/>
              <w:wordWrap/>
              <w:overflowPunct/>
              <w:topLinePunct/>
              <w:autoSpaceDE/>
              <w:autoSpaceDN/>
              <w:bidi w:val="0"/>
              <w:adjustRightInd w:val="0"/>
              <w:snapToGrid w:val="0"/>
              <w:spacing w:before="12" w:line="248" w:lineRule="auto"/>
              <w:ind w:left="245" w:leftChars="0" w:right="240" w:rightChars="0" w:hanging="7" w:firstLineChars="0"/>
              <w:textAlignment w:val="baseline"/>
              <w:rPr>
                <w:rFonts w:ascii="Arial" w:hAnsi="Arial" w:eastAsia="Arial" w:cs="Arial"/>
                <w:spacing w:val="5"/>
                <w:sz w:val="20"/>
                <w:szCs w:val="20"/>
              </w:rPr>
            </w:pPr>
            <w:r>
              <w:rPr>
                <w:rFonts w:ascii="Arial" w:hAnsi="Arial" w:eastAsia="Arial" w:cs="Arial"/>
                <w:spacing w:val="14"/>
                <w:sz w:val="20"/>
                <w:szCs w:val="20"/>
              </w:rPr>
              <w:t>2</w:t>
            </w:r>
            <w:r>
              <w:rPr>
                <w:rFonts w:ascii="仿宋" w:hAnsi="仿宋" w:eastAsia="仿宋" w:cs="仿宋"/>
                <w:spacing w:val="7"/>
                <w:sz w:val="20"/>
                <w:szCs w:val="20"/>
              </w:rPr>
              <w:t>、抓住一带一路海上丝绸之路建设和福厦泉国</w:t>
            </w:r>
            <w:r>
              <w:rPr>
                <w:rFonts w:ascii="仿宋" w:hAnsi="仿宋" w:eastAsia="仿宋" w:cs="仿宋"/>
                <w:spacing w:val="10"/>
                <w:sz w:val="20"/>
                <w:szCs w:val="20"/>
              </w:rPr>
              <w:t>家自主</w:t>
            </w:r>
            <w:r>
              <w:rPr>
                <w:rFonts w:ascii="仿宋" w:hAnsi="仿宋" w:eastAsia="仿宋" w:cs="仿宋"/>
                <w:spacing w:val="6"/>
                <w:sz w:val="20"/>
                <w:szCs w:val="20"/>
              </w:rPr>
              <w:t>创</w:t>
            </w:r>
            <w:r>
              <w:rPr>
                <w:rFonts w:ascii="仿宋" w:hAnsi="仿宋" w:eastAsia="仿宋" w:cs="仿宋"/>
                <w:spacing w:val="5"/>
                <w:sz w:val="20"/>
                <w:szCs w:val="20"/>
              </w:rPr>
              <w:t>新示范区泉州片区建设的有利机遇，加</w:t>
            </w:r>
            <w:r>
              <w:rPr>
                <w:rFonts w:ascii="仿宋" w:hAnsi="仿宋" w:eastAsia="仿宋" w:cs="仿宋"/>
                <w:spacing w:val="10"/>
                <w:sz w:val="20"/>
                <w:szCs w:val="20"/>
              </w:rPr>
              <w:t>快相关</w:t>
            </w:r>
            <w:r>
              <w:rPr>
                <w:rFonts w:ascii="仿宋" w:hAnsi="仿宋" w:eastAsia="仿宋" w:cs="仿宋"/>
                <w:spacing w:val="6"/>
                <w:sz w:val="20"/>
                <w:szCs w:val="20"/>
              </w:rPr>
              <w:t>基</w:t>
            </w:r>
            <w:r>
              <w:rPr>
                <w:rFonts w:ascii="仿宋" w:hAnsi="仿宋" w:eastAsia="仿宋" w:cs="仿宋"/>
                <w:spacing w:val="5"/>
                <w:sz w:val="20"/>
                <w:szCs w:val="20"/>
              </w:rPr>
              <w:t>础设施建设，利用各方面优势条件吸引</w:t>
            </w:r>
            <w:r>
              <w:rPr>
                <w:rFonts w:ascii="仿宋" w:hAnsi="仿宋" w:eastAsia="仿宋" w:cs="仿宋"/>
                <w:spacing w:val="17"/>
                <w:sz w:val="20"/>
                <w:szCs w:val="20"/>
              </w:rPr>
              <w:t>更</w:t>
            </w:r>
            <w:r>
              <w:rPr>
                <w:rFonts w:ascii="仿宋" w:hAnsi="仿宋" w:eastAsia="仿宋" w:cs="仿宋"/>
                <w:spacing w:val="16"/>
                <w:sz w:val="20"/>
                <w:szCs w:val="20"/>
              </w:rPr>
              <w:t>多的国内外投资，将内部优势转变为经济效</w:t>
            </w:r>
            <w:r>
              <w:rPr>
                <w:rFonts w:ascii="仿宋" w:hAnsi="仿宋" w:eastAsia="仿宋" w:cs="仿宋"/>
                <w:spacing w:val="-3"/>
                <w:sz w:val="20"/>
                <w:szCs w:val="20"/>
              </w:rPr>
              <w:t>益</w:t>
            </w:r>
            <w:r>
              <w:rPr>
                <w:rFonts w:ascii="仿宋" w:hAnsi="仿宋" w:eastAsia="仿宋" w:cs="仿宋"/>
                <w:spacing w:val="-2"/>
                <w:sz w:val="20"/>
                <w:szCs w:val="20"/>
              </w:rPr>
              <w:t>。</w:t>
            </w:r>
          </w:p>
        </w:tc>
        <w:tc>
          <w:tcPr>
            <w:tcW w:w="3568" w:type="dxa"/>
            <w:tcBorders>
              <w:tl2br w:val="nil"/>
              <w:tr2bl w:val="nil"/>
            </w:tcBorders>
            <w:noWrap w:val="0"/>
            <w:vAlign w:val="top"/>
          </w:tcPr>
          <w:p w14:paraId="31ECF5FB">
            <w:pPr>
              <w:keepNext w:val="0"/>
              <w:keepLines w:val="0"/>
              <w:pageBreakBefore w:val="0"/>
              <w:widowControl w:val="0"/>
              <w:kinsoku/>
              <w:wordWrap/>
              <w:overflowPunct/>
              <w:topLinePunct/>
              <w:autoSpaceDE/>
              <w:autoSpaceDN/>
              <w:bidi w:val="0"/>
              <w:adjustRightInd w:val="0"/>
              <w:snapToGrid w:val="0"/>
              <w:spacing w:before="162" w:line="225" w:lineRule="auto"/>
              <w:ind w:left="246"/>
              <w:textAlignment w:val="baseline"/>
              <w:rPr>
                <w:rFonts w:ascii="仿宋" w:hAnsi="仿宋" w:eastAsia="仿宋" w:cs="仿宋"/>
                <w:sz w:val="23"/>
                <w:szCs w:val="23"/>
              </w:rPr>
            </w:pPr>
            <w:r>
              <w:rPr>
                <w:rFonts w:ascii="Arial" w:hAnsi="Arial" w:eastAsia="Arial" w:cs="Arial"/>
                <w:b/>
                <w:bCs/>
                <w:sz w:val="23"/>
                <w:szCs w:val="23"/>
              </w:rPr>
              <w:t>WT</w:t>
            </w:r>
            <w:r>
              <w:rPr>
                <w:rFonts w:ascii="仿宋" w:hAnsi="仿宋" w:eastAsia="仿宋" w:cs="仿宋"/>
                <w:spacing w:val="10"/>
                <w:sz w:val="23"/>
                <w:szCs w:val="23"/>
              </w:rPr>
              <w:t>战</w:t>
            </w:r>
            <w:r>
              <w:rPr>
                <w:rFonts w:ascii="仿宋" w:hAnsi="仿宋" w:eastAsia="仿宋" w:cs="仿宋"/>
                <w:spacing w:val="9"/>
                <w:sz w:val="23"/>
                <w:szCs w:val="23"/>
              </w:rPr>
              <w:t>略</w:t>
            </w:r>
          </w:p>
          <w:p w14:paraId="22D61532">
            <w:pPr>
              <w:keepNext w:val="0"/>
              <w:keepLines w:val="0"/>
              <w:pageBreakBefore w:val="0"/>
              <w:widowControl w:val="0"/>
              <w:kinsoku/>
              <w:wordWrap/>
              <w:overflowPunct/>
              <w:topLinePunct/>
              <w:autoSpaceDE/>
              <w:autoSpaceDN/>
              <w:bidi w:val="0"/>
              <w:adjustRightInd w:val="0"/>
              <w:snapToGrid w:val="0"/>
              <w:spacing w:before="88" w:line="278" w:lineRule="auto"/>
              <w:ind w:left="251" w:leftChars="0" w:right="178" w:rightChars="0" w:hanging="1" w:firstLineChars="0"/>
              <w:textAlignment w:val="baseline"/>
              <w:rPr>
                <w:rFonts w:ascii="Arial" w:hAnsi="Arial" w:eastAsia="Arial" w:cs="Arial"/>
                <w:spacing w:val="-6"/>
                <w:sz w:val="20"/>
                <w:szCs w:val="20"/>
              </w:rPr>
            </w:pPr>
            <w:r>
              <w:rPr>
                <w:rFonts w:ascii="仿宋" w:hAnsi="仿宋" w:eastAsia="仿宋" w:cs="仿宋"/>
                <w:spacing w:val="17"/>
                <w:sz w:val="20"/>
                <w:szCs w:val="20"/>
              </w:rPr>
              <w:t>(克服内部劣势，避开威胁</w:t>
            </w:r>
            <w:r>
              <w:rPr>
                <w:rFonts w:ascii="仿宋" w:hAnsi="仿宋" w:eastAsia="仿宋" w:cs="仿宋"/>
                <w:spacing w:val="15"/>
                <w:sz w:val="20"/>
                <w:szCs w:val="20"/>
              </w:rPr>
              <w:t>)</w:t>
            </w:r>
            <w:r>
              <w:rPr>
                <w:rFonts w:ascii="Arial" w:hAnsi="Arial" w:eastAsia="Arial" w:cs="Arial"/>
                <w:spacing w:val="6"/>
                <w:sz w:val="20"/>
                <w:szCs w:val="20"/>
              </w:rPr>
              <w:t>1</w:t>
            </w:r>
            <w:r>
              <w:rPr>
                <w:rFonts w:ascii="仿宋" w:hAnsi="仿宋" w:eastAsia="仿宋" w:cs="仿宋"/>
                <w:spacing w:val="6"/>
                <w:sz w:val="20"/>
                <w:szCs w:val="20"/>
              </w:rPr>
              <w:t>、在产业选择上，避免引入带</w:t>
            </w:r>
            <w:r>
              <w:rPr>
                <w:rFonts w:ascii="仿宋" w:hAnsi="仿宋" w:eastAsia="仿宋" w:cs="仿宋"/>
                <w:spacing w:val="4"/>
                <w:sz w:val="20"/>
                <w:szCs w:val="20"/>
              </w:rPr>
              <w:t>动性差、资源消耗高、技术水平落</w:t>
            </w:r>
            <w:r>
              <w:rPr>
                <w:rFonts w:ascii="仿宋" w:hAnsi="仿宋" w:eastAsia="仿宋" w:cs="仿宋"/>
                <w:spacing w:val="2"/>
                <w:sz w:val="20"/>
                <w:szCs w:val="20"/>
              </w:rPr>
              <w:t>后</w:t>
            </w:r>
            <w:r>
              <w:rPr>
                <w:rFonts w:ascii="仿宋" w:hAnsi="仿宋" w:eastAsia="仿宋" w:cs="仿宋"/>
                <w:spacing w:val="-1"/>
                <w:sz w:val="20"/>
                <w:szCs w:val="20"/>
              </w:rPr>
              <w:t>的项目，做到</w:t>
            </w:r>
            <w:r>
              <w:rPr>
                <w:rFonts w:ascii="Arial" w:hAnsi="Arial" w:eastAsia="Arial" w:cs="Arial"/>
                <w:spacing w:val="-1"/>
                <w:sz w:val="20"/>
                <w:szCs w:val="20"/>
              </w:rPr>
              <w:t>“</w:t>
            </w:r>
            <w:r>
              <w:rPr>
                <w:rFonts w:ascii="仿宋" w:hAnsi="仿宋" w:eastAsia="仿宋" w:cs="仿宋"/>
                <w:spacing w:val="-1"/>
                <w:sz w:val="20"/>
                <w:szCs w:val="20"/>
              </w:rPr>
              <w:t>有所为，有所不</w:t>
            </w:r>
            <w:r>
              <w:rPr>
                <w:rFonts w:ascii="仿宋" w:hAnsi="仿宋" w:eastAsia="仿宋" w:cs="仿宋"/>
                <w:sz w:val="20"/>
                <w:szCs w:val="20"/>
              </w:rPr>
              <w:t>为</w:t>
            </w:r>
            <w:r>
              <w:rPr>
                <w:rFonts w:ascii="Arial" w:hAnsi="Arial" w:eastAsia="Arial" w:cs="Arial"/>
                <w:sz w:val="20"/>
                <w:szCs w:val="20"/>
              </w:rPr>
              <w:t>”</w:t>
            </w:r>
            <w:r>
              <w:rPr>
                <w:rFonts w:ascii="仿宋" w:hAnsi="仿宋" w:eastAsia="仿宋" w:cs="仿宋"/>
                <w:sz w:val="20"/>
                <w:szCs w:val="20"/>
              </w:rPr>
              <w:t>。</w:t>
            </w:r>
            <w:r>
              <w:rPr>
                <w:rFonts w:ascii="Arial" w:hAnsi="Arial" w:eastAsia="Arial" w:cs="Arial"/>
                <w:spacing w:val="6"/>
                <w:sz w:val="20"/>
                <w:szCs w:val="20"/>
              </w:rPr>
              <w:t>2</w:t>
            </w:r>
            <w:r>
              <w:rPr>
                <w:rFonts w:ascii="仿宋" w:hAnsi="仿宋" w:eastAsia="仿宋" w:cs="仿宋"/>
                <w:spacing w:val="6"/>
                <w:sz w:val="20"/>
                <w:szCs w:val="20"/>
              </w:rPr>
              <w:t>、加强高新区管理，避免非优</w:t>
            </w:r>
            <w:r>
              <w:rPr>
                <w:rFonts w:ascii="仿宋" w:hAnsi="仿宋" w:eastAsia="仿宋" w:cs="仿宋"/>
                <w:spacing w:val="4"/>
                <w:sz w:val="20"/>
                <w:szCs w:val="20"/>
              </w:rPr>
              <w:t>势</w:t>
            </w:r>
            <w:r>
              <w:rPr>
                <w:rFonts w:ascii="仿宋" w:hAnsi="仿宋" w:eastAsia="仿宋" w:cs="仿宋"/>
                <w:spacing w:val="15"/>
                <w:sz w:val="20"/>
                <w:szCs w:val="20"/>
              </w:rPr>
              <w:t>项</w:t>
            </w:r>
            <w:r>
              <w:rPr>
                <w:rFonts w:ascii="仿宋" w:hAnsi="仿宋" w:eastAsia="仿宋" w:cs="仿宋"/>
                <w:spacing w:val="10"/>
                <w:sz w:val="20"/>
                <w:szCs w:val="20"/>
              </w:rPr>
              <w:t>目造成的资源浪费。</w:t>
            </w:r>
            <w:r>
              <w:rPr>
                <w:rFonts w:ascii="Arial" w:hAnsi="Arial" w:eastAsia="Arial" w:cs="Arial"/>
                <w:spacing w:val="6"/>
                <w:sz w:val="20"/>
                <w:szCs w:val="20"/>
              </w:rPr>
              <w:t>3</w:t>
            </w:r>
            <w:r>
              <w:rPr>
                <w:rFonts w:ascii="仿宋" w:hAnsi="仿宋" w:eastAsia="仿宋" w:cs="仿宋"/>
                <w:spacing w:val="6"/>
                <w:sz w:val="20"/>
                <w:szCs w:val="20"/>
              </w:rPr>
              <w:t>、进一步完善配套设施，降低</w:t>
            </w:r>
            <w:r>
              <w:rPr>
                <w:rFonts w:ascii="仿宋" w:hAnsi="仿宋" w:eastAsia="仿宋" w:cs="仿宋"/>
                <w:spacing w:val="4"/>
                <w:sz w:val="20"/>
                <w:szCs w:val="20"/>
              </w:rPr>
              <w:t>企</w:t>
            </w:r>
            <w:r>
              <w:rPr>
                <w:rFonts w:ascii="仿宋" w:hAnsi="仿宋" w:eastAsia="仿宋" w:cs="仿宋"/>
                <w:spacing w:val="8"/>
                <w:sz w:val="20"/>
                <w:szCs w:val="20"/>
              </w:rPr>
              <w:t>业综合生产成本</w:t>
            </w:r>
            <w:r>
              <w:rPr>
                <w:rFonts w:ascii="仿宋" w:hAnsi="仿宋" w:eastAsia="仿宋" w:cs="仿宋"/>
                <w:spacing w:val="6"/>
                <w:sz w:val="20"/>
                <w:szCs w:val="20"/>
              </w:rPr>
              <w:t>。</w:t>
            </w:r>
          </w:p>
        </w:tc>
      </w:tr>
    </w:tbl>
    <w:p w14:paraId="07471A5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本着“发挥优势，突出特色，扬长避短，抓住机遇”的原则，建议在泉港高新区发展过程中，以SO战略(增长性战略)为主，并兼顾其它战略。</w:t>
      </w:r>
    </w:p>
    <w:p w14:paraId="7028306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依托泉州地区石化产业基础和优势，顺应新时代的发展特点和产业发展趋势，充分发挥泉港地区产业基础、区位、辐射市场等多方面优势，结合福厦泉地区产业发展特点及高新区发展侧重方向，以创新为驱动，以高水平、高附加值项目建设为重点，充分结合资源、市场发展方向、差异化等前提，以新材料为支柱，打造发展根基牢固、品牌优势突出、集群效应明显的新材料产业基地，辐射汽车和轨道交通、新能源、节能环保、大健康四大产业，积极推动龙头项目的建设，打造具有区域特色的新材料产业集群。打造科技成果孵化、培训教育、物联网和云服务数据信息、金融服务等四大公共服务平台，创新“官、产、学、研、资、介”合作模式，完善科技成果研发、转化和产业化机制，着力解决原料供应和市场培育，构筑泉港自主创新与高新技术产业发展的基础条件和支撑体系，推动泉港地区高技术产业高质量发展。</w:t>
      </w:r>
    </w:p>
    <w:p w14:paraId="376A825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此外，还应注意避免与周边地区同质化，发展市场风险抵抗力强的特色新材料产业。注重土地、水资源合理有序的开发利用。加强对投资项目的安全环保监管，实现产业与生态环境的和谐发展。</w:t>
      </w:r>
    </w:p>
    <w:p w14:paraId="21471E7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5F4531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CAB828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894317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C0A5EC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A63464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64445F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709694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9F667C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33BC667">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4F62B0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0EE5CC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2097A05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p>
    <w:p w14:paraId="3A5CB3F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center"/>
        <w:textAlignment w:val="auto"/>
        <w:rPr>
          <w:rFonts w:hint="default" w:ascii="仿宋_GB2312" w:hAnsi="仿宋_GB2312" w:eastAsia="仿宋_GB2312" w:cs="仿宋_GB2312"/>
          <w:spacing w:val="0"/>
          <w:sz w:val="28"/>
          <w:szCs w:val="28"/>
          <w:lang w:val="en-US" w:eastAsia="zh-CN"/>
        </w:rPr>
      </w:pPr>
      <w:r>
        <w:rPr>
          <w:rFonts w:hint="default" w:ascii="方正小标宋_GBK" w:hAnsi="方正小标宋_GBK" w:eastAsia="方正小标宋_GBK" w:cs="方正小标宋_GBK"/>
          <w:spacing w:val="0"/>
          <w:sz w:val="36"/>
          <w:szCs w:val="36"/>
          <w:lang w:val="en-US" w:eastAsia="zh-CN"/>
        </w:rPr>
        <w:t>5泉港高新区战略定位及发展目标</w:t>
      </w:r>
    </w:p>
    <w:p w14:paraId="051E533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12CA1B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5.1指导思想</w:t>
      </w:r>
    </w:p>
    <w:p w14:paraId="0CF2334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习近平新时代中国特色社会主义思想为指导，全面贯彻党的十九大精神，牢固树立新发展理念，坚持供给侧结构性改革，坚持高质量发展，抓好科技、人才、政策等要素配置组合，推动信息化和工业化深度融合，高起点、高水平、全方位规划建设泉港高新区，推动产业创新发展，优化资源要素配置，提高发展质量和效益，加强生态环境保护，大力实施“充实提升，开拓发展”战略，优化高新区布局、加快片区建设，积极开展招商引资和产业扶持培育，着力营造产业生态和创新创业生态，培育新动能，塑造更多依靠创新驱动、更多因地制宜发挥泉港优势的产业，实现经济、科技、社会、生态和谐统一，有效支撑和引领泉港区经济中高速增长，为泉港建设福建省创新创业标杆区、产城融合样板区作出重大贡献。</w:t>
      </w:r>
    </w:p>
    <w:p w14:paraId="33A9641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5.2发展原则</w:t>
      </w:r>
    </w:p>
    <w:p w14:paraId="663E2C1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11125" cy="197485"/>
            <wp:effectExtent l="0" t="0" r="7620" b="0"/>
            <wp:docPr id="121" name="图片 4"/>
            <wp:cNvGraphicFramePr/>
            <a:graphic xmlns:a="http://schemas.openxmlformats.org/drawingml/2006/main">
              <a:graphicData uri="http://schemas.openxmlformats.org/drawingml/2006/picture">
                <pic:pic xmlns:pic="http://schemas.openxmlformats.org/drawingml/2006/picture">
                  <pic:nvPicPr>
                    <pic:cNvPr id="121" name="图片 4"/>
                    <pic:cNvPicPr/>
                  </pic:nvPicPr>
                  <pic:blipFill>
                    <a:blip r:embed="rId53"/>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量质并举、转调发展</w:t>
      </w:r>
    </w:p>
    <w:p w14:paraId="7553552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打造大石化下游新材料特色产业为主导，引导产业发展实现从要素驱动向创新驱动的转变，机会发展向精准招商的转变，中低端制造环节为主向高端制造为主的转变。加快构建创新型产业集群，实现规模与效益双向提升。</w:t>
      </w:r>
    </w:p>
    <w:p w14:paraId="4657CD4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11125" cy="197485"/>
            <wp:effectExtent l="0" t="0" r="7620" b="0"/>
            <wp:docPr id="128" name="图片 5"/>
            <wp:cNvGraphicFramePr/>
            <a:graphic xmlns:a="http://schemas.openxmlformats.org/drawingml/2006/main">
              <a:graphicData uri="http://schemas.openxmlformats.org/drawingml/2006/picture">
                <pic:pic xmlns:pic="http://schemas.openxmlformats.org/drawingml/2006/picture">
                  <pic:nvPicPr>
                    <pic:cNvPr id="128" name="图片 5"/>
                    <pic:cNvPicPr/>
                  </pic:nvPicPr>
                  <pic:blipFill>
                    <a:blip r:embed="rId53"/>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创新驱动、协同发展</w:t>
      </w:r>
    </w:p>
    <w:p w14:paraId="119B227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完善双创服务，坚持开放创新和合作协同发展，加强与福厦泉经济圈的产业协同创新，着力引进和柔性利用高端创新创业资源。提升人才、金融创新发展服务能力，加速实现工业园区向科技园区的转型。</w:t>
      </w:r>
    </w:p>
    <w:p w14:paraId="35320CB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11125" cy="197485"/>
            <wp:effectExtent l="0" t="0" r="7620" b="0"/>
            <wp:docPr id="144" name="图片 6"/>
            <wp:cNvGraphicFramePr/>
            <a:graphic xmlns:a="http://schemas.openxmlformats.org/drawingml/2006/main">
              <a:graphicData uri="http://schemas.openxmlformats.org/drawingml/2006/picture">
                <pic:pic xmlns:pic="http://schemas.openxmlformats.org/drawingml/2006/picture">
                  <pic:nvPicPr>
                    <pic:cNvPr id="144" name="图片 6"/>
                    <pic:cNvPicPr/>
                  </pic:nvPicPr>
                  <pic:blipFill>
                    <a:blip r:embed="rId53"/>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产城融合、绿色发展</w:t>
      </w:r>
    </w:p>
    <w:p w14:paraId="347EC67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以建设美丽泉港高新为目标，完善宜居宜业宜商环境，提高基础设施现代化、信息化和便捷化程度，推进绿色低碳循环发展，支撑泉港高新园区产业与社区建设。</w:t>
      </w:r>
    </w:p>
    <w:p w14:paraId="2D5DB7A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11125" cy="197485"/>
            <wp:effectExtent l="0" t="0" r="7620" b="0"/>
            <wp:docPr id="145" name="图片 7"/>
            <wp:cNvGraphicFramePr/>
            <a:graphic xmlns:a="http://schemas.openxmlformats.org/drawingml/2006/main">
              <a:graphicData uri="http://schemas.openxmlformats.org/drawingml/2006/picture">
                <pic:pic xmlns:pic="http://schemas.openxmlformats.org/drawingml/2006/picture">
                  <pic:nvPicPr>
                    <pic:cNvPr id="145" name="图片 7"/>
                    <pic:cNvPicPr/>
                  </pic:nvPicPr>
                  <pic:blipFill>
                    <a:blip r:embed="rId53"/>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机制改革、开放发展</w:t>
      </w:r>
    </w:p>
    <w:p w14:paraId="70703C9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探索适应创新经济发展的企业服务、空间拓展、社会治理等方面的新手段、新机制，破解制约创新驱动发展的体制性障碍和政策性问题，加快政府职能转变和服务创新。</w:t>
      </w:r>
    </w:p>
    <w:p w14:paraId="3180B43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spacing w:val="0"/>
          <w:position w:val="0"/>
          <w:sz w:val="28"/>
          <w:szCs w:val="28"/>
        </w:rPr>
        <w:drawing>
          <wp:inline distT="0" distB="0" distL="114300" distR="114300">
            <wp:extent cx="111125" cy="197485"/>
            <wp:effectExtent l="0" t="0" r="7620" b="0"/>
            <wp:docPr id="146" name="图片 8"/>
            <wp:cNvGraphicFramePr/>
            <a:graphic xmlns:a="http://schemas.openxmlformats.org/drawingml/2006/main">
              <a:graphicData uri="http://schemas.openxmlformats.org/drawingml/2006/picture">
                <pic:pic xmlns:pic="http://schemas.openxmlformats.org/drawingml/2006/picture">
                  <pic:nvPicPr>
                    <pic:cNvPr id="146" name="图片 8"/>
                    <pic:cNvPicPr/>
                  </pic:nvPicPr>
                  <pic:blipFill>
                    <a:blip r:embed="rId53"/>
                    <a:stretch>
                      <a:fillRect/>
                    </a:stretch>
                  </pic:blipFill>
                  <pic:spPr>
                    <a:xfrm>
                      <a:off x="0" y="0"/>
                      <a:ext cx="111125"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民生为本、共享发展</w:t>
      </w:r>
    </w:p>
    <w:p w14:paraId="485C91F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把增进泉港人民福祉、促进人的全面发展作为建设与发展泉港高新区的出发点和落脚点，全面推进基本公共服务均等化，保障社会公平正义，不断提高群众幸福感和满意度，充分调动人民群众的积极性、主动性和创造性。</w:t>
      </w:r>
    </w:p>
    <w:p w14:paraId="4A96880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产业筛选来看，立足资源基础和产业优势，以高端产业发展为核心特色，紧抓中国制造升级和产业加速跨界融合机遇，推动石化下游深加工产业与城市融合，大力发展汽车和轨道交通、新能源、大健康和节能环保等产业所需要的新材料产业。第一，要充分把握产业是否具有转移可能性或自主创新性；第二，产业能促进泉港产业调整与升级，打造泉港重要经济增长极，促进可持续增长；第三，侧重发展资源消耗低、经济效益好的产业，做到“有所为有所不为”。</w:t>
      </w:r>
    </w:p>
    <w:p w14:paraId="40D87EB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420" w:firstLineChars="200"/>
        <w:jc w:val="both"/>
        <w:textAlignment w:val="auto"/>
        <w:rPr>
          <w:rFonts w:hint="default" w:ascii="仿宋_GB2312" w:hAnsi="仿宋_GB2312" w:eastAsia="仿宋_GB2312" w:cs="仿宋_GB2312"/>
          <w:spacing w:val="0"/>
          <w:sz w:val="28"/>
          <w:szCs w:val="28"/>
          <w:lang w:val="en-US" w:eastAsia="zh-CN"/>
        </w:rPr>
      </w:pPr>
      <w:r>
        <w:drawing>
          <wp:anchor distT="0" distB="0" distL="114300" distR="114300" simplePos="0" relativeHeight="251664384" behindDoc="0" locked="0" layoutInCell="1" allowOverlap="1">
            <wp:simplePos x="0" y="0"/>
            <wp:positionH relativeFrom="column">
              <wp:posOffset>1117600</wp:posOffset>
            </wp:positionH>
            <wp:positionV relativeFrom="paragraph">
              <wp:posOffset>146050</wp:posOffset>
            </wp:positionV>
            <wp:extent cx="3398520" cy="3093720"/>
            <wp:effectExtent l="0" t="0" r="1905" b="0"/>
            <wp:wrapNone/>
            <wp:docPr id="123" name="图片 29"/>
            <wp:cNvGraphicFramePr/>
            <a:graphic xmlns:a="http://schemas.openxmlformats.org/drawingml/2006/main">
              <a:graphicData uri="http://schemas.openxmlformats.org/drawingml/2006/picture">
                <pic:pic xmlns:pic="http://schemas.openxmlformats.org/drawingml/2006/picture">
                  <pic:nvPicPr>
                    <pic:cNvPr id="123" name="图片 29"/>
                    <pic:cNvPicPr/>
                  </pic:nvPicPr>
                  <pic:blipFill>
                    <a:blip r:embed="rId21"/>
                    <a:stretch>
                      <a:fillRect/>
                    </a:stretch>
                  </pic:blipFill>
                  <pic:spPr>
                    <a:xfrm>
                      <a:off x="0" y="0"/>
                      <a:ext cx="3398520" cy="3093720"/>
                    </a:xfrm>
                    <a:prstGeom prst="rect">
                      <a:avLst/>
                    </a:prstGeom>
                    <a:noFill/>
                    <a:ln>
                      <a:noFill/>
                    </a:ln>
                  </pic:spPr>
                </pic:pic>
              </a:graphicData>
            </a:graphic>
          </wp:anchor>
        </w:drawing>
      </w:r>
    </w:p>
    <w:p w14:paraId="6E10EB0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8760F4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95B448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49B244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F28C0D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0FE280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6CF2DA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9828B2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5499F7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505865C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5.3战略定位和发展目标</w:t>
      </w:r>
    </w:p>
    <w:p w14:paraId="673AB28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整体来看，泉港高新区已经不适于定位为一个单纯的促进泉港经济腾飞的园区，而定位为泉港现代化和科技化的新城区。</w:t>
      </w:r>
    </w:p>
    <w:p w14:paraId="010FB0F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5.3.1战略定位</w:t>
      </w:r>
    </w:p>
    <w:p w14:paraId="75392AD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5.3.1.1维度一——发达国家经验</w:t>
      </w:r>
    </w:p>
    <w:p w14:paraId="456B57D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发达国家经济发展的经验来看，发达国家在人均GDP&gt;1000美元时，服务业迅速发展，占GDP比重将迅速加大，产业结构将进行较快的调整。另一方面，发达国家已形成了新的经济增长方式：通过技术创新，提升经济实力和国际竞争力。</w:t>
      </w:r>
    </w:p>
    <w:p w14:paraId="434855F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5.3.1.1.1产业结构调整</w:t>
      </w:r>
    </w:p>
    <w:p w14:paraId="323A820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十三五”规划提出“拓展产业发展空间”，明确指出“支持节能环保、生物技术、信息技术、智能制造、高端装备、新能源等新兴产业发展，支持传统产业优化升级。”坚持需求引领、供给创新，提高供给质量和效率，激活和释放有效需求，形成消费与投资良性互动、需求升级与供给升级协调共进的高效循环，增强发展新动能。”的要求；在服务业方面，提出到2020年“主要经济指标平衡协调，发展空间格局得到优化，投资效率和企业效率明显上升，工业化和信息化融合发展水平进一步提高，产业迈向中高端水平，先进制造业加快发展，新产业新业态不断成长，服务业比重进一步上升，消费对经济增长贡献明显加大”，并明确“开展加快发展现代服务业行动，放宽市场准入，促进服务业优质高效发展。推动生产性服务业向专业化和价值链高端延伸、生活性服务业向精细和高品质转变，推动制造业由生产型向生产服务型转变。”</w:t>
      </w:r>
    </w:p>
    <w:p w14:paraId="6DC06A3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5.3.1.1.2科技创新</w:t>
      </w:r>
    </w:p>
    <w:p w14:paraId="2178BE4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国家“十三五”规划提出“实施创新驱动发展战略”，并明确“把发展基点放在创新上，以科技创新为核心，以人才发展为支撑，推动科技创新与大众创业万众创新有机结合，塑造更多依靠创新驱动、更多发挥先发优势的</w:t>
      </w:r>
    </w:p>
    <w:p w14:paraId="5331C74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引领型发展。</w:t>
      </w:r>
    </w:p>
    <w:p w14:paraId="6634A2F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5.3.1.2维度二——产业发展的角度</w:t>
      </w:r>
    </w:p>
    <w:p w14:paraId="4BC1EEB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第二产业发展角度来看：迫切需要高新技术产业带动其产业升级、迫切需要生产性服务业的有力支撑——主要体现在科学研发以及金融服务等产业领域；需要高新技术和产品来改造传统产业，提升传统工业的产业结构，主要表现在新材料、新能源等产业领域。</w:t>
      </w:r>
    </w:p>
    <w:p w14:paraId="1271C14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从国际产业发展的角度来看，高新技术产业和现代服务业是未来我国承接国际产业转移的主要领域。</w:t>
      </w:r>
    </w:p>
    <w:p w14:paraId="08A6AC4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因此，泉港高新区的战略定位为：</w:t>
      </w:r>
    </w:p>
    <w:p w14:paraId="3AE718F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承接大石化的福厦泉城市群经济圈发展增长极</w:t>
      </w:r>
    </w:p>
    <w:p w14:paraId="69637B7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构建以石化下游新材料为发展主体，以发展支撑高端制造领域的新材料为特色的中高端产业体系，坚持“外引内培”双轮驱动，实现经济规模快速增长、经济效益显著提高，成为带动全市及福厦泉城市群经济圈产业结构调整和经济更快更好发展的增长极。</w:t>
      </w:r>
    </w:p>
    <w:p w14:paraId="7D95B09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福建地区创新创业标杆区</w:t>
      </w:r>
    </w:p>
    <w:p w14:paraId="6D5DF44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全面提升“创新、人才、金融”要素配置效率，完善“双创”服务，重点在创新服务、双创载体、双创主体、产业组织创新等层面实现突破，探索具有高新特色的创新发展道路，构建福建地区开放式创新创业标杆区。</w:t>
      </w:r>
    </w:p>
    <w:p w14:paraId="4FE64E1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福建省产城融合样板区</w:t>
      </w:r>
    </w:p>
    <w:p w14:paraId="4652A49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不断优化宜居宜业发展环境，推动高新区繁荣发展，构建“人业城和谐共生，产商居功能均衡”发展的新格局。</w:t>
      </w:r>
    </w:p>
    <w:p w14:paraId="1FB4044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5.3.2发展目标</w:t>
      </w:r>
    </w:p>
    <w:p w14:paraId="78C3B73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在2025年前(近期)，明确主导产业方向，构建各方面基础。1、加快引入新材料高新项目，重点发展石化新材料深加工、新能源材料产业；2、突出产学研一体化发展模式，推进平台建设，推动智慧园区建设。</w:t>
      </w:r>
    </w:p>
    <w:p w14:paraId="0662002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在2030年前(中期)，突出产业特色，打造园区成为省内特色突出的</w:t>
      </w:r>
    </w:p>
    <w:p w14:paraId="6D0A73C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区：1、在化工新材料、新能源新材料、节能环保材料、大健康用新材料等领域突出特色，进一步凸显在创新上的差异化定位；2、产业产值、GDP能够在福建省内脱颖而出；3、能够吸引全省各地的人才到泉港高新区就业；4、四大平台搭建完成；5、智慧园区发展格局基本形成。</w:t>
      </w:r>
    </w:p>
    <w:p w14:paraId="6DD7F10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在2035年前(远期)，泉港高新区成为福建省一流的创新型特色园区，主要表现为：</w:t>
      </w:r>
    </w:p>
    <w:p w14:paraId="5E7CEEB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1、建成东南地区化工新材料、新能源新材料、节能环保材料、大健康用新材料等新材料产业集群；成为企业辐射东南部的主要门户；跨国企业进入中国的支点；培养出1－2家全国排名前五名的本土企业。</w:t>
      </w:r>
    </w:p>
    <w:p w14:paraId="215B17D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2、东南地区新兴的创新中枢——产学研孵化平台构建四大载体；东南地区有活力的期货交易平台</w:t>
      </w:r>
    </w:p>
    <w:p w14:paraId="2D44CFA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3、实现园区智慧化管理。</w:t>
      </w:r>
    </w:p>
    <w:p w14:paraId="1B217B5A">
      <w:pPr>
        <w:keepNext w:val="0"/>
        <w:keepLines w:val="0"/>
        <w:pageBreakBefore w:val="0"/>
        <w:widowControl w:val="0"/>
        <w:wordWrap/>
        <w:overflowPunct/>
        <w:bidi w:val="0"/>
        <w:spacing w:before="298" w:line="225" w:lineRule="auto"/>
        <w:jc w:val="center"/>
        <w:rPr>
          <w:rFonts w:hint="default" w:ascii="仿宋_GB2312" w:hAnsi="仿宋_GB2312" w:eastAsia="仿宋_GB2312" w:cs="仿宋_GB2312"/>
          <w:spacing w:val="0"/>
          <w:sz w:val="28"/>
          <w:szCs w:val="28"/>
          <w:lang w:val="en-US" w:eastAsia="zh-CN"/>
        </w:rPr>
      </w:pPr>
      <w:r>
        <w:drawing>
          <wp:anchor distT="0" distB="0" distL="114300" distR="114300" simplePos="0" relativeHeight="251665408" behindDoc="0" locked="0" layoutInCell="1" allowOverlap="1">
            <wp:simplePos x="0" y="0"/>
            <wp:positionH relativeFrom="column">
              <wp:posOffset>14605</wp:posOffset>
            </wp:positionH>
            <wp:positionV relativeFrom="paragraph">
              <wp:posOffset>234315</wp:posOffset>
            </wp:positionV>
            <wp:extent cx="5692140" cy="2989580"/>
            <wp:effectExtent l="0" t="0" r="7620" b="635"/>
            <wp:wrapTopAndBottom/>
            <wp:docPr id="124" name="图片 30"/>
            <wp:cNvGraphicFramePr/>
            <a:graphic xmlns:a="http://schemas.openxmlformats.org/drawingml/2006/main">
              <a:graphicData uri="http://schemas.openxmlformats.org/drawingml/2006/picture">
                <pic:pic xmlns:pic="http://schemas.openxmlformats.org/drawingml/2006/picture">
                  <pic:nvPicPr>
                    <pic:cNvPr id="124" name="图片 30"/>
                    <pic:cNvPicPr/>
                  </pic:nvPicPr>
                  <pic:blipFill>
                    <a:blip r:embed="rId54"/>
                    <a:stretch>
                      <a:fillRect/>
                    </a:stretch>
                  </pic:blipFill>
                  <pic:spPr>
                    <a:xfrm>
                      <a:off x="0" y="0"/>
                      <a:ext cx="5692140" cy="2989580"/>
                    </a:xfrm>
                    <a:prstGeom prst="rect">
                      <a:avLst/>
                    </a:prstGeom>
                    <a:noFill/>
                    <a:ln>
                      <a:noFill/>
                    </a:ln>
                  </pic:spPr>
                </pic:pic>
              </a:graphicData>
            </a:graphic>
          </wp:anchor>
        </w:drawing>
      </w:r>
      <w:r>
        <w:rPr>
          <w:rFonts w:ascii="黑体" w:hAnsi="黑体" w:eastAsia="黑体" w:cs="黑体"/>
          <w:spacing w:val="11"/>
          <w:sz w:val="23"/>
          <w:szCs w:val="23"/>
        </w:rPr>
        <w:t>泉</w:t>
      </w:r>
      <w:r>
        <w:rPr>
          <w:rFonts w:ascii="黑体" w:hAnsi="黑体" w:eastAsia="黑体" w:cs="黑体"/>
          <w:spacing w:val="9"/>
          <w:sz w:val="23"/>
          <w:szCs w:val="23"/>
        </w:rPr>
        <w:t>港高新区发展目标</w:t>
      </w:r>
    </w:p>
    <w:p w14:paraId="1EAE33F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最终至规划期末，泉港高新区可简要概括为：</w:t>
      </w:r>
    </w:p>
    <w:p w14:paraId="04F9830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1个目标：福建省一流的特色高新区</w:t>
      </w:r>
    </w:p>
    <w:p w14:paraId="051AE3A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1个中心：打造新材料产业为中心的产业集群</w:t>
      </w:r>
    </w:p>
    <w:p w14:paraId="72B0BFF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4个面向：面向下游汽车和轨道交通、新能源、节能环保、大健康四大产业</w:t>
      </w:r>
    </w:p>
    <w:p w14:paraId="2A5B311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4个平台：科技成果孵化平台、培训教育基地、物联网和云服务数据信息平台、金融服务平台等四大公共服务平台</w:t>
      </w:r>
    </w:p>
    <w:p w14:paraId="2B7285B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泉港高新区建设成为构筑泉州先发优势的示范样板，为福建省区域创新发展提供可复制、可推广的模式和经验。泉港高新区基本形成持续稳定发展的体制机制和发展方式，构建区域创新中心，实现科技创新能力和经济创造能力持续较快增长。</w:t>
      </w:r>
    </w:p>
    <w:p w14:paraId="53F786D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形成具有省内竞争力的创新型产业格局。结构优化取得明显成效，发展动力实现根本转换，主要产业进入价值链中高端。知识密集型服务业增加值占区内生产总值25%以上，劳动生产率增幅达到60%以上。培育出数个国内先进的骨干企业。</w:t>
      </w:r>
    </w:p>
    <w:p w14:paraId="6891E78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形成绿色协调发展的科技产业新城区。在引领创新型工业化和信息化方面的作用更加突出，高新区城市功能更趋完善，信息基础设施建设明显提升。向绿色生态方向更进一步，经济增长的综合性资源消耗显著降低，土地集约利用效率显著提高。经济社会发展质量和水平不断提高，新型社会治理服务体系日益健全。</w:t>
      </w:r>
    </w:p>
    <w:p w14:paraId="0BE7ACB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辐射带动周边区域发展的机制探索取得较大突破，推动区域经济结构调整和发展方式转变的能力大幅增强。</w:t>
      </w:r>
    </w:p>
    <w:p w14:paraId="6E71E78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综上，在产业上以创新为动力，最终将泉港高新区打造为福建省内一流的创新型特色高新区，成为泉州市产业优化的“主引擎”和经济发展的增长极；在城市建设上将高新区打造成为城市化、现代化、智能化、科学化、国际化、高端化、生态化的新城区。</w:t>
      </w:r>
    </w:p>
    <w:p w14:paraId="27A7AA33">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8A56E5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493512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92F5E9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FB04E2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3D016E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323A28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14567F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4290136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27E7058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D4F23F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062612B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6D40095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4A770BB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43ACC45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p>
    <w:p w14:paraId="264F26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baseline"/>
        <w:rPr>
          <w:rFonts w:ascii="Arial" w:hAnsi="Arial" w:eastAsia="Arial" w:cs="Arial"/>
          <w:b/>
          <w:bCs/>
          <w:spacing w:val="20"/>
          <w:sz w:val="31"/>
          <w:szCs w:val="31"/>
        </w:rPr>
      </w:pPr>
    </w:p>
    <w:p w14:paraId="0555534A">
      <w:pPr>
        <w:pStyle w:val="2"/>
        <w:keepNext w:val="0"/>
        <w:keepLines w:val="0"/>
        <w:pageBreakBefore w:val="0"/>
        <w:widowControl w:val="0"/>
        <w:kinsoku/>
        <w:wordWrap/>
        <w:overflowPunct/>
        <w:topLinePunct w:val="0"/>
        <w:autoSpaceDE/>
        <w:autoSpaceDN/>
        <w:bidi w:val="0"/>
        <w:adjustRightInd/>
        <w:snapToGrid/>
        <w:spacing w:before="0" w:beforeAutospacing="0" w:line="440"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6泉港高新区产业目标及发展路径</w:t>
      </w:r>
    </w:p>
    <w:p w14:paraId="5CE63A76">
      <w:pPr>
        <w:keepNext w:val="0"/>
        <w:keepLines w:val="0"/>
        <w:pageBreakBefore w:val="0"/>
        <w:widowControl w:val="0"/>
        <w:kinsoku/>
        <w:wordWrap/>
        <w:overflowPunct/>
        <w:topLinePunct w:val="0"/>
        <w:autoSpaceDE/>
        <w:autoSpaceDN/>
        <w:bidi w:val="0"/>
        <w:adjustRightInd w:val="0"/>
        <w:snapToGrid w:val="0"/>
        <w:spacing w:line="440" w:lineRule="exact"/>
        <w:textAlignment w:val="baseline"/>
        <w:rPr>
          <w:rFonts w:hint="default" w:ascii="Arial"/>
          <w:sz w:val="21"/>
          <w:lang w:val="en-US" w:eastAsia="zh-CN"/>
        </w:rPr>
      </w:pPr>
    </w:p>
    <w:p w14:paraId="6CCF995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6.1新材料产业分析</w:t>
      </w:r>
    </w:p>
    <w:p w14:paraId="5FF0F86A">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6.1.1化工新材料产业</w:t>
      </w:r>
    </w:p>
    <w:p w14:paraId="3A6F458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6.1.1.1发展概况</w:t>
      </w:r>
    </w:p>
    <w:p w14:paraId="6552C5A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材料的发明与应用是技术革命和产业变革的重要前提，我国已将其列为重点发展的战略性新兴产业之一。而化工新材料作为新材料的重要门类，目前总产值达到4000亿元左右，约占全部新材料总产值的20%。新材料也是新一代信息技术、高端装备(包括航空航天装备、军工装备、海洋工程和高技术船舶、轨道交通)、生物、新能源汽车、节能环保等战略性新兴</w:t>
      </w:r>
      <w:r>
        <w:rPr>
          <w:rFonts w:hint="default" w:ascii="仿宋_GB2312" w:hAnsi="仿宋_GB2312" w:eastAsia="仿宋_GB2312" w:cs="仿宋_GB2312"/>
          <w:spacing w:val="-9"/>
          <w:sz w:val="28"/>
          <w:szCs w:val="28"/>
          <w:lang w:val="en-US" w:eastAsia="zh-CN"/>
        </w:rPr>
        <w:t>产业发展的基础甚至关键，其保障能力是中国制造2025目标实现的重要基础。</w:t>
      </w:r>
    </w:p>
    <w:p w14:paraId="22B9AB42">
      <w:pPr>
        <w:keepNext w:val="0"/>
        <w:keepLines w:val="0"/>
        <w:pageBreakBefore w:val="0"/>
        <w:widowControl w:val="0"/>
        <w:wordWrap/>
        <w:overflowPunct/>
        <w:bidi w:val="0"/>
        <w:spacing w:before="77" w:line="4049" w:lineRule="exact"/>
        <w:ind w:firstLine="1498"/>
        <w:textAlignment w:val="center"/>
      </w:pPr>
      <w:r>
        <w:drawing>
          <wp:inline distT="0" distB="0" distL="114300" distR="114300">
            <wp:extent cx="3858260" cy="2570480"/>
            <wp:effectExtent l="0" t="0" r="6350" b="9525"/>
            <wp:docPr id="125" name="图片 31"/>
            <wp:cNvGraphicFramePr/>
            <a:graphic xmlns:a="http://schemas.openxmlformats.org/drawingml/2006/main">
              <a:graphicData uri="http://schemas.openxmlformats.org/drawingml/2006/picture">
                <pic:pic xmlns:pic="http://schemas.openxmlformats.org/drawingml/2006/picture">
                  <pic:nvPicPr>
                    <pic:cNvPr id="125" name="图片 31"/>
                    <pic:cNvPicPr/>
                  </pic:nvPicPr>
                  <pic:blipFill>
                    <a:blip r:embed="rId55"/>
                    <a:stretch>
                      <a:fillRect/>
                    </a:stretch>
                  </pic:blipFill>
                  <pic:spPr>
                    <a:xfrm>
                      <a:off x="0" y="0"/>
                      <a:ext cx="3858260" cy="2570480"/>
                    </a:xfrm>
                    <a:prstGeom prst="rect">
                      <a:avLst/>
                    </a:prstGeom>
                    <a:noFill/>
                    <a:ln>
                      <a:noFill/>
                    </a:ln>
                  </pic:spPr>
                </pic:pic>
              </a:graphicData>
            </a:graphic>
          </wp:inline>
        </w:drawing>
      </w:r>
    </w:p>
    <w:p w14:paraId="5F0EA247">
      <w:pPr>
        <w:keepNext w:val="0"/>
        <w:keepLines w:val="0"/>
        <w:pageBreakBefore w:val="0"/>
        <w:widowControl w:val="0"/>
        <w:wordWrap/>
        <w:overflowPunct/>
        <w:bidi w:val="0"/>
        <w:spacing w:before="299" w:line="226" w:lineRule="auto"/>
        <w:ind w:left="2752"/>
        <w:rPr>
          <w:rFonts w:ascii="黑体" w:hAnsi="黑体" w:eastAsia="黑体" w:cs="黑体"/>
          <w:sz w:val="23"/>
          <w:szCs w:val="23"/>
        </w:rPr>
      </w:pPr>
      <w:r>
        <w:rPr>
          <w:rFonts w:ascii="黑体" w:hAnsi="黑体" w:eastAsia="黑体" w:cs="黑体"/>
          <w:spacing w:val="18"/>
          <w:sz w:val="23"/>
          <w:szCs w:val="23"/>
        </w:rPr>
        <w:t>化</w:t>
      </w:r>
      <w:r>
        <w:rPr>
          <w:rFonts w:ascii="黑体" w:hAnsi="黑体" w:eastAsia="黑体" w:cs="黑体"/>
          <w:spacing w:val="11"/>
          <w:sz w:val="23"/>
          <w:szCs w:val="23"/>
        </w:rPr>
        <w:t>工</w:t>
      </w:r>
      <w:r>
        <w:rPr>
          <w:rFonts w:ascii="黑体" w:hAnsi="黑体" w:eastAsia="黑体" w:cs="黑体"/>
          <w:spacing w:val="9"/>
          <w:sz w:val="23"/>
          <w:szCs w:val="23"/>
        </w:rPr>
        <w:t>新材料的战略意义与产业关系</w:t>
      </w:r>
    </w:p>
    <w:p w14:paraId="025180DD">
      <w:pPr>
        <w:pStyle w:val="2"/>
        <w:keepNext w:val="0"/>
        <w:keepLines w:val="0"/>
        <w:pageBreakBefore w:val="0"/>
        <w:widowControl w:val="0"/>
        <w:kinsoku/>
        <w:wordWrap/>
        <w:overflowPunct/>
        <w:topLinePunct w:val="0"/>
        <w:autoSpaceDE/>
        <w:autoSpaceDN/>
        <w:bidi w:val="0"/>
        <w:adjustRightInd/>
        <w:snapToGrid/>
        <w:spacing w:before="157" w:beforeLines="5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材料是我国工业企业产业转型升级的重点，而化工新材料是化工产业转型升级的重点。化工新材料包括高性能树脂、高性能合成橡胶、高性能纤维、功能性膜材料和高端专用化学品等。与传统化工材料相比，具有性能优异、功能性强(多)、技术含量高、附加值高等特点，位于石化化工产业金字塔的顶端。目前，化工新材料在欧美、日韩等发达国家的化工产品中所占比重已超过20%；而在国内，化工新材料产值仅占化学工业总产值的约5%。</w:t>
      </w:r>
    </w:p>
    <w:p w14:paraId="4122B40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新材料市场需求旺盛，新材料产业已被全国多数省市列为重点培育和优先发展的高新技术产业，成为改造传统产业、推动地方经济发展的重要</w:t>
      </w:r>
    </w:p>
    <w:p w14:paraId="0C2090B8">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抓手和有效途径。福建省周边的广东、浙江等省份是全国新材料生产和需求较为集中的地区，具有良好的产业基础。福建省特别是泉州地区的石化化工产业较为发达，下游深加工及化工新材料等产业有重点发展和培育的基础。</w:t>
      </w:r>
    </w:p>
    <w:p w14:paraId="7E18843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与周边省份相比，福建省新材料产业总体发展水平相对落后，泉州市地处海西经济区，与台湾隔海相望，具有对台交往的独特优势；同时，泉州市还是国家发展战略“一带一路”中海上丝绸之路的起点。泉州市纺织鞋服、石油化工、机械装备、建材家居四大主导产业转型升级、做大做强的背景下，新材料对高新技术产业优化提升的先导和基础作用日益突出，对传统产业转型升级的支撑和促进作用日益增强，发展前景广阔。</w:t>
      </w:r>
    </w:p>
    <w:p w14:paraId="0EF5BC3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化工新材料行业范畴如下表所示。在我国化工新材料产业中，市场需求量较大、自给率较低、最急需发展的领域是工程塑料、高端聚烯烃塑料、特种橡胶、功能性膜材料和电子化学品。</w:t>
      </w:r>
    </w:p>
    <w:p w14:paraId="3121CC36">
      <w:pPr>
        <w:pStyle w:val="2"/>
        <w:keepNext w:val="0"/>
        <w:keepLines w:val="0"/>
        <w:pageBreakBefore w:val="0"/>
        <w:widowControl w:val="0"/>
        <w:kinsoku/>
        <w:wordWrap/>
        <w:overflowPunct/>
        <w:topLinePunct w:val="0"/>
        <w:autoSpaceDE/>
        <w:autoSpaceDN/>
        <w:bidi w:val="0"/>
        <w:adjustRightInd/>
        <w:snapToGrid/>
        <w:spacing w:before="0" w:beforeAutospacing="0" w:after="157" w:afterLines="5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发展化工新材料是提升我国化学工业产品层次的重点任务，对于促进我国由化工产业大国向化工产业强国转型升级具有重要意义。同时，化工新材料是新材料产业的主要门类之一，不仅本身是重要的战略性新兴产业，而且也是其他战略性新兴产业发展和传统产业升级的重要支撑。化工新材料被称为“工业维生素”，与大宗合成材料相比，化工新材料消费量较小，但应用非常广泛，是相关产业的关键支撑材料。</w:t>
      </w:r>
    </w:p>
    <w:p w14:paraId="28606DE2">
      <w:pPr>
        <w:keepNext w:val="0"/>
        <w:keepLines w:val="0"/>
        <w:pageBreakBefore w:val="0"/>
        <w:widowControl w:val="0"/>
        <w:wordWrap/>
        <w:overflowPunct/>
        <w:bidi w:val="0"/>
        <w:spacing w:before="75" w:line="225" w:lineRule="auto"/>
        <w:ind w:left="3112"/>
        <w:rPr>
          <w:rFonts w:ascii="黑体" w:hAnsi="黑体" w:eastAsia="黑体" w:cs="黑体"/>
          <w:sz w:val="23"/>
          <w:szCs w:val="23"/>
        </w:rPr>
      </w:pPr>
      <w:r>
        <w:drawing>
          <wp:anchor distT="0" distB="0" distL="114300" distR="114300" simplePos="0" relativeHeight="251666432" behindDoc="0" locked="0" layoutInCell="1" allowOverlap="1">
            <wp:simplePos x="0" y="0"/>
            <wp:positionH relativeFrom="column">
              <wp:posOffset>86360</wp:posOffset>
            </wp:positionH>
            <wp:positionV relativeFrom="paragraph">
              <wp:posOffset>6985</wp:posOffset>
            </wp:positionV>
            <wp:extent cx="5597525" cy="3124200"/>
            <wp:effectExtent l="0" t="0" r="5080" b="0"/>
            <wp:wrapSquare wrapText="bothSides"/>
            <wp:docPr id="126" name="图片 32"/>
            <wp:cNvGraphicFramePr/>
            <a:graphic xmlns:a="http://schemas.openxmlformats.org/drawingml/2006/main">
              <a:graphicData uri="http://schemas.openxmlformats.org/drawingml/2006/picture">
                <pic:pic xmlns:pic="http://schemas.openxmlformats.org/drawingml/2006/picture">
                  <pic:nvPicPr>
                    <pic:cNvPr id="126" name="图片 32"/>
                    <pic:cNvPicPr/>
                  </pic:nvPicPr>
                  <pic:blipFill>
                    <a:blip r:embed="rId56"/>
                    <a:stretch>
                      <a:fillRect/>
                    </a:stretch>
                  </pic:blipFill>
                  <pic:spPr>
                    <a:xfrm>
                      <a:off x="0" y="0"/>
                      <a:ext cx="5597525" cy="3124200"/>
                    </a:xfrm>
                    <a:prstGeom prst="rect">
                      <a:avLst/>
                    </a:prstGeom>
                    <a:noFill/>
                    <a:ln>
                      <a:noFill/>
                    </a:ln>
                  </pic:spPr>
                </pic:pic>
              </a:graphicData>
            </a:graphic>
          </wp:anchor>
        </w:drawing>
      </w:r>
      <w:r>
        <w:rPr>
          <w:rFonts w:ascii="黑体" w:hAnsi="黑体" w:eastAsia="黑体" w:cs="黑体"/>
          <w:spacing w:val="14"/>
          <w:sz w:val="23"/>
          <w:szCs w:val="23"/>
        </w:rPr>
        <w:t>化</w:t>
      </w:r>
      <w:r>
        <w:rPr>
          <w:rFonts w:ascii="黑体" w:hAnsi="黑体" w:eastAsia="黑体" w:cs="黑体"/>
          <w:spacing w:val="9"/>
          <w:sz w:val="23"/>
          <w:szCs w:val="23"/>
        </w:rPr>
        <w:t>工新材料行业的细分领域</w:t>
      </w:r>
    </w:p>
    <w:p w14:paraId="08F8DD78">
      <w:pPr>
        <w:pStyle w:val="2"/>
        <w:keepNext w:val="0"/>
        <w:keepLines w:val="0"/>
        <w:pageBreakBefore w:val="0"/>
        <w:widowControl w:val="0"/>
        <w:kinsoku/>
        <w:wordWrap/>
        <w:overflowPunct/>
        <w:topLinePunct w:val="0"/>
        <w:autoSpaceDE/>
        <w:autoSpaceDN/>
        <w:bidi w:val="0"/>
        <w:adjustRightInd/>
        <w:snapToGrid/>
        <w:spacing w:before="0" w:beforeAutospacing="0" w:after="157" w:afterLines="5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我国化工新材料主要类别产量1621万吨，消费量2720万吨，消费量约占合成高分子材料总消费量的18%左右。高性能树脂是消费量最大的品种，年消费量为2053万吨，约占化工新材料总消费量的75%，其次为特种合成橡胶，年消费量349万吨，所占份额约为13%；电子化学品、功能性膜材料、高性能纤维的份额分别为9.5%、2.0%和0.3%。2018年化工新材料总体自给率59%，其中，自给率较低的是工程塑料，电子化学品自给率增速最快，聚氨酯树脂和氟硅树脂的自给率较高。</w:t>
      </w:r>
    </w:p>
    <w:p w14:paraId="4505C215">
      <w:pPr>
        <w:keepNext w:val="0"/>
        <w:keepLines w:val="0"/>
        <w:pageBreakBefore w:val="0"/>
        <w:widowControl w:val="0"/>
        <w:wordWrap/>
        <w:overflowPunct/>
        <w:bidi w:val="0"/>
        <w:spacing w:before="5" w:line="3811" w:lineRule="exact"/>
        <w:ind w:firstLine="1258"/>
        <w:textAlignment w:val="center"/>
      </w:pPr>
      <w:r>
        <w:drawing>
          <wp:inline distT="0" distB="0" distL="114300" distR="114300">
            <wp:extent cx="4163060" cy="2419985"/>
            <wp:effectExtent l="0" t="0" r="0" b="0"/>
            <wp:docPr id="127" name="图片 33"/>
            <wp:cNvGraphicFramePr/>
            <a:graphic xmlns:a="http://schemas.openxmlformats.org/drawingml/2006/main">
              <a:graphicData uri="http://schemas.openxmlformats.org/drawingml/2006/picture">
                <pic:pic xmlns:pic="http://schemas.openxmlformats.org/drawingml/2006/picture">
                  <pic:nvPicPr>
                    <pic:cNvPr id="127" name="图片 33"/>
                    <pic:cNvPicPr/>
                  </pic:nvPicPr>
                  <pic:blipFill>
                    <a:blip r:embed="rId57"/>
                    <a:stretch>
                      <a:fillRect/>
                    </a:stretch>
                  </pic:blipFill>
                  <pic:spPr>
                    <a:xfrm>
                      <a:off x="0" y="0"/>
                      <a:ext cx="4163060" cy="2419985"/>
                    </a:xfrm>
                    <a:prstGeom prst="rect">
                      <a:avLst/>
                    </a:prstGeom>
                    <a:noFill/>
                    <a:ln>
                      <a:noFill/>
                    </a:ln>
                  </pic:spPr>
                </pic:pic>
              </a:graphicData>
            </a:graphic>
          </wp:inline>
        </w:drawing>
      </w:r>
    </w:p>
    <w:p w14:paraId="3B9A81E5">
      <w:pPr>
        <w:keepNext w:val="0"/>
        <w:keepLines w:val="0"/>
        <w:pageBreakBefore w:val="0"/>
        <w:widowControl w:val="0"/>
        <w:kinsoku/>
        <w:wordWrap/>
        <w:overflowPunct/>
        <w:topLinePunct w:val="0"/>
        <w:autoSpaceDE/>
        <w:autoSpaceDN/>
        <w:bidi w:val="0"/>
        <w:adjustRightInd/>
        <w:snapToGrid/>
        <w:spacing w:before="199" w:after="157" w:afterLines="50" w:line="226" w:lineRule="auto"/>
        <w:ind w:left="3478"/>
        <w:textAlignment w:val="auto"/>
        <w:rPr>
          <w:rFonts w:ascii="黑体" w:hAnsi="黑体" w:eastAsia="黑体" w:cs="黑体"/>
          <w:sz w:val="23"/>
          <w:szCs w:val="23"/>
        </w:rPr>
      </w:pPr>
      <w:r>
        <w:rPr>
          <w:rFonts w:ascii="黑体" w:hAnsi="黑体" w:eastAsia="黑体" w:cs="黑体"/>
          <w:spacing w:val="10"/>
          <w:sz w:val="23"/>
          <w:szCs w:val="23"/>
        </w:rPr>
        <w:t>主</w:t>
      </w:r>
      <w:r>
        <w:rPr>
          <w:rFonts w:ascii="黑体" w:hAnsi="黑体" w:eastAsia="黑体" w:cs="黑体"/>
          <w:spacing w:val="8"/>
          <w:sz w:val="23"/>
          <w:szCs w:val="23"/>
        </w:rPr>
        <w:t>要类别自给率情况</w:t>
      </w:r>
    </w:p>
    <w:p w14:paraId="2CCBDC2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各级政府积极推动新材料产业基地建设，加强资源整合，呈现聚集发展的良好态势，区域特色逐步显现，初步形成“东部沿海集聚，中西部特色发展”的空间格局。长三角工业基础雄厚、交通物流便利、产业配套齐全，已形成了包括航空航天、新能源、电子信息、新型化工等领域的新材料产业集群。珠三角的经济主要以外向出口型为主，新材料产业集中度高，下游产业拉动明显，已形成较为完整的产业链，在电子信息材料、改性工程塑料、陶瓷材料等领域具有较强的优势。环渤海地区技术创新推动作用明显，区域科技支撑能力较强，在稀土功能材料、膜材料、硅材料、高技术陶瓷、磁性材料和特种纤维等多个新材料领域均具有较大优势。内蒙古的稀土新材料，云南和贵州的稀贵金属新材料，广西的有色金属新材料，宁波的钕铁硼永磁材料，广州、天津、青岛等地的化工新材料产业，重庆、西安、甘肃金昌、湖南长株潭、陕西宝鸡、山东威海及太原等地的航空航天材料、能源材料及重大装备材料，江苏徐州、河南洛阳、江苏连云港等的多晶硅材料产业等也都形成了各自的区域特色。</w:t>
      </w:r>
    </w:p>
    <w:p w14:paraId="3A1F1E3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47" name="图片 37"/>
            <wp:cNvGraphicFramePr/>
            <a:graphic xmlns:a="http://schemas.openxmlformats.org/drawingml/2006/main">
              <a:graphicData uri="http://schemas.openxmlformats.org/drawingml/2006/picture">
                <pic:pic xmlns:pic="http://schemas.openxmlformats.org/drawingml/2006/picture">
                  <pic:nvPicPr>
                    <pic:cNvPr id="147"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汽车领域</w:t>
      </w:r>
    </w:p>
    <w:p w14:paraId="006C0078">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能源革命和新材料技术的不断突破，汽车产品加快向新能源、轻量化、智能化的方向发展。发展新能源和轻量化是汽车主要的节能减排方式，从而提高能量转化效率、降低二氧化碳和污染物排放。传统汽车行业价值链、供应链、创新链正在发生深刻变化，非传统汽车制造商将更多地参与进来，购车者消费需求也将不断变化，能源结构调整，生产方式升级，共享经济等更多的新的商业模式将会涌现，全球汽车产业格局和生态体系将发生深刻调整。</w:t>
      </w:r>
    </w:p>
    <w:p w14:paraId="7E8039F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随着目前全球排放规定的日益严格、燃油经济性的强制性需求，轻量化是汽车工业发展史上必然趋势。逸动实际试验结果表明汽车整备质量每减重100kg，油耗降低约0.4L/100 km，0</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100 km/h加速性提升8</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10%，制动距离缩短2</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7m。可见轻量化对汽车的稳定性、噪声、加速、振动等方面都有优化作用，目前已成为技术发展的前沿和热点，是汽车优化设计和选材的主要发展方向。</w:t>
      </w:r>
    </w:p>
    <w:p w14:paraId="27A74E3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汽车轻量化的方法主要包括结构设计优化和材料的替代。现代轿车主</w:t>
      </w:r>
    </w:p>
    <w:p w14:paraId="49EA5BF7">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要材料中，钢材占比约55</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60%，铸铁12</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15%，铝占比8-</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0%，塑料占比约8</w:t>
      </w:r>
      <w:r>
        <w:rPr>
          <w:rFonts w:hint="default" w:ascii="Times New Roman" w:hAnsi="Times New Roman" w:eastAsia="仿宋_GB2312" w:cs="Times New Roman"/>
          <w:spacing w:val="0"/>
          <w:sz w:val="28"/>
          <w:szCs w:val="28"/>
          <w:lang w:val="en-US" w:eastAsia="zh-CN"/>
        </w:rPr>
        <w:t>~</w:t>
      </w:r>
      <w:r>
        <w:rPr>
          <w:rFonts w:hint="default" w:ascii="仿宋_GB2312" w:hAnsi="仿宋_GB2312" w:eastAsia="仿宋_GB2312" w:cs="仿宋_GB2312"/>
          <w:spacing w:val="0"/>
          <w:sz w:val="28"/>
          <w:szCs w:val="28"/>
          <w:lang w:val="en-US" w:eastAsia="zh-CN"/>
        </w:rPr>
        <w:t>12%。在满足对汽车性能、成本要求的前提下，采用轻量化材料替代传统材料是汽车轻量化的重要途径之一。在轻量化的设计中，既要考虑材料“轻”的特点，还要考虑材料的安全性、可加工性、可回收性和经济性。目前常用的轻量化材料主要有高强钢、铝镁合金、工程塑料及复合材料等，其中工程塑料是化工新材料范畴之一。</w:t>
      </w:r>
    </w:p>
    <w:p w14:paraId="121EF7E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常用的车用塑料有改性聚丙烯(PP)、聚氨酯(PU)、聚碳酸酯(PC)、丙烯腈-丁二烯-苯乙烯树脂(ABS)、聚酰胺树脂(PA)、聚酯(PET)等，主要应用于汽车内、外饰件、发动机部件、结构件等。以下两图为常用的</w:t>
      </w:r>
    </w:p>
    <w:p w14:paraId="5621D79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车用塑料品种及占比。</w:t>
      </w:r>
    </w:p>
    <w:p w14:paraId="37EBB74B">
      <w:pPr>
        <w:keepNext w:val="0"/>
        <w:keepLines w:val="0"/>
        <w:pageBreakBefore w:val="0"/>
        <w:widowControl w:val="0"/>
        <w:wordWrap/>
        <w:overflowPunct/>
        <w:bidi w:val="0"/>
        <w:spacing w:before="9" w:line="2381" w:lineRule="exact"/>
        <w:ind w:firstLine="566"/>
        <w:textAlignment w:val="center"/>
      </w:pPr>
      <w:r>
        <w:drawing>
          <wp:inline distT="0" distB="0" distL="114300" distR="114300">
            <wp:extent cx="4975225" cy="1511300"/>
            <wp:effectExtent l="0" t="0" r="1270" b="0"/>
            <wp:docPr id="130" name="图片 35"/>
            <wp:cNvGraphicFramePr/>
            <a:graphic xmlns:a="http://schemas.openxmlformats.org/drawingml/2006/main">
              <a:graphicData uri="http://schemas.openxmlformats.org/drawingml/2006/picture">
                <pic:pic xmlns:pic="http://schemas.openxmlformats.org/drawingml/2006/picture">
                  <pic:nvPicPr>
                    <pic:cNvPr id="130" name="图片 35"/>
                    <pic:cNvPicPr/>
                  </pic:nvPicPr>
                  <pic:blipFill>
                    <a:blip r:embed="rId58"/>
                    <a:stretch>
                      <a:fillRect/>
                    </a:stretch>
                  </pic:blipFill>
                  <pic:spPr>
                    <a:xfrm>
                      <a:off x="0" y="0"/>
                      <a:ext cx="4975225" cy="1511300"/>
                    </a:xfrm>
                    <a:prstGeom prst="rect">
                      <a:avLst/>
                    </a:prstGeom>
                    <a:noFill/>
                    <a:ln>
                      <a:noFill/>
                    </a:ln>
                  </pic:spPr>
                </pic:pic>
              </a:graphicData>
            </a:graphic>
          </wp:inline>
        </w:drawing>
      </w:r>
    </w:p>
    <w:p w14:paraId="271BBC20">
      <w:pPr>
        <w:keepNext w:val="0"/>
        <w:keepLines w:val="0"/>
        <w:pageBreakBefore w:val="0"/>
        <w:widowControl w:val="0"/>
        <w:wordWrap/>
        <w:overflowPunct/>
        <w:bidi w:val="0"/>
        <w:spacing w:line="280" w:lineRule="auto"/>
        <w:rPr>
          <w:rFonts w:ascii="Arial"/>
          <w:sz w:val="21"/>
        </w:rPr>
      </w:pPr>
    </w:p>
    <w:p w14:paraId="02B32844">
      <w:pPr>
        <w:keepNext w:val="0"/>
        <w:keepLines w:val="0"/>
        <w:pageBreakBefore w:val="0"/>
        <w:widowControl w:val="0"/>
        <w:wordWrap/>
        <w:overflowPunct/>
        <w:bidi w:val="0"/>
        <w:spacing w:before="75" w:line="222" w:lineRule="auto"/>
        <w:ind w:left="3995"/>
        <w:rPr>
          <w:rFonts w:ascii="黑体" w:hAnsi="黑体" w:eastAsia="黑体" w:cs="黑体"/>
          <w:sz w:val="23"/>
          <w:szCs w:val="23"/>
        </w:rPr>
      </w:pPr>
      <w:r>
        <w:rPr>
          <w:rFonts w:ascii="黑体" w:hAnsi="黑体" w:eastAsia="黑体" w:cs="黑体"/>
          <w:spacing w:val="12"/>
          <w:sz w:val="23"/>
          <w:szCs w:val="23"/>
        </w:rPr>
        <w:t>车</w:t>
      </w:r>
      <w:r>
        <w:rPr>
          <w:rFonts w:ascii="黑体" w:hAnsi="黑体" w:eastAsia="黑体" w:cs="黑体"/>
          <w:spacing w:val="7"/>
          <w:sz w:val="23"/>
          <w:szCs w:val="23"/>
        </w:rPr>
        <w:t>用塑料的品种</w:t>
      </w:r>
    </w:p>
    <w:p w14:paraId="46FB040D">
      <w:pPr>
        <w:keepNext w:val="0"/>
        <w:keepLines w:val="0"/>
        <w:pageBreakBefore w:val="0"/>
        <w:widowControl w:val="0"/>
        <w:wordWrap/>
        <w:overflowPunct/>
        <w:bidi w:val="0"/>
        <w:spacing w:line="4329" w:lineRule="exact"/>
        <w:ind w:firstLine="931"/>
        <w:textAlignment w:val="center"/>
      </w:pPr>
      <w:r>
        <w:drawing>
          <wp:inline distT="0" distB="0" distL="114300" distR="114300">
            <wp:extent cx="4577715" cy="2748915"/>
            <wp:effectExtent l="0" t="0" r="10160" b="3810"/>
            <wp:docPr id="129" name="图片 36"/>
            <wp:cNvGraphicFramePr/>
            <a:graphic xmlns:a="http://schemas.openxmlformats.org/drawingml/2006/main">
              <a:graphicData uri="http://schemas.openxmlformats.org/drawingml/2006/picture">
                <pic:pic xmlns:pic="http://schemas.openxmlformats.org/drawingml/2006/picture">
                  <pic:nvPicPr>
                    <pic:cNvPr id="129" name="图片 36"/>
                    <pic:cNvPicPr/>
                  </pic:nvPicPr>
                  <pic:blipFill>
                    <a:blip r:embed="rId59"/>
                    <a:stretch>
                      <a:fillRect/>
                    </a:stretch>
                  </pic:blipFill>
                  <pic:spPr>
                    <a:xfrm>
                      <a:off x="0" y="0"/>
                      <a:ext cx="4577715" cy="2748915"/>
                    </a:xfrm>
                    <a:prstGeom prst="rect">
                      <a:avLst/>
                    </a:prstGeom>
                    <a:noFill/>
                    <a:ln>
                      <a:noFill/>
                    </a:ln>
                  </pic:spPr>
                </pic:pic>
              </a:graphicData>
            </a:graphic>
          </wp:inline>
        </w:drawing>
      </w:r>
    </w:p>
    <w:p w14:paraId="66B26A28">
      <w:pPr>
        <w:keepNext w:val="0"/>
        <w:keepLines w:val="0"/>
        <w:pageBreakBefore w:val="0"/>
        <w:widowControl w:val="0"/>
        <w:wordWrap/>
        <w:overflowPunct/>
        <w:bidi w:val="0"/>
        <w:spacing w:before="196" w:line="227" w:lineRule="auto"/>
        <w:ind w:left="3781"/>
        <w:rPr>
          <w:rFonts w:ascii="Arial"/>
          <w:sz w:val="21"/>
        </w:rPr>
      </w:pPr>
      <w:r>
        <w:rPr>
          <w:rFonts w:ascii="黑体" w:hAnsi="黑体" w:eastAsia="黑体" w:cs="黑体"/>
          <w:spacing w:val="10"/>
          <w:sz w:val="23"/>
          <w:szCs w:val="23"/>
        </w:rPr>
        <w:t>目</w:t>
      </w:r>
      <w:r>
        <w:rPr>
          <w:rFonts w:ascii="黑体" w:hAnsi="黑体" w:eastAsia="黑体" w:cs="黑体"/>
          <w:spacing w:val="5"/>
          <w:sz w:val="23"/>
          <w:szCs w:val="23"/>
        </w:rPr>
        <w:t>前车用塑料的占比</w:t>
      </w:r>
    </w:p>
    <w:p w14:paraId="5E14D7D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国外汽车的平均单车塑料用量已经达到150kg以上，而国产汽车的平均单车塑料用量约为100kg左右，树脂总消费量约为300万吨，占我国合成树脂总产消费量的3%左右。其中，工程塑料总需求量约为100万吨，约占我国工程塑料总需求量的25%左右。</w:t>
      </w:r>
    </w:p>
    <w:p w14:paraId="71831BE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5080" b="0"/>
            <wp:docPr id="131" name="图片 37"/>
            <wp:cNvGraphicFramePr/>
            <a:graphic xmlns:a="http://schemas.openxmlformats.org/drawingml/2006/main">
              <a:graphicData uri="http://schemas.openxmlformats.org/drawingml/2006/picture">
                <pic:pic xmlns:pic="http://schemas.openxmlformats.org/drawingml/2006/picture">
                  <pic:nvPicPr>
                    <pic:cNvPr id="131"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轨道交通领域</w:t>
      </w:r>
    </w:p>
    <w:p w14:paraId="2170457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轨道车辆包括高速铁路、中低速磁悬浮线、地铁、高架城轨、市域快轨、城际高速、市区单轨和磁悬浮车辆等，延续着半个世纪以来的高速化、重载化、电气化的技术进步之路，促进全球大都市圈的城市形态发生重要的演变和转型。尤其是完善的区域和城市的轨道交通系统(地铁、轻轨和城际铁路)改变了城市人口、经济等要素的分布和城市职住空间关系的变化。随着轨道交通向高速化、安全化、轻量化的方向发展，化工新材料起的作用越来越重要，已成为继钢铁、石料之后的第三大材料。我国高速铁路工程上应用了大量的化工新材料，这些材料在高速铁路中起着举足轻重的作用。从路基防水到轨道减振，从车体到车厢密封，从接触导线到内饰材料，化工材料的身影几乎无处不在，这些材料可改善车内环境、提高节能环保性能、乘车舒适度、提高耐候性和耐火性等。目前，我国高速铁路中的新材料应用已经取得了一定成效，新型轻质合金材料已在我国高铁动车组列车上大量使用，此外化工新材料在轨道及线缆等方面开始有规模化论证应用。</w:t>
      </w:r>
    </w:p>
    <w:p w14:paraId="2091AD9F">
      <w:pPr>
        <w:keepNext w:val="0"/>
        <w:keepLines w:val="0"/>
        <w:pageBreakBefore w:val="0"/>
        <w:widowControl w:val="0"/>
        <w:wordWrap/>
        <w:overflowPunct/>
        <w:bidi w:val="0"/>
        <w:spacing w:before="74" w:line="227" w:lineRule="auto"/>
        <w:ind w:left="2979"/>
      </w:pPr>
      <w:r>
        <w:rPr>
          <w:rFonts w:ascii="黑体" w:hAnsi="黑体" w:eastAsia="黑体" w:cs="黑体"/>
          <w:spacing w:val="11"/>
          <w:sz w:val="23"/>
          <w:szCs w:val="23"/>
        </w:rPr>
        <w:t>轨</w:t>
      </w:r>
      <w:r>
        <w:rPr>
          <w:rFonts w:ascii="黑体" w:hAnsi="黑体" w:eastAsia="黑体" w:cs="黑体"/>
          <w:spacing w:val="10"/>
          <w:sz w:val="23"/>
          <w:szCs w:val="23"/>
        </w:rPr>
        <w:t>道交通用化工新材料需求比例</w:t>
      </w:r>
    </w:p>
    <w:tbl>
      <w:tblPr>
        <w:tblStyle w:val="9"/>
        <w:tblW w:w="92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79"/>
        <w:gridCol w:w="5234"/>
        <w:gridCol w:w="2879"/>
      </w:tblGrid>
      <w:tr w14:paraId="638142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179" w:type="dxa"/>
            <w:tcBorders>
              <w:tl2br w:val="nil"/>
              <w:tr2bl w:val="nil"/>
            </w:tcBorders>
            <w:noWrap w:val="0"/>
            <w:vAlign w:val="top"/>
          </w:tcPr>
          <w:p w14:paraId="6132028C">
            <w:pPr>
              <w:keepNext w:val="0"/>
              <w:keepLines w:val="0"/>
              <w:pageBreakBefore w:val="0"/>
              <w:widowControl w:val="0"/>
              <w:wordWrap/>
              <w:overflowPunct/>
              <w:bidi w:val="0"/>
              <w:spacing w:before="81" w:line="225" w:lineRule="auto"/>
              <w:ind w:left="115"/>
              <w:jc w:val="center"/>
              <w:rPr>
                <w:rFonts w:hint="eastAsia" w:ascii="黑体" w:hAnsi="黑体" w:eastAsia="黑体" w:cs="黑体"/>
                <w:sz w:val="23"/>
                <w:szCs w:val="23"/>
              </w:rPr>
            </w:pPr>
            <w:r>
              <w:rPr>
                <w:rFonts w:hint="eastAsia" w:ascii="黑体" w:hAnsi="黑体" w:eastAsia="黑体" w:cs="黑体"/>
                <w:spacing w:val="6"/>
                <w:sz w:val="23"/>
                <w:szCs w:val="23"/>
              </w:rPr>
              <w:t>序号</w:t>
            </w:r>
          </w:p>
        </w:tc>
        <w:tc>
          <w:tcPr>
            <w:tcW w:w="5234" w:type="dxa"/>
            <w:tcBorders>
              <w:tl2br w:val="nil"/>
              <w:tr2bl w:val="nil"/>
            </w:tcBorders>
            <w:noWrap w:val="0"/>
            <w:vAlign w:val="top"/>
          </w:tcPr>
          <w:p w14:paraId="670F9BC4">
            <w:pPr>
              <w:keepNext w:val="0"/>
              <w:keepLines w:val="0"/>
              <w:pageBreakBefore w:val="0"/>
              <w:widowControl w:val="0"/>
              <w:wordWrap/>
              <w:overflowPunct/>
              <w:bidi w:val="0"/>
              <w:spacing w:before="81" w:line="223" w:lineRule="auto"/>
              <w:ind w:left="115"/>
              <w:jc w:val="center"/>
              <w:rPr>
                <w:rFonts w:hint="eastAsia" w:ascii="黑体" w:hAnsi="黑体" w:eastAsia="黑体" w:cs="黑体"/>
                <w:sz w:val="23"/>
                <w:szCs w:val="23"/>
              </w:rPr>
            </w:pPr>
            <w:r>
              <w:rPr>
                <w:rFonts w:hint="eastAsia" w:ascii="黑体" w:hAnsi="黑体" w:eastAsia="黑体" w:cs="黑体"/>
                <w:spacing w:val="4"/>
                <w:sz w:val="23"/>
                <w:szCs w:val="23"/>
              </w:rPr>
              <w:t>材</w:t>
            </w:r>
            <w:r>
              <w:rPr>
                <w:rFonts w:hint="eastAsia" w:ascii="黑体" w:hAnsi="黑体" w:eastAsia="黑体" w:cs="黑体"/>
                <w:spacing w:val="3"/>
                <w:sz w:val="23"/>
                <w:szCs w:val="23"/>
              </w:rPr>
              <w:t>料</w:t>
            </w:r>
          </w:p>
        </w:tc>
        <w:tc>
          <w:tcPr>
            <w:tcW w:w="2879" w:type="dxa"/>
            <w:tcBorders>
              <w:tl2br w:val="nil"/>
              <w:tr2bl w:val="nil"/>
            </w:tcBorders>
            <w:noWrap w:val="0"/>
            <w:vAlign w:val="top"/>
          </w:tcPr>
          <w:p w14:paraId="6A778530">
            <w:pPr>
              <w:keepNext w:val="0"/>
              <w:keepLines w:val="0"/>
              <w:pageBreakBefore w:val="0"/>
              <w:widowControl w:val="0"/>
              <w:wordWrap/>
              <w:overflowPunct/>
              <w:bidi w:val="0"/>
              <w:spacing w:before="81" w:line="231" w:lineRule="auto"/>
              <w:ind w:left="153"/>
              <w:jc w:val="center"/>
              <w:rPr>
                <w:rFonts w:hint="eastAsia" w:ascii="黑体" w:hAnsi="黑体" w:eastAsia="黑体" w:cs="黑体"/>
                <w:sz w:val="23"/>
                <w:szCs w:val="23"/>
              </w:rPr>
            </w:pPr>
            <w:r>
              <w:rPr>
                <w:rFonts w:hint="eastAsia" w:ascii="黑体" w:hAnsi="黑体" w:eastAsia="黑体" w:cs="黑体"/>
                <w:spacing w:val="4"/>
                <w:sz w:val="23"/>
                <w:szCs w:val="23"/>
              </w:rPr>
              <w:t>占</w:t>
            </w:r>
            <w:r>
              <w:rPr>
                <w:rFonts w:hint="eastAsia" w:ascii="黑体" w:hAnsi="黑体" w:eastAsia="黑体" w:cs="黑体"/>
                <w:spacing w:val="3"/>
                <w:sz w:val="23"/>
                <w:szCs w:val="23"/>
              </w:rPr>
              <w:t>比</w:t>
            </w:r>
          </w:p>
        </w:tc>
      </w:tr>
      <w:tr w14:paraId="1152E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79" w:type="dxa"/>
            <w:tcBorders>
              <w:tl2br w:val="nil"/>
              <w:tr2bl w:val="nil"/>
            </w:tcBorders>
            <w:noWrap w:val="0"/>
            <w:vAlign w:val="top"/>
          </w:tcPr>
          <w:p w14:paraId="46A44AC8">
            <w:pPr>
              <w:keepNext w:val="0"/>
              <w:keepLines w:val="0"/>
              <w:pageBreakBefore w:val="0"/>
              <w:widowControl w:val="0"/>
              <w:wordWrap/>
              <w:overflowPunct/>
              <w:bidi w:val="0"/>
              <w:spacing w:before="107" w:line="203" w:lineRule="auto"/>
              <w:ind w:left="134"/>
              <w:rPr>
                <w:rFonts w:ascii="Arial" w:hAnsi="Arial" w:eastAsia="Arial" w:cs="Arial"/>
                <w:sz w:val="23"/>
                <w:szCs w:val="23"/>
              </w:rPr>
            </w:pPr>
            <w:r>
              <w:rPr>
                <w:rFonts w:ascii="Arial" w:hAnsi="Arial" w:eastAsia="Arial" w:cs="Arial"/>
                <w:sz w:val="23"/>
                <w:szCs w:val="23"/>
              </w:rPr>
              <w:t>1</w:t>
            </w:r>
          </w:p>
        </w:tc>
        <w:tc>
          <w:tcPr>
            <w:tcW w:w="5234" w:type="dxa"/>
            <w:tcBorders>
              <w:tl2br w:val="nil"/>
              <w:tr2bl w:val="nil"/>
            </w:tcBorders>
            <w:noWrap w:val="0"/>
            <w:vAlign w:val="top"/>
          </w:tcPr>
          <w:p w14:paraId="1B344A32">
            <w:pPr>
              <w:keepNext w:val="0"/>
              <w:keepLines w:val="0"/>
              <w:pageBreakBefore w:val="0"/>
              <w:widowControl w:val="0"/>
              <w:wordWrap/>
              <w:overflowPunct/>
              <w:bidi w:val="0"/>
              <w:spacing w:before="76" w:line="223" w:lineRule="auto"/>
              <w:ind w:left="117"/>
              <w:rPr>
                <w:rFonts w:ascii="仿宋" w:hAnsi="仿宋" w:eastAsia="仿宋" w:cs="仿宋"/>
                <w:sz w:val="23"/>
                <w:szCs w:val="23"/>
              </w:rPr>
            </w:pPr>
            <w:r>
              <w:rPr>
                <w:rFonts w:ascii="仿宋" w:hAnsi="仿宋" w:eastAsia="仿宋" w:cs="仿宋"/>
                <w:spacing w:val="9"/>
                <w:sz w:val="23"/>
                <w:szCs w:val="23"/>
              </w:rPr>
              <w:t>路</w:t>
            </w:r>
            <w:r>
              <w:rPr>
                <w:rFonts w:ascii="仿宋" w:hAnsi="仿宋" w:eastAsia="仿宋" w:cs="仿宋"/>
                <w:spacing w:val="7"/>
                <w:sz w:val="23"/>
                <w:szCs w:val="23"/>
              </w:rPr>
              <w:t>基建设材料</w:t>
            </w:r>
          </w:p>
        </w:tc>
        <w:tc>
          <w:tcPr>
            <w:tcW w:w="2879" w:type="dxa"/>
            <w:tcBorders>
              <w:tl2br w:val="nil"/>
              <w:tr2bl w:val="nil"/>
            </w:tcBorders>
            <w:noWrap w:val="0"/>
            <w:vAlign w:val="top"/>
          </w:tcPr>
          <w:p w14:paraId="62A283E7">
            <w:pPr>
              <w:keepNext w:val="0"/>
              <w:keepLines w:val="0"/>
              <w:pageBreakBefore w:val="0"/>
              <w:widowControl w:val="0"/>
              <w:wordWrap/>
              <w:overflowPunct/>
              <w:bidi w:val="0"/>
              <w:spacing w:before="40" w:line="319" w:lineRule="exact"/>
              <w:ind w:left="131"/>
              <w:rPr>
                <w:rFonts w:ascii="Arial" w:hAnsi="Arial" w:eastAsia="Arial" w:cs="Arial"/>
                <w:sz w:val="23"/>
                <w:szCs w:val="23"/>
              </w:rPr>
            </w:pPr>
            <w:r>
              <w:rPr>
                <w:rFonts w:ascii="Arial" w:hAnsi="Arial" w:eastAsia="Arial" w:cs="Arial"/>
                <w:spacing w:val="-2"/>
                <w:position w:val="1"/>
                <w:sz w:val="23"/>
                <w:szCs w:val="23"/>
              </w:rPr>
              <w:t>19</w:t>
            </w:r>
            <w:r>
              <w:rPr>
                <w:rFonts w:ascii="Arial" w:hAnsi="Arial" w:eastAsia="Arial" w:cs="Arial"/>
                <w:spacing w:val="-1"/>
                <w:position w:val="1"/>
                <w:sz w:val="23"/>
                <w:szCs w:val="23"/>
              </w:rPr>
              <w:t>%</w:t>
            </w:r>
          </w:p>
        </w:tc>
      </w:tr>
      <w:tr w14:paraId="5A95E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79" w:type="dxa"/>
            <w:tcBorders>
              <w:tl2br w:val="nil"/>
              <w:tr2bl w:val="nil"/>
            </w:tcBorders>
            <w:noWrap w:val="0"/>
            <w:vAlign w:val="top"/>
          </w:tcPr>
          <w:p w14:paraId="0AD9889D">
            <w:pPr>
              <w:keepNext w:val="0"/>
              <w:keepLines w:val="0"/>
              <w:pageBreakBefore w:val="0"/>
              <w:widowControl w:val="0"/>
              <w:wordWrap/>
              <w:overflowPunct/>
              <w:bidi w:val="0"/>
              <w:spacing w:before="108" w:line="203" w:lineRule="auto"/>
              <w:ind w:left="115"/>
              <w:rPr>
                <w:rFonts w:ascii="Arial" w:hAnsi="Arial" w:eastAsia="Arial" w:cs="Arial"/>
                <w:sz w:val="23"/>
                <w:szCs w:val="23"/>
              </w:rPr>
            </w:pPr>
            <w:r>
              <w:rPr>
                <w:rFonts w:ascii="Arial" w:hAnsi="Arial" w:eastAsia="Arial" w:cs="Arial"/>
                <w:sz w:val="23"/>
                <w:szCs w:val="23"/>
              </w:rPr>
              <w:t>2</w:t>
            </w:r>
          </w:p>
        </w:tc>
        <w:tc>
          <w:tcPr>
            <w:tcW w:w="5234" w:type="dxa"/>
            <w:tcBorders>
              <w:tl2br w:val="nil"/>
              <w:tr2bl w:val="nil"/>
            </w:tcBorders>
            <w:noWrap w:val="0"/>
            <w:vAlign w:val="top"/>
          </w:tcPr>
          <w:p w14:paraId="252D426A">
            <w:pPr>
              <w:keepNext w:val="0"/>
              <w:keepLines w:val="0"/>
              <w:pageBreakBefore w:val="0"/>
              <w:widowControl w:val="0"/>
              <w:wordWrap/>
              <w:overflowPunct/>
              <w:bidi w:val="0"/>
              <w:spacing w:before="78" w:line="223" w:lineRule="auto"/>
              <w:ind w:left="146"/>
              <w:rPr>
                <w:rFonts w:ascii="仿宋" w:hAnsi="仿宋" w:eastAsia="仿宋" w:cs="仿宋"/>
                <w:sz w:val="23"/>
                <w:szCs w:val="23"/>
              </w:rPr>
            </w:pPr>
            <w:r>
              <w:rPr>
                <w:rFonts w:ascii="仿宋" w:hAnsi="仿宋" w:eastAsia="仿宋" w:cs="仿宋"/>
                <w:spacing w:val="-1"/>
                <w:sz w:val="23"/>
                <w:szCs w:val="23"/>
              </w:rPr>
              <w:t>内装材料</w:t>
            </w:r>
          </w:p>
        </w:tc>
        <w:tc>
          <w:tcPr>
            <w:tcW w:w="2879" w:type="dxa"/>
            <w:tcBorders>
              <w:tl2br w:val="nil"/>
              <w:tr2bl w:val="nil"/>
            </w:tcBorders>
            <w:noWrap w:val="0"/>
            <w:vAlign w:val="top"/>
          </w:tcPr>
          <w:p w14:paraId="239569D1">
            <w:pPr>
              <w:keepNext w:val="0"/>
              <w:keepLines w:val="0"/>
              <w:pageBreakBefore w:val="0"/>
              <w:widowControl w:val="0"/>
              <w:wordWrap/>
              <w:overflowPunct/>
              <w:bidi w:val="0"/>
              <w:spacing w:before="42" w:line="319" w:lineRule="exact"/>
              <w:ind w:left="131"/>
              <w:rPr>
                <w:rFonts w:ascii="Arial" w:hAnsi="Arial" w:eastAsia="Arial" w:cs="Arial"/>
                <w:sz w:val="23"/>
                <w:szCs w:val="23"/>
              </w:rPr>
            </w:pPr>
            <w:r>
              <w:rPr>
                <w:rFonts w:ascii="Arial" w:hAnsi="Arial" w:eastAsia="Arial" w:cs="Arial"/>
                <w:spacing w:val="-2"/>
                <w:position w:val="1"/>
                <w:sz w:val="23"/>
                <w:szCs w:val="23"/>
              </w:rPr>
              <w:t>17</w:t>
            </w:r>
            <w:r>
              <w:rPr>
                <w:rFonts w:ascii="Arial" w:hAnsi="Arial" w:eastAsia="Arial" w:cs="Arial"/>
                <w:spacing w:val="-1"/>
                <w:position w:val="1"/>
                <w:sz w:val="23"/>
                <w:szCs w:val="23"/>
              </w:rPr>
              <w:t>%</w:t>
            </w:r>
          </w:p>
        </w:tc>
      </w:tr>
      <w:tr w14:paraId="1C728A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179" w:type="dxa"/>
            <w:tcBorders>
              <w:tl2br w:val="nil"/>
              <w:tr2bl w:val="nil"/>
            </w:tcBorders>
            <w:noWrap w:val="0"/>
            <w:vAlign w:val="top"/>
          </w:tcPr>
          <w:p w14:paraId="5CF73026">
            <w:pPr>
              <w:keepNext w:val="0"/>
              <w:keepLines w:val="0"/>
              <w:pageBreakBefore w:val="0"/>
              <w:widowControl w:val="0"/>
              <w:wordWrap/>
              <w:overflowPunct/>
              <w:bidi w:val="0"/>
              <w:spacing w:before="107" w:line="203" w:lineRule="auto"/>
              <w:ind w:left="118"/>
              <w:rPr>
                <w:rFonts w:ascii="Arial" w:hAnsi="Arial" w:eastAsia="Arial" w:cs="Arial"/>
                <w:sz w:val="23"/>
                <w:szCs w:val="23"/>
              </w:rPr>
            </w:pPr>
            <w:r>
              <w:rPr>
                <w:rFonts w:ascii="Arial" w:hAnsi="Arial" w:eastAsia="Arial" w:cs="Arial"/>
                <w:sz w:val="23"/>
                <w:szCs w:val="23"/>
              </w:rPr>
              <w:t>3</w:t>
            </w:r>
          </w:p>
        </w:tc>
        <w:tc>
          <w:tcPr>
            <w:tcW w:w="5234" w:type="dxa"/>
            <w:tcBorders>
              <w:tl2br w:val="nil"/>
              <w:tr2bl w:val="nil"/>
            </w:tcBorders>
            <w:noWrap w:val="0"/>
            <w:vAlign w:val="top"/>
          </w:tcPr>
          <w:p w14:paraId="2F7ABDAB">
            <w:pPr>
              <w:keepNext w:val="0"/>
              <w:keepLines w:val="0"/>
              <w:pageBreakBefore w:val="0"/>
              <w:widowControl w:val="0"/>
              <w:wordWrap/>
              <w:overflowPunct/>
              <w:bidi w:val="0"/>
              <w:spacing w:before="77" w:line="222" w:lineRule="auto"/>
              <w:ind w:left="122"/>
              <w:rPr>
                <w:rFonts w:ascii="仿宋" w:hAnsi="仿宋" w:eastAsia="仿宋" w:cs="仿宋"/>
                <w:sz w:val="23"/>
                <w:szCs w:val="23"/>
              </w:rPr>
            </w:pPr>
            <w:r>
              <w:rPr>
                <w:rFonts w:ascii="仿宋" w:hAnsi="仿宋" w:eastAsia="仿宋" w:cs="仿宋"/>
                <w:spacing w:val="5"/>
                <w:sz w:val="23"/>
                <w:szCs w:val="23"/>
              </w:rPr>
              <w:t>车体材料</w:t>
            </w:r>
          </w:p>
        </w:tc>
        <w:tc>
          <w:tcPr>
            <w:tcW w:w="2879" w:type="dxa"/>
            <w:tcBorders>
              <w:tl2br w:val="nil"/>
              <w:tr2bl w:val="nil"/>
            </w:tcBorders>
            <w:noWrap w:val="0"/>
            <w:vAlign w:val="top"/>
          </w:tcPr>
          <w:p w14:paraId="1F507D3B">
            <w:pPr>
              <w:keepNext w:val="0"/>
              <w:keepLines w:val="0"/>
              <w:pageBreakBefore w:val="0"/>
              <w:widowControl w:val="0"/>
              <w:wordWrap/>
              <w:overflowPunct/>
              <w:bidi w:val="0"/>
              <w:spacing w:before="41" w:line="319" w:lineRule="exact"/>
              <w:ind w:left="131"/>
              <w:rPr>
                <w:rFonts w:ascii="Arial" w:hAnsi="Arial" w:eastAsia="Arial" w:cs="Arial"/>
                <w:sz w:val="23"/>
                <w:szCs w:val="23"/>
              </w:rPr>
            </w:pPr>
            <w:r>
              <w:rPr>
                <w:rFonts w:ascii="Arial" w:hAnsi="Arial" w:eastAsia="Arial" w:cs="Arial"/>
                <w:spacing w:val="-2"/>
                <w:position w:val="1"/>
                <w:sz w:val="23"/>
                <w:szCs w:val="23"/>
              </w:rPr>
              <w:t>11</w:t>
            </w:r>
            <w:r>
              <w:rPr>
                <w:rFonts w:ascii="Arial" w:hAnsi="Arial" w:eastAsia="Arial" w:cs="Arial"/>
                <w:spacing w:val="-1"/>
                <w:position w:val="1"/>
                <w:sz w:val="23"/>
                <w:szCs w:val="23"/>
              </w:rPr>
              <w:t>%</w:t>
            </w:r>
          </w:p>
        </w:tc>
      </w:tr>
      <w:tr w14:paraId="222AF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79" w:type="dxa"/>
            <w:tcBorders>
              <w:tl2br w:val="nil"/>
              <w:tr2bl w:val="nil"/>
            </w:tcBorders>
            <w:noWrap w:val="0"/>
            <w:vAlign w:val="top"/>
          </w:tcPr>
          <w:p w14:paraId="12B74642">
            <w:pPr>
              <w:keepNext w:val="0"/>
              <w:keepLines w:val="0"/>
              <w:pageBreakBefore w:val="0"/>
              <w:widowControl w:val="0"/>
              <w:wordWrap/>
              <w:overflowPunct/>
              <w:bidi w:val="0"/>
              <w:spacing w:before="109" w:line="203" w:lineRule="auto"/>
              <w:ind w:left="111"/>
              <w:rPr>
                <w:rFonts w:ascii="Arial" w:hAnsi="Arial" w:eastAsia="Arial" w:cs="Arial"/>
                <w:sz w:val="23"/>
                <w:szCs w:val="23"/>
              </w:rPr>
            </w:pPr>
            <w:r>
              <w:rPr>
                <w:rFonts w:ascii="Arial" w:hAnsi="Arial" w:eastAsia="Arial" w:cs="Arial"/>
                <w:spacing w:val="2"/>
                <w:sz w:val="23"/>
                <w:szCs w:val="23"/>
              </w:rPr>
              <w:t>4</w:t>
            </w:r>
          </w:p>
        </w:tc>
        <w:tc>
          <w:tcPr>
            <w:tcW w:w="5234" w:type="dxa"/>
            <w:tcBorders>
              <w:tl2br w:val="nil"/>
              <w:tr2bl w:val="nil"/>
            </w:tcBorders>
            <w:noWrap w:val="0"/>
            <w:vAlign w:val="top"/>
          </w:tcPr>
          <w:p w14:paraId="03480C90">
            <w:pPr>
              <w:keepNext w:val="0"/>
              <w:keepLines w:val="0"/>
              <w:pageBreakBefore w:val="0"/>
              <w:widowControl w:val="0"/>
              <w:wordWrap/>
              <w:overflowPunct/>
              <w:bidi w:val="0"/>
              <w:spacing w:before="79" w:line="223" w:lineRule="auto"/>
              <w:ind w:left="110"/>
              <w:rPr>
                <w:rFonts w:ascii="仿宋" w:hAnsi="仿宋" w:eastAsia="仿宋" w:cs="仿宋"/>
                <w:sz w:val="23"/>
                <w:szCs w:val="23"/>
              </w:rPr>
            </w:pPr>
            <w:r>
              <w:rPr>
                <w:rFonts w:ascii="仿宋" w:hAnsi="仿宋" w:eastAsia="仿宋" w:cs="仿宋"/>
                <w:spacing w:val="12"/>
                <w:sz w:val="23"/>
                <w:szCs w:val="23"/>
              </w:rPr>
              <w:t>减</w:t>
            </w:r>
            <w:r>
              <w:rPr>
                <w:rFonts w:ascii="仿宋" w:hAnsi="仿宋" w:eastAsia="仿宋" w:cs="仿宋"/>
                <w:spacing w:val="8"/>
                <w:sz w:val="23"/>
                <w:szCs w:val="23"/>
              </w:rPr>
              <w:t>振降噪材料</w:t>
            </w:r>
          </w:p>
        </w:tc>
        <w:tc>
          <w:tcPr>
            <w:tcW w:w="2879" w:type="dxa"/>
            <w:tcBorders>
              <w:tl2br w:val="nil"/>
              <w:tr2bl w:val="nil"/>
            </w:tcBorders>
            <w:noWrap w:val="0"/>
            <w:vAlign w:val="top"/>
          </w:tcPr>
          <w:p w14:paraId="6899DFD3">
            <w:pPr>
              <w:keepNext w:val="0"/>
              <w:keepLines w:val="0"/>
              <w:pageBreakBefore w:val="0"/>
              <w:widowControl w:val="0"/>
              <w:wordWrap/>
              <w:overflowPunct/>
              <w:bidi w:val="0"/>
              <w:spacing w:before="43" w:line="319" w:lineRule="exact"/>
              <w:ind w:left="131"/>
              <w:rPr>
                <w:rFonts w:ascii="Arial" w:hAnsi="Arial" w:eastAsia="Arial" w:cs="Arial"/>
                <w:sz w:val="23"/>
                <w:szCs w:val="23"/>
              </w:rPr>
            </w:pPr>
            <w:r>
              <w:rPr>
                <w:rFonts w:ascii="Arial" w:hAnsi="Arial" w:eastAsia="Arial" w:cs="Arial"/>
                <w:spacing w:val="-2"/>
                <w:position w:val="1"/>
                <w:sz w:val="23"/>
                <w:szCs w:val="23"/>
              </w:rPr>
              <w:t>11</w:t>
            </w:r>
            <w:r>
              <w:rPr>
                <w:rFonts w:ascii="Arial" w:hAnsi="Arial" w:eastAsia="Arial" w:cs="Arial"/>
                <w:spacing w:val="-1"/>
                <w:position w:val="1"/>
                <w:sz w:val="23"/>
                <w:szCs w:val="23"/>
              </w:rPr>
              <w:t>%</w:t>
            </w:r>
          </w:p>
        </w:tc>
      </w:tr>
      <w:tr w14:paraId="284D0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1179" w:type="dxa"/>
            <w:tcBorders>
              <w:tl2br w:val="nil"/>
              <w:tr2bl w:val="nil"/>
            </w:tcBorders>
            <w:noWrap w:val="0"/>
            <w:vAlign w:val="top"/>
          </w:tcPr>
          <w:p w14:paraId="70855169">
            <w:pPr>
              <w:keepNext w:val="0"/>
              <w:keepLines w:val="0"/>
              <w:pageBreakBefore w:val="0"/>
              <w:widowControl w:val="0"/>
              <w:wordWrap/>
              <w:overflowPunct/>
              <w:bidi w:val="0"/>
              <w:spacing w:before="111" w:line="200" w:lineRule="auto"/>
              <w:ind w:left="118"/>
              <w:rPr>
                <w:rFonts w:ascii="Arial" w:hAnsi="Arial" w:eastAsia="Arial" w:cs="Arial"/>
                <w:sz w:val="23"/>
                <w:szCs w:val="23"/>
              </w:rPr>
            </w:pPr>
            <w:r>
              <w:rPr>
                <w:rFonts w:ascii="Arial" w:hAnsi="Arial" w:eastAsia="Arial" w:cs="Arial"/>
                <w:sz w:val="23"/>
                <w:szCs w:val="23"/>
              </w:rPr>
              <w:t>5</w:t>
            </w:r>
          </w:p>
        </w:tc>
        <w:tc>
          <w:tcPr>
            <w:tcW w:w="5234" w:type="dxa"/>
            <w:tcBorders>
              <w:tl2br w:val="nil"/>
              <w:tr2bl w:val="nil"/>
            </w:tcBorders>
            <w:noWrap w:val="0"/>
            <w:vAlign w:val="top"/>
          </w:tcPr>
          <w:p w14:paraId="081DA481">
            <w:pPr>
              <w:keepNext w:val="0"/>
              <w:keepLines w:val="0"/>
              <w:pageBreakBefore w:val="0"/>
              <w:widowControl w:val="0"/>
              <w:wordWrap/>
              <w:overflowPunct/>
              <w:bidi w:val="0"/>
              <w:spacing w:before="78" w:line="223" w:lineRule="auto"/>
              <w:ind w:left="119"/>
              <w:rPr>
                <w:rFonts w:ascii="仿宋" w:hAnsi="仿宋" w:eastAsia="仿宋" w:cs="仿宋"/>
                <w:sz w:val="23"/>
                <w:szCs w:val="23"/>
              </w:rPr>
            </w:pPr>
            <w:r>
              <w:rPr>
                <w:rFonts w:ascii="仿宋" w:hAnsi="仿宋" w:eastAsia="仿宋" w:cs="仿宋"/>
                <w:spacing w:val="9"/>
                <w:sz w:val="23"/>
                <w:szCs w:val="23"/>
              </w:rPr>
              <w:t>轨</w:t>
            </w:r>
            <w:r>
              <w:rPr>
                <w:rFonts w:ascii="仿宋" w:hAnsi="仿宋" w:eastAsia="仿宋" w:cs="仿宋"/>
                <w:spacing w:val="6"/>
                <w:sz w:val="23"/>
                <w:szCs w:val="23"/>
              </w:rPr>
              <w:t>道用材料</w:t>
            </w:r>
          </w:p>
        </w:tc>
        <w:tc>
          <w:tcPr>
            <w:tcW w:w="2879" w:type="dxa"/>
            <w:tcBorders>
              <w:tl2br w:val="nil"/>
              <w:tr2bl w:val="nil"/>
            </w:tcBorders>
            <w:noWrap w:val="0"/>
            <w:vAlign w:val="top"/>
          </w:tcPr>
          <w:p w14:paraId="6E63DA2B">
            <w:pPr>
              <w:keepNext w:val="0"/>
              <w:keepLines w:val="0"/>
              <w:pageBreakBefore w:val="0"/>
              <w:widowControl w:val="0"/>
              <w:wordWrap/>
              <w:overflowPunct/>
              <w:bidi w:val="0"/>
              <w:spacing w:before="42" w:line="319" w:lineRule="exact"/>
              <w:ind w:left="115"/>
              <w:rPr>
                <w:rFonts w:ascii="Arial" w:hAnsi="Arial" w:eastAsia="Arial" w:cs="Arial"/>
                <w:sz w:val="23"/>
                <w:szCs w:val="23"/>
              </w:rPr>
            </w:pPr>
            <w:r>
              <w:rPr>
                <w:rFonts w:ascii="Arial" w:hAnsi="Arial" w:eastAsia="Arial" w:cs="Arial"/>
                <w:spacing w:val="5"/>
                <w:position w:val="1"/>
                <w:sz w:val="23"/>
                <w:szCs w:val="23"/>
              </w:rPr>
              <w:t>9%</w:t>
            </w:r>
          </w:p>
        </w:tc>
      </w:tr>
      <w:tr w14:paraId="39371D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179" w:type="dxa"/>
            <w:tcBorders>
              <w:tl2br w:val="nil"/>
              <w:tr2bl w:val="nil"/>
            </w:tcBorders>
            <w:noWrap w:val="0"/>
            <w:vAlign w:val="top"/>
          </w:tcPr>
          <w:p w14:paraId="254CB404">
            <w:pPr>
              <w:keepNext w:val="0"/>
              <w:keepLines w:val="0"/>
              <w:pageBreakBefore w:val="0"/>
              <w:widowControl w:val="0"/>
              <w:wordWrap/>
              <w:overflowPunct/>
              <w:bidi w:val="0"/>
              <w:spacing w:before="110" w:line="203" w:lineRule="auto"/>
              <w:ind w:left="117"/>
              <w:rPr>
                <w:rFonts w:ascii="Arial" w:hAnsi="Arial" w:eastAsia="Arial" w:cs="Arial"/>
                <w:sz w:val="23"/>
                <w:szCs w:val="23"/>
              </w:rPr>
            </w:pPr>
            <w:r>
              <w:rPr>
                <w:rFonts w:ascii="Arial" w:hAnsi="Arial" w:eastAsia="Arial" w:cs="Arial"/>
                <w:sz w:val="23"/>
                <w:szCs w:val="23"/>
              </w:rPr>
              <w:t>6</w:t>
            </w:r>
          </w:p>
        </w:tc>
        <w:tc>
          <w:tcPr>
            <w:tcW w:w="5234" w:type="dxa"/>
            <w:tcBorders>
              <w:tl2br w:val="nil"/>
              <w:tr2bl w:val="nil"/>
            </w:tcBorders>
            <w:noWrap w:val="0"/>
            <w:vAlign w:val="top"/>
          </w:tcPr>
          <w:p w14:paraId="2AED3732">
            <w:pPr>
              <w:keepNext w:val="0"/>
              <w:keepLines w:val="0"/>
              <w:pageBreakBefore w:val="0"/>
              <w:widowControl w:val="0"/>
              <w:wordWrap/>
              <w:overflowPunct/>
              <w:bidi w:val="0"/>
              <w:spacing w:before="79" w:line="223" w:lineRule="auto"/>
              <w:ind w:left="112"/>
              <w:rPr>
                <w:rFonts w:ascii="仿宋" w:hAnsi="仿宋" w:eastAsia="仿宋" w:cs="仿宋"/>
                <w:sz w:val="23"/>
                <w:szCs w:val="23"/>
              </w:rPr>
            </w:pPr>
            <w:r>
              <w:rPr>
                <w:rFonts w:ascii="仿宋" w:hAnsi="仿宋" w:eastAsia="仿宋" w:cs="仿宋"/>
                <w:spacing w:val="10"/>
                <w:sz w:val="23"/>
                <w:szCs w:val="23"/>
              </w:rPr>
              <w:t>填</w:t>
            </w:r>
            <w:r>
              <w:rPr>
                <w:rFonts w:ascii="仿宋" w:hAnsi="仿宋" w:eastAsia="仿宋" w:cs="仿宋"/>
                <w:spacing w:val="8"/>
                <w:sz w:val="23"/>
                <w:szCs w:val="23"/>
              </w:rPr>
              <w:t>充嵌缝材料</w:t>
            </w:r>
          </w:p>
        </w:tc>
        <w:tc>
          <w:tcPr>
            <w:tcW w:w="2879" w:type="dxa"/>
            <w:tcBorders>
              <w:tl2br w:val="nil"/>
              <w:tr2bl w:val="nil"/>
            </w:tcBorders>
            <w:noWrap w:val="0"/>
            <w:vAlign w:val="top"/>
          </w:tcPr>
          <w:p w14:paraId="7C0DC88A">
            <w:pPr>
              <w:keepNext w:val="0"/>
              <w:keepLines w:val="0"/>
              <w:pageBreakBefore w:val="0"/>
              <w:widowControl w:val="0"/>
              <w:wordWrap/>
              <w:overflowPunct/>
              <w:bidi w:val="0"/>
              <w:spacing w:before="43" w:line="319" w:lineRule="exact"/>
              <w:ind w:left="115"/>
              <w:rPr>
                <w:rFonts w:ascii="Arial" w:hAnsi="Arial" w:eastAsia="Arial" w:cs="Arial"/>
                <w:sz w:val="23"/>
                <w:szCs w:val="23"/>
              </w:rPr>
            </w:pPr>
            <w:r>
              <w:rPr>
                <w:rFonts w:ascii="Arial" w:hAnsi="Arial" w:eastAsia="Arial" w:cs="Arial"/>
                <w:spacing w:val="5"/>
                <w:position w:val="1"/>
                <w:sz w:val="23"/>
                <w:szCs w:val="23"/>
              </w:rPr>
              <w:t>9%</w:t>
            </w:r>
          </w:p>
        </w:tc>
      </w:tr>
      <w:tr w14:paraId="0AD74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79" w:type="dxa"/>
            <w:tcBorders>
              <w:tl2br w:val="nil"/>
              <w:tr2bl w:val="nil"/>
            </w:tcBorders>
            <w:noWrap w:val="0"/>
            <w:vAlign w:val="top"/>
          </w:tcPr>
          <w:p w14:paraId="7626863E">
            <w:pPr>
              <w:keepNext w:val="0"/>
              <w:keepLines w:val="0"/>
              <w:pageBreakBefore w:val="0"/>
              <w:widowControl w:val="0"/>
              <w:wordWrap/>
              <w:overflowPunct/>
              <w:bidi w:val="0"/>
              <w:spacing w:before="112" w:line="201" w:lineRule="auto"/>
              <w:ind w:left="119"/>
              <w:rPr>
                <w:rFonts w:ascii="Arial" w:hAnsi="Arial" w:eastAsia="Arial" w:cs="Arial"/>
                <w:sz w:val="23"/>
                <w:szCs w:val="23"/>
              </w:rPr>
            </w:pPr>
            <w:r>
              <w:rPr>
                <w:rFonts w:ascii="Arial" w:hAnsi="Arial" w:eastAsia="Arial" w:cs="Arial"/>
                <w:sz w:val="23"/>
                <w:szCs w:val="23"/>
              </w:rPr>
              <w:t>7</w:t>
            </w:r>
          </w:p>
        </w:tc>
        <w:tc>
          <w:tcPr>
            <w:tcW w:w="5234" w:type="dxa"/>
            <w:tcBorders>
              <w:tl2br w:val="nil"/>
              <w:tr2bl w:val="nil"/>
            </w:tcBorders>
            <w:noWrap w:val="0"/>
            <w:vAlign w:val="top"/>
          </w:tcPr>
          <w:p w14:paraId="47F0ACBA">
            <w:pPr>
              <w:keepNext w:val="0"/>
              <w:keepLines w:val="0"/>
              <w:pageBreakBefore w:val="0"/>
              <w:widowControl w:val="0"/>
              <w:wordWrap/>
              <w:overflowPunct/>
              <w:bidi w:val="0"/>
              <w:spacing w:before="79" w:line="223" w:lineRule="auto"/>
              <w:ind w:left="126"/>
              <w:rPr>
                <w:rFonts w:ascii="仿宋" w:hAnsi="仿宋" w:eastAsia="仿宋" w:cs="仿宋"/>
                <w:sz w:val="23"/>
                <w:szCs w:val="23"/>
              </w:rPr>
            </w:pPr>
            <w:r>
              <w:rPr>
                <w:rFonts w:ascii="仿宋" w:hAnsi="仿宋" w:eastAsia="仿宋" w:cs="仿宋"/>
                <w:spacing w:val="4"/>
                <w:sz w:val="23"/>
                <w:szCs w:val="23"/>
              </w:rPr>
              <w:t>线缆原料</w:t>
            </w:r>
          </w:p>
        </w:tc>
        <w:tc>
          <w:tcPr>
            <w:tcW w:w="2879" w:type="dxa"/>
            <w:tcBorders>
              <w:tl2br w:val="nil"/>
              <w:tr2bl w:val="nil"/>
            </w:tcBorders>
            <w:noWrap w:val="0"/>
            <w:vAlign w:val="top"/>
          </w:tcPr>
          <w:p w14:paraId="0D125C2A">
            <w:pPr>
              <w:keepNext w:val="0"/>
              <w:keepLines w:val="0"/>
              <w:pageBreakBefore w:val="0"/>
              <w:widowControl w:val="0"/>
              <w:wordWrap/>
              <w:overflowPunct/>
              <w:bidi w:val="0"/>
              <w:spacing w:before="43" w:line="319" w:lineRule="exact"/>
              <w:ind w:left="112"/>
              <w:rPr>
                <w:rFonts w:ascii="Arial" w:hAnsi="Arial" w:eastAsia="Arial" w:cs="Arial"/>
                <w:sz w:val="23"/>
                <w:szCs w:val="23"/>
              </w:rPr>
            </w:pPr>
            <w:r>
              <w:rPr>
                <w:rFonts w:ascii="Arial" w:hAnsi="Arial" w:eastAsia="Arial" w:cs="Arial"/>
                <w:spacing w:val="7"/>
                <w:position w:val="1"/>
                <w:sz w:val="23"/>
                <w:szCs w:val="23"/>
              </w:rPr>
              <w:t>2</w:t>
            </w:r>
            <w:r>
              <w:rPr>
                <w:rFonts w:ascii="Arial" w:hAnsi="Arial" w:eastAsia="Arial" w:cs="Arial"/>
                <w:spacing w:val="6"/>
                <w:position w:val="1"/>
                <w:sz w:val="23"/>
                <w:szCs w:val="23"/>
              </w:rPr>
              <w:t>%</w:t>
            </w:r>
          </w:p>
        </w:tc>
      </w:tr>
      <w:tr w14:paraId="5790BD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79" w:type="dxa"/>
            <w:tcBorders>
              <w:tl2br w:val="nil"/>
              <w:tr2bl w:val="nil"/>
            </w:tcBorders>
            <w:noWrap w:val="0"/>
            <w:vAlign w:val="top"/>
          </w:tcPr>
          <w:p w14:paraId="4E4C9754">
            <w:pPr>
              <w:keepNext w:val="0"/>
              <w:keepLines w:val="0"/>
              <w:pageBreakBefore w:val="0"/>
              <w:widowControl w:val="0"/>
              <w:wordWrap/>
              <w:overflowPunct/>
              <w:bidi w:val="0"/>
              <w:spacing w:before="107" w:line="203" w:lineRule="auto"/>
              <w:ind w:left="118" w:leftChars="0"/>
              <w:rPr>
                <w:rFonts w:ascii="Arial" w:hAnsi="Arial" w:eastAsia="Arial" w:cs="Arial"/>
                <w:sz w:val="23"/>
                <w:szCs w:val="23"/>
              </w:rPr>
            </w:pPr>
            <w:r>
              <w:rPr>
                <w:rFonts w:ascii="Arial" w:hAnsi="Arial" w:eastAsia="Arial" w:cs="Arial"/>
                <w:sz w:val="23"/>
                <w:szCs w:val="23"/>
              </w:rPr>
              <w:t>8</w:t>
            </w:r>
          </w:p>
        </w:tc>
        <w:tc>
          <w:tcPr>
            <w:tcW w:w="5234" w:type="dxa"/>
            <w:tcBorders>
              <w:tl2br w:val="nil"/>
              <w:tr2bl w:val="nil"/>
            </w:tcBorders>
            <w:noWrap w:val="0"/>
            <w:vAlign w:val="top"/>
          </w:tcPr>
          <w:p w14:paraId="0D9164EC">
            <w:pPr>
              <w:keepNext w:val="0"/>
              <w:keepLines w:val="0"/>
              <w:pageBreakBefore w:val="0"/>
              <w:widowControl w:val="0"/>
              <w:wordWrap/>
              <w:overflowPunct/>
              <w:bidi w:val="0"/>
              <w:spacing w:before="78" w:line="222" w:lineRule="auto"/>
              <w:ind w:left="122" w:leftChars="0"/>
              <w:rPr>
                <w:rFonts w:ascii="仿宋" w:hAnsi="仿宋" w:eastAsia="仿宋" w:cs="仿宋"/>
                <w:spacing w:val="4"/>
                <w:sz w:val="23"/>
                <w:szCs w:val="23"/>
              </w:rPr>
            </w:pPr>
            <w:r>
              <w:rPr>
                <w:rFonts w:ascii="仿宋" w:hAnsi="仿宋" w:eastAsia="仿宋" w:cs="仿宋"/>
                <w:spacing w:val="10"/>
                <w:sz w:val="23"/>
                <w:szCs w:val="23"/>
              </w:rPr>
              <w:t>车</w:t>
            </w:r>
            <w:r>
              <w:rPr>
                <w:rFonts w:ascii="仿宋" w:hAnsi="仿宋" w:eastAsia="仿宋" w:cs="仿宋"/>
                <w:spacing w:val="6"/>
                <w:sz w:val="23"/>
                <w:szCs w:val="23"/>
              </w:rPr>
              <w:t>体隔热材料</w:t>
            </w:r>
          </w:p>
        </w:tc>
        <w:tc>
          <w:tcPr>
            <w:tcW w:w="2879" w:type="dxa"/>
            <w:tcBorders>
              <w:tl2br w:val="nil"/>
              <w:tr2bl w:val="nil"/>
            </w:tcBorders>
            <w:noWrap w:val="0"/>
            <w:vAlign w:val="top"/>
          </w:tcPr>
          <w:p w14:paraId="0B7C392B">
            <w:pPr>
              <w:keepNext w:val="0"/>
              <w:keepLines w:val="0"/>
              <w:pageBreakBefore w:val="0"/>
              <w:widowControl w:val="0"/>
              <w:wordWrap/>
              <w:overflowPunct/>
              <w:bidi w:val="0"/>
              <w:spacing w:before="41" w:line="319" w:lineRule="exact"/>
              <w:ind w:left="131" w:leftChars="0"/>
              <w:rPr>
                <w:rFonts w:ascii="Arial" w:hAnsi="Arial" w:eastAsia="Arial" w:cs="Arial"/>
                <w:spacing w:val="7"/>
                <w:position w:val="1"/>
                <w:sz w:val="23"/>
                <w:szCs w:val="23"/>
              </w:rPr>
            </w:pPr>
            <w:r>
              <w:rPr>
                <w:rFonts w:ascii="Arial" w:hAnsi="Arial" w:eastAsia="Arial" w:cs="Arial"/>
                <w:spacing w:val="-3"/>
                <w:position w:val="1"/>
                <w:sz w:val="23"/>
                <w:szCs w:val="23"/>
              </w:rPr>
              <w:t>1%</w:t>
            </w:r>
          </w:p>
        </w:tc>
      </w:tr>
      <w:tr w14:paraId="046F1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179" w:type="dxa"/>
            <w:tcBorders>
              <w:tl2br w:val="nil"/>
              <w:tr2bl w:val="nil"/>
            </w:tcBorders>
            <w:noWrap w:val="0"/>
            <w:vAlign w:val="top"/>
          </w:tcPr>
          <w:p w14:paraId="4D794B95">
            <w:pPr>
              <w:keepNext w:val="0"/>
              <w:keepLines w:val="0"/>
              <w:pageBreakBefore w:val="0"/>
              <w:widowControl w:val="0"/>
              <w:wordWrap/>
              <w:overflowPunct/>
              <w:bidi w:val="0"/>
              <w:spacing w:before="110" w:line="203" w:lineRule="auto"/>
              <w:ind w:left="118" w:leftChars="0"/>
              <w:rPr>
                <w:rFonts w:ascii="Arial" w:hAnsi="Arial" w:eastAsia="Arial" w:cs="Arial"/>
                <w:sz w:val="23"/>
                <w:szCs w:val="23"/>
              </w:rPr>
            </w:pPr>
            <w:r>
              <w:rPr>
                <w:rFonts w:ascii="Arial" w:hAnsi="Arial" w:eastAsia="Arial" w:cs="Arial"/>
                <w:sz w:val="23"/>
                <w:szCs w:val="23"/>
              </w:rPr>
              <w:t>9</w:t>
            </w:r>
          </w:p>
        </w:tc>
        <w:tc>
          <w:tcPr>
            <w:tcW w:w="5234" w:type="dxa"/>
            <w:tcBorders>
              <w:tl2br w:val="nil"/>
              <w:tr2bl w:val="nil"/>
            </w:tcBorders>
            <w:noWrap w:val="0"/>
            <w:vAlign w:val="top"/>
          </w:tcPr>
          <w:p w14:paraId="5482BF91">
            <w:pPr>
              <w:keepNext w:val="0"/>
              <w:keepLines w:val="0"/>
              <w:pageBreakBefore w:val="0"/>
              <w:widowControl w:val="0"/>
              <w:wordWrap/>
              <w:overflowPunct/>
              <w:bidi w:val="0"/>
              <w:spacing w:before="80" w:line="224" w:lineRule="auto"/>
              <w:ind w:left="112" w:leftChars="0"/>
              <w:rPr>
                <w:rFonts w:ascii="仿宋" w:hAnsi="仿宋" w:eastAsia="仿宋" w:cs="仿宋"/>
                <w:spacing w:val="4"/>
                <w:sz w:val="23"/>
                <w:szCs w:val="23"/>
              </w:rPr>
            </w:pPr>
            <w:r>
              <w:rPr>
                <w:rFonts w:ascii="仿宋" w:hAnsi="仿宋" w:eastAsia="仿宋" w:cs="仿宋"/>
                <w:spacing w:val="5"/>
                <w:sz w:val="23"/>
                <w:szCs w:val="23"/>
              </w:rPr>
              <w:t>其他</w:t>
            </w:r>
          </w:p>
        </w:tc>
        <w:tc>
          <w:tcPr>
            <w:tcW w:w="2879" w:type="dxa"/>
            <w:tcBorders>
              <w:tl2br w:val="nil"/>
              <w:tr2bl w:val="nil"/>
            </w:tcBorders>
            <w:noWrap w:val="0"/>
            <w:vAlign w:val="top"/>
          </w:tcPr>
          <w:p w14:paraId="051FC415">
            <w:pPr>
              <w:keepNext w:val="0"/>
              <w:keepLines w:val="0"/>
              <w:pageBreakBefore w:val="0"/>
              <w:widowControl w:val="0"/>
              <w:wordWrap/>
              <w:overflowPunct/>
              <w:bidi w:val="0"/>
              <w:spacing w:before="44" w:line="319" w:lineRule="exact"/>
              <w:ind w:left="112" w:leftChars="0"/>
              <w:rPr>
                <w:rFonts w:ascii="Arial" w:hAnsi="Arial" w:eastAsia="Arial" w:cs="Arial"/>
                <w:spacing w:val="7"/>
                <w:position w:val="1"/>
                <w:sz w:val="23"/>
                <w:szCs w:val="23"/>
              </w:rPr>
            </w:pPr>
            <w:r>
              <w:rPr>
                <w:rFonts w:ascii="Arial" w:hAnsi="Arial" w:eastAsia="Arial" w:cs="Arial"/>
                <w:spacing w:val="5"/>
                <w:position w:val="1"/>
                <w:sz w:val="23"/>
                <w:szCs w:val="23"/>
              </w:rPr>
              <w:t>21</w:t>
            </w:r>
            <w:r>
              <w:rPr>
                <w:rFonts w:ascii="Arial" w:hAnsi="Arial" w:eastAsia="Arial" w:cs="Arial"/>
                <w:spacing w:val="4"/>
                <w:position w:val="1"/>
                <w:sz w:val="23"/>
                <w:szCs w:val="23"/>
              </w:rPr>
              <w:t>%</w:t>
            </w:r>
          </w:p>
        </w:tc>
      </w:tr>
    </w:tbl>
    <w:p w14:paraId="20C8BEA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轨道车辆车体结构主要包括耐候钢(或低合金)高强度钢车体、铝合金车体和不锈钢车体。通常，耐腐蚀性的不锈钢车体结构更适合海洋性气候的沿海地区和高原地区；车体底架主要部件(例如，牵引梁、枕梁、缓冲梁等)通常采用耐候钢和低合金高强度钢制造(具有良好的焊接性能和疲劳强度)，大多数我国生产的轨道车辆车体结构端底架部位采用耐候钢、低合金高强度钢，其余承载部分均采用SUS301L系列奥氏体不锈钢。</w:t>
      </w:r>
    </w:p>
    <w:p w14:paraId="6367CC81">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近年来，轨道车辆车体选材的重要指标是轻量化和安全性。</w:t>
      </w:r>
    </w:p>
    <w:p w14:paraId="5DA857A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轻量化方面，车体结构质量占整车质量比例15~30%，对牵引能耗的影响程度最大。例如，高速轨道车辆质量减轻100kg，运行过程中可节能约100GJ。车体材料可选用发展聚氨酯弹性体、聚烯烃弹性体、聚醚酰亚胺、丙烯腈-苯乙烯、聚甲基丙烯酰亚胺、复合材料等功性能树脂；内装材料可重点发展聚碳酸酯、聚氨酯、酚醛树脂、环氧树脂、碳纤维、芳纶、氟橡胶等高性能树脂、高性能纤维级特种橡胶。</w:t>
      </w:r>
    </w:p>
    <w:p w14:paraId="011EC25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安全方面，轨道车辆的投资费用约占其全寿命周期费用的12~34%，运营维护费用则占其全寿命周期费用66~88%，提高车体材料的安全可靠性水平则可减少修复维修费用。三聚氰胺泡沫塑料和橡胶泡沫材料可提高车体的耐火性能；丁腈橡胶、氯丁橡胶、丁基橡胶、乙丙橡胶、硅橡胶等特种橡胶材料可提高车辆的减振降噪性能；防火防水防爆涂料可重点发展</w:t>
      </w:r>
    </w:p>
    <w:p w14:paraId="64A0300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环氧树脂、丙烯酸涂料等；聚氨酯、环氧树脂、MS树脂等作为胶粘剂和密封剂大大提升车体的加固性。</w:t>
      </w:r>
    </w:p>
    <w:p w14:paraId="4177626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目前，我国化工新材料在轨道交通方面的市场规模约为150亿元，预计到2020年化工新材料在轨道交通方面的市场规模将达到为220亿元左右，2025年达到约380亿元。</w:t>
      </w:r>
    </w:p>
    <w:p w14:paraId="0D0D8B43">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现代材料技术和生产工艺的发展，轨道车辆车体的可选材料将日益增多，应在满足轻量化、安全性和环保性的基础上，最大限度地满足市场对轨道交通舒适性和美观性的日益增长的需求。未来5~10年间，轨道交通用化工新材料的发展方向主要包括以下几个方面：1)重点突破聚烯烃弹性体、高铁轨道嵌缝密封胶、机车车头机构密封胶、机车车床粘结剂和机车内装密封胶。2)优化高性能碳纤维复合材料等轻量化材料，提升弹性垫板组合料和热塑性聚酯弹性体。3)发展车体隔热绝缘材料。</w:t>
      </w:r>
    </w:p>
    <w:p w14:paraId="3D54809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48" name="图片 37"/>
            <wp:cNvGraphicFramePr/>
            <a:graphic xmlns:a="http://schemas.openxmlformats.org/drawingml/2006/main">
              <a:graphicData uri="http://schemas.openxmlformats.org/drawingml/2006/picture">
                <pic:pic xmlns:pic="http://schemas.openxmlformats.org/drawingml/2006/picture">
                  <pic:nvPicPr>
                    <pic:cNvPr id="148"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新一代信息技术产业</w:t>
      </w:r>
    </w:p>
    <w:p w14:paraId="412BE48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电子信息产业是新一轮国际产业竞争分工重构的核心区域，其战略意义在全球化背景下日益突出。2018年，国内电子信息产业规模稳步扩大，结构调整深化，体系不断完善，相关化工新材料产品主要应用领域为集成电路、平板显示器和印制电路板等。</w:t>
      </w:r>
    </w:p>
    <w:p w14:paraId="239F58E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国内电子信息产业化工新材料市场规模1326亿元，其中集成电路(IC)用化学品规模约为597亿元，平板显示器(FPD)用化学品为317亿元，印制电路板(PCB)用化学品为325亿元，其他电子化学品约为87亿元。目前我国电子信息技术领域用化工新材料发展已进入成长期，预计未来几年市场增长率在15%左右。</w:t>
      </w:r>
    </w:p>
    <w:p w14:paraId="6611F0F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一代信息技术用化工新材料的发展趋势为：1)半导体集成电路领域重点发展深紫外、极紫外、电子束光刻胶，化学研磨抛光(CMP)浆料，高纯试剂和气体、高纯光致产酸剂，靶材，发光二极管(LED)、大功率半导体器件等用封装材料。2)印制线路板重点发展环保、高耐热、高频高速低耗覆铜板及挠性板用高性能绝缘树脂。3)信息记录领域重点发展激光打印产业有机光导材料(OPCM)、非卤代烃溶解的高透明聚碳酸酯(Z-PC)树脂、纳米复合金属氧化物导电材料。4)新型显示器件领域重点发展液晶聚合物(LCP)、有机发光二极管(OLED)、新型显示用光刻胶及其关键原材料、补偿膜、电容触摸屏导电膜等。未来，在满足未来物联网、智慧城市、智能化生产的发展要求方面，重点面向传感器、传输设备、智能芯片和终端显示产品对信息与智能材料的需求，相关材料与技术包括微纳器件制造与封装材料、表面功能薄膜材料、光电材料、光纤材料、RFID材料、</w:t>
      </w:r>
    </w:p>
    <w:p w14:paraId="5C6D12E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建筑节能材料、硅衬底、柔性显示膜与功能涂层工艺等；发展磁性、应力、光敏感等材料，发展微、纳尺度的磁电敏感材料、柔性磁电薄膜类材料；发展微纳加工技术，满足物联网、可穿戴器件的需求。</w:t>
      </w:r>
    </w:p>
    <w:p w14:paraId="5715910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49" name="图片 37"/>
            <wp:cNvGraphicFramePr/>
            <a:graphic xmlns:a="http://schemas.openxmlformats.org/drawingml/2006/main">
              <a:graphicData uri="http://schemas.openxmlformats.org/drawingml/2006/picture">
                <pic:pic xmlns:pic="http://schemas.openxmlformats.org/drawingml/2006/picture">
                  <pic:nvPicPr>
                    <pic:cNvPr id="149"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航空航天领域</w:t>
      </w:r>
    </w:p>
    <w:p w14:paraId="6D3D0A0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航空航天材料是一类非常特殊的材料，它与军事应用密切相关。与此同时，航空航天材料的进步又对现代工业产生了深远的影响。推动航空航天领域新材料新工艺的发展，能够引领和带动相关技术进步和产业发展，衍生出更为广泛的、军民两用的新材料和新工艺。当今航空航天行业被广泛运用的先进材料可被分为四大类，即：钛合金、先进复合材料、铝锌合金、超高强度钢，其中化工新材料通常与金属新材料一起用于航空航天用复合材料，目前主要指有较高强度和模量的硼纤维、碳纤维、芳纶等增强的复合材料。</w:t>
      </w:r>
    </w:p>
    <w:p w14:paraId="3A1B46E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化工新材料在我国航空航天领域的市场规模约为120亿元左右，未来随着我国航空航天技术不断创新，如国产大飞机C919进入后续的测试、生产和交付阶段，材料国产化率的提高，航空航天用化工新材料的年均增长率约为20%，预计到2020年我国航空航天用化工新材料的市场规模约为500亿元。</w:t>
      </w:r>
    </w:p>
    <w:p w14:paraId="465373D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未来，为适应航空航天材料高比强度、高比刚度、耐高温、耐腐蚀、抗疲劳等性能要求，针对航空航天飞行器结构用符合材料及航空电线电缆材料、密封材料、润滑材料等方面的短板，着力发展高强度高模量纤维、密封性能优异的生胶，以及高性能特种工程塑料及其合金材料，优化提升耐高、低温润滑脂产品质量。重点突破高强高模聚酰亚胺(PI)纤维；耐高、低温聚酰亚胺树脂；聚芳醚；航空航天线缆用乙烯-四氟乙烯共聚物(ETFE)；氟硅生胶；聚芳醚醚腈；聚对苯二甲酸1,4-环己烷二甲醇酯；聚对苯撑苯并二恶唑(PBO)纤维等材料。优化提升我国航空航天级高强度高模量碳纤维；复合材料和航天电子设备用芳纶和高性能超高分子量聚存在问题</w:t>
      </w:r>
    </w:p>
    <w:p w14:paraId="4E5E7C6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0" name="图片 37"/>
            <wp:cNvGraphicFramePr/>
            <a:graphic xmlns:a="http://schemas.openxmlformats.org/drawingml/2006/main">
              <a:graphicData uri="http://schemas.openxmlformats.org/drawingml/2006/picture">
                <pic:pic xmlns:pic="http://schemas.openxmlformats.org/drawingml/2006/picture">
                  <pic:nvPicPr>
                    <pic:cNvPr id="150"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部分化工新材料国内尚未产业化</w:t>
      </w:r>
    </w:p>
    <w:p w14:paraId="2462DC1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部分化工新材料产品目前国内仍未实现大规模工业化生产。在高性能树脂领域，国内目前尚属空白的产品主要有茂金属聚丙烯等高端聚烯烃、聚醚醚腈等特种工程塑料、可熔性聚四氟乙烯等特种氟树脂；在特种合成橡胶领域，SEPS、聚酰亚胺型热塑性弹性体和聚酯型弹性体等新型热塑性弹性体仍未实现工业化生产；在功能性膜材料领域，PVF等高端膜材料还没有实现大规模产业化。</w:t>
      </w:r>
    </w:p>
    <w:p w14:paraId="7B5E5EF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部分化工新材料产品，如通用级碳纤维处于产业化起步阶段，虽然已建成工业化生产装置，但成品率低、成本高于进口产品价格，亟需完善工业化技术，降低生产成本，实现正常生产。</w:t>
      </w:r>
    </w:p>
    <w:p w14:paraId="3B4992F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另外，部分化工新材料产品虽然国内已有生产，但全部由外资企业生产，对于内资企业尚属空白。</w:t>
      </w:r>
    </w:p>
    <w:p w14:paraId="2DA385E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1" name="图片 37"/>
            <wp:cNvGraphicFramePr/>
            <a:graphic xmlns:a="http://schemas.openxmlformats.org/drawingml/2006/main">
              <a:graphicData uri="http://schemas.openxmlformats.org/drawingml/2006/picture">
                <pic:pic xmlns:pic="http://schemas.openxmlformats.org/drawingml/2006/picture">
                  <pic:nvPicPr>
                    <pic:cNvPr id="151"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部分化工新材料虽已国产化但仅能生产中低端牌号</w:t>
      </w:r>
    </w:p>
    <w:p w14:paraId="1B45BD5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部分化工新材料产品虽然已经国产化但产品质量与进口产品差距较大，只能满足中低端要求。在高性能树脂领域，此类产品主要有茂金属催化聚乙烯等高端聚烯烃、聚甲醛和聚苯醚等工程塑料、聚偏氟乙烯和聚全氟乙丙烯等氟硅树脂；在特种橡胶领域，主要有乙丙橡胶、丙烯酸酯橡胶等石油基特种橡胶和聚氨酯弹性体等热塑性弹性体；在功能膜领域，主要有PVDF太阳能背板膜和液晶显示器用TAC膜；在电子化学品领域，液晶材料、偏光片、光刻胶、OLED、三元正极材料如NCA、太阳能电池浆料、锂电池用高端阻燃剂等多种材料属于此类。</w:t>
      </w:r>
    </w:p>
    <w:p w14:paraId="4ADE752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2" name="图片 37"/>
            <wp:cNvGraphicFramePr/>
            <a:graphic xmlns:a="http://schemas.openxmlformats.org/drawingml/2006/main">
              <a:graphicData uri="http://schemas.openxmlformats.org/drawingml/2006/picture">
                <pic:pic xmlns:pic="http://schemas.openxmlformats.org/drawingml/2006/picture">
                  <pic:nvPicPr>
                    <pic:cNvPr id="152"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部分化工新材料关键配套原料国内尚未产业化</w:t>
      </w:r>
    </w:p>
    <w:p w14:paraId="685FEA8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部分化工新材料的关键配套单体国内尚未工业化生产，严重制约化工新材料的发展。在高性能树脂领域，八碳及其以上的高碳α烯烃尚未国产化，制约高碳α烯烃工具聚乙烯的发展；己二腈完全依靠进口，制约聚酰胺工程塑料的发展；CHDM供应困难制约PCT和PETG等特种聚酯的发展；1,3-丙二醇依赖进口制约PTT的发展；IPDI和H12MDI等特种异氰酸酯国内空白，制约高端聚氨酯材料的发展；在高性能合成橡胶领域，异戊二烯的供应仅限于乙烯联产，从数量和成本上都无法保障异戊橡胶的发展，继续发展异丁烯合成异戊二烯。在功能膜材料领域，分离膜用的PVDF树脂国内尚未实现大规模生产，国内PVDF树脂主要是涂料级产品。</w:t>
      </w:r>
    </w:p>
    <w:p w14:paraId="5006758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3" name="图片 37"/>
            <wp:cNvGraphicFramePr/>
            <a:graphic xmlns:a="http://schemas.openxmlformats.org/drawingml/2006/main">
              <a:graphicData uri="http://schemas.openxmlformats.org/drawingml/2006/picture">
                <pic:pic xmlns:pic="http://schemas.openxmlformats.org/drawingml/2006/picture">
                  <pic:nvPicPr>
                    <pic:cNvPr id="153"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部分化工新材料的特种改性产品和特种制品国内空白</w:t>
      </w:r>
    </w:p>
    <w:p w14:paraId="0D82CE8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针对不同的细分市场，需要对不同类型的化工新材料进行改性，以达到最佳性价比。目前国内部分化工新材料的特种改性产品，如发动机进气歧管用特种改性尼龙主要依靠进口。</w:t>
      </w:r>
    </w:p>
    <w:p w14:paraId="316E608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4" name="图片 37"/>
            <wp:cNvGraphicFramePr/>
            <a:graphic xmlns:a="http://schemas.openxmlformats.org/drawingml/2006/main">
              <a:graphicData uri="http://schemas.openxmlformats.org/drawingml/2006/picture">
                <pic:pic xmlns:pic="http://schemas.openxmlformats.org/drawingml/2006/picture">
                  <pic:nvPicPr>
                    <pic:cNvPr id="154"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部分化工新材料市场潜力巨大，但仍需加强推广</w:t>
      </w:r>
    </w:p>
    <w:p w14:paraId="203DE3A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例如异戊橡胶在俄罗斯已经全部替代天然橡胶用做轮胎，天然橡胶占我国橡胶消费量45%以上，80%以上依靠进口，继续推广应用异戊橡胶弥补天然橡胶的供应不足，因此应当完善优化加工成型技术，进行各类异戊橡胶轮胎的应用验证，加快异戊橡胶在轮胎领域的推广。</w:t>
      </w:r>
    </w:p>
    <w:p w14:paraId="5DC6B75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6.1.1.2发展趋势</w:t>
      </w:r>
    </w:p>
    <w:p w14:paraId="3201DED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未来化工新材料行业的发展将主要集中在三个方向：一是提升化工新材料自身的发展水平，重点加快国内空白品种的产业化，并提高国内已有品种的质量水平；二是突破上游关键配套原料的供应瓶颈；三是延伸发展下游高端制品并加快化工新材料在新应用领域的推广。</w:t>
      </w:r>
    </w:p>
    <w:p w14:paraId="25F2BAD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除以上汽车、轨道交通、航空航天等领域的化工新材料外，新能源、大健康、节能环保领域所需的新材料产业分析如下。</w:t>
      </w:r>
    </w:p>
    <w:p w14:paraId="5C1BBC73">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6.1.2新能源材料产业</w:t>
      </w:r>
    </w:p>
    <w:p w14:paraId="79CFAAB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6.1.2.1发展概况</w:t>
      </w:r>
    </w:p>
    <w:p w14:paraId="7FF7812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新能源又称非常规能源，一般指在新技术基础上，可系统地开发利用的可再生能源，包含了传统能源之外的各种能源形式，主要包括核能、太阳能、风能、地热能、海洋能和氢能等。2008年金融危机爆发后，各国都将新能源发展提升到前所未有的高度，对新能源的投入呈现加速之势。据悉，目前全球已有近50个国家和地区将实施新能源政策。目前，行业的热电和增长点主要来自于新能源汽车领域。</w:t>
      </w:r>
    </w:p>
    <w:p w14:paraId="356B657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传统汽车一般以汽柴油(化石能源)作为燃料，新能源汽车一般指采用非常规的车用燃料作为动力来源(或使用常规的车用燃料、采用新型车载动力装置)，综合车辆的动力控制和驱动方面的先进技术，形成的技术原理先进，具有新动力系统的汽车。新能源汽车采用可再生能源代替石油，同时尾气多为水和二氧化碳，甚至零排放，废气排放量比较低，能源利用率比较高，近年来成为各国大力扶持的新产业。汽车行业未来的一个趋势是：新能源车占比会愈来愈高，而传统的汽柴油车占比将不断下降。目前市场化的新能源汽车采用的动力来源一般为电池系统，由此，锂电池和氢燃料电池成为新能源的关注热点。其中，氢燃料电池整体技术国内落后国外5年。中国目前是国外上一代技术，相差半代。比如，中国相关企业氢燃料电池的稳定寿命还在2000小时左右，而国际先进技术已经可以达8000小时左右，而氢燃料电池设计寿命要达到5000小时才能达到产业化目标要求。目前市场热点主要聚焦在锂电池方面。值得注意的是，随着新能源汽车的发展，氢能利用将受到更多的关注，研发力度也将持续加大。在2016年10月召开的中国汽车工程学会年会上，国家制造强国建设战略咨询委员会、工业和信息化部委托编制的《节能与新能源汽车技术路线图》发布，文中描绘了未来十五年我国汽车产业技术的发展蓝图。文中指出，在应用领域上，中型及以下车型规模化发展纯电动乘用车为主，实现纯电动技术在家庭用车、公务用车、租赁服务以及短途商用车等领域的推广应用；以紧凑型及以上车型规模化发展插电式混合动力乘用车为主，实现插电式混合动力技术在私人用车、公务用车以及其他日均行驶里程较短的领域推广应用。特别提出，通过提高动力电池能量密度等途径实现纯电动乘用车续航里程的提升，从2020年的300 km提升至2030年的500 km；电池的单体能量密度从2020年的350 Wh/kg增至2030年的500Wh/kg。</w:t>
      </w:r>
    </w:p>
    <w:p w14:paraId="6087D79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5" name="图片 37"/>
            <wp:cNvGraphicFramePr/>
            <a:graphic xmlns:a="http://schemas.openxmlformats.org/drawingml/2006/main">
              <a:graphicData uri="http://schemas.openxmlformats.org/drawingml/2006/picture">
                <pic:pic xmlns:pic="http://schemas.openxmlformats.org/drawingml/2006/picture">
                  <pic:nvPicPr>
                    <pic:cNvPr id="155"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新能源汽车动力电池行业</w:t>
      </w:r>
    </w:p>
    <w:p w14:paraId="20056B2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2018年，我国动力电池累计产量达65 GWh，同比增长46%。出货量继续保持高速增长态势，主要受下游新能源汽车产量同比增长49%带动，2018年中国新能源汽车产量122万辆，同比增长50.5%。</w:t>
      </w:r>
    </w:p>
    <w:p w14:paraId="3273BCC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技术路线来看，2018年三元动力电池的比例有较大上升，从2015年的23%上升至2018年的65%，之前受新版补贴将以动力电池组能量密度为调整系数影响，2018年三元动力电池的占比将继续上升，高克容量材料(高镍三元材料、硅碳负极等)被批量使用。</w:t>
      </w:r>
    </w:p>
    <w:p w14:paraId="06B07A3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产值来看，2018年动力电池市场规模为820亿元，同比增长13%，增速远小于出货量增速，主要系2014年以来动力电池价格保持年均20%左右的下滑速度，2018年底容量型动力电池均价为1.15~1.3元/Wh,较2017年底降幅超过20%。</w:t>
      </w:r>
    </w:p>
    <w:p w14:paraId="6FC10F4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产能来看，动力电池企业新建产能企业变得集中，2018年主要是三股势力在继续产能建设。动力电池企业数量骤减，从2017年135家减少至90家，减少的动力电池企业主要进行转型、暂停动力业务、开发低速车等市场为出路。</w:t>
      </w:r>
    </w:p>
    <w:p w14:paraId="06ABFA5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6" name="图片 37"/>
            <wp:cNvGraphicFramePr/>
            <a:graphic xmlns:a="http://schemas.openxmlformats.org/drawingml/2006/main">
              <a:graphicData uri="http://schemas.openxmlformats.org/drawingml/2006/picture">
                <pic:pic xmlns:pic="http://schemas.openxmlformats.org/drawingml/2006/picture">
                  <pic:nvPicPr>
                    <pic:cNvPr id="156"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低速电动车行业</w:t>
      </w:r>
    </w:p>
    <w:p w14:paraId="4D98CF4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低速电动车广泛的定义可以涵盖电动自行车、电动摩托车、电动三轮车、低速电动汽车等。低速电动车国家性政策虽仍未出台，地方性合法管理的推动进程却从未停息。2018年，国内低速电动车行业所用动力电池用量约为4.1 GWh，锂电池普及率仅为15%。</w:t>
      </w:r>
    </w:p>
    <w:p w14:paraId="720694B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7" name="图片 37"/>
            <wp:cNvGraphicFramePr/>
            <a:graphic xmlns:a="http://schemas.openxmlformats.org/drawingml/2006/main">
              <a:graphicData uri="http://schemas.openxmlformats.org/drawingml/2006/picture">
                <pic:pic xmlns:pic="http://schemas.openxmlformats.org/drawingml/2006/picture">
                  <pic:nvPicPr>
                    <pic:cNvPr id="157"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3C小家电行业</w:t>
      </w:r>
    </w:p>
    <w:p w14:paraId="161DA2A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近年来随着三大电子产品的市场达到一定渗透率后逐渐趋于饱和，增长动力不足，产量为29.5 GWh，年均增速约为5%。</w:t>
      </w:r>
    </w:p>
    <w:p w14:paraId="1D26486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8" name="图片 37"/>
            <wp:cNvGraphicFramePr/>
            <a:graphic xmlns:a="http://schemas.openxmlformats.org/drawingml/2006/main">
              <a:graphicData uri="http://schemas.openxmlformats.org/drawingml/2006/picture">
                <pic:pic xmlns:pic="http://schemas.openxmlformats.org/drawingml/2006/picture">
                  <pic:nvPicPr>
                    <pic:cNvPr id="158"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储能行业</w:t>
      </w:r>
    </w:p>
    <w:p w14:paraId="7EA0B92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随着我国电力体制改革不断深化和能源互联网兴起、“三北”地区调峰调频需求的增加以及弃风弃光问题的凸显，储能在可再生能源消纳、分布式发电和微网等领域的应用价值越来越受重视。同时随着国内出台扶持政策，以及锂电池价格逐步下行，现阶段我国储能领域发展呈现逐年上涨趋势，处于快速发展阶段。</w:t>
      </w:r>
    </w:p>
    <w:p w14:paraId="35DFF7D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至2018年底，中国电化学储能市场累积装机功率规模为1033.7 MW,同比增长146%；中国电化学储能市场累积装机容量为3103 MWh，同比增长127%。</w:t>
      </w:r>
    </w:p>
    <w:p w14:paraId="54A2A49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技术路线来看，在装机功率占比方面，磷酸铁锂储能技术占比最高,高达57.8%,其次是铅蓄电池(25.5%)、三元锂电池(10.8%)；在装机容量占比方面,铅蓄电池占比最高,高达51.7%，其次是磷酸铁锂(37.0%)、三元锂电池(5.2%)。</w:t>
      </w:r>
    </w:p>
    <w:p w14:paraId="3A98BF5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在储能锂电池巨大应用前景的吸引下，布局者逐渐增多。</w:t>
      </w:r>
    </w:p>
    <w:p w14:paraId="1709DF8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59" name="图片 37"/>
            <wp:cNvGraphicFramePr/>
            <a:graphic xmlns:a="http://schemas.openxmlformats.org/drawingml/2006/main">
              <a:graphicData uri="http://schemas.openxmlformats.org/drawingml/2006/picture">
                <pic:pic xmlns:pic="http://schemas.openxmlformats.org/drawingml/2006/picture">
                  <pic:nvPicPr>
                    <pic:cNvPr id="159"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燃料电池行业</w:t>
      </w:r>
    </w:p>
    <w:p w14:paraId="6C9583A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氢燃料电池汽车具有零排放、续驶里程长、燃料加注快的典型特点，是未来汽车行业发展的重要趋势之一。同时，发展氢燃料电池汽车，对改善能源结构，发展低碳交通，具有非常显著的意义。近几年，国内多省市建设加氢站，布局燃料电池产业项目，众多企业也加入燃料电池发展的大军，共同推动燃料电池汽车产业发展。</w:t>
      </w:r>
    </w:p>
    <w:p w14:paraId="47DC37E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1966年，NASA研发出首部氢燃料电池车，1966年，世界上第一辆燃料电池汽车奔驰NECARI问世。2007年，美国国防后勤局(DLA)投入500万美元资助巴拉德燃料电池公司研发并生产燃料叉车。2008年，日本和欧洲相继突出了燃料电池叉车。2010年，燃料电池汽车逐渐进入视野。</w:t>
      </w:r>
    </w:p>
    <w:p w14:paraId="79D2DB3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2013年，现代Tucson FCV率先下线成为第一台量产的燃料电池汽车；2014年，丰田Mirai在日本上市，实现量产，该车拥有650公里的续航里程、3分钟的加氢时间。2008年奥运会期间，有3辆燃料电池客车参与示范(清华与福田)；2010年世博会期间，有6辆燃料电池客车参与示范(同济3辆，清华3辆)；2010年新加坡青奥会期间，2辆燃料电池客车参与示范(清华和海格)。</w:t>
      </w:r>
    </w:p>
    <w:p w14:paraId="7F70676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作为三种新能源汽车(纯电动汽车、混合动力汽车、燃料电池汽车)之一，燃料电池汽车相比于其他两种，其所需的制氢技术以及大规模储氢技术更加复杂，是制约其发展的瓶颈，因此一直以来发展速度较慢。不过情况开始出现改观，近年来燃料电池汽车量产化的逐步成熟使得交通运输燃料电池在2015年迎来爆发，兆瓦出货量达到113.6MW，同比增长272.85%，电池出货量达到5200件，同比增长68.97%，涨势凶猛。PEMFC是目前最主要的燃料电池类型，2016年出货量占全部燃料电池出货量的71.93%，兆瓦出货量占全部燃料电池出货量的65.02%。</w:t>
      </w:r>
    </w:p>
    <w:p w14:paraId="77CEF21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以我国情况来看，目前配套技术还不够成熟，据工信部公布数据，2015年全国燃料电池汽车产量仅有10辆。国务院《中国制造2025》提出2020年生产1000辆燃料电池汽车并示范运行。2016年燃料电池汽车获得国家支持力度进一步加大，国家发改委和能源局发布能源技术革命创新行动计划(2016-2030)中第9项提及了氢能和燃料电池的创新，燃料电池获得明确的发展方向，计划在2030年实现燃料电池和氢能的大规模推广应用。</w:t>
      </w:r>
    </w:p>
    <w:p w14:paraId="393A1FA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随着新能源汽车的发展，锂电池材料的下游需求日益增加，近年来市场规模迅速扩张，自给率不断上升，锂电池行业发展逐渐由政策驱动转向市场驱动。纯电动汽车续航里程增加，对锂电池能量密度提出更高的要求，三元正极、硅碳负极等新一代锂电池材料技术不断成熟，产业化进程不断推进，从长远发展来看，锂电池材料将面临激烈的竞争，部分企业将被淘汰出局。锂离子电池下游主要应用领域涉及新能源汽车、3C数码小家电、低速电动汽车和储能等几大行业。按下游各行业的发展趋势及技术的进展，保守估计预计到2020年，国内新能源汽车用锂电规模将达到111.2 GWh，低速电动车用锂离子电池规模将达到9.5GWh，3C数码小家电用锂离子电池规模将达到32.4 GWh，储能电池用锂离子电池规模将达到6.7 GWh，占比分别为69.6%、5.9%、20.3%和9.9%；到2025年，新能源汽车、低速电动车、3C数码小家电、储能用锂电池规模将进一步增至384.8 GWh、24.9 GWh、41.3 GWh、60.3 GWh，占比分别为75.3%、4.9%、8.1%、11.8%。</w:t>
      </w:r>
    </w:p>
    <w:p w14:paraId="03BA4FFA">
      <w:pPr>
        <w:keepNext w:val="0"/>
        <w:keepLines w:val="0"/>
        <w:pageBreakBefore w:val="0"/>
        <w:widowControl w:val="0"/>
        <w:wordWrap/>
        <w:overflowPunct/>
        <w:bidi w:val="0"/>
        <w:spacing w:before="75" w:line="224" w:lineRule="auto"/>
        <w:ind w:left="3463"/>
      </w:pPr>
      <w:r>
        <w:rPr>
          <w:rFonts w:ascii="黑体" w:hAnsi="黑体" w:eastAsia="黑体" w:cs="黑体"/>
          <w:spacing w:val="10"/>
          <w:sz w:val="23"/>
          <w:szCs w:val="23"/>
        </w:rPr>
        <w:t>锂离子电池规模预</w:t>
      </w:r>
      <w:r>
        <w:rPr>
          <w:rFonts w:ascii="黑体" w:hAnsi="黑体" w:eastAsia="黑体" w:cs="黑体"/>
          <w:spacing w:val="9"/>
          <w:sz w:val="23"/>
          <w:szCs w:val="23"/>
        </w:rPr>
        <w:t>测</w:t>
      </w:r>
    </w:p>
    <w:tbl>
      <w:tblPr>
        <w:tblStyle w:val="9"/>
        <w:tblW w:w="844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64"/>
        <w:gridCol w:w="2544"/>
        <w:gridCol w:w="1232"/>
        <w:gridCol w:w="1233"/>
        <w:gridCol w:w="1233"/>
        <w:gridCol w:w="1238"/>
      </w:tblGrid>
      <w:tr w14:paraId="1B2CD3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64" w:type="dxa"/>
            <w:vMerge w:val="restart"/>
            <w:tcBorders>
              <w:tl2br w:val="nil"/>
              <w:tr2bl w:val="nil"/>
            </w:tcBorders>
            <w:noWrap w:val="0"/>
            <w:vAlign w:val="top"/>
          </w:tcPr>
          <w:p w14:paraId="5CA248EC">
            <w:pPr>
              <w:keepNext w:val="0"/>
              <w:keepLines w:val="0"/>
              <w:pageBreakBefore w:val="0"/>
              <w:widowControl w:val="0"/>
              <w:wordWrap/>
              <w:overflowPunct/>
              <w:bidi w:val="0"/>
              <w:spacing w:before="204" w:line="225" w:lineRule="auto"/>
              <w:ind w:left="247"/>
              <w:rPr>
                <w:rFonts w:ascii="仿宋" w:hAnsi="仿宋" w:eastAsia="仿宋" w:cs="仿宋"/>
                <w:sz w:val="23"/>
                <w:szCs w:val="23"/>
              </w:rPr>
            </w:pPr>
            <w:r>
              <w:rPr>
                <w:rFonts w:ascii="仿宋" w:hAnsi="仿宋" w:eastAsia="仿宋" w:cs="仿宋"/>
                <w:spacing w:val="6"/>
                <w:sz w:val="23"/>
                <w:szCs w:val="23"/>
              </w:rPr>
              <w:t>序号</w:t>
            </w:r>
          </w:p>
        </w:tc>
        <w:tc>
          <w:tcPr>
            <w:tcW w:w="2544" w:type="dxa"/>
            <w:vMerge w:val="restart"/>
            <w:tcBorders>
              <w:tl2br w:val="nil"/>
              <w:tr2bl w:val="nil"/>
            </w:tcBorders>
            <w:noWrap w:val="0"/>
            <w:vAlign w:val="top"/>
          </w:tcPr>
          <w:p w14:paraId="09C49E06">
            <w:pPr>
              <w:keepNext w:val="0"/>
              <w:keepLines w:val="0"/>
              <w:pageBreakBefore w:val="0"/>
              <w:widowControl w:val="0"/>
              <w:wordWrap/>
              <w:overflowPunct/>
              <w:bidi w:val="0"/>
              <w:spacing w:before="204" w:line="225" w:lineRule="auto"/>
              <w:ind w:left="199"/>
              <w:rPr>
                <w:rFonts w:ascii="仿宋" w:hAnsi="仿宋" w:eastAsia="仿宋" w:cs="仿宋"/>
                <w:sz w:val="23"/>
                <w:szCs w:val="23"/>
              </w:rPr>
            </w:pPr>
            <w:r>
              <w:rPr>
                <w:rFonts w:ascii="仿宋" w:hAnsi="仿宋" w:eastAsia="仿宋" w:cs="仿宋"/>
                <w:spacing w:val="13"/>
                <w:sz w:val="23"/>
                <w:szCs w:val="23"/>
              </w:rPr>
              <w:t>分</w:t>
            </w:r>
            <w:r>
              <w:rPr>
                <w:rFonts w:ascii="仿宋" w:hAnsi="仿宋" w:eastAsia="仿宋" w:cs="仿宋"/>
                <w:spacing w:val="9"/>
                <w:sz w:val="23"/>
                <w:szCs w:val="23"/>
              </w:rPr>
              <w:t>领域用锂离子电池</w:t>
            </w:r>
          </w:p>
        </w:tc>
        <w:tc>
          <w:tcPr>
            <w:tcW w:w="1232" w:type="dxa"/>
            <w:tcBorders>
              <w:tl2br w:val="nil"/>
              <w:tr2bl w:val="nil"/>
            </w:tcBorders>
            <w:noWrap w:val="0"/>
            <w:vAlign w:val="top"/>
          </w:tcPr>
          <w:p w14:paraId="530D558C">
            <w:pPr>
              <w:keepNext w:val="0"/>
              <w:keepLines w:val="0"/>
              <w:pageBreakBefore w:val="0"/>
              <w:widowControl w:val="0"/>
              <w:wordWrap/>
              <w:overflowPunct/>
              <w:bidi w:val="0"/>
              <w:spacing w:before="40" w:line="224" w:lineRule="auto"/>
              <w:ind w:left="203"/>
              <w:rPr>
                <w:rFonts w:ascii="仿宋" w:hAnsi="仿宋" w:eastAsia="仿宋" w:cs="仿宋"/>
                <w:sz w:val="23"/>
                <w:szCs w:val="23"/>
              </w:rPr>
            </w:pPr>
            <w:r>
              <w:rPr>
                <w:rFonts w:ascii="Arial" w:hAnsi="Arial" w:eastAsia="Arial" w:cs="Arial"/>
                <w:b/>
                <w:bCs/>
                <w:spacing w:val="4"/>
                <w:sz w:val="23"/>
                <w:szCs w:val="23"/>
              </w:rPr>
              <w:t>2020</w:t>
            </w:r>
            <w:r>
              <w:rPr>
                <w:rFonts w:ascii="仿宋" w:hAnsi="仿宋" w:eastAsia="仿宋" w:cs="仿宋"/>
                <w:spacing w:val="3"/>
                <w:sz w:val="23"/>
                <w:szCs w:val="23"/>
              </w:rPr>
              <w:t>年</w:t>
            </w:r>
          </w:p>
        </w:tc>
        <w:tc>
          <w:tcPr>
            <w:tcW w:w="1233" w:type="dxa"/>
            <w:tcBorders>
              <w:tl2br w:val="nil"/>
              <w:tr2bl w:val="nil"/>
            </w:tcBorders>
            <w:noWrap w:val="0"/>
            <w:vAlign w:val="top"/>
          </w:tcPr>
          <w:p w14:paraId="00D268E0">
            <w:pPr>
              <w:keepNext w:val="0"/>
              <w:keepLines w:val="0"/>
              <w:pageBreakBefore w:val="0"/>
              <w:widowControl w:val="0"/>
              <w:wordWrap/>
              <w:overflowPunct/>
              <w:bidi w:val="0"/>
              <w:spacing w:before="40" w:line="224" w:lineRule="auto"/>
              <w:ind w:left="422"/>
              <w:rPr>
                <w:rFonts w:ascii="仿宋" w:hAnsi="仿宋" w:eastAsia="仿宋" w:cs="仿宋"/>
                <w:sz w:val="23"/>
                <w:szCs w:val="23"/>
              </w:rPr>
            </w:pPr>
            <w:r>
              <w:rPr>
                <w:rFonts w:ascii="仿宋" w:hAnsi="仿宋" w:eastAsia="仿宋" w:cs="仿宋"/>
                <w:spacing w:val="4"/>
                <w:sz w:val="23"/>
                <w:szCs w:val="23"/>
              </w:rPr>
              <w:t>占</w:t>
            </w:r>
            <w:r>
              <w:rPr>
                <w:rFonts w:ascii="仿宋" w:hAnsi="仿宋" w:eastAsia="仿宋" w:cs="仿宋"/>
                <w:spacing w:val="3"/>
                <w:sz w:val="23"/>
                <w:szCs w:val="23"/>
              </w:rPr>
              <w:t>比</w:t>
            </w:r>
          </w:p>
        </w:tc>
        <w:tc>
          <w:tcPr>
            <w:tcW w:w="1233" w:type="dxa"/>
            <w:tcBorders>
              <w:tl2br w:val="nil"/>
              <w:tr2bl w:val="nil"/>
            </w:tcBorders>
            <w:noWrap w:val="0"/>
            <w:vAlign w:val="top"/>
          </w:tcPr>
          <w:p w14:paraId="5E078FAA">
            <w:pPr>
              <w:keepNext w:val="0"/>
              <w:keepLines w:val="0"/>
              <w:pageBreakBefore w:val="0"/>
              <w:widowControl w:val="0"/>
              <w:wordWrap/>
              <w:overflowPunct/>
              <w:bidi w:val="0"/>
              <w:spacing w:before="40" w:line="224" w:lineRule="auto"/>
              <w:ind w:left="205"/>
              <w:rPr>
                <w:rFonts w:ascii="仿宋" w:hAnsi="仿宋" w:eastAsia="仿宋" w:cs="仿宋"/>
                <w:sz w:val="23"/>
                <w:szCs w:val="23"/>
              </w:rPr>
            </w:pPr>
            <w:r>
              <w:rPr>
                <w:rFonts w:ascii="Arial" w:hAnsi="Arial" w:eastAsia="Arial" w:cs="Arial"/>
                <w:b/>
                <w:bCs/>
                <w:spacing w:val="4"/>
                <w:sz w:val="23"/>
                <w:szCs w:val="23"/>
              </w:rPr>
              <w:t>2025</w:t>
            </w:r>
            <w:r>
              <w:rPr>
                <w:rFonts w:ascii="仿宋" w:hAnsi="仿宋" w:eastAsia="仿宋" w:cs="仿宋"/>
                <w:spacing w:val="3"/>
                <w:sz w:val="23"/>
                <w:szCs w:val="23"/>
              </w:rPr>
              <w:t>年</w:t>
            </w:r>
          </w:p>
        </w:tc>
        <w:tc>
          <w:tcPr>
            <w:tcW w:w="1238" w:type="dxa"/>
            <w:tcBorders>
              <w:tl2br w:val="nil"/>
              <w:tr2bl w:val="nil"/>
            </w:tcBorders>
            <w:noWrap w:val="0"/>
            <w:vAlign w:val="top"/>
          </w:tcPr>
          <w:p w14:paraId="064E08D9">
            <w:pPr>
              <w:keepNext w:val="0"/>
              <w:keepLines w:val="0"/>
              <w:pageBreakBefore w:val="0"/>
              <w:widowControl w:val="0"/>
              <w:wordWrap/>
              <w:overflowPunct/>
              <w:bidi w:val="0"/>
              <w:spacing w:before="40" w:line="224" w:lineRule="auto"/>
              <w:ind w:left="423"/>
              <w:rPr>
                <w:rFonts w:ascii="仿宋" w:hAnsi="仿宋" w:eastAsia="仿宋" w:cs="仿宋"/>
                <w:sz w:val="23"/>
                <w:szCs w:val="23"/>
              </w:rPr>
            </w:pPr>
            <w:r>
              <w:rPr>
                <w:rFonts w:ascii="仿宋" w:hAnsi="仿宋" w:eastAsia="仿宋" w:cs="仿宋"/>
                <w:spacing w:val="4"/>
                <w:sz w:val="23"/>
                <w:szCs w:val="23"/>
              </w:rPr>
              <w:t>占</w:t>
            </w:r>
            <w:r>
              <w:rPr>
                <w:rFonts w:ascii="仿宋" w:hAnsi="仿宋" w:eastAsia="仿宋" w:cs="仿宋"/>
                <w:spacing w:val="3"/>
                <w:sz w:val="23"/>
                <w:szCs w:val="23"/>
              </w:rPr>
              <w:t>比</w:t>
            </w:r>
          </w:p>
        </w:tc>
      </w:tr>
      <w:tr w14:paraId="7D401D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964" w:type="dxa"/>
            <w:vMerge w:val="continue"/>
            <w:tcBorders>
              <w:tl2br w:val="nil"/>
              <w:tr2bl w:val="nil"/>
            </w:tcBorders>
            <w:noWrap w:val="0"/>
            <w:vAlign w:val="top"/>
          </w:tcPr>
          <w:p w14:paraId="00582680">
            <w:pPr>
              <w:keepNext w:val="0"/>
              <w:keepLines w:val="0"/>
              <w:pageBreakBefore w:val="0"/>
              <w:widowControl w:val="0"/>
              <w:wordWrap/>
              <w:overflowPunct/>
              <w:bidi w:val="0"/>
              <w:rPr>
                <w:rFonts w:ascii="Arial"/>
                <w:sz w:val="21"/>
              </w:rPr>
            </w:pPr>
          </w:p>
        </w:tc>
        <w:tc>
          <w:tcPr>
            <w:tcW w:w="2544" w:type="dxa"/>
            <w:vMerge w:val="continue"/>
            <w:tcBorders>
              <w:tl2br w:val="nil"/>
              <w:tr2bl w:val="nil"/>
            </w:tcBorders>
            <w:noWrap w:val="0"/>
            <w:vAlign w:val="top"/>
          </w:tcPr>
          <w:p w14:paraId="171FD963">
            <w:pPr>
              <w:keepNext w:val="0"/>
              <w:keepLines w:val="0"/>
              <w:pageBreakBefore w:val="0"/>
              <w:widowControl w:val="0"/>
              <w:wordWrap/>
              <w:overflowPunct/>
              <w:bidi w:val="0"/>
              <w:rPr>
                <w:rFonts w:ascii="Arial"/>
                <w:sz w:val="21"/>
              </w:rPr>
            </w:pPr>
          </w:p>
        </w:tc>
        <w:tc>
          <w:tcPr>
            <w:tcW w:w="1232" w:type="dxa"/>
            <w:tcBorders>
              <w:tl2br w:val="nil"/>
              <w:tr2bl w:val="nil"/>
            </w:tcBorders>
            <w:noWrap w:val="0"/>
            <w:vAlign w:val="top"/>
          </w:tcPr>
          <w:p w14:paraId="17E3C30D">
            <w:pPr>
              <w:keepNext w:val="0"/>
              <w:keepLines w:val="0"/>
              <w:pageBreakBefore w:val="0"/>
              <w:widowControl w:val="0"/>
              <w:wordWrap/>
              <w:overflowPunct/>
              <w:bidi w:val="0"/>
              <w:spacing w:before="1" w:line="317" w:lineRule="exact"/>
              <w:ind w:left="345"/>
              <w:rPr>
                <w:rFonts w:ascii="Arial" w:hAnsi="Arial" w:eastAsia="Arial" w:cs="Arial"/>
                <w:sz w:val="22"/>
                <w:szCs w:val="22"/>
              </w:rPr>
            </w:pPr>
            <w:r>
              <w:rPr>
                <w:rFonts w:ascii="Arial" w:hAnsi="Arial" w:eastAsia="Arial" w:cs="Arial"/>
                <w:b/>
                <w:bCs/>
                <w:spacing w:val="12"/>
                <w:position w:val="2"/>
                <w:sz w:val="22"/>
                <w:szCs w:val="22"/>
              </w:rPr>
              <w:t>G</w:t>
            </w:r>
            <w:r>
              <w:rPr>
                <w:rFonts w:ascii="Arial" w:hAnsi="Arial" w:eastAsia="Arial" w:cs="Arial"/>
                <w:b/>
                <w:bCs/>
                <w:spacing w:val="11"/>
                <w:position w:val="2"/>
                <w:sz w:val="22"/>
                <w:szCs w:val="22"/>
              </w:rPr>
              <w:t>Wh</w:t>
            </w:r>
          </w:p>
        </w:tc>
        <w:tc>
          <w:tcPr>
            <w:tcW w:w="1233" w:type="dxa"/>
            <w:tcBorders>
              <w:tl2br w:val="nil"/>
              <w:tr2bl w:val="nil"/>
            </w:tcBorders>
            <w:noWrap w:val="0"/>
            <w:vAlign w:val="top"/>
          </w:tcPr>
          <w:p w14:paraId="370BCF98">
            <w:pPr>
              <w:keepNext w:val="0"/>
              <w:keepLines w:val="0"/>
              <w:pageBreakBefore w:val="0"/>
              <w:widowControl w:val="0"/>
              <w:wordWrap/>
              <w:overflowPunct/>
              <w:bidi w:val="0"/>
              <w:spacing w:before="1" w:line="317" w:lineRule="exact"/>
              <w:ind w:left="519"/>
              <w:rPr>
                <w:rFonts w:ascii="Arial" w:hAnsi="Arial" w:eastAsia="Arial" w:cs="Arial"/>
                <w:sz w:val="22"/>
                <w:szCs w:val="22"/>
              </w:rPr>
            </w:pPr>
            <w:r>
              <w:rPr>
                <w:rFonts w:ascii="Arial" w:hAnsi="Arial" w:eastAsia="Arial" w:cs="Arial"/>
                <w:b/>
                <w:bCs/>
                <w:spacing w:val="7"/>
                <w:position w:val="2"/>
                <w:sz w:val="22"/>
                <w:szCs w:val="22"/>
              </w:rPr>
              <w:t>%</w:t>
            </w:r>
          </w:p>
        </w:tc>
        <w:tc>
          <w:tcPr>
            <w:tcW w:w="1233" w:type="dxa"/>
            <w:tcBorders>
              <w:tl2br w:val="nil"/>
              <w:tr2bl w:val="nil"/>
            </w:tcBorders>
            <w:noWrap w:val="0"/>
            <w:vAlign w:val="top"/>
          </w:tcPr>
          <w:p w14:paraId="13FEF397">
            <w:pPr>
              <w:keepNext w:val="0"/>
              <w:keepLines w:val="0"/>
              <w:pageBreakBefore w:val="0"/>
              <w:widowControl w:val="0"/>
              <w:wordWrap/>
              <w:overflowPunct/>
              <w:bidi w:val="0"/>
              <w:spacing w:before="1" w:line="317" w:lineRule="exact"/>
              <w:ind w:left="348"/>
              <w:rPr>
                <w:rFonts w:ascii="Arial" w:hAnsi="Arial" w:eastAsia="Arial" w:cs="Arial"/>
                <w:sz w:val="22"/>
                <w:szCs w:val="22"/>
              </w:rPr>
            </w:pPr>
            <w:r>
              <w:rPr>
                <w:rFonts w:ascii="Arial" w:hAnsi="Arial" w:eastAsia="Arial" w:cs="Arial"/>
                <w:b/>
                <w:bCs/>
                <w:spacing w:val="12"/>
                <w:position w:val="2"/>
                <w:sz w:val="22"/>
                <w:szCs w:val="22"/>
              </w:rPr>
              <w:t>GWh</w:t>
            </w:r>
          </w:p>
        </w:tc>
        <w:tc>
          <w:tcPr>
            <w:tcW w:w="1238" w:type="dxa"/>
            <w:tcBorders>
              <w:tl2br w:val="nil"/>
              <w:tr2bl w:val="nil"/>
            </w:tcBorders>
            <w:noWrap w:val="0"/>
            <w:vAlign w:val="top"/>
          </w:tcPr>
          <w:p w14:paraId="1C2AB1DF">
            <w:pPr>
              <w:keepNext w:val="0"/>
              <w:keepLines w:val="0"/>
              <w:pageBreakBefore w:val="0"/>
              <w:widowControl w:val="0"/>
              <w:wordWrap/>
              <w:overflowPunct/>
              <w:bidi w:val="0"/>
              <w:spacing w:before="1" w:line="317" w:lineRule="exact"/>
              <w:ind w:left="520"/>
              <w:rPr>
                <w:rFonts w:ascii="Arial" w:hAnsi="Arial" w:eastAsia="Arial" w:cs="Arial"/>
                <w:sz w:val="22"/>
                <w:szCs w:val="22"/>
              </w:rPr>
            </w:pPr>
            <w:r>
              <w:rPr>
                <w:rFonts w:ascii="Arial" w:hAnsi="Arial" w:eastAsia="Arial" w:cs="Arial"/>
                <w:b/>
                <w:bCs/>
                <w:spacing w:val="7"/>
                <w:position w:val="2"/>
                <w:sz w:val="22"/>
                <w:szCs w:val="22"/>
              </w:rPr>
              <w:t>%</w:t>
            </w:r>
          </w:p>
        </w:tc>
      </w:tr>
      <w:tr w14:paraId="2D60CD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964" w:type="dxa"/>
            <w:tcBorders>
              <w:tl2br w:val="nil"/>
              <w:tr2bl w:val="nil"/>
            </w:tcBorders>
            <w:noWrap w:val="0"/>
            <w:vAlign w:val="top"/>
          </w:tcPr>
          <w:p w14:paraId="407B384F">
            <w:pPr>
              <w:keepNext w:val="0"/>
              <w:keepLines w:val="0"/>
              <w:pageBreakBefore w:val="0"/>
              <w:widowControl w:val="0"/>
              <w:wordWrap/>
              <w:overflowPunct/>
              <w:bidi w:val="0"/>
              <w:spacing w:before="70" w:line="203" w:lineRule="auto"/>
              <w:ind w:left="438"/>
              <w:rPr>
                <w:rFonts w:ascii="Arial" w:hAnsi="Arial" w:eastAsia="Arial" w:cs="Arial"/>
                <w:sz w:val="23"/>
                <w:szCs w:val="23"/>
              </w:rPr>
            </w:pPr>
            <w:r>
              <w:rPr>
                <w:rFonts w:ascii="Arial" w:hAnsi="Arial" w:eastAsia="Arial" w:cs="Arial"/>
                <w:sz w:val="23"/>
                <w:szCs w:val="23"/>
              </w:rPr>
              <w:t>1</w:t>
            </w:r>
          </w:p>
        </w:tc>
        <w:tc>
          <w:tcPr>
            <w:tcW w:w="2544" w:type="dxa"/>
            <w:tcBorders>
              <w:tl2br w:val="nil"/>
              <w:tr2bl w:val="nil"/>
            </w:tcBorders>
            <w:noWrap w:val="0"/>
            <w:vAlign w:val="top"/>
          </w:tcPr>
          <w:p w14:paraId="2030AE5D">
            <w:pPr>
              <w:keepNext w:val="0"/>
              <w:keepLines w:val="0"/>
              <w:pageBreakBefore w:val="0"/>
              <w:widowControl w:val="0"/>
              <w:wordWrap/>
              <w:overflowPunct/>
              <w:bidi w:val="0"/>
              <w:spacing w:before="40" w:line="222" w:lineRule="auto"/>
              <w:ind w:left="321"/>
              <w:rPr>
                <w:rFonts w:ascii="仿宋" w:hAnsi="仿宋" w:eastAsia="仿宋" w:cs="仿宋"/>
                <w:sz w:val="23"/>
                <w:szCs w:val="23"/>
              </w:rPr>
            </w:pPr>
            <w:r>
              <w:rPr>
                <w:rFonts w:ascii="仿宋" w:hAnsi="仿宋" w:eastAsia="仿宋" w:cs="仿宋"/>
                <w:spacing w:val="10"/>
                <w:sz w:val="23"/>
                <w:szCs w:val="23"/>
              </w:rPr>
              <w:t>新</w:t>
            </w:r>
            <w:r>
              <w:rPr>
                <w:rFonts w:ascii="仿宋" w:hAnsi="仿宋" w:eastAsia="仿宋" w:cs="仿宋"/>
                <w:spacing w:val="8"/>
                <w:sz w:val="23"/>
                <w:szCs w:val="23"/>
              </w:rPr>
              <w:t>能源汽车用锂电</w:t>
            </w:r>
          </w:p>
        </w:tc>
        <w:tc>
          <w:tcPr>
            <w:tcW w:w="1232" w:type="dxa"/>
            <w:tcBorders>
              <w:tl2br w:val="nil"/>
              <w:tr2bl w:val="nil"/>
            </w:tcBorders>
            <w:noWrap w:val="0"/>
            <w:vAlign w:val="top"/>
          </w:tcPr>
          <w:p w14:paraId="34021FFB">
            <w:pPr>
              <w:keepNext w:val="0"/>
              <w:keepLines w:val="0"/>
              <w:pageBreakBefore w:val="0"/>
              <w:widowControl w:val="0"/>
              <w:wordWrap/>
              <w:overflowPunct/>
              <w:bidi w:val="0"/>
              <w:spacing w:before="70" w:line="203" w:lineRule="auto"/>
              <w:ind w:left="358"/>
              <w:rPr>
                <w:rFonts w:ascii="Arial" w:hAnsi="Arial" w:eastAsia="Arial" w:cs="Arial"/>
                <w:sz w:val="23"/>
                <w:szCs w:val="23"/>
              </w:rPr>
            </w:pPr>
            <w:r>
              <w:rPr>
                <w:rFonts w:ascii="Arial" w:hAnsi="Arial" w:eastAsia="Arial" w:cs="Arial"/>
                <w:spacing w:val="-9"/>
                <w:sz w:val="23"/>
                <w:szCs w:val="23"/>
              </w:rPr>
              <w:t>1</w:t>
            </w:r>
            <w:r>
              <w:rPr>
                <w:rFonts w:ascii="Arial" w:hAnsi="Arial" w:eastAsia="Arial" w:cs="Arial"/>
                <w:spacing w:val="-7"/>
                <w:sz w:val="23"/>
                <w:szCs w:val="23"/>
              </w:rPr>
              <w:t>11.2</w:t>
            </w:r>
          </w:p>
        </w:tc>
        <w:tc>
          <w:tcPr>
            <w:tcW w:w="1233" w:type="dxa"/>
            <w:tcBorders>
              <w:tl2br w:val="nil"/>
              <w:tr2bl w:val="nil"/>
            </w:tcBorders>
            <w:noWrap w:val="0"/>
            <w:vAlign w:val="top"/>
          </w:tcPr>
          <w:p w14:paraId="44E70EAF">
            <w:pPr>
              <w:keepNext w:val="0"/>
              <w:keepLines w:val="0"/>
              <w:pageBreakBefore w:val="0"/>
              <w:widowControl w:val="0"/>
              <w:wordWrap/>
              <w:overflowPunct/>
              <w:bidi w:val="0"/>
              <w:spacing w:before="70" w:line="203" w:lineRule="auto"/>
              <w:ind w:left="390"/>
              <w:rPr>
                <w:rFonts w:ascii="Arial" w:hAnsi="Arial" w:eastAsia="Arial" w:cs="Arial"/>
                <w:sz w:val="23"/>
                <w:szCs w:val="23"/>
              </w:rPr>
            </w:pPr>
            <w:r>
              <w:rPr>
                <w:rFonts w:ascii="Arial" w:hAnsi="Arial" w:eastAsia="Arial" w:cs="Arial"/>
                <w:spacing w:val="4"/>
                <w:sz w:val="23"/>
                <w:szCs w:val="23"/>
              </w:rPr>
              <w:t>69.6</w:t>
            </w:r>
          </w:p>
        </w:tc>
        <w:tc>
          <w:tcPr>
            <w:tcW w:w="1233" w:type="dxa"/>
            <w:tcBorders>
              <w:tl2br w:val="nil"/>
              <w:tr2bl w:val="nil"/>
            </w:tcBorders>
            <w:noWrap w:val="0"/>
            <w:vAlign w:val="top"/>
          </w:tcPr>
          <w:p w14:paraId="7712BDA8">
            <w:pPr>
              <w:keepNext w:val="0"/>
              <w:keepLines w:val="0"/>
              <w:pageBreakBefore w:val="0"/>
              <w:widowControl w:val="0"/>
              <w:wordWrap/>
              <w:overflowPunct/>
              <w:bidi w:val="0"/>
              <w:spacing w:before="70" w:line="203" w:lineRule="auto"/>
              <w:ind w:left="327"/>
              <w:rPr>
                <w:rFonts w:ascii="Arial" w:hAnsi="Arial" w:eastAsia="Arial" w:cs="Arial"/>
                <w:sz w:val="23"/>
                <w:szCs w:val="23"/>
              </w:rPr>
            </w:pPr>
            <w:r>
              <w:rPr>
                <w:rFonts w:ascii="Arial" w:hAnsi="Arial" w:eastAsia="Arial" w:cs="Arial"/>
                <w:spacing w:val="4"/>
                <w:sz w:val="23"/>
                <w:szCs w:val="23"/>
              </w:rPr>
              <w:t>384.8</w:t>
            </w:r>
          </w:p>
        </w:tc>
        <w:tc>
          <w:tcPr>
            <w:tcW w:w="1238" w:type="dxa"/>
            <w:tcBorders>
              <w:tl2br w:val="nil"/>
              <w:tr2bl w:val="nil"/>
            </w:tcBorders>
            <w:noWrap w:val="0"/>
            <w:vAlign w:val="top"/>
          </w:tcPr>
          <w:p w14:paraId="1910471A">
            <w:pPr>
              <w:keepNext w:val="0"/>
              <w:keepLines w:val="0"/>
              <w:pageBreakBefore w:val="0"/>
              <w:widowControl w:val="0"/>
              <w:wordWrap/>
              <w:overflowPunct/>
              <w:bidi w:val="0"/>
              <w:spacing w:before="70" w:line="203" w:lineRule="auto"/>
              <w:ind w:left="394"/>
              <w:rPr>
                <w:rFonts w:ascii="Arial" w:hAnsi="Arial" w:eastAsia="Arial" w:cs="Arial"/>
                <w:sz w:val="23"/>
                <w:szCs w:val="23"/>
              </w:rPr>
            </w:pPr>
            <w:r>
              <w:rPr>
                <w:rFonts w:ascii="Arial" w:hAnsi="Arial" w:eastAsia="Arial" w:cs="Arial"/>
                <w:spacing w:val="6"/>
                <w:sz w:val="23"/>
                <w:szCs w:val="23"/>
              </w:rPr>
              <w:t>7</w:t>
            </w:r>
            <w:r>
              <w:rPr>
                <w:rFonts w:ascii="Arial" w:hAnsi="Arial" w:eastAsia="Arial" w:cs="Arial"/>
                <w:spacing w:val="3"/>
                <w:sz w:val="23"/>
                <w:szCs w:val="23"/>
              </w:rPr>
              <w:t>5.3</w:t>
            </w:r>
          </w:p>
        </w:tc>
      </w:tr>
      <w:tr w14:paraId="615565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964" w:type="dxa"/>
            <w:tcBorders>
              <w:tl2br w:val="nil"/>
              <w:tr2bl w:val="nil"/>
            </w:tcBorders>
            <w:noWrap w:val="0"/>
            <w:vAlign w:val="top"/>
          </w:tcPr>
          <w:p w14:paraId="6265DE05">
            <w:pPr>
              <w:keepNext w:val="0"/>
              <w:keepLines w:val="0"/>
              <w:pageBreakBefore w:val="0"/>
              <w:widowControl w:val="0"/>
              <w:wordWrap/>
              <w:overflowPunct/>
              <w:bidi w:val="0"/>
              <w:spacing w:before="72" w:line="197" w:lineRule="auto"/>
              <w:ind w:left="419"/>
              <w:rPr>
                <w:rFonts w:ascii="Arial" w:hAnsi="Arial" w:eastAsia="Arial" w:cs="Arial"/>
                <w:sz w:val="23"/>
                <w:szCs w:val="23"/>
              </w:rPr>
            </w:pPr>
            <w:r>
              <w:rPr>
                <w:rFonts w:ascii="Arial" w:hAnsi="Arial" w:eastAsia="Arial" w:cs="Arial"/>
                <w:sz w:val="23"/>
                <w:szCs w:val="23"/>
              </w:rPr>
              <w:t>2</w:t>
            </w:r>
          </w:p>
        </w:tc>
        <w:tc>
          <w:tcPr>
            <w:tcW w:w="2544" w:type="dxa"/>
            <w:tcBorders>
              <w:tl2br w:val="nil"/>
              <w:tr2bl w:val="nil"/>
            </w:tcBorders>
            <w:noWrap w:val="0"/>
            <w:vAlign w:val="top"/>
          </w:tcPr>
          <w:p w14:paraId="33BF8B34">
            <w:pPr>
              <w:keepNext w:val="0"/>
              <w:keepLines w:val="0"/>
              <w:pageBreakBefore w:val="0"/>
              <w:widowControl w:val="0"/>
              <w:wordWrap/>
              <w:overflowPunct/>
              <w:bidi w:val="0"/>
              <w:spacing w:before="39" w:line="201" w:lineRule="auto"/>
              <w:ind w:left="315"/>
              <w:rPr>
                <w:rFonts w:ascii="仿宋" w:hAnsi="仿宋" w:eastAsia="仿宋" w:cs="仿宋"/>
                <w:sz w:val="23"/>
                <w:szCs w:val="23"/>
              </w:rPr>
            </w:pPr>
            <w:r>
              <w:rPr>
                <w:rFonts w:ascii="仿宋" w:hAnsi="仿宋" w:eastAsia="仿宋" w:cs="仿宋"/>
                <w:spacing w:val="9"/>
                <w:sz w:val="23"/>
                <w:szCs w:val="23"/>
              </w:rPr>
              <w:t>低速电动车用锂电</w:t>
            </w:r>
          </w:p>
        </w:tc>
        <w:tc>
          <w:tcPr>
            <w:tcW w:w="1232" w:type="dxa"/>
            <w:tcBorders>
              <w:tl2br w:val="nil"/>
              <w:tr2bl w:val="nil"/>
            </w:tcBorders>
            <w:noWrap w:val="0"/>
            <w:vAlign w:val="top"/>
          </w:tcPr>
          <w:p w14:paraId="25B2D6EA">
            <w:pPr>
              <w:keepNext w:val="0"/>
              <w:keepLines w:val="0"/>
              <w:pageBreakBefore w:val="0"/>
              <w:widowControl w:val="0"/>
              <w:wordWrap/>
              <w:overflowPunct/>
              <w:bidi w:val="0"/>
              <w:spacing w:before="72" w:line="197" w:lineRule="auto"/>
              <w:ind w:left="457"/>
              <w:rPr>
                <w:rFonts w:ascii="Arial" w:hAnsi="Arial" w:eastAsia="Arial" w:cs="Arial"/>
                <w:sz w:val="23"/>
                <w:szCs w:val="23"/>
              </w:rPr>
            </w:pPr>
            <w:r>
              <w:rPr>
                <w:rFonts w:ascii="Arial" w:hAnsi="Arial" w:eastAsia="Arial" w:cs="Arial"/>
                <w:spacing w:val="3"/>
                <w:sz w:val="23"/>
                <w:szCs w:val="23"/>
              </w:rPr>
              <w:t>9 5</w:t>
            </w:r>
          </w:p>
        </w:tc>
        <w:tc>
          <w:tcPr>
            <w:tcW w:w="1233" w:type="dxa"/>
            <w:tcBorders>
              <w:tl2br w:val="nil"/>
              <w:tr2bl w:val="nil"/>
            </w:tcBorders>
            <w:noWrap w:val="0"/>
            <w:vAlign w:val="top"/>
          </w:tcPr>
          <w:p w14:paraId="0D86765F">
            <w:pPr>
              <w:keepNext w:val="0"/>
              <w:keepLines w:val="0"/>
              <w:pageBreakBefore w:val="0"/>
              <w:widowControl w:val="0"/>
              <w:wordWrap/>
              <w:overflowPunct/>
              <w:bidi w:val="0"/>
              <w:spacing w:before="72" w:line="197" w:lineRule="auto"/>
              <w:ind w:left="458"/>
              <w:rPr>
                <w:rFonts w:ascii="Arial" w:hAnsi="Arial" w:eastAsia="Arial" w:cs="Arial"/>
                <w:sz w:val="23"/>
                <w:szCs w:val="23"/>
              </w:rPr>
            </w:pPr>
            <w:r>
              <w:rPr>
                <w:rFonts w:ascii="Arial" w:hAnsi="Arial" w:eastAsia="Arial" w:cs="Arial"/>
                <w:spacing w:val="3"/>
                <w:sz w:val="23"/>
                <w:szCs w:val="23"/>
              </w:rPr>
              <w:t>5 9</w:t>
            </w:r>
          </w:p>
        </w:tc>
        <w:tc>
          <w:tcPr>
            <w:tcW w:w="1233" w:type="dxa"/>
            <w:tcBorders>
              <w:tl2br w:val="nil"/>
              <w:tr2bl w:val="nil"/>
            </w:tcBorders>
            <w:noWrap w:val="0"/>
            <w:vAlign w:val="top"/>
          </w:tcPr>
          <w:p w14:paraId="779A8441">
            <w:pPr>
              <w:keepNext w:val="0"/>
              <w:keepLines w:val="0"/>
              <w:pageBreakBefore w:val="0"/>
              <w:widowControl w:val="0"/>
              <w:wordWrap/>
              <w:overflowPunct/>
              <w:bidi w:val="0"/>
              <w:spacing w:before="72" w:line="197" w:lineRule="auto"/>
              <w:ind w:left="389"/>
              <w:rPr>
                <w:rFonts w:ascii="Arial" w:hAnsi="Arial" w:eastAsia="Arial" w:cs="Arial"/>
                <w:sz w:val="23"/>
                <w:szCs w:val="23"/>
              </w:rPr>
            </w:pPr>
            <w:r>
              <w:rPr>
                <w:rFonts w:ascii="Arial" w:hAnsi="Arial" w:eastAsia="Arial" w:cs="Arial"/>
                <w:spacing w:val="5"/>
                <w:sz w:val="23"/>
                <w:szCs w:val="23"/>
              </w:rPr>
              <w:t xml:space="preserve">24 </w:t>
            </w:r>
            <w:r>
              <w:rPr>
                <w:rFonts w:ascii="Arial" w:hAnsi="Arial" w:eastAsia="Arial" w:cs="Arial"/>
                <w:spacing w:val="4"/>
                <w:sz w:val="23"/>
                <w:szCs w:val="23"/>
              </w:rPr>
              <w:t>9</w:t>
            </w:r>
          </w:p>
        </w:tc>
        <w:tc>
          <w:tcPr>
            <w:tcW w:w="1238" w:type="dxa"/>
            <w:tcBorders>
              <w:tl2br w:val="nil"/>
              <w:tr2bl w:val="nil"/>
            </w:tcBorders>
            <w:noWrap w:val="0"/>
            <w:vAlign w:val="top"/>
          </w:tcPr>
          <w:p w14:paraId="7081A613">
            <w:pPr>
              <w:keepNext w:val="0"/>
              <w:keepLines w:val="0"/>
              <w:pageBreakBefore w:val="0"/>
              <w:widowControl w:val="0"/>
              <w:wordWrap/>
              <w:overflowPunct/>
              <w:bidi w:val="0"/>
              <w:spacing w:before="72" w:line="197" w:lineRule="auto"/>
              <w:ind w:left="453"/>
              <w:rPr>
                <w:rFonts w:ascii="Arial" w:hAnsi="Arial" w:eastAsia="Arial" w:cs="Arial"/>
                <w:sz w:val="23"/>
                <w:szCs w:val="23"/>
              </w:rPr>
            </w:pPr>
            <w:r>
              <w:rPr>
                <w:rFonts w:ascii="Arial" w:hAnsi="Arial" w:eastAsia="Arial" w:cs="Arial"/>
                <w:spacing w:val="6"/>
                <w:sz w:val="23"/>
                <w:szCs w:val="23"/>
              </w:rPr>
              <w:t>4</w:t>
            </w:r>
            <w:r>
              <w:rPr>
                <w:rFonts w:ascii="Arial" w:hAnsi="Arial" w:eastAsia="Arial" w:cs="Arial"/>
                <w:spacing w:val="5"/>
                <w:sz w:val="23"/>
                <w:szCs w:val="23"/>
              </w:rPr>
              <w:t xml:space="preserve"> 9</w:t>
            </w:r>
          </w:p>
        </w:tc>
      </w:tr>
      <w:tr w14:paraId="03035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964" w:type="dxa"/>
            <w:tcBorders>
              <w:tl2br w:val="nil"/>
              <w:tr2bl w:val="nil"/>
            </w:tcBorders>
            <w:noWrap w:val="0"/>
            <w:vAlign w:val="top"/>
          </w:tcPr>
          <w:p w14:paraId="59F6B5F7">
            <w:pPr>
              <w:keepNext w:val="0"/>
              <w:keepLines w:val="0"/>
              <w:pageBreakBefore w:val="0"/>
              <w:widowControl w:val="0"/>
              <w:wordWrap/>
              <w:overflowPunct/>
              <w:bidi w:val="0"/>
              <w:spacing w:before="101" w:line="203" w:lineRule="auto"/>
              <w:ind w:left="422"/>
              <w:rPr>
                <w:rFonts w:ascii="Arial" w:hAnsi="Arial" w:eastAsia="Arial" w:cs="Arial"/>
                <w:sz w:val="23"/>
                <w:szCs w:val="23"/>
              </w:rPr>
            </w:pPr>
            <w:r>
              <w:rPr>
                <w:rFonts w:ascii="Arial" w:hAnsi="Arial" w:eastAsia="Arial" w:cs="Arial"/>
                <w:sz w:val="23"/>
                <w:szCs w:val="23"/>
              </w:rPr>
              <w:t>3</w:t>
            </w:r>
          </w:p>
        </w:tc>
        <w:tc>
          <w:tcPr>
            <w:tcW w:w="2544" w:type="dxa"/>
            <w:tcBorders>
              <w:tl2br w:val="nil"/>
              <w:tr2bl w:val="nil"/>
            </w:tcBorders>
            <w:noWrap w:val="0"/>
            <w:vAlign w:val="top"/>
          </w:tcPr>
          <w:p w14:paraId="7057E7EA">
            <w:pPr>
              <w:keepNext w:val="0"/>
              <w:keepLines w:val="0"/>
              <w:pageBreakBefore w:val="0"/>
              <w:widowControl w:val="0"/>
              <w:wordWrap/>
              <w:overflowPunct/>
              <w:bidi w:val="0"/>
              <w:spacing w:before="71" w:line="223" w:lineRule="auto"/>
              <w:ind w:left="375"/>
              <w:rPr>
                <w:rFonts w:ascii="仿宋" w:hAnsi="仿宋" w:eastAsia="仿宋" w:cs="仿宋"/>
                <w:sz w:val="23"/>
                <w:szCs w:val="23"/>
              </w:rPr>
            </w:pPr>
            <w:r>
              <w:rPr>
                <w:rFonts w:ascii="Arial" w:hAnsi="Arial" w:eastAsia="Arial" w:cs="Arial"/>
                <w:spacing w:val="7"/>
                <w:sz w:val="23"/>
                <w:szCs w:val="23"/>
              </w:rPr>
              <w:t>3</w:t>
            </w:r>
            <w:r>
              <w:rPr>
                <w:rFonts w:ascii="Arial" w:hAnsi="Arial" w:eastAsia="Arial" w:cs="Arial"/>
                <w:sz w:val="23"/>
                <w:szCs w:val="23"/>
              </w:rPr>
              <w:t>C</w:t>
            </w:r>
            <w:r>
              <w:rPr>
                <w:rFonts w:ascii="仿宋" w:hAnsi="仿宋" w:eastAsia="仿宋" w:cs="仿宋"/>
                <w:spacing w:val="7"/>
                <w:sz w:val="23"/>
                <w:szCs w:val="23"/>
              </w:rPr>
              <w:t>小家电用锂电</w:t>
            </w:r>
          </w:p>
        </w:tc>
        <w:tc>
          <w:tcPr>
            <w:tcW w:w="1232" w:type="dxa"/>
            <w:tcBorders>
              <w:tl2br w:val="nil"/>
              <w:tr2bl w:val="nil"/>
            </w:tcBorders>
            <w:noWrap w:val="0"/>
            <w:vAlign w:val="top"/>
          </w:tcPr>
          <w:p w14:paraId="1F90C6E2">
            <w:pPr>
              <w:keepNext w:val="0"/>
              <w:keepLines w:val="0"/>
              <w:pageBreakBefore w:val="0"/>
              <w:widowControl w:val="0"/>
              <w:wordWrap/>
              <w:overflowPunct/>
              <w:bidi w:val="0"/>
              <w:spacing w:before="101" w:line="203" w:lineRule="auto"/>
              <w:ind w:left="390"/>
              <w:rPr>
                <w:rFonts w:ascii="Arial" w:hAnsi="Arial" w:eastAsia="Arial" w:cs="Arial"/>
                <w:sz w:val="23"/>
                <w:szCs w:val="23"/>
              </w:rPr>
            </w:pPr>
            <w:r>
              <w:rPr>
                <w:rFonts w:ascii="Arial" w:hAnsi="Arial" w:eastAsia="Arial" w:cs="Arial"/>
                <w:spacing w:val="3"/>
                <w:sz w:val="23"/>
                <w:szCs w:val="23"/>
              </w:rPr>
              <w:t>32.</w:t>
            </w:r>
            <w:r>
              <w:rPr>
                <w:rFonts w:ascii="Arial" w:hAnsi="Arial" w:eastAsia="Arial" w:cs="Arial"/>
                <w:spacing w:val="2"/>
                <w:sz w:val="23"/>
                <w:szCs w:val="23"/>
              </w:rPr>
              <w:t>4</w:t>
            </w:r>
          </w:p>
        </w:tc>
        <w:tc>
          <w:tcPr>
            <w:tcW w:w="1233" w:type="dxa"/>
            <w:tcBorders>
              <w:tl2br w:val="nil"/>
              <w:tr2bl w:val="nil"/>
            </w:tcBorders>
            <w:noWrap w:val="0"/>
            <w:vAlign w:val="top"/>
          </w:tcPr>
          <w:p w14:paraId="3EB5E1D1">
            <w:pPr>
              <w:keepNext w:val="0"/>
              <w:keepLines w:val="0"/>
              <w:pageBreakBefore w:val="0"/>
              <w:widowControl w:val="0"/>
              <w:wordWrap/>
              <w:overflowPunct/>
              <w:bidi w:val="0"/>
              <w:spacing w:before="101" w:line="203" w:lineRule="auto"/>
              <w:ind w:left="388"/>
              <w:rPr>
                <w:rFonts w:ascii="Arial" w:hAnsi="Arial" w:eastAsia="Arial" w:cs="Arial"/>
                <w:sz w:val="23"/>
                <w:szCs w:val="23"/>
              </w:rPr>
            </w:pPr>
            <w:r>
              <w:rPr>
                <w:rFonts w:ascii="Arial" w:hAnsi="Arial" w:eastAsia="Arial" w:cs="Arial"/>
                <w:spacing w:val="5"/>
                <w:sz w:val="23"/>
                <w:szCs w:val="23"/>
              </w:rPr>
              <w:t>20.</w:t>
            </w:r>
            <w:r>
              <w:rPr>
                <w:rFonts w:ascii="Arial" w:hAnsi="Arial" w:eastAsia="Arial" w:cs="Arial"/>
                <w:spacing w:val="4"/>
                <w:sz w:val="23"/>
                <w:szCs w:val="23"/>
              </w:rPr>
              <w:t>3</w:t>
            </w:r>
          </w:p>
        </w:tc>
        <w:tc>
          <w:tcPr>
            <w:tcW w:w="1233" w:type="dxa"/>
            <w:tcBorders>
              <w:tl2br w:val="nil"/>
              <w:tr2bl w:val="nil"/>
            </w:tcBorders>
            <w:noWrap w:val="0"/>
            <w:vAlign w:val="top"/>
          </w:tcPr>
          <w:p w14:paraId="6F4C3690">
            <w:pPr>
              <w:keepNext w:val="0"/>
              <w:keepLines w:val="0"/>
              <w:pageBreakBefore w:val="0"/>
              <w:widowControl w:val="0"/>
              <w:wordWrap/>
              <w:overflowPunct/>
              <w:bidi w:val="0"/>
              <w:spacing w:before="101" w:line="206" w:lineRule="auto"/>
              <w:ind w:left="385"/>
              <w:rPr>
                <w:rFonts w:ascii="Arial" w:hAnsi="Arial" w:eastAsia="Arial" w:cs="Arial"/>
                <w:sz w:val="23"/>
                <w:szCs w:val="23"/>
              </w:rPr>
            </w:pPr>
            <w:r>
              <w:rPr>
                <w:rFonts w:ascii="Arial" w:hAnsi="Arial" w:eastAsia="Arial" w:cs="Arial"/>
                <w:spacing w:val="8"/>
                <w:sz w:val="23"/>
                <w:szCs w:val="23"/>
              </w:rPr>
              <w:t>4</w:t>
            </w:r>
            <w:r>
              <w:rPr>
                <w:rFonts w:ascii="Arial" w:hAnsi="Arial" w:eastAsia="Arial" w:cs="Arial"/>
                <w:spacing w:val="5"/>
                <w:sz w:val="23"/>
                <w:szCs w:val="23"/>
              </w:rPr>
              <w:t>1.3</w:t>
            </w:r>
          </w:p>
        </w:tc>
        <w:tc>
          <w:tcPr>
            <w:tcW w:w="1238" w:type="dxa"/>
            <w:tcBorders>
              <w:tl2br w:val="nil"/>
              <w:tr2bl w:val="nil"/>
            </w:tcBorders>
            <w:noWrap w:val="0"/>
            <w:vAlign w:val="top"/>
          </w:tcPr>
          <w:p w14:paraId="164F629B">
            <w:pPr>
              <w:keepNext w:val="0"/>
              <w:keepLines w:val="0"/>
              <w:pageBreakBefore w:val="0"/>
              <w:widowControl w:val="0"/>
              <w:wordWrap/>
              <w:overflowPunct/>
              <w:bidi w:val="0"/>
              <w:spacing w:before="101" w:line="203" w:lineRule="auto"/>
              <w:ind w:left="459"/>
              <w:rPr>
                <w:rFonts w:ascii="Arial" w:hAnsi="Arial" w:eastAsia="Arial" w:cs="Arial"/>
                <w:sz w:val="23"/>
                <w:szCs w:val="23"/>
              </w:rPr>
            </w:pPr>
            <w:r>
              <w:rPr>
                <w:rFonts w:ascii="Arial" w:hAnsi="Arial" w:eastAsia="Arial" w:cs="Arial"/>
                <w:spacing w:val="10"/>
                <w:sz w:val="23"/>
                <w:szCs w:val="23"/>
              </w:rPr>
              <w:t>8</w:t>
            </w:r>
            <w:r>
              <w:rPr>
                <w:rFonts w:ascii="Arial" w:hAnsi="Arial" w:eastAsia="Arial" w:cs="Arial"/>
                <w:spacing w:val="8"/>
                <w:sz w:val="23"/>
                <w:szCs w:val="23"/>
              </w:rPr>
              <w:t>.1</w:t>
            </w:r>
          </w:p>
        </w:tc>
      </w:tr>
      <w:tr w14:paraId="5CEA1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964" w:type="dxa"/>
            <w:tcBorders>
              <w:tl2br w:val="nil"/>
              <w:tr2bl w:val="nil"/>
            </w:tcBorders>
            <w:noWrap w:val="0"/>
            <w:vAlign w:val="top"/>
          </w:tcPr>
          <w:p w14:paraId="007E3E29">
            <w:pPr>
              <w:keepNext w:val="0"/>
              <w:keepLines w:val="0"/>
              <w:pageBreakBefore w:val="0"/>
              <w:widowControl w:val="0"/>
              <w:wordWrap/>
              <w:overflowPunct/>
              <w:bidi w:val="0"/>
              <w:spacing w:before="74" w:line="203" w:lineRule="auto"/>
              <w:ind w:left="415"/>
              <w:rPr>
                <w:rFonts w:ascii="Arial" w:hAnsi="Arial" w:eastAsia="Arial" w:cs="Arial"/>
                <w:sz w:val="23"/>
                <w:szCs w:val="23"/>
              </w:rPr>
            </w:pPr>
            <w:r>
              <w:rPr>
                <w:rFonts w:ascii="Arial" w:hAnsi="Arial" w:eastAsia="Arial" w:cs="Arial"/>
                <w:spacing w:val="2"/>
                <w:sz w:val="23"/>
                <w:szCs w:val="23"/>
              </w:rPr>
              <w:t>4</w:t>
            </w:r>
          </w:p>
        </w:tc>
        <w:tc>
          <w:tcPr>
            <w:tcW w:w="2544" w:type="dxa"/>
            <w:tcBorders>
              <w:tl2br w:val="nil"/>
              <w:tr2bl w:val="nil"/>
            </w:tcBorders>
            <w:noWrap w:val="0"/>
            <w:vAlign w:val="top"/>
          </w:tcPr>
          <w:p w14:paraId="4CA10550">
            <w:pPr>
              <w:keepNext w:val="0"/>
              <w:keepLines w:val="0"/>
              <w:pageBreakBefore w:val="0"/>
              <w:widowControl w:val="0"/>
              <w:wordWrap/>
              <w:overflowPunct/>
              <w:bidi w:val="0"/>
              <w:spacing w:before="41" w:line="223" w:lineRule="auto"/>
              <w:ind w:left="432"/>
              <w:rPr>
                <w:rFonts w:ascii="仿宋" w:hAnsi="仿宋" w:eastAsia="仿宋" w:cs="仿宋"/>
                <w:sz w:val="23"/>
                <w:szCs w:val="23"/>
              </w:rPr>
            </w:pPr>
            <w:r>
              <w:rPr>
                <w:rFonts w:ascii="仿宋" w:hAnsi="仿宋" w:eastAsia="仿宋" w:cs="仿宋"/>
                <w:spacing w:val="11"/>
                <w:sz w:val="23"/>
                <w:szCs w:val="23"/>
              </w:rPr>
              <w:t>储</w:t>
            </w:r>
            <w:r>
              <w:rPr>
                <w:rFonts w:ascii="仿宋" w:hAnsi="仿宋" w:eastAsia="仿宋" w:cs="仿宋"/>
                <w:spacing w:val="9"/>
                <w:sz w:val="23"/>
                <w:szCs w:val="23"/>
              </w:rPr>
              <w:t>能电池用锂电</w:t>
            </w:r>
          </w:p>
        </w:tc>
        <w:tc>
          <w:tcPr>
            <w:tcW w:w="1232" w:type="dxa"/>
            <w:tcBorders>
              <w:tl2br w:val="nil"/>
              <w:tr2bl w:val="nil"/>
            </w:tcBorders>
            <w:noWrap w:val="0"/>
            <w:vAlign w:val="top"/>
          </w:tcPr>
          <w:p w14:paraId="219EF31C">
            <w:pPr>
              <w:keepNext w:val="0"/>
              <w:keepLines w:val="0"/>
              <w:pageBreakBefore w:val="0"/>
              <w:widowControl w:val="0"/>
              <w:wordWrap/>
              <w:overflowPunct/>
              <w:bidi w:val="0"/>
              <w:spacing w:before="73" w:line="203" w:lineRule="auto"/>
              <w:ind w:left="456"/>
              <w:rPr>
                <w:rFonts w:ascii="Arial" w:hAnsi="Arial" w:eastAsia="Arial" w:cs="Arial"/>
                <w:sz w:val="23"/>
                <w:szCs w:val="23"/>
              </w:rPr>
            </w:pPr>
            <w:r>
              <w:rPr>
                <w:rFonts w:ascii="Arial" w:hAnsi="Arial" w:eastAsia="Arial" w:cs="Arial"/>
                <w:spacing w:val="4"/>
                <w:sz w:val="23"/>
                <w:szCs w:val="23"/>
              </w:rPr>
              <w:t>6.</w:t>
            </w:r>
            <w:r>
              <w:rPr>
                <w:rFonts w:ascii="Arial" w:hAnsi="Arial" w:eastAsia="Arial" w:cs="Arial"/>
                <w:spacing w:val="3"/>
                <w:sz w:val="23"/>
                <w:szCs w:val="23"/>
              </w:rPr>
              <w:t>7</w:t>
            </w:r>
          </w:p>
        </w:tc>
        <w:tc>
          <w:tcPr>
            <w:tcW w:w="1233" w:type="dxa"/>
            <w:tcBorders>
              <w:tl2br w:val="nil"/>
              <w:tr2bl w:val="nil"/>
            </w:tcBorders>
            <w:noWrap w:val="0"/>
            <w:vAlign w:val="top"/>
          </w:tcPr>
          <w:p w14:paraId="0127FF50">
            <w:pPr>
              <w:keepNext w:val="0"/>
              <w:keepLines w:val="0"/>
              <w:pageBreakBefore w:val="0"/>
              <w:widowControl w:val="0"/>
              <w:wordWrap/>
              <w:overflowPunct/>
              <w:bidi w:val="0"/>
              <w:spacing w:before="74" w:line="203" w:lineRule="auto"/>
              <w:ind w:left="451"/>
              <w:rPr>
                <w:rFonts w:ascii="Arial" w:hAnsi="Arial" w:eastAsia="Arial" w:cs="Arial"/>
                <w:sz w:val="23"/>
                <w:szCs w:val="23"/>
              </w:rPr>
            </w:pPr>
            <w:r>
              <w:rPr>
                <w:rFonts w:ascii="Arial" w:hAnsi="Arial" w:eastAsia="Arial" w:cs="Arial"/>
                <w:spacing w:val="5"/>
                <w:sz w:val="23"/>
                <w:szCs w:val="23"/>
              </w:rPr>
              <w:t>4</w:t>
            </w:r>
            <w:r>
              <w:rPr>
                <w:rFonts w:ascii="Arial" w:hAnsi="Arial" w:eastAsia="Arial" w:cs="Arial"/>
                <w:spacing w:val="4"/>
                <w:sz w:val="23"/>
                <w:szCs w:val="23"/>
              </w:rPr>
              <w:t>.2</w:t>
            </w:r>
          </w:p>
        </w:tc>
        <w:tc>
          <w:tcPr>
            <w:tcW w:w="1233" w:type="dxa"/>
            <w:tcBorders>
              <w:tl2br w:val="nil"/>
              <w:tr2bl w:val="nil"/>
            </w:tcBorders>
            <w:noWrap w:val="0"/>
            <w:vAlign w:val="top"/>
          </w:tcPr>
          <w:p w14:paraId="07139C9B">
            <w:pPr>
              <w:keepNext w:val="0"/>
              <w:keepLines w:val="0"/>
              <w:pageBreakBefore w:val="0"/>
              <w:widowControl w:val="0"/>
              <w:wordWrap/>
              <w:overflowPunct/>
              <w:bidi w:val="0"/>
              <w:spacing w:before="74" w:line="203" w:lineRule="auto"/>
              <w:ind w:left="391"/>
              <w:rPr>
                <w:rFonts w:ascii="Arial" w:hAnsi="Arial" w:eastAsia="Arial" w:cs="Arial"/>
                <w:sz w:val="23"/>
                <w:szCs w:val="23"/>
              </w:rPr>
            </w:pPr>
            <w:r>
              <w:rPr>
                <w:rFonts w:ascii="Arial" w:hAnsi="Arial" w:eastAsia="Arial" w:cs="Arial"/>
                <w:spacing w:val="5"/>
                <w:sz w:val="23"/>
                <w:szCs w:val="23"/>
              </w:rPr>
              <w:t>6</w:t>
            </w:r>
            <w:r>
              <w:rPr>
                <w:rFonts w:ascii="Arial" w:hAnsi="Arial" w:eastAsia="Arial" w:cs="Arial"/>
                <w:spacing w:val="4"/>
                <w:sz w:val="23"/>
                <w:szCs w:val="23"/>
              </w:rPr>
              <w:t>0.3</w:t>
            </w:r>
          </w:p>
        </w:tc>
        <w:tc>
          <w:tcPr>
            <w:tcW w:w="1238" w:type="dxa"/>
            <w:tcBorders>
              <w:tl2br w:val="nil"/>
              <w:tr2bl w:val="nil"/>
            </w:tcBorders>
            <w:noWrap w:val="0"/>
            <w:vAlign w:val="top"/>
          </w:tcPr>
          <w:p w14:paraId="119421FC">
            <w:pPr>
              <w:keepNext w:val="0"/>
              <w:keepLines w:val="0"/>
              <w:pageBreakBefore w:val="0"/>
              <w:widowControl w:val="0"/>
              <w:wordWrap/>
              <w:overflowPunct/>
              <w:bidi w:val="0"/>
              <w:spacing w:before="73" w:line="206" w:lineRule="auto"/>
              <w:ind w:left="418"/>
              <w:rPr>
                <w:rFonts w:ascii="Arial" w:hAnsi="Arial" w:eastAsia="Arial" w:cs="Arial"/>
                <w:sz w:val="23"/>
                <w:szCs w:val="23"/>
              </w:rPr>
            </w:pPr>
            <w:r>
              <w:rPr>
                <w:rFonts w:ascii="Arial" w:hAnsi="Arial" w:eastAsia="Arial" w:cs="Arial"/>
                <w:spacing w:val="-5"/>
                <w:sz w:val="23"/>
                <w:szCs w:val="23"/>
              </w:rPr>
              <w:t>11.8</w:t>
            </w:r>
          </w:p>
        </w:tc>
      </w:tr>
      <w:tr w14:paraId="0C4EE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964" w:type="dxa"/>
            <w:tcBorders>
              <w:tl2br w:val="nil"/>
              <w:tr2bl w:val="nil"/>
            </w:tcBorders>
            <w:noWrap w:val="0"/>
            <w:vAlign w:val="top"/>
          </w:tcPr>
          <w:p w14:paraId="0B027708">
            <w:pPr>
              <w:keepNext w:val="0"/>
              <w:keepLines w:val="0"/>
              <w:pageBreakBefore w:val="0"/>
              <w:widowControl w:val="0"/>
              <w:wordWrap/>
              <w:overflowPunct/>
              <w:bidi w:val="0"/>
              <w:rPr>
                <w:rFonts w:ascii="Arial"/>
                <w:sz w:val="21"/>
              </w:rPr>
            </w:pPr>
          </w:p>
        </w:tc>
        <w:tc>
          <w:tcPr>
            <w:tcW w:w="2544" w:type="dxa"/>
            <w:tcBorders>
              <w:tl2br w:val="nil"/>
              <w:tr2bl w:val="nil"/>
            </w:tcBorders>
            <w:noWrap w:val="0"/>
            <w:vAlign w:val="top"/>
          </w:tcPr>
          <w:p w14:paraId="4A1A2F41">
            <w:pPr>
              <w:keepNext w:val="0"/>
              <w:keepLines w:val="0"/>
              <w:pageBreakBefore w:val="0"/>
              <w:widowControl w:val="0"/>
              <w:wordWrap/>
              <w:overflowPunct/>
              <w:bidi w:val="0"/>
              <w:spacing w:before="43" w:line="225" w:lineRule="auto"/>
              <w:ind w:left="1040"/>
              <w:rPr>
                <w:rFonts w:ascii="仿宋" w:hAnsi="仿宋" w:eastAsia="仿宋" w:cs="仿宋"/>
                <w:sz w:val="23"/>
                <w:szCs w:val="23"/>
              </w:rPr>
            </w:pPr>
            <w:r>
              <w:rPr>
                <w:rFonts w:ascii="仿宋" w:hAnsi="仿宋" w:eastAsia="仿宋" w:cs="仿宋"/>
                <w:spacing w:val="4"/>
                <w:sz w:val="23"/>
                <w:szCs w:val="23"/>
              </w:rPr>
              <w:t>合</w:t>
            </w:r>
            <w:r>
              <w:rPr>
                <w:rFonts w:ascii="仿宋" w:hAnsi="仿宋" w:eastAsia="仿宋" w:cs="仿宋"/>
                <w:spacing w:val="3"/>
                <w:sz w:val="23"/>
                <w:szCs w:val="23"/>
              </w:rPr>
              <w:t>计</w:t>
            </w:r>
          </w:p>
        </w:tc>
        <w:tc>
          <w:tcPr>
            <w:tcW w:w="1232" w:type="dxa"/>
            <w:tcBorders>
              <w:tl2br w:val="nil"/>
              <w:tr2bl w:val="nil"/>
            </w:tcBorders>
            <w:noWrap w:val="0"/>
            <w:vAlign w:val="top"/>
          </w:tcPr>
          <w:p w14:paraId="29AA5DC3">
            <w:pPr>
              <w:keepNext w:val="0"/>
              <w:keepLines w:val="0"/>
              <w:pageBreakBefore w:val="0"/>
              <w:widowControl w:val="0"/>
              <w:wordWrap/>
              <w:overflowPunct/>
              <w:bidi w:val="0"/>
              <w:spacing w:before="73" w:line="203" w:lineRule="auto"/>
              <w:ind w:left="338"/>
              <w:rPr>
                <w:rFonts w:ascii="Arial" w:hAnsi="Arial" w:eastAsia="Arial" w:cs="Arial"/>
                <w:sz w:val="23"/>
                <w:szCs w:val="23"/>
              </w:rPr>
            </w:pPr>
            <w:r>
              <w:rPr>
                <w:rFonts w:ascii="Arial" w:hAnsi="Arial" w:eastAsia="Arial" w:cs="Arial"/>
                <w:spacing w:val="1"/>
                <w:sz w:val="23"/>
                <w:szCs w:val="23"/>
              </w:rPr>
              <w:t>159.</w:t>
            </w:r>
            <w:r>
              <w:rPr>
                <w:rFonts w:ascii="Arial" w:hAnsi="Arial" w:eastAsia="Arial" w:cs="Arial"/>
                <w:sz w:val="23"/>
                <w:szCs w:val="23"/>
              </w:rPr>
              <w:t>8</w:t>
            </w:r>
          </w:p>
        </w:tc>
        <w:tc>
          <w:tcPr>
            <w:tcW w:w="1233" w:type="dxa"/>
            <w:tcBorders>
              <w:tl2br w:val="nil"/>
              <w:tr2bl w:val="nil"/>
            </w:tcBorders>
            <w:noWrap w:val="0"/>
            <w:vAlign w:val="top"/>
          </w:tcPr>
          <w:p w14:paraId="5C24646C">
            <w:pPr>
              <w:keepNext w:val="0"/>
              <w:keepLines w:val="0"/>
              <w:pageBreakBefore w:val="0"/>
              <w:widowControl w:val="0"/>
              <w:wordWrap/>
              <w:overflowPunct/>
              <w:bidi w:val="0"/>
              <w:spacing w:before="73" w:line="203" w:lineRule="auto"/>
              <w:ind w:left="342"/>
              <w:rPr>
                <w:rFonts w:ascii="Arial" w:hAnsi="Arial" w:eastAsia="Arial" w:cs="Arial"/>
                <w:sz w:val="23"/>
                <w:szCs w:val="23"/>
              </w:rPr>
            </w:pPr>
            <w:r>
              <w:rPr>
                <w:rFonts w:ascii="Arial" w:hAnsi="Arial" w:eastAsia="Arial" w:cs="Arial"/>
                <w:spacing w:val="1"/>
                <w:sz w:val="23"/>
                <w:szCs w:val="23"/>
              </w:rPr>
              <w:t>100.</w:t>
            </w:r>
            <w:r>
              <w:rPr>
                <w:rFonts w:ascii="Arial" w:hAnsi="Arial" w:eastAsia="Arial" w:cs="Arial"/>
                <w:sz w:val="23"/>
                <w:szCs w:val="23"/>
              </w:rPr>
              <w:t>0</w:t>
            </w:r>
          </w:p>
        </w:tc>
        <w:tc>
          <w:tcPr>
            <w:tcW w:w="1233" w:type="dxa"/>
            <w:tcBorders>
              <w:tl2br w:val="nil"/>
              <w:tr2bl w:val="nil"/>
            </w:tcBorders>
            <w:noWrap w:val="0"/>
            <w:vAlign w:val="top"/>
          </w:tcPr>
          <w:p w14:paraId="577EB911">
            <w:pPr>
              <w:keepNext w:val="0"/>
              <w:keepLines w:val="0"/>
              <w:pageBreakBefore w:val="0"/>
              <w:widowControl w:val="0"/>
              <w:wordWrap/>
              <w:overflowPunct/>
              <w:bidi w:val="0"/>
              <w:spacing w:before="74" w:line="203" w:lineRule="auto"/>
              <w:ind w:left="334"/>
              <w:rPr>
                <w:rFonts w:ascii="Arial" w:hAnsi="Arial" w:eastAsia="Arial" w:cs="Arial"/>
                <w:sz w:val="23"/>
                <w:szCs w:val="23"/>
              </w:rPr>
            </w:pPr>
            <w:r>
              <w:rPr>
                <w:rFonts w:ascii="Arial" w:hAnsi="Arial" w:eastAsia="Arial" w:cs="Arial"/>
                <w:spacing w:val="1"/>
                <w:sz w:val="23"/>
                <w:szCs w:val="23"/>
              </w:rPr>
              <w:t>511</w:t>
            </w:r>
            <w:r>
              <w:rPr>
                <w:rFonts w:ascii="Arial" w:hAnsi="Arial" w:eastAsia="Arial" w:cs="Arial"/>
                <w:sz w:val="23"/>
                <w:szCs w:val="23"/>
              </w:rPr>
              <w:t>.3</w:t>
            </w:r>
          </w:p>
        </w:tc>
        <w:tc>
          <w:tcPr>
            <w:tcW w:w="1238" w:type="dxa"/>
            <w:tcBorders>
              <w:tl2br w:val="nil"/>
              <w:tr2bl w:val="nil"/>
            </w:tcBorders>
            <w:noWrap w:val="0"/>
            <w:vAlign w:val="top"/>
          </w:tcPr>
          <w:p w14:paraId="4832583A">
            <w:pPr>
              <w:keepNext w:val="0"/>
              <w:keepLines w:val="0"/>
              <w:pageBreakBefore w:val="0"/>
              <w:widowControl w:val="0"/>
              <w:wordWrap/>
              <w:overflowPunct/>
              <w:bidi w:val="0"/>
              <w:spacing w:before="73" w:line="203" w:lineRule="auto"/>
              <w:ind w:left="344"/>
              <w:rPr>
                <w:rFonts w:ascii="Arial" w:hAnsi="Arial" w:eastAsia="Arial" w:cs="Arial"/>
                <w:sz w:val="23"/>
                <w:szCs w:val="23"/>
              </w:rPr>
            </w:pPr>
            <w:r>
              <w:rPr>
                <w:rFonts w:ascii="Arial" w:hAnsi="Arial" w:eastAsia="Arial" w:cs="Arial"/>
                <w:spacing w:val="1"/>
                <w:sz w:val="23"/>
                <w:szCs w:val="23"/>
              </w:rPr>
              <w:t>100.</w:t>
            </w:r>
            <w:r>
              <w:rPr>
                <w:rFonts w:ascii="Arial" w:hAnsi="Arial" w:eastAsia="Arial" w:cs="Arial"/>
                <w:sz w:val="23"/>
                <w:szCs w:val="23"/>
              </w:rPr>
              <w:t>0</w:t>
            </w:r>
          </w:p>
        </w:tc>
      </w:tr>
    </w:tbl>
    <w:p w14:paraId="43CEF1B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从电池构成来看，锂离子电池材料主要由正极材料、负极材料、隔膜材料、电解液材料和电池外壳组成，如下图所示。其中，正极材料主要包括钴酸锂LCO、镍酸锂LNO、锰酸锂LMO、磷酸铁锂LFP、三元材料(镍钴锰酸锂NCM和镍钴铝酸锂NCA)、镍锰5V尖晶石、磷酸锰锂、富锂锰基固溶体等；负极材料主要包括石墨、非石墨碳材料、硅基材料(硅/碳、硅氧化物、硅/金属等)、锡基材料、钛酸锂材料等；电解液材料则包括溶剂(碳酸二甲酯、碳酸甲乙酯、碳酸乙烯酯、碳酸亚乙烯酯等)、添加剂(氟代碳酸乙烯酯、二氟代碳酸乙烯酯、含磷阻燃剂等)和锂盐(六氟磷酸锂、双氟磺酰亚胺锂、双三氟甲基磺酰亚胺锂、三氟甲基磺酸锂、草酸二氟硼酸锂、四氟硼酸锂等)等；隔膜材料包括湿法工艺和干法工艺制备的单层和多层聚烯烃膜、无纺布膜、涂覆或掺杂的复合膜等；其它材料有钢壳、铝壳及软包装用铝塑膜等。</w:t>
      </w:r>
    </w:p>
    <w:p w14:paraId="1D1EF76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燃料电池所需要的关键材料则主要包括质子交换膜、双极板、气体扩散层、储氢材料、催化剂等。</w:t>
      </w:r>
    </w:p>
    <w:p w14:paraId="3086226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6.1.2.2发展趋势</w:t>
      </w:r>
    </w:p>
    <w:p w14:paraId="0568468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从技术发展方向看，电动汽车有以下三大趋势：(1)发展电动汽车用大容量锂离子动力电池；(2)开发和使用新的高性能电极材料，尤其是高性能正极材料的开发；(3)进一步降低锂离子电池的成本和提高电池的安全性能。</w:t>
      </w:r>
    </w:p>
    <w:p w14:paraId="1807697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简单来说，目前材料发展方向为耐高压、耐高低温、高循环次数、能量密度高、高安全性——正极倾向于采用能量密度高的三元材料，负极倾向于采用能量密度高的硅基材料和高寿命、充放电速度快的钛酸锂等，电解液材料则倾向于采用新型锂盐、新型添加剂等特殊性能和特殊环境用途的电解液，隔膜从干法向湿法过渡，并最终会采用具有更高阻隔性和高耐热温度的复合隔膜如陶瓷复合隔膜、聚酰亚胺隔膜等。外包装材料则因为聚合物锂电池的应用而逐渐倾向于轻质、高安全性的铝塑膜。</w:t>
      </w:r>
    </w:p>
    <w:p w14:paraId="5A2C25C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十三五”国家战略性新兴产业发展规划》对燃料电池车的发展寄予高期望，重点提到：要系统推进燃料电池车的研发与产业化；推动高性能低成本燃料电池材料和系统关键部件研发；推动车载储氢系统以及氢制备、储运和加注技术发展，推进加氢站建设。规划还明确，到2020年，要实现燃料电池车批量生产和规模化示范应用。预计燃料电池技术和成本问题将在“十四五”乃至“十五五”期间得到解决。</w:t>
      </w:r>
    </w:p>
    <w:p w14:paraId="421CF4D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6.1.3大健康材料产业</w:t>
      </w:r>
    </w:p>
    <w:p w14:paraId="2E2F330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大健康是围绕人的衣食住行、生老病死，对生命实施全程、全面、全要素的呵护。2016年10月，中共中央、国务院发布了《“健康中国2030”规划纲要》，将“共建共享、全民健康”定为建设健康中国的战略主题，目标在2030年，人民健康水平持续提升，健康服务能力大幅提升，健康产业规模显著扩大，健康服务业总规模达到16万亿元，成为国民经济支柱性产业。2018年，国务院机构改革方案中新设立国家卫生健康委员会，旨在推动实施健康中国战略，树立大卫生、大健康理念。</w:t>
      </w:r>
    </w:p>
    <w:p w14:paraId="070A69A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“健康中国”作为“十三五”规划的热点议题成为外界广泛关注的焦点，在推进“健康中国”的战略规划中，大健康产业必然进入蓬勃发展期。</w:t>
      </w:r>
    </w:p>
    <w:p w14:paraId="51DD095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化工新材料在大健康产业的应用体现在膜材料和高性能树脂方面，未来应加强医用膜材料的研发和生产，特别是血液透析膜材料，使之能大规模应用于临床治疗，提高抗凝血性医用透析膜材料与器件的可降解性；并且提高我国高吸水性树脂产品的层次，适应老年化社会的发展趋势。</w:t>
      </w:r>
    </w:p>
    <w:p w14:paraId="2787710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用于节能环保及大健康领域的化工新材料市场规模约为200亿元。未来该领域的潜在市场主要有生物基PA56及含氟高分子膜的技术突破，与聚苯硫醚树脂(PPS)、聚偏氟乙烯(PVDF)水处理膜、乙烯-乙烯醇包装膜(EVOH)等材料的优化升级。到2025年，化工新材料在节能环保及大健康领域的市场规模将达到445亿元左右，年均增长率约为12%。。</w:t>
      </w:r>
    </w:p>
    <w:p w14:paraId="3CBACB3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6.1.4节能环保材料产业</w:t>
      </w:r>
    </w:p>
    <w:p w14:paraId="771D8B2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节能环保产业是指为实现节约能源、减少污染物排放和保护环境生态提供装备和产品的行业，包括节能产业、环保产业和资源综合利用产业，涉及装备、产品和服务等，是加快培育和发展的七大战略性新兴产业之一。发展节能环保产业，是培育发展新动能、提升绿色竞争力的重大举措，是补齐资源环境短板、改善生态环境质量的重要支撑，是推进生态文明建设、建设美丽中国的客观要求。随着我国工业化和城市化的发展，资源短缺与环境污染问题日益严重，成为制约我国经济发展中迫切解决的问题。在这种情况下，节能环保产业作为环境治理的主要手段得到了中央和地方政府的大力支持。加快发展环保产业不仅对经济增长、产业转型升级有促进作用，同时还对环境保护、能源节约和资源循环利用的社会提供重要的物质基础和技术保障都具有十分重要的现实意义。</w:t>
      </w:r>
    </w:p>
    <w:p w14:paraId="6B66E88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我国环保产业的发展正处在难得的历史机遇期。我国当前的环保产业仍以末端治理的环保产品和装备制造业为主，以全过程清洁生产和资源循环利用为导向的环保服务业占比偏低，环保产业的内部业态结构还需深入调整，市场化程度和集中度也有待进一步提高。环保产业要在进一步挖掘释放末端污染治理市场空间的同时，更多地沿着产业链向上关注清洁生产、向下关注废物的循环利用，大力发展合同环境服务、环保设施社会化运营等环境服务业，促进环保产业由传统的装备制造为主逐步向以服务业为龙头的转型升级。</w:t>
      </w:r>
    </w:p>
    <w:p w14:paraId="32EA646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2018年，我国节能环保产业规模达到了5.8万亿元。2012年至2016年，全国规模以上单位工业增加值能耗、水耗分别下降29.5%和26.6%，再生资源回收利用量约10.7亿吨，规模以上工业累计节能约7亿吨标准煤。目前，我国经济已由高速增长阶段逐步转向高质量发展阶段，建设绿色现代化经济体系是跨越关口的迫切需求和战略目标。</w:t>
      </w:r>
    </w:p>
    <w:p w14:paraId="47A95F3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十二五”期间，节能环保产业以年15%-20%的速度增长，约为同期GDP目标增速的2-3倍，2015年我国节能环保产业总产值已达到4.5万亿元。“十三五”期间，节能环保产业前景依然广阔，未来十年，我国环保产业的增速有望达GDP增速2倍以上，环保产业产值年均增长率将达15%以上。作为经济发展低迷情况下的突破口，节能环保产业无疑成为国家和投资者共同关注的明星产业。</w:t>
      </w:r>
    </w:p>
    <w:p w14:paraId="356781F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细分领域中，节能产业、环保产业增速迅猛，年增长率均超过了20%；受大宗商品价格持续走低影响，资源循环利用产业增速略有回落，产值规模被节能产业反超。</w:t>
      </w:r>
    </w:p>
    <w:p w14:paraId="63829AB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节能环保材料是指为节约能源资源、发展循环经济、保护环境提供技术基础和装备保障的环保材料，其重点是发展高效节能、先进环保、资源循环利用的节能环保材料，主要面向绿色化、轻便化、智能化的方向发展，并可重复利用。</w:t>
      </w:r>
    </w:p>
    <w:p w14:paraId="6306AB9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化工新材料在节能领域的应用主要为保温隔热材料以及一些用能终端采用的新材料。保温隔热化工材料以无机材料为主，有机材料主要为聚苯乙烯、聚氨酯等，未来，聚氨酯材料有望进一步普及。目前，最广泛的用能终端主要为LED灯，LED灯用化工新材料主要有三个方面，一是具有较好的透光率及力学性能的灯罩，目前主要为聚碳酸酯(PC)材质；二是导热塑料及塑包铝灯杯；为了提高塑料的导热性能，改性塑料厂家通过在塑料中填充大量导热粉体来制备导热塑料，应用的基础树脂主要包括尼龙(PA)、聚对苯二甲酸丁二醇酯(PBT)、聚碳酸酯(PC)和聚苯硫醚(PPS)；三是封装材料，主要包括灯珠封装胶、灯罩密封粘结胶、线路板导热硅脂和电源导热灌封胶，应用的材料主要包括有机硅改性环氧树脂和有机硅胶等。</w:t>
      </w:r>
    </w:p>
    <w:p w14:paraId="1C7C281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化工新材料在环保领域的应用主要为废水废气净化材料。在废水净化领域，化工新材料未来的主要发展空间在过滤器和过滤材料。在水处理常用的过滤器中，最新开发的合成聚合物纤维过滤器，使得过滤技术达到新的水平。如出现新型自供电的纤维过滤设备，在水的作用下，过滤层自动形成清洗状态，可以用很低的清晰水压头对过滤层轻松彻底地进行清洗，而且在清洗过程中对过滤料零损伤，可有效去除水中的悬浮固体、有机物、油、胶体、病毒有着明显的清除作用。一些纤维过滤材料可以在没有任何絮凝剂的情况下使用，以解决纤维低温低浊度处理问题。水处理膜材料方面，我国已经实现了微滤膜和超滤膜的质量突破，在纳滤膜和反渗透膜的生产方面，已有碧水源、时代沃顿等生产企业具有了膜元件和膜组件生产的核心技术，但是膜片仍主要采用进口材料。RO反渗透膜是由交联芳香族聚酰胺(脱盐层)、聚砜(疏松支撑层)、聚酯无纺布(基层)三部分组成，其中交联芳香族聚酰胺通常采用表面聚合工艺，基本配方是间苯二胺与均苯三甲酰氯或其他酰氯。在废气净化领域，耐高温过滤材料对材料的性能要求比较高，目前仍有大量进口替代空间。耐高温过滤材料一般指耐温在200℃以上的过滤材料。目前普遍采用的耐高温过滤材料主要包括玻璃纤维、聚苯硫醚(PPS)纤维、聚酰亚胺(PI)纤维、芳纶、聚四氟乙烯(PTFE)纤维、芳砜纶、三聚氰胺纤维等。在实际应用中，往往将多种纤维配合使用，配合不同滤料生产工艺，提高除尘袋的综合应用性能。</w:t>
      </w:r>
    </w:p>
    <w:p w14:paraId="58C37AA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6.2新材料产业规划</w:t>
      </w:r>
    </w:p>
    <w:p w14:paraId="3AAE74A8">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6.2.1化工新材料</w:t>
      </w:r>
    </w:p>
    <w:p w14:paraId="193E750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6.2.1.1现有产业基础</w:t>
      </w:r>
    </w:p>
    <w:p w14:paraId="58E09FD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化工业是泉州市的新兴产业，也是重点扶持的产业之一。随着福建联合石化一体化项目全面投产、石狮佳龙一期60万吨/年PTA项目建成投产、晋江百宏聚纤科技实业有限公司和锦福化纤聚合有限公司大型聚酯化纤项目投产及扩建，泉港石化工业区、泉惠石化工业区一批石化重点项目陆续投建投产，泉州市石化产业获得持续快速发展。目前已形成或正在逐步延伸形成炼化一体化装置→烯烃、芳烃、碳四等有机化工原料→聚酯产业链；乙烯装置→混合碳四抽提→丁二烯、异丁烯→合成橡胶产业链；烯烃、芳烃→聚酰胺、聚碳酸酯、PBT、PTT→工程塑料等合成树脂产业链；乙烯、丙烯、碳四→有机化工原料及其他合成树脂产业链，产业地位不断提升。</w:t>
      </w:r>
    </w:p>
    <w:p w14:paraId="4B9343B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6.2.1.2市场条件</w:t>
      </w:r>
    </w:p>
    <w:p w14:paraId="0DD5412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泉州地区是我国东南沿海纺织鞋服、塑料橡胶制品等产业的成品或半成品的主要产地，对石化产业中下游产品的市场需求量巨大，与市场配套发展的空间较大。</w:t>
      </w:r>
    </w:p>
    <w:p w14:paraId="57468EF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州地区的大型企业通过发展炼化一体化和多元化原料加工，为本地提供各类有机化工产品、副产资源、合成材料。发展化工新材料是国家战略导向，我国将其列为重点发展的战略性新兴产业之一，而且化工新材料是新一代信息技术、高端装备(包括航空航天装备、海洋工程和高技术船舶、轨道交通等)、生物、新能源汽车、新能源、节能环保等战略性新兴产业发展的基础甚至关键，其保障能力是中国制造2025目标实现的重要基础。</w:t>
      </w:r>
    </w:p>
    <w:p w14:paraId="65E4EBD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因此，从泉港高新区发展的角度来看，重点打造致力于发展高性能树脂下游、特种橡胶和弹性体下游、功能性膜材料、高性能纤维及复合材料、增材制造材料、石墨烯材料等新材料产业项目，为周边汽车、新能源、大健康、节能环保等其他产业提供材料。</w:t>
      </w:r>
    </w:p>
    <w:p w14:paraId="15EA8E0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6.2.1.3重点推荐项目</w:t>
      </w:r>
    </w:p>
    <w:p w14:paraId="6378756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0" name="图片 37"/>
            <wp:cNvGraphicFramePr/>
            <a:graphic xmlns:a="http://schemas.openxmlformats.org/drawingml/2006/main">
              <a:graphicData uri="http://schemas.openxmlformats.org/drawingml/2006/picture">
                <pic:pic xmlns:pic="http://schemas.openxmlformats.org/drawingml/2006/picture">
                  <pic:nvPicPr>
                    <pic:cNvPr id="160"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功能膜材料及组件</w:t>
      </w:r>
    </w:p>
    <w:p w14:paraId="711D6FD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功能膜材料及组件(海水淡化预处理膜、海水淡化反渗透膜、纳米隔热膜、高通量抗污染纳滤膜、薄膜型太阳能电池用柔性聚合物膜、智能温控膜、偏光片及膜材、离子交换膜、聚芳酯PAR薄膜、高导热石墨膜、EVOH阻隔膜、电渗析膜、微棱镜膜、气体分离膜和渗透汽化膜等)，应用于水处理、薄膜太阳能电池、锂离子电池、建筑、平板显示、医药、汽车、印刷包装等领域。</w:t>
      </w:r>
    </w:p>
    <w:p w14:paraId="628D92B6">
      <w:pPr>
        <w:keepNext w:val="0"/>
        <w:keepLines w:val="0"/>
        <w:pageBreakBefore w:val="0"/>
        <w:widowControl w:val="0"/>
        <w:wordWrap/>
        <w:overflowPunct/>
        <w:bidi w:val="0"/>
        <w:spacing w:line="3399" w:lineRule="exact"/>
        <w:ind w:firstLine="2757"/>
        <w:textAlignment w:val="center"/>
      </w:pPr>
      <w:r>
        <w:drawing>
          <wp:inline distT="0" distB="0" distL="114300" distR="114300">
            <wp:extent cx="2256790" cy="2157730"/>
            <wp:effectExtent l="0" t="0" r="10160" b="1270"/>
            <wp:docPr id="132" name="图片 38"/>
            <wp:cNvGraphicFramePr/>
            <a:graphic xmlns:a="http://schemas.openxmlformats.org/drawingml/2006/main">
              <a:graphicData uri="http://schemas.openxmlformats.org/drawingml/2006/picture">
                <pic:pic xmlns:pic="http://schemas.openxmlformats.org/drawingml/2006/picture">
                  <pic:nvPicPr>
                    <pic:cNvPr id="132" name="图片 38"/>
                    <pic:cNvPicPr/>
                  </pic:nvPicPr>
                  <pic:blipFill>
                    <a:blip r:embed="rId60"/>
                    <a:stretch>
                      <a:fillRect/>
                    </a:stretch>
                  </pic:blipFill>
                  <pic:spPr>
                    <a:xfrm>
                      <a:off x="0" y="0"/>
                      <a:ext cx="2256790" cy="2157730"/>
                    </a:xfrm>
                    <a:prstGeom prst="rect">
                      <a:avLst/>
                    </a:prstGeom>
                    <a:noFill/>
                    <a:ln>
                      <a:noFill/>
                    </a:ln>
                  </pic:spPr>
                </pic:pic>
              </a:graphicData>
            </a:graphic>
          </wp:inline>
        </w:drawing>
      </w:r>
    </w:p>
    <w:p w14:paraId="41C193DB">
      <w:pPr>
        <w:keepNext w:val="0"/>
        <w:keepLines w:val="0"/>
        <w:pageBreakBefore w:val="0"/>
        <w:widowControl w:val="0"/>
        <w:wordWrap/>
        <w:overflowPunct/>
        <w:bidi w:val="0"/>
        <w:spacing w:before="300" w:line="224" w:lineRule="auto"/>
        <w:ind w:left="2029"/>
        <w:rPr>
          <w:rFonts w:ascii="黑体" w:hAnsi="黑体" w:eastAsia="黑体" w:cs="黑体"/>
          <w:sz w:val="23"/>
          <w:szCs w:val="23"/>
        </w:rPr>
      </w:pPr>
      <w:r>
        <w:rPr>
          <w:rFonts w:ascii="黑体" w:hAnsi="黑体" w:eastAsia="黑体" w:cs="黑体"/>
          <w:spacing w:val="13"/>
          <w:sz w:val="23"/>
          <w:szCs w:val="23"/>
        </w:rPr>
        <w:t>新</w:t>
      </w:r>
      <w:r>
        <w:rPr>
          <w:rFonts w:ascii="黑体" w:hAnsi="黑体" w:eastAsia="黑体" w:cs="黑体"/>
          <w:spacing w:val="10"/>
          <w:sz w:val="23"/>
          <w:szCs w:val="23"/>
        </w:rPr>
        <w:t>材料产业发展重点项目</w:t>
      </w:r>
      <w:r>
        <w:rPr>
          <w:rFonts w:ascii="Arial" w:hAnsi="Arial" w:eastAsia="Arial" w:cs="Arial"/>
          <w:b/>
          <w:bCs/>
          <w:spacing w:val="10"/>
          <w:sz w:val="23"/>
          <w:szCs w:val="23"/>
        </w:rPr>
        <w:t>——</w:t>
      </w:r>
      <w:r>
        <w:rPr>
          <w:rFonts w:ascii="黑体" w:hAnsi="黑体" w:eastAsia="黑体" w:cs="黑体"/>
          <w:spacing w:val="10"/>
          <w:sz w:val="23"/>
          <w:szCs w:val="23"/>
        </w:rPr>
        <w:t>功能膜材料及组件</w:t>
      </w:r>
    </w:p>
    <w:p w14:paraId="780199B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1" name="图片 37"/>
            <wp:cNvGraphicFramePr/>
            <a:graphic xmlns:a="http://schemas.openxmlformats.org/drawingml/2006/main">
              <a:graphicData uri="http://schemas.openxmlformats.org/drawingml/2006/picture">
                <pic:pic xmlns:pic="http://schemas.openxmlformats.org/drawingml/2006/picture">
                  <pic:nvPicPr>
                    <pic:cNvPr id="161"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高性能纤维及制品</w:t>
      </w:r>
    </w:p>
    <w:p w14:paraId="07856546">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目前泉州地区化纤产业已有一定基础，特别是鲤城区化纤产业较为发达。从纺织行业发展来看，人们对功能性、差别化纺织品的需求也在不断增强。近年来，超高分子量聚乙烯、聚苯硫醚、芳纶1313等一批高新技术纤维材料产业化取得突破，新一代直纺涤纶超细长丝及高效新型卷饶头技术、蛋白纤维等一系列功能化、差别化纤维生产技术实现产业化，也为纺织面料及服装、家纺产品提供了优质的纤维原料。</w:t>
      </w:r>
    </w:p>
    <w:p w14:paraId="3CA24D8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因此从新材料深加工角度来看，可适度布局高性能化纤的延伸加工和混纺，主要还是体现差别化和高附加值产品，注重与下游企业的协同。在产业用纺织品领域重点发展复合过滤材料，新型蓬盖、高铁、汽车、风电叶片、航空等纺织材料和高端医用纺织品的发展。</w:t>
      </w:r>
    </w:p>
    <w:p w14:paraId="17B2B87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性能纤维及制品(超高分子量聚乙烯超高强、高模、细旦纤维及复合材料、碳纤维复合材料、芳纶复合材料、聚酰亚胺纤维复合材料、聚苯硫醚纤维复合材料、聚对苯撑苯并双噁唑(PBO)纤维复合材料、陶瓷纤维复合材料、玄武岩纤维复合材料、聚对苯二甲酸-1,3-丙二醇酯(PTT)纤维、聚对苯二甲酸乙二醇酯(PET)纤维、聚对苯二甲酸丁二醇酯(PBT)纤维等。</w:t>
      </w:r>
    </w:p>
    <w:p w14:paraId="28B9C4C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distribute"/>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其中碳纤维复合材料可用于体育休闲领域、消费电子领域和新兴领域</w:t>
      </w:r>
    </w:p>
    <w:p w14:paraId="20E724D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0" w:firstLineChars="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等；间位芳纶复合材料可用于过滤材料和防护材料；对位芳纶可用于军工防弹、光缆、绳缆、体育用品、汽车等领域；超高分子量聚乙烯纤维可用于军用防弹(防弹服和移动装甲)、家用纺织品、绳网等；聚苯硫醚纤维主要用于环保滤料行业；玄武岩纤维主要用于复合筋和纤维布等。高性能纤维还可利用PET再生纤维发展纺织加工产业。</w:t>
      </w:r>
    </w:p>
    <w:p w14:paraId="1F08C2A5">
      <w:pPr>
        <w:keepNext w:val="0"/>
        <w:keepLines w:val="0"/>
        <w:pageBreakBefore w:val="0"/>
        <w:widowControl w:val="0"/>
        <w:wordWrap/>
        <w:overflowPunct/>
        <w:bidi w:val="0"/>
        <w:spacing w:line="3888" w:lineRule="exact"/>
        <w:jc w:val="center"/>
        <w:textAlignment w:val="center"/>
      </w:pPr>
      <w:r>
        <w:drawing>
          <wp:inline distT="0" distB="0" distL="114300" distR="114300">
            <wp:extent cx="2867660" cy="2468880"/>
            <wp:effectExtent l="0" t="0" r="3810" b="3175"/>
            <wp:docPr id="134" name="图片 40"/>
            <wp:cNvGraphicFramePr/>
            <a:graphic xmlns:a="http://schemas.openxmlformats.org/drawingml/2006/main">
              <a:graphicData uri="http://schemas.openxmlformats.org/drawingml/2006/picture">
                <pic:pic xmlns:pic="http://schemas.openxmlformats.org/drawingml/2006/picture">
                  <pic:nvPicPr>
                    <pic:cNvPr id="134" name="图片 40"/>
                    <pic:cNvPicPr/>
                  </pic:nvPicPr>
                  <pic:blipFill>
                    <a:blip r:embed="rId61"/>
                    <a:stretch>
                      <a:fillRect/>
                    </a:stretch>
                  </pic:blipFill>
                  <pic:spPr>
                    <a:xfrm>
                      <a:off x="0" y="0"/>
                      <a:ext cx="2867660" cy="2468880"/>
                    </a:xfrm>
                    <a:prstGeom prst="rect">
                      <a:avLst/>
                    </a:prstGeom>
                    <a:noFill/>
                    <a:ln>
                      <a:noFill/>
                    </a:ln>
                  </pic:spPr>
                </pic:pic>
              </a:graphicData>
            </a:graphic>
          </wp:inline>
        </w:drawing>
      </w:r>
    </w:p>
    <w:p w14:paraId="3A4F4A9A">
      <w:pPr>
        <w:keepNext w:val="0"/>
        <w:keepLines w:val="0"/>
        <w:pageBreakBefore w:val="0"/>
        <w:widowControl w:val="0"/>
        <w:wordWrap/>
        <w:overflowPunct/>
        <w:bidi w:val="0"/>
        <w:spacing w:before="299" w:line="225" w:lineRule="auto"/>
        <w:jc w:val="center"/>
        <w:rPr>
          <w:rFonts w:ascii="黑体" w:hAnsi="黑体" w:eastAsia="黑体" w:cs="黑体"/>
          <w:sz w:val="23"/>
          <w:szCs w:val="23"/>
        </w:rPr>
      </w:pPr>
      <w:r>
        <w:rPr>
          <w:rFonts w:ascii="黑体" w:hAnsi="黑体" w:eastAsia="黑体" w:cs="黑体"/>
          <w:spacing w:val="13"/>
          <w:sz w:val="23"/>
          <w:szCs w:val="23"/>
        </w:rPr>
        <w:t>新</w:t>
      </w:r>
      <w:r>
        <w:rPr>
          <w:rFonts w:ascii="黑体" w:hAnsi="黑体" w:eastAsia="黑体" w:cs="黑体"/>
          <w:spacing w:val="10"/>
          <w:sz w:val="23"/>
          <w:szCs w:val="23"/>
        </w:rPr>
        <w:t>材料产业发展重点项目</w:t>
      </w:r>
      <w:r>
        <w:rPr>
          <w:rFonts w:ascii="Arial" w:hAnsi="Arial" w:eastAsia="Arial" w:cs="Arial"/>
          <w:b/>
          <w:bCs/>
          <w:spacing w:val="10"/>
          <w:sz w:val="23"/>
          <w:szCs w:val="23"/>
        </w:rPr>
        <w:t>——</w:t>
      </w:r>
      <w:r>
        <w:rPr>
          <w:rFonts w:ascii="黑体" w:hAnsi="黑体" w:eastAsia="黑体" w:cs="黑体"/>
          <w:spacing w:val="10"/>
          <w:sz w:val="23"/>
          <w:szCs w:val="23"/>
        </w:rPr>
        <w:t>高性能纤维及制品</w:t>
      </w:r>
    </w:p>
    <w:p w14:paraId="4F31DD6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2" name="图片 37"/>
            <wp:cNvGraphicFramePr/>
            <a:graphic xmlns:a="http://schemas.openxmlformats.org/drawingml/2006/main">
              <a:graphicData uri="http://schemas.openxmlformats.org/drawingml/2006/picture">
                <pic:pic xmlns:pic="http://schemas.openxmlformats.org/drawingml/2006/picture">
                  <pic:nvPicPr>
                    <pic:cNvPr id="162"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增材制造材料</w:t>
      </w:r>
    </w:p>
    <w:p w14:paraId="3E2ECA2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增材制造材料主要指3D打印材料和4D打印材料，重点发展有机聚合物基体材料(聚乳酸PLA、ABS塑料、尼龙PA、聚酯PET、聚苯乙烯HIPS等)、新塑料粉末、陶瓷树脂、3D打印石墨烯材料、形状记忆聚合物(SMP)纤维材料。</w:t>
      </w:r>
    </w:p>
    <w:p w14:paraId="6402A5D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增材制造材料主要面向鞋类、工业设计、建筑、工程和施工(AEC)、汽车，航空航天、牙科和医疗产业、教育等领域。</w:t>
      </w:r>
    </w:p>
    <w:p w14:paraId="5AAE901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3" name="图片 37"/>
            <wp:cNvGraphicFramePr/>
            <a:graphic xmlns:a="http://schemas.openxmlformats.org/drawingml/2006/main">
              <a:graphicData uri="http://schemas.openxmlformats.org/drawingml/2006/picture">
                <pic:pic xmlns:pic="http://schemas.openxmlformats.org/drawingml/2006/picture">
                  <pic:nvPicPr>
                    <pic:cNvPr id="163"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塑料合金、制品和复合材料</w:t>
      </w:r>
    </w:p>
    <w:p w14:paraId="2CC6FDA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塑料合金泛指以聚合物共混物为基本成分组成的塑料，主要包括PP、PE、PA、PET、PS、ABS、PBT、PPS、PC等塑料合金，例如ABS/PVC、PA6/PO、PA6/PBT、PC/ABS、PC/PBT、PC/PET、PC/PE、PC/PTFE、POM/TPU、POM/PTFE，PPO/TPU、PPO/PS、PPO/PBT、PBT/PET、PSF/PBT、PPS/PTFE等，PVC型材、异型材、管材、板材、片材、电缆料等项目塑料制品，塑木复合材料等。</w:t>
      </w:r>
    </w:p>
    <w:p w14:paraId="1BCC363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塑料合金、制品和复合材料主要面向汽车、电子、精密仪器、办公设备、包装材料以及建筑材料等领域。</w:t>
      </w:r>
    </w:p>
    <w:p w14:paraId="0C02E2F3">
      <w:pPr>
        <w:keepNext w:val="0"/>
        <w:keepLines w:val="0"/>
        <w:pageBreakBefore w:val="0"/>
        <w:widowControl w:val="0"/>
        <w:wordWrap/>
        <w:overflowPunct/>
        <w:bidi w:val="0"/>
        <w:spacing w:line="4560" w:lineRule="exact"/>
        <w:ind w:firstLine="1848"/>
        <w:textAlignment w:val="center"/>
      </w:pPr>
      <w:r>
        <w:drawing>
          <wp:inline distT="0" distB="0" distL="114300" distR="114300">
            <wp:extent cx="3413125" cy="2895600"/>
            <wp:effectExtent l="0" t="0" r="8890" b="8255"/>
            <wp:docPr id="137" name="图片 43"/>
            <wp:cNvGraphicFramePr/>
            <a:graphic xmlns:a="http://schemas.openxmlformats.org/drawingml/2006/main">
              <a:graphicData uri="http://schemas.openxmlformats.org/drawingml/2006/picture">
                <pic:pic xmlns:pic="http://schemas.openxmlformats.org/drawingml/2006/picture">
                  <pic:nvPicPr>
                    <pic:cNvPr id="137" name="图片 43"/>
                    <pic:cNvPicPr/>
                  </pic:nvPicPr>
                  <pic:blipFill>
                    <a:blip r:embed="rId62"/>
                    <a:stretch>
                      <a:fillRect/>
                    </a:stretch>
                  </pic:blipFill>
                  <pic:spPr>
                    <a:xfrm>
                      <a:off x="0" y="0"/>
                      <a:ext cx="3413125" cy="2895600"/>
                    </a:xfrm>
                    <a:prstGeom prst="rect">
                      <a:avLst/>
                    </a:prstGeom>
                    <a:noFill/>
                    <a:ln>
                      <a:noFill/>
                    </a:ln>
                  </pic:spPr>
                </pic:pic>
              </a:graphicData>
            </a:graphic>
          </wp:inline>
        </w:drawing>
      </w:r>
    </w:p>
    <w:p w14:paraId="034F8B1F">
      <w:pPr>
        <w:keepNext w:val="0"/>
        <w:keepLines w:val="0"/>
        <w:pageBreakBefore w:val="0"/>
        <w:widowControl w:val="0"/>
        <w:wordWrap/>
        <w:overflowPunct/>
        <w:bidi w:val="0"/>
        <w:spacing w:before="297" w:line="225" w:lineRule="auto"/>
        <w:ind w:left="1549"/>
        <w:rPr>
          <w:rFonts w:ascii="黑体" w:hAnsi="黑体" w:eastAsia="黑体" w:cs="黑体"/>
          <w:sz w:val="23"/>
          <w:szCs w:val="23"/>
        </w:rPr>
      </w:pPr>
      <w:r>
        <w:rPr>
          <w:rFonts w:ascii="黑体" w:hAnsi="黑体" w:eastAsia="黑体" w:cs="黑体"/>
          <w:spacing w:val="15"/>
          <w:sz w:val="23"/>
          <w:szCs w:val="23"/>
        </w:rPr>
        <w:t>新</w:t>
      </w:r>
      <w:r>
        <w:rPr>
          <w:rFonts w:ascii="黑体" w:hAnsi="黑体" w:eastAsia="黑体" w:cs="黑体"/>
          <w:spacing w:val="10"/>
          <w:sz w:val="23"/>
          <w:szCs w:val="23"/>
        </w:rPr>
        <w:t>材料产业发展重点项目</w:t>
      </w:r>
      <w:r>
        <w:rPr>
          <w:rFonts w:ascii="Arial" w:hAnsi="Arial" w:eastAsia="Arial" w:cs="Arial"/>
          <w:b/>
          <w:bCs/>
          <w:spacing w:val="10"/>
          <w:sz w:val="23"/>
          <w:szCs w:val="23"/>
        </w:rPr>
        <w:t>——</w:t>
      </w:r>
      <w:r>
        <w:rPr>
          <w:rFonts w:ascii="黑体" w:hAnsi="黑体" w:eastAsia="黑体" w:cs="黑体"/>
          <w:spacing w:val="10"/>
          <w:sz w:val="23"/>
          <w:szCs w:val="23"/>
        </w:rPr>
        <w:t>塑料合金、制品和复合材料</w:t>
      </w:r>
    </w:p>
    <w:p w14:paraId="2B1E46C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4" name="图片 37"/>
            <wp:cNvGraphicFramePr/>
            <a:graphic xmlns:a="http://schemas.openxmlformats.org/drawingml/2006/main">
              <a:graphicData uri="http://schemas.openxmlformats.org/drawingml/2006/picture">
                <pic:pic xmlns:pic="http://schemas.openxmlformats.org/drawingml/2006/picture">
                  <pic:nvPicPr>
                    <pic:cNvPr id="164"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default" w:ascii="仿宋_GB2312" w:hAnsi="仿宋_GB2312" w:eastAsia="仿宋_GB2312" w:cs="仿宋_GB2312"/>
          <w:spacing w:val="0"/>
          <w:sz w:val="28"/>
          <w:szCs w:val="28"/>
          <w:lang w:val="en-US" w:eastAsia="zh-CN"/>
        </w:rPr>
        <w:t>石墨烯材料</w:t>
      </w:r>
    </w:p>
    <w:p w14:paraId="1095CEF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墨烯产业以培育为主，石墨烯材料侧重发展石墨烯制备、石墨烯复合材料、石墨烯储能材料、石墨烯电子信息应用、石墨烯节能环保应用及配套产业等工程技术。重点项目主要包括：石墨烯制备、石墨烯包覆正极材料、石墨烯超级电容器等。其他如超级石墨烯玻璃在电致变色窗、智能汽车(变色窗、防霜雾镜)、玻璃暖气片、触摸屏、智能投影墙、光学传感器的应用、石墨烯海水淡化技术、大面积石墨烯钙钛矿太阳能电池、石墨烯可穿戴器件、石墨烯压力传感器、柔性石墨烯微波通信器件、石墨烯涂料等。</w:t>
      </w:r>
    </w:p>
    <w:p w14:paraId="7721429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近中期：重点加快石墨烯规模化、高性能化的控制，对传统涂料、复合纤维、纺织面料、建筑材料、润滑剂、电磁屏蔽材料、电线电缆等进行改性，提升材料性能、拓展应用功能</w:t>
      </w:r>
    </w:p>
    <w:p w14:paraId="5A9CDAD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远期发展石墨烯材料在电子信息领域等行业的应用。与光电信息产业和新材料产业结合，研发石墨烯新型显示器件，推进高电导率大面积触控屏、大尺寸移动智能终端用导电隔膜、大健康和可穿戴电子设备领域应用的石墨烯传感器、用于物流、移动通信、支付和RFID电子标签领域的石墨烯射频产品等。开发石墨烯在超电、锂电等能源方面的应用和产业化。</w:t>
      </w:r>
    </w:p>
    <w:p w14:paraId="4E09A5B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石墨烯材料为周边平板显示、半导体集成电路、分立器件、光电照明、新能源等产业，周边东南汽车、戴克轻型客车、厦门金龙汽车等配套。</w:t>
      </w:r>
    </w:p>
    <w:p w14:paraId="438F68B5">
      <w:pPr>
        <w:keepNext w:val="0"/>
        <w:keepLines w:val="0"/>
        <w:pageBreakBefore w:val="0"/>
        <w:widowControl w:val="0"/>
        <w:wordWrap/>
        <w:overflowPunct/>
        <w:bidi w:val="0"/>
        <w:spacing w:line="4411" w:lineRule="exact"/>
        <w:jc w:val="center"/>
        <w:textAlignment w:val="center"/>
      </w:pPr>
      <w:r>
        <w:drawing>
          <wp:inline distT="0" distB="0" distL="114300" distR="114300">
            <wp:extent cx="3541395" cy="2800985"/>
            <wp:effectExtent l="0" t="0" r="10160" b="5715"/>
            <wp:docPr id="139" name="图片 45"/>
            <wp:cNvGraphicFramePr/>
            <a:graphic xmlns:a="http://schemas.openxmlformats.org/drawingml/2006/main">
              <a:graphicData uri="http://schemas.openxmlformats.org/drawingml/2006/picture">
                <pic:pic xmlns:pic="http://schemas.openxmlformats.org/drawingml/2006/picture">
                  <pic:nvPicPr>
                    <pic:cNvPr id="139" name="图片 45"/>
                    <pic:cNvPicPr/>
                  </pic:nvPicPr>
                  <pic:blipFill>
                    <a:blip r:embed="rId63"/>
                    <a:stretch>
                      <a:fillRect/>
                    </a:stretch>
                  </pic:blipFill>
                  <pic:spPr>
                    <a:xfrm>
                      <a:off x="0" y="0"/>
                      <a:ext cx="3541395" cy="2800985"/>
                    </a:xfrm>
                    <a:prstGeom prst="rect">
                      <a:avLst/>
                    </a:prstGeom>
                    <a:noFill/>
                    <a:ln>
                      <a:noFill/>
                    </a:ln>
                  </pic:spPr>
                </pic:pic>
              </a:graphicData>
            </a:graphic>
          </wp:inline>
        </w:drawing>
      </w:r>
    </w:p>
    <w:p w14:paraId="0A611E2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0" w:firstLineChars="0"/>
        <w:jc w:val="center"/>
        <w:textAlignment w:val="auto"/>
        <w:rPr>
          <w:rFonts w:ascii="黑体" w:hAnsi="黑体" w:eastAsia="黑体" w:cs="黑体"/>
          <w:spacing w:val="10"/>
          <w:sz w:val="23"/>
          <w:szCs w:val="23"/>
        </w:rPr>
      </w:pPr>
      <w:r>
        <w:rPr>
          <w:rFonts w:ascii="黑体" w:hAnsi="黑体" w:eastAsia="黑体" w:cs="黑体"/>
          <w:spacing w:val="11"/>
          <w:sz w:val="23"/>
          <w:szCs w:val="23"/>
        </w:rPr>
        <w:t>新</w:t>
      </w:r>
      <w:r>
        <w:rPr>
          <w:rFonts w:ascii="黑体" w:hAnsi="黑体" w:eastAsia="黑体" w:cs="黑体"/>
          <w:spacing w:val="10"/>
          <w:sz w:val="23"/>
          <w:szCs w:val="23"/>
        </w:rPr>
        <w:t>材料产业发展重点项目</w:t>
      </w:r>
      <w:r>
        <w:rPr>
          <w:rFonts w:ascii="Arial" w:hAnsi="Arial" w:eastAsia="Arial" w:cs="Arial"/>
          <w:b/>
          <w:bCs/>
          <w:spacing w:val="10"/>
          <w:sz w:val="23"/>
          <w:szCs w:val="23"/>
        </w:rPr>
        <w:t>——</w:t>
      </w:r>
      <w:r>
        <w:rPr>
          <w:rFonts w:ascii="黑体" w:hAnsi="黑体" w:eastAsia="黑体" w:cs="黑体"/>
          <w:spacing w:val="10"/>
          <w:sz w:val="23"/>
          <w:szCs w:val="23"/>
        </w:rPr>
        <w:t>石墨烯材料</w:t>
      </w:r>
    </w:p>
    <w:p w14:paraId="22C631B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6.2.1.4新材料产业发展目标</w:t>
      </w:r>
    </w:p>
    <w:p w14:paraId="1F16B34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到2025年，构建化工新材料深加工产业链，积极培育产学研一体化发展环境；</w:t>
      </w:r>
    </w:p>
    <w:p w14:paraId="7694EE5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2030年，在化工新材料领域突出泉港高新区深加工产业特色，贡献年产值达到128亿元，实现年利税额15亿元左右，基本形成功能性膜材料及组件、高性能纤维及制品、增材制造材料、塑料合金和复合材料、石墨烯等产业集群框架；</w:t>
      </w:r>
    </w:p>
    <w:p w14:paraId="41416F0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到2035年，新材料领域，泉港高新区成为国内领军高新区之一，打造/引入3个以上国际先进、国内一流的新材料企业，形成5个以上具有国内影响力的新材料产业项目。</w:t>
      </w:r>
    </w:p>
    <w:p w14:paraId="4471F59E">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6.2.2新能源材料</w:t>
      </w:r>
    </w:p>
    <w:p w14:paraId="73D15CF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6.2.2.1现有产业基础</w:t>
      </w:r>
    </w:p>
    <w:p w14:paraId="62179BA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福建省自十二五中期将新能源汽车产业定位为新的增长点。经过数年的发展，福建省已经具备了一定的产业基础。目前，福建省共有新能源汽车整车生产企业7家，专用车生产企业1家，新能源汽车产能15万辆，基本涵盖了所有类别的新能源汽车产品。</w:t>
      </w:r>
    </w:p>
    <w:p w14:paraId="2534E78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6.2.2.2市场条件</w:t>
      </w:r>
    </w:p>
    <w:p w14:paraId="38671B8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福建省内宁德时代新能源经过多年发展，目前产能16GWh，动力电池能量密度、稳定性、可靠性等方面拥有全球领先优势。漳州猛狮新能源科技已形成1GWh产能。漳州雷天温斯顿、福清冠城瑞闽、南平巨电等锂电池生产企业已形成产能或正在建设。福建省正打造福莆宁、厦漳泉、闽西北三大新能源汽车整车基地和宁德、漳州两个动力电池基地及电机、电控等产业龙头企业。</w:t>
      </w:r>
    </w:p>
    <w:p w14:paraId="0CA181E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6.2.2.3重点推荐项目</w:t>
      </w:r>
    </w:p>
    <w:p w14:paraId="317592C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福建地区大力发展新能源汽车产业将带来更多的电池材料的需求，泉港高新区发展新能源产业可着力从新能源电池材料着眼。从锂离子电池材料下游产业的发展来看，正极材料、负极材料、电解液材料、隔膜材料和包装材料等关键材料亟需提升、改进和革新，构成的新电池体系也面临着安全性、稳定性、长循环寿命、高适应性等挑战，正值材料更新换代期。正极材料从磷酸铁锂向三元材料方向发展，特别是高镍三元材料方向发展，趋向高容量、高电压和长寿命等；负极材料从石墨材料向硅基负极材料方向发展，趋向高容量、长寿命；电解液则向先进添加剂、先进锂盐方向发展，趋向高容量、长寿命；隔膜材料逐渐由干法隔膜过渡到湿法+陶瓷涂层隔膜，趋向高安全和薄型化。考虑到周边新能源电池材料和电池企业的发展现状，建议泉港高新区新能源产业重点发展新一代锂离子电池材料，一方面可实现弯道超车，在新能源新型材料领域发力，另一方面，从产业发展来看，最终实现高电压、高容量的新体系需要新一代材料来完成，因此，泉港高新区新能源产业开发的重点项目包括富锂锰基固溶体、镍锰5V尖晶石等正极材料，硅碳负极材料，聚酰亚胺、聚异丁烯、涂覆或掺杂型等新一代锂电池隔膜，锂离子电池包装用铝塑复合膜等。</w:t>
      </w:r>
    </w:p>
    <w:p w14:paraId="17763F7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另一方面，燃料电池作为下一代清洁能源，在新能源汽车领域具有得天独厚的优势。因此，燃料电池相关配套材料及组件的需求将随着燃料电池的快速发展而迅速增长。燃料电池所需要的关键材料主要包括质子交换膜、双极板、气体扩散层、储氢材料、催化剂等，推荐泉港高新区将燃料电池材料及组件作为新能源产业发展的方向，充分享受产业迅猛发展带来的红利。重点推荐项目包括质子交换膜、双极板、气体扩散层、储氢材料、催化剂等材料外，还包括膜电极组装、检测和电堆复合等项目。</w:t>
      </w:r>
    </w:p>
    <w:p w14:paraId="60A7BA08">
      <w:pPr>
        <w:pStyle w:val="2"/>
        <w:keepNext w:val="0"/>
        <w:keepLines w:val="0"/>
        <w:pageBreakBefore w:val="0"/>
        <w:widowControl w:val="0"/>
        <w:wordWrap/>
        <w:overflowPunct/>
        <w:bidi w:val="0"/>
      </w:pPr>
      <w:r>
        <w:drawing>
          <wp:inline distT="0" distB="0" distL="114300" distR="114300">
            <wp:extent cx="5286375" cy="3980180"/>
            <wp:effectExtent l="0" t="0" r="3175" b="3810"/>
            <wp:docPr id="140" name="图片 46"/>
            <wp:cNvGraphicFramePr/>
            <a:graphic xmlns:a="http://schemas.openxmlformats.org/drawingml/2006/main">
              <a:graphicData uri="http://schemas.openxmlformats.org/drawingml/2006/picture">
                <pic:pic xmlns:pic="http://schemas.openxmlformats.org/drawingml/2006/picture">
                  <pic:nvPicPr>
                    <pic:cNvPr id="140" name="图片 46"/>
                    <pic:cNvPicPr/>
                  </pic:nvPicPr>
                  <pic:blipFill>
                    <a:blip r:embed="rId64"/>
                    <a:stretch>
                      <a:fillRect/>
                    </a:stretch>
                  </pic:blipFill>
                  <pic:spPr>
                    <a:xfrm>
                      <a:off x="0" y="0"/>
                      <a:ext cx="5286375" cy="3980180"/>
                    </a:xfrm>
                    <a:prstGeom prst="rect">
                      <a:avLst/>
                    </a:prstGeom>
                    <a:noFill/>
                    <a:ln>
                      <a:noFill/>
                    </a:ln>
                  </pic:spPr>
                </pic:pic>
              </a:graphicData>
            </a:graphic>
          </wp:inline>
        </w:drawing>
      </w:r>
    </w:p>
    <w:p w14:paraId="047F6F62">
      <w:pPr>
        <w:keepNext w:val="0"/>
        <w:keepLines w:val="0"/>
        <w:pageBreakBefore w:val="0"/>
        <w:widowControl w:val="0"/>
        <w:wordWrap/>
        <w:overflowPunct/>
        <w:bidi w:val="0"/>
        <w:spacing w:before="302" w:line="225" w:lineRule="auto"/>
        <w:ind w:left="3229"/>
        <w:rPr>
          <w:rFonts w:hint="eastAsia" w:ascii="仿宋_GB2312" w:hAnsi="仿宋_GB2312" w:eastAsia="仿宋_GB2312" w:cs="仿宋_GB2312"/>
          <w:b/>
          <w:bCs/>
          <w:spacing w:val="0"/>
          <w:sz w:val="28"/>
          <w:szCs w:val="28"/>
          <w:lang w:val="en-US" w:eastAsia="zh-CN"/>
        </w:rPr>
      </w:pPr>
      <w:r>
        <w:rPr>
          <w:rFonts w:ascii="黑体" w:hAnsi="黑体" w:eastAsia="黑体" w:cs="黑体"/>
          <w:spacing w:val="16"/>
          <w:sz w:val="23"/>
          <w:szCs w:val="23"/>
        </w:rPr>
        <w:t>新</w:t>
      </w:r>
      <w:r>
        <w:rPr>
          <w:rFonts w:ascii="黑体" w:hAnsi="黑体" w:eastAsia="黑体" w:cs="黑体"/>
          <w:spacing w:val="9"/>
          <w:sz w:val="23"/>
          <w:szCs w:val="23"/>
        </w:rPr>
        <w:t>能源产业发展重点项目</w:t>
      </w:r>
    </w:p>
    <w:p w14:paraId="7724681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6.2.2.4新能源产业发展目标</w:t>
      </w:r>
    </w:p>
    <w:p w14:paraId="5EFBC94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到2025年，构建新能源材料产业集群，侧重发展新一代锂离子电池材料项目，积极打造燃料电池产业基础，培育产学研一体化发展环境；</w:t>
      </w:r>
    </w:p>
    <w:p w14:paraId="4DD838C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到2030年，与福建周边如宁德地区新能源产业差异化发展，体现产业特色，为周边地区新能源电池行业提供新能源材料支撑，贡献年产值达到60亿元，实现年利税额8亿元左右，基本形成新能源材料产业集群框架；</w:t>
      </w:r>
    </w:p>
    <w:p w14:paraId="3F8090D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到2035年，在新能源领域，引入国内一流的新材料企业，形成2个以上具有国内影响力的新材料产业项目。</w:t>
      </w:r>
    </w:p>
    <w:p w14:paraId="65FEFBAD">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6.2.3大健康新材料</w:t>
      </w:r>
    </w:p>
    <w:p w14:paraId="08941AE3">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6.2.3.1现有产业基础</w:t>
      </w:r>
    </w:p>
    <w:p w14:paraId="73D5F33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大健康产业是根据时代发展、社会需求与疾病谱的改变，提出的一种全局性理念，是围绕满足各类健康(精神、心理、生理、社会、环境、道德)需求的产业的总称，大健康是围绕人的衣食住行、生老病死，对生命实施全程、全面、全要素的呵护。</w:t>
      </w:r>
    </w:p>
    <w:p w14:paraId="5D29FAE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区百岁寿星40人左右，80岁以上老人超过8000人，人均寿命达77.76岁。泉港是中国老年学学会认定的长寿之乡。目前泉港高新区内现有一家基于互联网+医疗的医疗仪器企业。福建省中医药大学等医科院校和研究机构有意在高新区建立研究院。</w:t>
      </w:r>
    </w:p>
    <w:p w14:paraId="68BCB60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6.2.3.2市场条件</w:t>
      </w:r>
    </w:p>
    <w:p w14:paraId="05F1D45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医疗保健的支出占比随着人口年龄的增加不断上升，65岁以上人口的医疗保健支出占比超过11.1%。未来10年，随着65岁以上人口占比不断提升，医疗保健的整体支出将进一步上升。</w:t>
      </w:r>
    </w:p>
    <w:p w14:paraId="4E6D74B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福建省大健康产业以医药产业和健康养老产业为主，健康管理服务产业占比相对较小。</w:t>
      </w:r>
    </w:p>
    <w:p w14:paraId="1A41B07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未来，健康管理服务业和医用材料将成为国内大健康产业最主要的增量市场。相对而言，目前市场正处于培育阶段。</w:t>
      </w:r>
    </w:p>
    <w:p w14:paraId="4AF4FB0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6.2.3.3重点推荐项目</w:t>
      </w:r>
    </w:p>
    <w:p w14:paraId="66BE4DD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大健康材料产业通过推进医疗大健康领域的先进材料作为具体实施的抓手，发展血液透析膜、医用包装膜、高端药用敷料、血袋和导管用安全塑料、人工器官及植入体材料及制品项目等。另一方面，以提高居民健康生活水平为出发点，突出“医+养+健+智”，构建涵盖以“医”为支撑的医药医疗产业、以“养”为支撑的保健养生产业、以“健”为支撑的运动康体产业、以“智”为支撑的健康信息服务平台等产业体系，特别突出“治未病”，防重于治，做好保健工作，让大健康产业“进社会”“进社区”“进家庭”，充分利用数据信息平台，实现大健康的产业化、社区化和智能化。</w:t>
      </w:r>
    </w:p>
    <w:p w14:paraId="5E639B1A">
      <w:pPr>
        <w:pStyle w:val="2"/>
        <w:keepNext w:val="0"/>
        <w:keepLines w:val="0"/>
        <w:pageBreakBefore w:val="0"/>
        <w:widowControl w:val="0"/>
        <w:kinsoku/>
        <w:wordWrap/>
        <w:overflowPunct/>
        <w:topLinePunct w:val="0"/>
        <w:autoSpaceDE/>
        <w:autoSpaceDN/>
        <w:bidi w:val="0"/>
        <w:adjustRightInd/>
        <w:snapToGrid/>
        <w:spacing w:before="0" w:beforeAutospacing="0" w:after="313" w:afterLines="10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从操作层面看，血液透析膜、医用包装膜、高端药用敷料、血袋和导管用安全塑料、人工器官及植入体材料及制品项目主要依托新材料项目来实施；大健康医疗产业体系则首先引入福建省中医药大学等医科院校和研究机构在泉港高新区建立大健康研究院，借助这些医疗院所在大健康领域的先进经验和研发实力，协同实现中医诊断量化、数字化、智能化和大健康产业人才的培养，并以此为依托推动大健康管理研究和咨询服务，实现大健康产业的孵化，将成果应用推广、转化。通过5-8年的发展，泉港高新区将形成较为成熟的大健康产业园，实现从产学研用一体的大健康全产业链体系。</w:t>
      </w:r>
    </w:p>
    <w:p w14:paraId="213EC39A">
      <w:pPr>
        <w:keepNext w:val="0"/>
        <w:keepLines w:val="0"/>
        <w:pageBreakBefore w:val="0"/>
        <w:widowControl w:val="0"/>
        <w:wordWrap/>
        <w:overflowPunct/>
        <w:bidi w:val="0"/>
        <w:spacing w:line="1851" w:lineRule="exact"/>
        <w:ind w:firstLine="1886"/>
        <w:textAlignment w:val="center"/>
        <w:rPr>
          <w:rFonts w:ascii="Arial"/>
          <w:sz w:val="21"/>
        </w:rPr>
      </w:pPr>
      <w:r>
        <w:drawing>
          <wp:inline distT="0" distB="0" distL="114300" distR="114300">
            <wp:extent cx="3364865" cy="1174750"/>
            <wp:effectExtent l="0" t="0" r="3175" b="1905"/>
            <wp:docPr id="141" name="图片 47"/>
            <wp:cNvGraphicFramePr/>
            <a:graphic xmlns:a="http://schemas.openxmlformats.org/drawingml/2006/main">
              <a:graphicData uri="http://schemas.openxmlformats.org/drawingml/2006/picture">
                <pic:pic xmlns:pic="http://schemas.openxmlformats.org/drawingml/2006/picture">
                  <pic:nvPicPr>
                    <pic:cNvPr id="141" name="图片 47"/>
                    <pic:cNvPicPr/>
                  </pic:nvPicPr>
                  <pic:blipFill>
                    <a:blip r:embed="rId65"/>
                    <a:stretch>
                      <a:fillRect/>
                    </a:stretch>
                  </pic:blipFill>
                  <pic:spPr>
                    <a:xfrm>
                      <a:off x="0" y="0"/>
                      <a:ext cx="3364865" cy="1174750"/>
                    </a:xfrm>
                    <a:prstGeom prst="rect">
                      <a:avLst/>
                    </a:prstGeom>
                    <a:noFill/>
                    <a:ln>
                      <a:noFill/>
                    </a:ln>
                  </pic:spPr>
                </pic:pic>
              </a:graphicData>
            </a:graphic>
          </wp:inline>
        </w:drawing>
      </w:r>
    </w:p>
    <w:p w14:paraId="70835EE2">
      <w:pPr>
        <w:keepNext w:val="0"/>
        <w:keepLines w:val="0"/>
        <w:pageBreakBefore w:val="0"/>
        <w:widowControl w:val="0"/>
        <w:wordWrap/>
        <w:overflowPunct/>
        <w:bidi w:val="0"/>
        <w:spacing w:before="75" w:line="225" w:lineRule="auto"/>
        <w:ind w:left="3470"/>
        <w:rPr>
          <w:rFonts w:ascii="黑体" w:hAnsi="黑体" w:eastAsia="黑体" w:cs="黑体"/>
          <w:sz w:val="23"/>
          <w:szCs w:val="23"/>
        </w:rPr>
      </w:pPr>
      <w:r>
        <w:rPr>
          <w:rFonts w:ascii="黑体" w:hAnsi="黑体" w:eastAsia="黑体" w:cs="黑体"/>
          <w:spacing w:val="11"/>
          <w:sz w:val="23"/>
          <w:szCs w:val="23"/>
        </w:rPr>
        <w:t>大</w:t>
      </w:r>
      <w:r>
        <w:rPr>
          <w:rFonts w:ascii="黑体" w:hAnsi="黑体" w:eastAsia="黑体" w:cs="黑体"/>
          <w:spacing w:val="9"/>
          <w:sz w:val="23"/>
          <w:szCs w:val="23"/>
        </w:rPr>
        <w:t>健康材料产业项目</w:t>
      </w:r>
    </w:p>
    <w:p w14:paraId="14B6A952">
      <w:pPr>
        <w:pStyle w:val="2"/>
        <w:keepNext w:val="0"/>
        <w:keepLines w:val="0"/>
        <w:pageBreakBefore w:val="0"/>
        <w:widowControl w:val="0"/>
        <w:kinsoku/>
        <w:wordWrap/>
        <w:overflowPunct/>
        <w:topLinePunct w:val="0"/>
        <w:autoSpaceDE/>
        <w:autoSpaceDN/>
        <w:bidi w:val="0"/>
        <w:adjustRightInd/>
        <w:snapToGrid/>
        <w:spacing w:before="313" w:beforeLines="100" w:beforeAutospacing="0" w:line="48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6.2.3.4大健康材料产业发展目标</w:t>
      </w:r>
    </w:p>
    <w:p w14:paraId="375B373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到2025年，为泉港高新区大健康材料产业奠定基础；</w:t>
      </w:r>
    </w:p>
    <w:p w14:paraId="518C7AE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到2030年，依托园区学校企业合作，建立大健康产业研究院，推动大健康产业上下游建设；</w:t>
      </w:r>
    </w:p>
    <w:p w14:paraId="18CA821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到2035年，在大健康材料和研究领域，泉港高新区成为大健康材料产业细分内先行者、创新者和主导者。</w:t>
      </w:r>
    </w:p>
    <w:p w14:paraId="4008D51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6.2.4节能环保新材料产业</w:t>
      </w:r>
    </w:p>
    <w:p w14:paraId="71D686D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2" w:firstLineChars="200"/>
        <w:jc w:val="both"/>
        <w:textAlignment w:val="auto"/>
        <w:rPr>
          <w:rFonts w:hint="default" w:ascii="仿宋_GB2312" w:hAnsi="仿宋_GB2312" w:eastAsia="仿宋_GB2312" w:cs="仿宋_GB2312"/>
          <w:b/>
          <w:bCs/>
          <w:spacing w:val="0"/>
          <w:sz w:val="28"/>
          <w:szCs w:val="28"/>
          <w:lang w:val="en-US" w:eastAsia="zh-CN"/>
        </w:rPr>
      </w:pPr>
      <w:r>
        <w:rPr>
          <w:rFonts w:hint="default" w:ascii="仿宋_GB2312" w:hAnsi="仿宋_GB2312" w:eastAsia="仿宋_GB2312" w:cs="仿宋_GB2312"/>
          <w:b/>
          <w:bCs/>
          <w:spacing w:val="0"/>
          <w:sz w:val="28"/>
          <w:szCs w:val="28"/>
          <w:lang w:val="en-US" w:eastAsia="zh-CN"/>
        </w:rPr>
        <w:t>6.2.4.1现有产业基础和市场条件</w:t>
      </w:r>
    </w:p>
    <w:p w14:paraId="0E57903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泉港高新区内现有再生PET纤维及下游纺织、轮胎回收等节能环保企业，已具备一定的产业发展基础。“十三五”期间，国内节能环保产业将保持年均15</w:t>
      </w:r>
      <w:r>
        <w:rPr>
          <w:rFonts w:hint="default" w:ascii="Times New Roman" w:hAnsi="Times New Roman" w:eastAsia="仿宋_GB2312" w:cs="Times New Roman"/>
          <w:spacing w:val="0"/>
          <w:sz w:val="28"/>
          <w:szCs w:val="28"/>
          <w:lang w:val="en-US" w:eastAsia="zh-CN"/>
        </w:rPr>
        <w:t>~</w:t>
      </w:r>
      <w:r>
        <w:rPr>
          <w:rFonts w:hint="eastAsia" w:ascii="仿宋_GB2312" w:hAnsi="仿宋_GB2312" w:eastAsia="仿宋_GB2312" w:cs="仿宋_GB2312"/>
          <w:spacing w:val="0"/>
          <w:sz w:val="28"/>
          <w:szCs w:val="28"/>
          <w:lang w:val="en-US" w:eastAsia="zh-CN"/>
        </w:rPr>
        <w:t>20%的增速，成为国民经济的重要组成部分。</w:t>
      </w:r>
    </w:p>
    <w:p w14:paraId="4C0E2BA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6.2.4.2重点推荐项目</w:t>
      </w:r>
    </w:p>
    <w:p w14:paraId="00A4D0D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泉港高新区节能环保产业聚焦重点分述如下：</w:t>
      </w:r>
    </w:p>
    <w:p w14:paraId="09F7027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资源循环利用产业。在泉港高新区推进资源、工业副产品等大宗固体废物的综合利用，在大宗工业用品资源化利用上重点布局。可依托高新区内现有再生PET纤维纺织企业重点大力发展资源再生利用项目，生产节能环保、轻质安全的材料产品，对废旧塑料的回收及再利用系统进行优化。</w:t>
      </w:r>
    </w:p>
    <w:p w14:paraId="4457ED1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环保产业。重点推进环保产业配套材料。如PPS纤维用作布袋除尘、反渗透膜材料及产业化用作水处理等。提供鼓励企业利用互联网搭建节能环保产品、技术、服务等市场信息交流平台，定期地发布节能环保产业发展的重大信息，展示最新的产品、技术、服务，建立节能环保产业的电子商务平台，扩大节能环保产业的影响范围，促进节能环保产业由单一的设备服务向一条龙服务转化。</w:t>
      </w:r>
    </w:p>
    <w:p w14:paraId="247ED991">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bCs/>
          <w:spacing w:val="0"/>
          <w:sz w:val="28"/>
          <w:szCs w:val="28"/>
          <w:lang w:val="en-US" w:eastAsia="zh-CN"/>
        </w:rPr>
        <w:t>6.2.4.3节能环保新材料产业发展目标</w:t>
      </w:r>
    </w:p>
    <w:p w14:paraId="6B37C07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到2025年，以泉港高新区内节能改造、资源综合利用等项目发展为契机，引入节能环保新材料产业项目，构建节能环保产业基础；</w:t>
      </w:r>
    </w:p>
    <w:p w14:paraId="2BE2FD7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到2030年，节能环保新材料产业成为高新区新材料产业的重要构成产业；</w:t>
      </w:r>
    </w:p>
    <w:p w14:paraId="3DA8B41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到2035年，节能环保新材料产业集群年产值达到15亿元，年利税额达到2亿元，形成1家以上东南地区节能环保领军企业。</w:t>
      </w:r>
    </w:p>
    <w:p w14:paraId="611E1AF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6.3支撑平台规划</w:t>
      </w:r>
    </w:p>
    <w:p w14:paraId="230B2CC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主要发挥四个功能：一为集聚和整合创新要素功能，通过优化创新创业环境，吸引和承接省内外乃至国内外的人才、技术、资本和项目；二是科技研发和成果转化功能，通过建设重点实验室、技术中心、工程中心、测试中心、产权交易中心、技术转移中心等，促进科技研发与转化、技术转移和扩散；三是科技企业孵化功能，通过孵化器孵化一批高成长性企业和项目，促进科技企业集群发展；四是现代信息化服务功能，通过互联网数据中心，为科研单位、科技企业、服务机构等各类用户提供高速接入、服务器托管及租赁等基础性服务，以及电子政务、电子商务、电子社区等完备的服务。</w:t>
      </w:r>
    </w:p>
    <w:p w14:paraId="459954BC">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6.3.1科技成果孵化平台(产学研一体化平台)</w:t>
      </w:r>
    </w:p>
    <w:p w14:paraId="30F52FA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转变企业单个创新、科技与产业独立创新的传统模式，着眼于产业面</w:t>
      </w:r>
    </w:p>
    <w:p w14:paraId="0873424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临的共性问题，通过加强企业、科研院所、中介机构等的互补合作，构建产学研用跨领域多主体的协同创新体系。</w:t>
      </w:r>
    </w:p>
    <w:p w14:paraId="0F90092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目前高新区内已引进福建师范大学泉港石化研究院、福州大学石油化工学院等高校和研究机构，国家质检总局阀门质量监督检验中心、国家质检总局石油化工产品质量检验中心、湄洲湾(泉港)石化物流基地(一基地五中心)。目前福建师范大学泉港石化研究院已建成福建省合成树脂功能化技术重大研发平台，形成5个技术创新实验室，5个分析测试实验室，3条中试生产线，2个石化行业安全生产教育培训基地和1个成果展示中心。福州大学和中科院还将在福州大学泉港校区创办“绿色石油化工科学与技术福建省实验室”，通过组织申报技术创新和产学研资金项目，鼓励和支持承接国外、国家、地方和配套企业的研究项目，构建产学研结合的技术创新体系，加快研发创新服务平台建设。</w:t>
      </w:r>
    </w:p>
    <w:p w14:paraId="19744D4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州市政府牵头，以福州大学、中化泉州石化有限公司为依托，成立”中国福建化学工程科学与技术实验室”，采取“政地校企”创新性建设方式，围绕先进催化、合成材料、精细化学品、环保与安全等领域开展重大前沿基础研究和关键技术攻关。瞄准福建省和泉州市当前和未来发展的战略需求，以基础研究、应用基础研究、技术创新为路线，形成以技术创新与孵化转化的技术研发基地、人才汇集与培养的创新基地和产业培育与示范的高新产业基地，引领和支撑化学化工产业高质量发展。总部设在泉港高新区石化科教园区(福建大学泉港校区)，建设“催化科学与技术”“专用化学品”和“合成材料”三个创新中心。泉港高新区内组建产业集聚发展产学研联盟。建立联盟成员资源共享机制，促进成员单位科研仪器、设备等科技资源的共享，为产业技术创新提供技术服务支撑。组织成员单位之间开展互访参观交流活动，促进成员之间建立供需对接、利益协调的渠道；组织成员单位参加国内、国际行业会议，与其他地区的市场主体开展交流、协作、对接，促进企业之间及高新区内企业与区域外的企业优势互补，促进产学研结合技术创新，提高创新效率及成果转化率。</w:t>
      </w:r>
    </w:p>
    <w:p w14:paraId="18503E1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孵化基地建设，目标是为国内外科研院所、高校、企业等技术成果产业化提供产业化示范基地，从而为园区企业发展提供更好的技术支持。</w:t>
      </w:r>
    </w:p>
    <w:p w14:paraId="36305BD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泉港高新区的科技成果孵化平台主要包含公共技术平台、创新孵化体系建设、公共服务平台三部分内容。</w:t>
      </w:r>
    </w:p>
    <w:p w14:paraId="0815062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1、公共技术平台</w:t>
      </w:r>
    </w:p>
    <w:p w14:paraId="21D981FC">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(1)检验检测评估平台</w:t>
      </w:r>
    </w:p>
    <w:p w14:paraId="76C3C26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围绕园区现有和规划产业领域建设材料检验、产品检验、装备检测公共服务平台，包括化工新材料、新能源材料、节能环保新材料、大健康材料等。发展面向设计开发、生产制造、售后服务全过程的分析、测试、检验、计量等业务。引入市场化第三方检测服务机构进入园区，支持第三方检验检测服务机构开展质量和安全检验、检测、检疫、计量、环评、认证等技术服务。</w:t>
      </w:r>
    </w:p>
    <w:p w14:paraId="2CF601D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(2)创新交流平台</w:t>
      </w:r>
    </w:p>
    <w:p w14:paraId="72D0148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规划建设信息服务中心、专家会客中心、学术交流中心、工业能耗测试控制中心、档案管理中心等服务平台，促进信息交流和共享。</w:t>
      </w:r>
    </w:p>
    <w:p w14:paraId="260B281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鼓励和支持有条件的企业建设国家技术创新中心、国家重点实验室等科技创新平台。支持园区企业与高校、科研院所联合设立新型研发机构、技术转移机构或中试熟化基地等，共同开展研究开发、成果应用与推广、标准研究与制定等。</w:t>
      </w:r>
    </w:p>
    <w:p w14:paraId="7445D36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(3)科技文献平台</w:t>
      </w:r>
    </w:p>
    <w:p w14:paraId="75AFB47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科技文献资料是科技创新的基础和保障，建设园区数字化图书馆，扩充科技文献资源的种类与服务范围，努力使园区文献资源基本覆盖园区企业类型，建立科技综合情报咨询与信息分析支持系统，让园区内的企业低费用或免费地共享各类科技文献信息。另外园区组建一支高水平的专家队伍或专业咨询机构将科技情报文献资料针对园区企业进行有针对性的二次加工，结合产业发展方向，为企业量身定制研发各类文献、专利、标准等数据。</w:t>
      </w:r>
    </w:p>
    <w:p w14:paraId="19827E7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2、创新孵化体系建设</w:t>
      </w:r>
    </w:p>
    <w:p w14:paraId="0C6206A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科技企业孵化器是一种新型的社会经济组织，它向入驻科技企业提供孵化场地、办公等方面的共享设施，提供相关的管理咨询和培训以及政府政策、资本、法律和市场开发等多方面的支持，降低在孵企业的创业风险和创业成本，从而提高在孵企业的成活率和成功率。</w:t>
      </w:r>
    </w:p>
    <w:p w14:paraId="52068E7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园区规划建设孵化基地，构建科技企业孵化器体系，进一步完善企业创业服务环境为中小科技企业提供包括政策、管理、金融、人力资源、开办场地以及专业化支撑等在内的综合性企业孵化服务，提高孵化能力。</w:t>
      </w:r>
    </w:p>
    <w:p w14:paraId="411515B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(1)专业孵化器</w:t>
      </w:r>
    </w:p>
    <w:p w14:paraId="4A493DE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围绕园区规划的主要产业领域，建设多个专业孵化器。吸收相关科研机构进入园区，为其提供相应便利。</w:t>
      </w:r>
    </w:p>
    <w:p w14:paraId="139418C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建设产品技术创新研发基地、产品工程转化技术中心和规模化产业基地。为科研成果转化提供中试、产业化、工程化提供全方位服务和场所。</w:t>
      </w:r>
    </w:p>
    <w:p w14:paraId="382E8A1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(2)技术交流平台</w:t>
      </w:r>
    </w:p>
    <w:p w14:paraId="3EED3F4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通过与国内多家科研院所和重点高等院校开展深层次的技术合作，充分发挥科研院所、重点高等院校的科技创新优势、研究成果和人才集聚优势，强化与下游目标客户的产品研发互动，促进科技机构创新成果在园区产业化，加强科技机构与园区企业间的合作，在园区培育出一批优秀的创新型高新技术企业。</w:t>
      </w:r>
    </w:p>
    <w:p w14:paraId="3CDC099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(3)研发中心</w:t>
      </w:r>
    </w:p>
    <w:p w14:paraId="1C6BE59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培育园区科技创新企业，吸引国内外研发机构，争取在园区创设四到六个国家级或省级工程(技术)研究中心、重点(工程)实验室、企业技术中心等。提升园区档次，为园区持续健康发展提供技术支撑。</w:t>
      </w:r>
    </w:p>
    <w:p w14:paraId="782A32C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3、公共服务平台</w:t>
      </w:r>
    </w:p>
    <w:p w14:paraId="1B29745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(1)技术成果转移服务平台</w:t>
      </w:r>
    </w:p>
    <w:p w14:paraId="266A759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通过政策引导和资金支持，推广应用先进有效的技术成果，完善成果推广体系建设。提供专业化成果转化与推广服务，开展企业技术需求与成果对接服务。开展技术转移活动实地调研，建设技术成果库、专家库、企业库、技术需求库、投资需求库等提供专业技术信息推送，技术项目对接，技术需求难题解决等服务。面向科研院所提供科技成果转化服务，推进企业与科研院所开展技术联合攻关。发展与成果转化相关的网上交易，建立一批园区技术交易服务机构。加快建立适应科技事业发展及高新技术产业化的创业投融资体制，发展各类科技创业投资机构，营造有利于风险投资健康发展的政策环境。</w:t>
      </w:r>
    </w:p>
    <w:p w14:paraId="3717A89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(2)园区技术产权交易中心</w:t>
      </w:r>
    </w:p>
    <w:p w14:paraId="20A1DA9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要创新科技成果的交易模式和运作机制，完善认证、评估，公证、会计等中介服务体系，推动专利技术成果的社会化和市场化交易，使之逐步成为面向园区辖区及周边地区、乃至更大区域的技术交易平台。还要加强技术产权交易中心与国家专利服务等方面的对接，推动与上海、深圳两大证券交易所的合作，支持高新技术企业和科技型中小企业开展质押、风投、上市等多种融资活动，更好地为企业融资服务。</w:t>
      </w:r>
    </w:p>
    <w:p w14:paraId="71962B2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(3)科技创新投融资中介服务体系</w:t>
      </w:r>
    </w:p>
    <w:p w14:paraId="4A98EA9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结合融资平台的建设，联合一批有实力的投资公司、会计、审计及法律事务所等其他中介机构，建立科技中介服务战略同盟，发挥各自优势，提高科技中介的调控能力和管理水平。园区内企业发行股票和上市，可以迅速为企业融资，同时也能降低企业本身的风险，且资本将在社会监督下使用，是一种非常可取的良性融资渠道。但是目前国内对企业发行股票和债券都有着非常严格的要求，园区应建立相应的服务体系，为企业提供企业上市的法律咨询和辅导服务工作，且为企业和证监会起到一个沟通的桥梁作用。</w:t>
      </w:r>
    </w:p>
    <w:p w14:paraId="11A622D2">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6.3.2培训教育基地</w:t>
      </w:r>
    </w:p>
    <w:p w14:paraId="058E200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通过建立“政府引导、政策支撑、市场驱动、企业主体”的可持续发展市场化运营机制，整合和调动高新区各方培训资源参与人才培养服务，建立公共服务平台；依托高新区内高校、职业学校和研究院所建立培训教育基地，基地主要培训技术型人才和技能型人才，培训内容包括园区和周边企业管理人员业务培训、企业职工各项技能培训。同时，培训教育基地为高校、职业学校和研究院所的学生提供在高新区内企业实习机会。推动高校区、学校和研究院的深度对接，实现共建互赢。让高新区、校园及科研机构之间发挥更大的协同效应；通过开放一些功能中心(如技术平台、孵化中心等)，促进学生、学者和业界人才之间的沟通和交流，创造充满活力、彰显创意的环境。</w:t>
      </w:r>
    </w:p>
    <w:p w14:paraId="13A1B740">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6.3.3物联网和云服务数据信息平台</w:t>
      </w:r>
    </w:p>
    <w:p w14:paraId="01060B4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通过应用云计算、物联网等新技术，建立一个面向高新区、集建设与</w:t>
      </w:r>
    </w:p>
    <w:p w14:paraId="177AEAE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运营、管理和服务、信息化和数字化三位一体的智慧云服务公共服务平台，帮助高新区规范信息化建设和管理，为高新区入驻企业营造一个便捷、质优、价廉的信息化应用环境，从而有效降低企业运营成本，提高高新区企业创新能力、管理水平和竞争力，带动高新区内企业的信息化应用水平整体提升，促进产业集群信息化发展，打造一条高新区智慧化产业价值链。</w:t>
      </w:r>
    </w:p>
    <w:p w14:paraId="70620934">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建设面向高新区管理单位、建设单位、运营单位及入驻企业的云数据中心(IaaS)，为园区用户提供共享应用服务，实现硬件资源集中管理，资源按需分配。主要包括网络、服务器、配套的系统软件、存储系统、数据库和机房等。</w:t>
      </w:r>
    </w:p>
    <w:p w14:paraId="74FBDA52">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应用运行支撑环境以服务的形式通过网络交付给SaaS应用，通过PaaS服务建立快速搭建部署应用运行环境及动态调整应用运行时环境资源的应用支撑环境。建设内容面向SOA，包括资源管理及统一访问层(含云存储、组件库、Web服务、数据库、NoSQL库、其他系统资源)、业务引擎层(含工作流引擎、业务引擎、展现引擎、数据服务引擎、报表引擎、表单引擎)、组件层(含基础服务组件、通用业务组件、通用界面组件)以及与之配套的相关项目实施指南及最佳实践、开发标准及规范、</w:t>
      </w:r>
    </w:p>
    <w:p w14:paraId="2924B8F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开发工具及示例和组件管理及监控工具。</w:t>
      </w:r>
    </w:p>
    <w:p w14:paraId="24D5B326">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(3)通过SaaS服务模式为园区及时入驻企业提供应用软件服务，包括一个综合门户，三类应用：园区企业服务、园区运营管理和园区智能感知。</w:t>
      </w:r>
    </w:p>
    <w:p w14:paraId="4EF6B54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综合管理门户为园区管理建设单位、企业用户、社会公众提供一个统一的信息入口，增强客户和园区管理者之间的互动关系，提高客户满意度，提升产业园区品牌价值。</w:t>
      </w:r>
    </w:p>
    <w:p w14:paraId="069295E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园区企业服务以云计算服务模式，为园区企业提供按需使用的低成本信息化应用环境。包括用于企业内部经营管理的ERP软件、协同办公软件租用服务；为园区企业提供的电子物流、电子交易。从而有效降低企业运营成本，提高工作效率，促进公共技术和知识的沟通，提高园区企业创新能力、管理水平和竞争力。</w:t>
      </w:r>
    </w:p>
    <w:p w14:paraId="745EFAE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园区运营管理是面向园区建设和管理单位，为园区管理单位、建设单位、运营单位提供全面的信息化服务,从园区创建初期的土地规划、项目建设、招商与租赁、到后期的综合物业管理、电子政务、内部办公、园区经营分析与决策支持。</w:t>
      </w:r>
    </w:p>
    <w:p w14:paraId="3AFB6B8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园区智能感知是面向园区管理和运维单位，采用先进的物联网技术，感知园区内更加真实、详细、实时的信息，洞悉园区事务的变化，为精细化管理、科学化管理提供了基础条件：通过对楼宇办公环境、园区能源、安防等信息自动采集和控制措施，来达到节能、环保、舒适、安全的目的。</w:t>
      </w:r>
    </w:p>
    <w:p w14:paraId="2211AF14">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6.3.4金融服务平台</w:t>
      </w:r>
    </w:p>
    <w:p w14:paraId="0CB5A7D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党的十九大报告再次强调了要“深化金融体制改革，增强金融服务实体经济能力”，就是要有效发挥媒介资源配置能力，为实体经济提供更好的金融服务，降低流通成本，提高金融中介效率和分配效率，实现金融与实体经济共生共荣的关系。我国目前金融业发展较快，融资渠道不断拓宽，除了传统的政府资金、银行贷款、发行债券等，还有众多基金、租赁、风险投资、PPP等。企业融资的选择余地越来越大。</w:t>
      </w:r>
    </w:p>
    <w:p w14:paraId="3C942FF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随着园区的不断发展，入园企业在新建和改造项目中，往往需要到处找资金，但在融资方面，面对庞大而复杂的金融市场，往往无从下手，或处于信息不通，限制了融资渠道的拓展，阻塞了资金来源。因此，本次规划借助于日益发展的互联网和日益成熟的金融市场，规划建设金融服务平台，更好地为园区企业服务。</w:t>
      </w:r>
    </w:p>
    <w:p w14:paraId="71FA06A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泉港高新区金融服务平台规划包括成立以园区技术风险投资公司、中小企业信用担保公司、信托投资公司为基础，建立灵活多样的、多方位的金融服务平台。吸引各种金融机构进入园区，作为银行、保险、担保公司等金融机构开发知识产权质押、担保等业务的窗口平台，开展科技企业版权资产评估、信用评级、贷前审批、信用贷款、贷后监管、融资推荐等服务。</w:t>
      </w:r>
    </w:p>
    <w:p w14:paraId="2FE32D4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平台建设内容主要包括融资平台、融资租赁平台、金融信息服务平台、股权交易平台和信用服务平台等。</w:t>
      </w:r>
    </w:p>
    <w:p w14:paraId="693FE99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1、融资平台</w:t>
      </w:r>
    </w:p>
    <w:p w14:paraId="7616C46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积极吸引和引导各类银行、投资公司、基金公司、保险公司、信托公司、证券公司等金融机构进入园区设立分支机构或办事处，园区配套建立银企联合联动机制，架起企业与金融机构间的桥梁，搭建融资平台，拉近企业与金融机构间的距离，为金融机构选择投资方向和企业寻找资金支持提供便利。园区可以与政府合作，提供一部分政府资金，对入园企业实行一定的财政资金支持，国内一些园区在财政支持方面收到很好效果，财政资金分为两部分，一部分是无偿的，一部分是有偿的，但无论有偿或无偿，均具有使用条件，园区可以根据自身发展需要，制定相应政策。</w:t>
      </w:r>
    </w:p>
    <w:p w14:paraId="23E8678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2、融资租赁平台</w:t>
      </w:r>
    </w:p>
    <w:p w14:paraId="400FCDA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积极鼓励设立融资租赁公司，引导和支持企业利用融资租赁的方式，进行设备更新和技术改造。引导融资租赁服务企业加强与商业银行、保险、信托等金融机构的合作，充分利用各方面的资金，多渠道拓展融资空间。</w:t>
      </w:r>
    </w:p>
    <w:p w14:paraId="15A6B54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3、金融信息服务平台</w:t>
      </w:r>
    </w:p>
    <w:p w14:paraId="77EB815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建立综合金融信息服务平台，面向园区企业，促进金融、创投和社会资本与企业有效对接，形成多元化的投融资体系。通过企业数据库的建设，集成全园区各类资源，有效采集和发布满足金融、创投机构等需求的项目和企业信息，为企业搭建高效融资通道。开展需求分析与评价、商业策划与包装、项目宣传与推介等增值服务，为金融机构提供资金需求信息和评价服务。积极延伸各项对接服务，搭建信息桥梁，开展交易服务。</w:t>
      </w:r>
    </w:p>
    <w:p w14:paraId="3ACF4623">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4、股权交易平台</w:t>
      </w:r>
    </w:p>
    <w:p w14:paraId="382B524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建立非上市企业股权交易信息公示平台，促进非上市企业股权场下交易。设立股权交易中心，提供股份交易、登记结算、市场拓展、代理买卖等多种金融服务业务，为一、二级市场投资者提供多样化的金融产品和综合服务。鼓励企业进入代办股份转让系统试点交易，改善中小企业的直接融资环境。完善区域产权交易市场功能，研究制定园区股权交易托管的操作指南和运行规则，动员各方面力量积极参与，着重为改善企业的公司治理结构、培育优质上市资源提供服务。</w:t>
      </w:r>
    </w:p>
    <w:p w14:paraId="71561AF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5、信用服务平台</w:t>
      </w:r>
    </w:p>
    <w:p w14:paraId="0C1F709E">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(1)健全社会信用体系</w:t>
      </w:r>
    </w:p>
    <w:p w14:paraId="21A5E234">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加大信用资源整合力度，加快建立和完善企业、个人征信系统，扩大企业和个人信用信息入库面，逐步完善企业和个人信用评价制度。遵循国际通行的基本金融监管规则，逐步对金融机构实行强制信息披露制度，提高金融机构和企业信用信息披露的公信力。</w:t>
      </w:r>
    </w:p>
    <w:p w14:paraId="5236EBB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(2)信用信息化系统</w:t>
      </w:r>
    </w:p>
    <w:p w14:paraId="3D7A4685">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完善园区征信信息系统，稳步推进企业联合征信数据平台、个人联合征信数据平台、区域数据交换平台等三大信用信息化项目建设，完善信用信息征集、评价、披露、惩戒和服务五大系统。</w:t>
      </w:r>
    </w:p>
    <w:p w14:paraId="1002365B">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(3)担保机构服务</w:t>
      </w:r>
    </w:p>
    <w:p w14:paraId="4F82688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为重点企业制定个性化承保方案，提高信用保险覆盖率。定期举行重点企业与金融机构对接会，搭建企业与保险机构对接平台、畅通企业与保险机构对接渠道。</w:t>
      </w:r>
    </w:p>
    <w:p w14:paraId="579ECD88">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6.4泉港高新区产业指导目录</w:t>
      </w:r>
    </w:p>
    <w:p w14:paraId="6094E4B9">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为深入实施创新驱动发展战略，构建更具竞争力的现代产业体系，加快泉港高新区产业建设，培育新的经济增长点，依据《产业结构调整指导目录(2019年本，征求意见稿)》《绿色产业指导目录(2019年版)》《外商投资准入特别管理措施(负面清单)(2018年版)》等，制定《泉港高新区产业指导目录》，主要包括重点发展产业目录和市场准入负面清单两部分。</w:t>
      </w:r>
    </w:p>
    <w:p w14:paraId="09DF2EC1">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制定《泉港高新区产业指导目录》的原则是：</w:t>
      </w:r>
    </w:p>
    <w:p w14:paraId="311917C2">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(1)战略性原则。瞄准技术制高点和未来具有较大的市场产业化前景；</w:t>
      </w:r>
    </w:p>
    <w:p w14:paraId="3697A27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(2)创新性原则。鼓励自主创新，掌握核心技术，培育具有自主知识产权的产品；</w:t>
      </w:r>
    </w:p>
    <w:p w14:paraId="5A7418F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(3)带动性原则。满足国民经济发展需要，对泉州地区乃至福建省工业经济发展和产业结构优化升级有重大带动作用；</w:t>
      </w:r>
    </w:p>
    <w:p w14:paraId="17BF110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(4)产学研结合原则。充分发挥高新区内高校、科研院所的科研力量，实行产学研联合，转化科技成果，推进产业化；</w:t>
      </w:r>
    </w:p>
    <w:p w14:paraId="06DF23F3">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(5)综合效益协调原则。强调经济效益、社会效益和环境效益的协调。《泉港高新区产业指导目录》的编制侧重由新技术产业化形成的产业和用高新技术改造提升的传统产业，主要包括新材料产业、新能源产业、节能环保产业、高技术服务业、电子信息产业等新兴产业和重点领域。</w:t>
      </w:r>
    </w:p>
    <w:p w14:paraId="6FD4E8D5">
      <w:pPr>
        <w:pStyle w:val="2"/>
        <w:keepNext w:val="0"/>
        <w:keepLines w:val="0"/>
        <w:pageBreakBefore w:val="0"/>
        <w:widowControl w:val="0"/>
        <w:kinsoku/>
        <w:wordWrap/>
        <w:overflowPunct/>
        <w:topLinePunct/>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6.4.1重点发展方向</w:t>
      </w:r>
    </w:p>
    <w:p w14:paraId="11F1882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5" name="图片 37"/>
            <wp:cNvGraphicFramePr/>
            <a:graphic xmlns:a="http://schemas.openxmlformats.org/drawingml/2006/main">
              <a:graphicData uri="http://schemas.openxmlformats.org/drawingml/2006/picture">
                <pic:pic xmlns:pic="http://schemas.openxmlformats.org/drawingml/2006/picture">
                  <pic:nvPicPr>
                    <pic:cNvPr id="165"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eastAsia" w:ascii="仿宋_GB2312" w:hAnsi="仿宋_GB2312" w:eastAsia="仿宋_GB2312" w:cs="仿宋_GB2312"/>
          <w:spacing w:val="0"/>
          <w:sz w:val="28"/>
          <w:szCs w:val="28"/>
          <w:lang w:val="en-US" w:eastAsia="zh-CN"/>
        </w:rPr>
        <w:t>化工新材料产业</w:t>
      </w:r>
    </w:p>
    <w:p w14:paraId="12116DC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重点利用湄洲湾石化基地及周边地区的合成树脂、橡胶等产品，发展卫生防护距离和安全距离较小的功能性膜材料及组件、高性能纤维及制品、增材制造材料、塑料合金和复合材料、密封材料制品、以及石墨烯材料及下游应用等产业项目。</w:t>
      </w:r>
    </w:p>
    <w:p w14:paraId="7E0D480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6" name="图片 37"/>
            <wp:cNvGraphicFramePr/>
            <a:graphic xmlns:a="http://schemas.openxmlformats.org/drawingml/2006/main">
              <a:graphicData uri="http://schemas.openxmlformats.org/drawingml/2006/picture">
                <pic:pic xmlns:pic="http://schemas.openxmlformats.org/drawingml/2006/picture">
                  <pic:nvPicPr>
                    <pic:cNvPr id="166"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eastAsia" w:ascii="仿宋_GB2312" w:hAnsi="仿宋_GB2312" w:eastAsia="仿宋_GB2312" w:cs="仿宋_GB2312"/>
          <w:spacing w:val="0"/>
          <w:sz w:val="28"/>
          <w:szCs w:val="28"/>
          <w:lang w:val="en-US" w:eastAsia="zh-CN"/>
        </w:rPr>
        <w:t>新能源材料产业</w:t>
      </w:r>
    </w:p>
    <w:p w14:paraId="1697468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重点发展新一代锂离子电池材料，包括正极材料、负极材料、新一代锂电池隔膜、锂离子电池包装材料；积极开发燃料电池用隔膜、双极板、储运用碳纤维复合材料等产业项目。</w:t>
      </w:r>
    </w:p>
    <w:p w14:paraId="749E2AB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7" name="图片 37"/>
            <wp:cNvGraphicFramePr/>
            <a:graphic xmlns:a="http://schemas.openxmlformats.org/drawingml/2006/main">
              <a:graphicData uri="http://schemas.openxmlformats.org/drawingml/2006/picture">
                <pic:pic xmlns:pic="http://schemas.openxmlformats.org/drawingml/2006/picture">
                  <pic:nvPicPr>
                    <pic:cNvPr id="167"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eastAsia" w:ascii="仿宋_GB2312" w:hAnsi="仿宋_GB2312" w:eastAsia="仿宋_GB2312" w:cs="仿宋_GB2312"/>
          <w:spacing w:val="0"/>
          <w:sz w:val="28"/>
          <w:szCs w:val="28"/>
          <w:lang w:val="en-US" w:eastAsia="zh-CN"/>
        </w:rPr>
        <w:t>节能环保新材料产业</w:t>
      </w:r>
    </w:p>
    <w:p w14:paraId="17E904A1">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资源循环利用产业。重点发展废旧纺织品回收再利用技术、设备的研发和应用，利用聚酯回收材料生产涤纶工业丝、差别化和功能性涤纶长丝、非织造材料等高附加值产品</w:t>
      </w:r>
    </w:p>
    <w:p w14:paraId="1B6EC36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8" name="图片 37"/>
            <wp:cNvGraphicFramePr/>
            <a:graphic xmlns:a="http://schemas.openxmlformats.org/drawingml/2006/main">
              <a:graphicData uri="http://schemas.openxmlformats.org/drawingml/2006/picture">
                <pic:pic xmlns:pic="http://schemas.openxmlformats.org/drawingml/2006/picture">
                  <pic:nvPicPr>
                    <pic:cNvPr id="168"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eastAsia" w:ascii="仿宋_GB2312" w:hAnsi="仿宋_GB2312" w:eastAsia="仿宋_GB2312" w:cs="仿宋_GB2312"/>
          <w:spacing w:val="0"/>
          <w:sz w:val="28"/>
          <w:szCs w:val="28"/>
          <w:lang w:val="en-US" w:eastAsia="zh-CN"/>
        </w:rPr>
        <w:t>环保产业。</w:t>
      </w:r>
    </w:p>
    <w:p w14:paraId="70868D8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重点提供环保产业配套材料。如PPS纤维用作布袋除尘、反渗透膜材料及产业化用作水处理等。</w:t>
      </w:r>
    </w:p>
    <w:p w14:paraId="66A7C01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69" name="图片 37"/>
            <wp:cNvGraphicFramePr/>
            <a:graphic xmlns:a="http://schemas.openxmlformats.org/drawingml/2006/main">
              <a:graphicData uri="http://schemas.openxmlformats.org/drawingml/2006/picture">
                <pic:pic xmlns:pic="http://schemas.openxmlformats.org/drawingml/2006/picture">
                  <pic:nvPicPr>
                    <pic:cNvPr id="169"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eastAsia" w:ascii="仿宋_GB2312" w:hAnsi="仿宋_GB2312" w:eastAsia="仿宋_GB2312" w:cs="仿宋_GB2312"/>
          <w:spacing w:val="0"/>
          <w:sz w:val="28"/>
          <w:szCs w:val="28"/>
          <w:lang w:val="en-US" w:eastAsia="zh-CN"/>
        </w:rPr>
        <w:t>大健康新材料产业</w:t>
      </w:r>
    </w:p>
    <w:p w14:paraId="162AA13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重点推进医疗大健康领域的先进材料实施，发展血液透析膜、医用包装膜、高端药用敷料、血袋和导管用安全塑料、人工器官及植入体材料及制品项目等。</w:t>
      </w:r>
    </w:p>
    <w:p w14:paraId="158F158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ascii="仿宋" w:hAnsi="仿宋" w:eastAsia="仿宋" w:cs="仿宋"/>
          <w:position w:val="-5"/>
          <w:sz w:val="28"/>
          <w:szCs w:val="28"/>
        </w:rPr>
        <w:drawing>
          <wp:inline distT="0" distB="0" distL="114300" distR="114300">
            <wp:extent cx="102870" cy="197485"/>
            <wp:effectExtent l="0" t="0" r="11430" b="12700"/>
            <wp:docPr id="170" name="图片 37"/>
            <wp:cNvGraphicFramePr/>
            <a:graphic xmlns:a="http://schemas.openxmlformats.org/drawingml/2006/main">
              <a:graphicData uri="http://schemas.openxmlformats.org/drawingml/2006/picture">
                <pic:pic xmlns:pic="http://schemas.openxmlformats.org/drawingml/2006/picture">
                  <pic:nvPicPr>
                    <pic:cNvPr id="170" name="图片 37"/>
                    <pic:cNvPicPr/>
                  </pic:nvPicPr>
                  <pic:blipFill>
                    <a:blip r:embed="rId19"/>
                    <a:stretch>
                      <a:fillRect/>
                    </a:stretch>
                  </pic:blipFill>
                  <pic:spPr>
                    <a:xfrm>
                      <a:off x="0" y="0"/>
                      <a:ext cx="102870" cy="197485"/>
                    </a:xfrm>
                    <a:prstGeom prst="rect">
                      <a:avLst/>
                    </a:prstGeom>
                    <a:noFill/>
                    <a:ln>
                      <a:noFill/>
                    </a:ln>
                  </pic:spPr>
                </pic:pic>
              </a:graphicData>
            </a:graphic>
          </wp:inline>
        </w:drawing>
      </w:r>
      <w:r>
        <w:rPr>
          <w:rFonts w:hint="eastAsia" w:ascii="仿宋_GB2312" w:hAnsi="仿宋_GB2312" w:eastAsia="仿宋_GB2312" w:cs="仿宋_GB2312"/>
          <w:spacing w:val="0"/>
          <w:sz w:val="28"/>
          <w:szCs w:val="28"/>
          <w:lang w:val="en-US" w:eastAsia="zh-CN"/>
        </w:rPr>
        <w:t>产业平台建设</w:t>
      </w:r>
    </w:p>
    <w:p w14:paraId="15339DD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重点推动科技成果孵化平台(产学研一体化平台)建设，包含公共技术平台、创新孵化体系建设、公共服务平台，打造福建省人才培训教育基地，构建物联网和云服务数据信息平台、金融服务平台等，为泉港高新区未来发展服务。</w:t>
      </w:r>
    </w:p>
    <w:p w14:paraId="095890A8">
      <w:pPr>
        <w:pStyle w:val="2"/>
        <w:keepNext w:val="0"/>
        <w:keepLines w:val="0"/>
        <w:pageBreakBefore w:val="0"/>
        <w:widowControl w:val="0"/>
        <w:kinsoku/>
        <w:wordWrap/>
        <w:overflowPunct/>
        <w:topLinePunct/>
        <w:autoSpaceDE/>
        <w:autoSpaceDN/>
        <w:bidi w:val="0"/>
        <w:adjustRightInd/>
        <w:snapToGrid/>
        <w:spacing w:before="0" w:beforeAutospacing="0" w:line="50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6.4.2市场准入负面清单</w:t>
      </w:r>
    </w:p>
    <w:p w14:paraId="347FF22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2023年6月20日，泉港区科技局组织专家在泉港区科技局3楼会议室召开《福建泉港新材料高新技术产业园区产业发展规划》（“6.4.2市场准入负面清单”）修订专家咨询会。会议邀请了行业专家及泉港区发改局、工信局、商务局、应急局、司法局、生态环境局、涂岭镇、前黄镇、山腰街道、高新公司等单位负责同志参会。专家组及与会代表认真听取了石油和化学工业规划院（编制单位）对《福建泉港新材料高新技术产业园区产业发展规划》（“6.4.2市场准入负面清单”）修订原因的说明。经过认真讨论质询，形成意见如下：</w:t>
      </w:r>
    </w:p>
    <w:p w14:paraId="7823223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根据《国家发改委商务部关于印发&lt;市场准入负面清单（2022年版）&gt;的通知》（发改体改规〔2022〕397号）及《福建省优化营商环境条例》（福建省人民代表大会常务委员会公告〔十三届〕第七十一号），鉴于《福建泉港新材料高新技术产业园区产业发展规划》（“6.4.2市场准入负面清单”）与上述文件的“市场准入负面清单”名称一致，在管理上容易造成概念混淆，同意取消《福建泉港新材料高新技术产业园区产业发展规划》（“6.4.2市场准入负面清单”）。</w:t>
      </w:r>
    </w:p>
    <w:p w14:paraId="6AAA7BC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结合泉港高新区实际，专家组建议：福建泉港新材料高新技术产业园区仍需严格管控产业项目准入，确保引进项目符合园区主导产业规划及国家、省、市有关的安全环保规定。</w:t>
      </w:r>
    </w:p>
    <w:p w14:paraId="791A9EF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7DAEE66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47FD7DA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362DEED9">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04CAE29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16C15196">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0FDB3E5F">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5458DD5A">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55658C0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27D0843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68C83AC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564BFEA8">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63EB776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523C7997">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39E455A0">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791317D6">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5868752A">
      <w:pPr>
        <w:pStyle w:val="2"/>
        <w:keepNext w:val="0"/>
        <w:keepLines w:val="0"/>
        <w:pageBreakBefore w:val="0"/>
        <w:widowControl w:val="0"/>
        <w:kinsoku/>
        <w:wordWrap/>
        <w:overflowPunct/>
        <w:topLinePunct w:val="0"/>
        <w:autoSpaceDE/>
        <w:autoSpaceDN/>
        <w:bidi w:val="0"/>
        <w:adjustRightInd/>
        <w:snapToGrid/>
        <w:spacing w:before="0" w:beforeAutospacing="0" w:line="440" w:lineRule="exact"/>
        <w:ind w:left="0" w:leftChars="0" w:firstLine="0" w:firstLineChars="0"/>
        <w:jc w:val="center"/>
        <w:textAlignment w:val="auto"/>
        <w:rPr>
          <w:rFonts w:hint="eastAsia" w:ascii="方正小标宋_GBK" w:hAnsi="方正小标宋_GBK" w:eastAsia="方正小标宋_GBK" w:cs="方正小标宋_GBK"/>
          <w:spacing w:val="0"/>
          <w:sz w:val="36"/>
          <w:szCs w:val="36"/>
          <w:lang w:val="en-US" w:eastAsia="zh-CN"/>
        </w:rPr>
      </w:pPr>
      <w:r>
        <w:rPr>
          <w:rFonts w:hint="eastAsia" w:ascii="方正小标宋_GBK" w:hAnsi="方正小标宋_GBK" w:eastAsia="方正小标宋_GBK" w:cs="方正小标宋_GBK"/>
          <w:spacing w:val="0"/>
          <w:sz w:val="36"/>
          <w:szCs w:val="36"/>
          <w:lang w:val="en-US" w:eastAsia="zh-CN"/>
        </w:rPr>
        <w:t>7泉港高新区规划效果分析</w:t>
      </w:r>
    </w:p>
    <w:p w14:paraId="3289523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p>
    <w:p w14:paraId="50F61F7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黑体" w:hAnsi="黑体" w:eastAsia="黑体" w:cs="黑体"/>
          <w:spacing w:val="0"/>
          <w:sz w:val="28"/>
          <w:szCs w:val="28"/>
          <w:lang w:val="en-US" w:eastAsia="zh-CN"/>
        </w:rPr>
      </w:pPr>
      <w:r>
        <w:rPr>
          <w:rFonts w:hint="eastAsia" w:ascii="黑体" w:hAnsi="黑体" w:eastAsia="黑体" w:cs="黑体"/>
          <w:spacing w:val="0"/>
          <w:sz w:val="28"/>
          <w:szCs w:val="28"/>
          <w:lang w:val="en-US" w:eastAsia="zh-CN"/>
        </w:rPr>
        <w:t>7.1经济效益</w:t>
      </w:r>
    </w:p>
    <w:p w14:paraId="7EBEDF2D">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eastAsia" w:ascii="仿宋_GB2312" w:hAnsi="仿宋_GB2312" w:eastAsia="仿宋_GB2312" w:cs="仿宋_GB2312"/>
          <w:spacing w:val="0"/>
          <w:sz w:val="28"/>
          <w:szCs w:val="28"/>
          <w:lang w:val="en-US" w:eastAsia="zh-CN"/>
        </w:rPr>
        <w:t>根据对规划重点产业项目的预测，规划项目实施后，到2025年，泉港高新区产业项目新增总投资将达到53亿元，年新增产值将达到131亿元，年新增利税额约16亿元，年利润额11亿元左右；到2030年，泉港高新区产业项目新增总投资将达到89亿元，年产值将达到约219亿元，年利税额约27亿元，年利润额约18亿元；到规划期末(2035年)，泉港高新区实现新增总投资181亿元，年产值462亿元，年利税额57亿元，年利润额39亿元。</w:t>
      </w:r>
    </w:p>
    <w:p w14:paraId="3D41BAE9">
      <w:pPr>
        <w:keepNext w:val="0"/>
        <w:keepLines w:val="0"/>
        <w:pageBreakBefore w:val="0"/>
        <w:widowControl w:val="0"/>
        <w:wordWrap/>
        <w:overflowPunct/>
        <w:bidi w:val="0"/>
        <w:spacing w:before="75" w:line="225" w:lineRule="auto"/>
        <w:ind w:left="2527"/>
      </w:pPr>
      <w:r>
        <w:rPr>
          <w:rFonts w:ascii="黑体" w:hAnsi="黑体" w:eastAsia="黑体" w:cs="黑体"/>
          <w:spacing w:val="10"/>
          <w:sz w:val="23"/>
          <w:szCs w:val="23"/>
        </w:rPr>
        <w:t>泉港高新区新材料产业经济效益指标表</w:t>
      </w:r>
    </w:p>
    <w:tbl>
      <w:tblPr>
        <w:tblStyle w:val="9"/>
        <w:tblW w:w="89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2897"/>
        <w:gridCol w:w="1329"/>
        <w:gridCol w:w="1330"/>
        <w:gridCol w:w="1330"/>
        <w:gridCol w:w="1335"/>
      </w:tblGrid>
      <w:tr w14:paraId="222FB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726" w:type="dxa"/>
            <w:shd w:val="clear" w:color="auto" w:fill="E7E6E6"/>
            <w:noWrap w:val="0"/>
            <w:vAlign w:val="top"/>
          </w:tcPr>
          <w:p w14:paraId="6823E0CB">
            <w:pPr>
              <w:keepNext w:val="0"/>
              <w:keepLines w:val="0"/>
              <w:pageBreakBefore w:val="0"/>
              <w:widowControl w:val="0"/>
              <w:wordWrap/>
              <w:overflowPunct/>
              <w:bidi w:val="0"/>
              <w:spacing w:before="242" w:line="225" w:lineRule="auto"/>
              <w:ind w:left="155"/>
              <w:rPr>
                <w:rFonts w:ascii="仿宋" w:hAnsi="仿宋" w:eastAsia="仿宋" w:cs="仿宋"/>
                <w:sz w:val="20"/>
                <w:szCs w:val="20"/>
              </w:rPr>
            </w:pPr>
            <w:r>
              <w:rPr>
                <w:rFonts w:ascii="仿宋" w:hAnsi="仿宋" w:eastAsia="仿宋" w:cs="仿宋"/>
                <w:spacing w:val="7"/>
                <w:sz w:val="20"/>
                <w:szCs w:val="20"/>
              </w:rPr>
              <w:t>序</w:t>
            </w:r>
            <w:r>
              <w:rPr>
                <w:rFonts w:ascii="仿宋" w:hAnsi="仿宋" w:eastAsia="仿宋" w:cs="仿宋"/>
                <w:spacing w:val="6"/>
                <w:sz w:val="20"/>
                <w:szCs w:val="20"/>
              </w:rPr>
              <w:t>号</w:t>
            </w:r>
          </w:p>
        </w:tc>
        <w:tc>
          <w:tcPr>
            <w:tcW w:w="2897" w:type="dxa"/>
            <w:shd w:val="clear" w:color="auto" w:fill="E7E6E6"/>
            <w:noWrap w:val="0"/>
            <w:vAlign w:val="top"/>
          </w:tcPr>
          <w:p w14:paraId="395A68F5">
            <w:pPr>
              <w:keepNext w:val="0"/>
              <w:keepLines w:val="0"/>
              <w:pageBreakBefore w:val="0"/>
              <w:widowControl w:val="0"/>
              <w:wordWrap/>
              <w:overflowPunct/>
              <w:bidi w:val="0"/>
              <w:spacing w:before="241" w:line="225" w:lineRule="auto"/>
              <w:ind w:left="926"/>
              <w:rPr>
                <w:rFonts w:ascii="仿宋" w:hAnsi="仿宋" w:eastAsia="仿宋" w:cs="仿宋"/>
                <w:sz w:val="20"/>
                <w:szCs w:val="20"/>
              </w:rPr>
            </w:pPr>
            <w:r>
              <w:rPr>
                <w:rFonts w:ascii="仿宋" w:hAnsi="仿宋" w:eastAsia="仿宋" w:cs="仿宋"/>
                <w:spacing w:val="11"/>
                <w:sz w:val="20"/>
                <w:szCs w:val="20"/>
              </w:rPr>
              <w:t>产</w:t>
            </w:r>
            <w:r>
              <w:rPr>
                <w:rFonts w:ascii="仿宋" w:hAnsi="仿宋" w:eastAsia="仿宋" w:cs="仿宋"/>
                <w:spacing w:val="8"/>
                <w:sz w:val="20"/>
                <w:szCs w:val="20"/>
              </w:rPr>
              <w:t>业功能区</w:t>
            </w:r>
          </w:p>
        </w:tc>
        <w:tc>
          <w:tcPr>
            <w:tcW w:w="1329" w:type="dxa"/>
            <w:shd w:val="clear" w:color="auto" w:fill="E7E6E6"/>
            <w:noWrap w:val="0"/>
            <w:vAlign w:val="top"/>
          </w:tcPr>
          <w:p w14:paraId="1F5128DD">
            <w:pPr>
              <w:keepNext w:val="0"/>
              <w:keepLines w:val="0"/>
              <w:pageBreakBefore w:val="0"/>
              <w:widowControl w:val="0"/>
              <w:wordWrap/>
              <w:overflowPunct/>
              <w:bidi w:val="0"/>
              <w:spacing w:before="77" w:line="267" w:lineRule="auto"/>
              <w:ind w:left="245" w:right="244" w:firstLine="123"/>
              <w:jc w:val="center"/>
              <w:rPr>
                <w:rFonts w:ascii="仿宋" w:hAnsi="仿宋" w:eastAsia="仿宋" w:cs="仿宋"/>
                <w:spacing w:val="3"/>
                <w:sz w:val="20"/>
                <w:szCs w:val="20"/>
              </w:rPr>
            </w:pPr>
            <w:r>
              <w:rPr>
                <w:rFonts w:ascii="仿宋" w:hAnsi="仿宋" w:eastAsia="仿宋" w:cs="仿宋"/>
                <w:spacing w:val="3"/>
                <w:sz w:val="20"/>
                <w:szCs w:val="20"/>
              </w:rPr>
              <w:t>总投资</w:t>
            </w:r>
          </w:p>
          <w:p w14:paraId="680A4A68">
            <w:pPr>
              <w:keepNext w:val="0"/>
              <w:keepLines w:val="0"/>
              <w:pageBreakBefore w:val="0"/>
              <w:widowControl w:val="0"/>
              <w:wordWrap/>
              <w:overflowPunct/>
              <w:bidi w:val="0"/>
              <w:spacing w:before="77" w:line="267" w:lineRule="auto"/>
              <w:ind w:left="245" w:right="244" w:firstLine="123"/>
              <w:jc w:val="center"/>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11"/>
                <w:sz w:val="20"/>
                <w:szCs w:val="20"/>
              </w:rPr>
              <w:t>万元)</w:t>
            </w:r>
          </w:p>
        </w:tc>
        <w:tc>
          <w:tcPr>
            <w:tcW w:w="1330" w:type="dxa"/>
            <w:shd w:val="clear" w:color="auto" w:fill="E7E6E6"/>
            <w:noWrap w:val="0"/>
            <w:vAlign w:val="top"/>
          </w:tcPr>
          <w:p w14:paraId="25F0F44B">
            <w:pPr>
              <w:keepNext w:val="0"/>
              <w:keepLines w:val="0"/>
              <w:pageBreakBefore w:val="0"/>
              <w:widowControl w:val="0"/>
              <w:wordWrap/>
              <w:overflowPunct/>
              <w:bidi w:val="0"/>
              <w:spacing w:before="77" w:line="267" w:lineRule="auto"/>
              <w:ind w:left="246" w:right="245" w:firstLine="111"/>
              <w:jc w:val="center"/>
              <w:rPr>
                <w:rFonts w:ascii="仿宋" w:hAnsi="仿宋" w:eastAsia="仿宋" w:cs="仿宋"/>
                <w:spacing w:val="6"/>
                <w:sz w:val="20"/>
                <w:szCs w:val="20"/>
              </w:rPr>
            </w:pPr>
            <w:r>
              <w:rPr>
                <w:rFonts w:ascii="仿宋" w:hAnsi="仿宋" w:eastAsia="仿宋" w:cs="仿宋"/>
                <w:spacing w:val="7"/>
                <w:sz w:val="20"/>
                <w:szCs w:val="20"/>
              </w:rPr>
              <w:t>年产</w:t>
            </w:r>
            <w:r>
              <w:rPr>
                <w:rFonts w:ascii="仿宋" w:hAnsi="仿宋" w:eastAsia="仿宋" w:cs="仿宋"/>
                <w:spacing w:val="6"/>
                <w:sz w:val="20"/>
                <w:szCs w:val="20"/>
              </w:rPr>
              <w:t>值</w:t>
            </w:r>
          </w:p>
          <w:p w14:paraId="517EF308">
            <w:pPr>
              <w:keepNext w:val="0"/>
              <w:keepLines w:val="0"/>
              <w:pageBreakBefore w:val="0"/>
              <w:widowControl w:val="0"/>
              <w:wordWrap/>
              <w:overflowPunct/>
              <w:bidi w:val="0"/>
              <w:spacing w:before="77" w:line="267" w:lineRule="auto"/>
              <w:ind w:left="246" w:right="245" w:firstLine="111"/>
              <w:jc w:val="center"/>
              <w:rPr>
                <w:rFonts w:ascii="仿宋" w:hAnsi="仿宋" w:eastAsia="仿宋" w:cs="仿宋"/>
                <w:sz w:val="20"/>
                <w:szCs w:val="20"/>
              </w:rPr>
            </w:pPr>
            <w:r>
              <w:rPr>
                <w:rFonts w:ascii="仿宋" w:hAnsi="仿宋" w:eastAsia="仿宋" w:cs="仿宋"/>
                <w:spacing w:val="-12"/>
                <w:sz w:val="20"/>
                <w:szCs w:val="20"/>
              </w:rPr>
              <w:t>(</w:t>
            </w:r>
            <w:r>
              <w:rPr>
                <w:rFonts w:ascii="仿宋" w:hAnsi="仿宋" w:eastAsia="仿宋" w:cs="仿宋"/>
                <w:spacing w:val="-11"/>
                <w:sz w:val="20"/>
                <w:szCs w:val="20"/>
              </w:rPr>
              <w:t>万元)</w:t>
            </w:r>
          </w:p>
        </w:tc>
        <w:tc>
          <w:tcPr>
            <w:tcW w:w="1330" w:type="dxa"/>
            <w:shd w:val="clear" w:color="auto" w:fill="E7E6E6"/>
            <w:noWrap w:val="0"/>
            <w:vAlign w:val="top"/>
          </w:tcPr>
          <w:p w14:paraId="55F6088D">
            <w:pPr>
              <w:keepNext w:val="0"/>
              <w:keepLines w:val="0"/>
              <w:pageBreakBefore w:val="0"/>
              <w:widowControl w:val="0"/>
              <w:wordWrap/>
              <w:overflowPunct/>
              <w:bidi w:val="0"/>
              <w:spacing w:before="77" w:line="267" w:lineRule="auto"/>
              <w:ind w:left="248" w:right="245" w:firstLine="111"/>
              <w:jc w:val="center"/>
              <w:rPr>
                <w:rFonts w:ascii="仿宋" w:hAnsi="仿宋" w:eastAsia="仿宋" w:cs="仿宋"/>
                <w:spacing w:val="6"/>
                <w:sz w:val="20"/>
                <w:szCs w:val="20"/>
              </w:rPr>
            </w:pPr>
            <w:r>
              <w:rPr>
                <w:rFonts w:ascii="仿宋" w:hAnsi="仿宋" w:eastAsia="仿宋" w:cs="仿宋"/>
                <w:spacing w:val="7"/>
                <w:sz w:val="20"/>
                <w:szCs w:val="20"/>
              </w:rPr>
              <w:t>年利</w:t>
            </w:r>
            <w:r>
              <w:rPr>
                <w:rFonts w:ascii="仿宋" w:hAnsi="仿宋" w:eastAsia="仿宋" w:cs="仿宋"/>
                <w:spacing w:val="6"/>
                <w:sz w:val="20"/>
                <w:szCs w:val="20"/>
              </w:rPr>
              <w:t>税</w:t>
            </w:r>
          </w:p>
          <w:p w14:paraId="43638CE4">
            <w:pPr>
              <w:keepNext w:val="0"/>
              <w:keepLines w:val="0"/>
              <w:pageBreakBefore w:val="0"/>
              <w:widowControl w:val="0"/>
              <w:wordWrap/>
              <w:overflowPunct/>
              <w:bidi w:val="0"/>
              <w:spacing w:before="77" w:line="267" w:lineRule="auto"/>
              <w:ind w:left="248" w:right="245" w:firstLine="111"/>
              <w:jc w:val="center"/>
              <w:rPr>
                <w:rFonts w:ascii="仿宋" w:hAnsi="仿宋" w:eastAsia="仿宋" w:cs="仿宋"/>
                <w:sz w:val="20"/>
                <w:szCs w:val="20"/>
              </w:rPr>
            </w:pPr>
            <w:r>
              <w:rPr>
                <w:rFonts w:ascii="仿宋" w:hAnsi="仿宋" w:eastAsia="仿宋" w:cs="仿宋"/>
                <w:spacing w:val="-14"/>
                <w:sz w:val="20"/>
                <w:szCs w:val="20"/>
              </w:rPr>
              <w:t>(</w:t>
            </w:r>
            <w:r>
              <w:rPr>
                <w:rFonts w:ascii="仿宋" w:hAnsi="仿宋" w:eastAsia="仿宋" w:cs="仿宋"/>
                <w:spacing w:val="-11"/>
                <w:sz w:val="20"/>
                <w:szCs w:val="20"/>
              </w:rPr>
              <w:t>万元)</w:t>
            </w:r>
          </w:p>
        </w:tc>
        <w:tc>
          <w:tcPr>
            <w:tcW w:w="1335" w:type="dxa"/>
            <w:shd w:val="clear" w:color="auto" w:fill="E7E6E6"/>
            <w:noWrap w:val="0"/>
            <w:vAlign w:val="top"/>
          </w:tcPr>
          <w:p w14:paraId="387042B9">
            <w:pPr>
              <w:keepNext w:val="0"/>
              <w:keepLines w:val="0"/>
              <w:pageBreakBefore w:val="0"/>
              <w:widowControl w:val="0"/>
              <w:wordWrap/>
              <w:overflowPunct/>
              <w:bidi w:val="0"/>
              <w:spacing w:before="77" w:line="267" w:lineRule="auto"/>
              <w:ind w:left="250" w:right="248" w:firstLine="109"/>
              <w:jc w:val="center"/>
              <w:rPr>
                <w:rFonts w:ascii="仿宋" w:hAnsi="仿宋" w:eastAsia="仿宋" w:cs="仿宋"/>
                <w:spacing w:val="6"/>
                <w:sz w:val="20"/>
                <w:szCs w:val="20"/>
              </w:rPr>
            </w:pPr>
            <w:r>
              <w:rPr>
                <w:rFonts w:ascii="仿宋" w:hAnsi="仿宋" w:eastAsia="仿宋" w:cs="仿宋"/>
                <w:spacing w:val="7"/>
                <w:sz w:val="20"/>
                <w:szCs w:val="20"/>
              </w:rPr>
              <w:t>年利</w:t>
            </w:r>
            <w:r>
              <w:rPr>
                <w:rFonts w:ascii="仿宋" w:hAnsi="仿宋" w:eastAsia="仿宋" w:cs="仿宋"/>
                <w:spacing w:val="6"/>
                <w:sz w:val="20"/>
                <w:szCs w:val="20"/>
              </w:rPr>
              <w:t>润</w:t>
            </w:r>
          </w:p>
          <w:p w14:paraId="2F8A55F1">
            <w:pPr>
              <w:keepNext w:val="0"/>
              <w:keepLines w:val="0"/>
              <w:pageBreakBefore w:val="0"/>
              <w:widowControl w:val="0"/>
              <w:wordWrap/>
              <w:overflowPunct/>
              <w:bidi w:val="0"/>
              <w:spacing w:before="77" w:line="267" w:lineRule="auto"/>
              <w:ind w:left="250" w:right="248" w:firstLine="109"/>
              <w:jc w:val="center"/>
              <w:rPr>
                <w:rFonts w:ascii="仿宋" w:hAnsi="仿宋" w:eastAsia="仿宋" w:cs="仿宋"/>
                <w:sz w:val="20"/>
                <w:szCs w:val="20"/>
              </w:rPr>
            </w:pPr>
            <w:r>
              <w:rPr>
                <w:rFonts w:ascii="仿宋" w:hAnsi="仿宋" w:eastAsia="仿宋" w:cs="仿宋"/>
                <w:spacing w:val="-14"/>
                <w:sz w:val="20"/>
                <w:szCs w:val="20"/>
              </w:rPr>
              <w:t>(</w:t>
            </w:r>
            <w:r>
              <w:rPr>
                <w:rFonts w:ascii="仿宋" w:hAnsi="仿宋" w:eastAsia="仿宋" w:cs="仿宋"/>
                <w:spacing w:val="-11"/>
                <w:sz w:val="20"/>
                <w:szCs w:val="20"/>
              </w:rPr>
              <w:t>万元)</w:t>
            </w:r>
          </w:p>
        </w:tc>
      </w:tr>
      <w:tr w14:paraId="72586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947" w:type="dxa"/>
            <w:gridSpan w:val="6"/>
            <w:shd w:val="clear" w:color="auto" w:fill="E2EFD9"/>
            <w:noWrap w:val="0"/>
            <w:vAlign w:val="top"/>
          </w:tcPr>
          <w:p w14:paraId="4CA4C361">
            <w:pPr>
              <w:keepNext w:val="0"/>
              <w:keepLines w:val="0"/>
              <w:pageBreakBefore w:val="0"/>
              <w:widowControl w:val="0"/>
              <w:wordWrap/>
              <w:overflowPunct/>
              <w:bidi w:val="0"/>
              <w:spacing w:before="72" w:line="226" w:lineRule="auto"/>
              <w:ind w:left="3831"/>
              <w:rPr>
                <w:rFonts w:ascii="仿宋" w:hAnsi="仿宋" w:eastAsia="仿宋" w:cs="仿宋"/>
                <w:sz w:val="20"/>
                <w:szCs w:val="20"/>
              </w:rPr>
            </w:pPr>
            <w:r>
              <w:rPr>
                <w:rFonts w:ascii="仿宋" w:hAnsi="仿宋" w:eastAsia="仿宋" w:cs="仿宋"/>
                <w:spacing w:val="5"/>
                <w:sz w:val="20"/>
                <w:szCs w:val="20"/>
              </w:rPr>
              <w:t>近期(</w:t>
            </w:r>
            <w:r>
              <w:rPr>
                <w:rFonts w:ascii="Arial" w:hAnsi="Arial" w:eastAsia="Arial" w:cs="Arial"/>
                <w:b/>
                <w:bCs/>
                <w:spacing w:val="5"/>
                <w:sz w:val="20"/>
                <w:szCs w:val="20"/>
              </w:rPr>
              <w:t>2025</w:t>
            </w:r>
            <w:r>
              <w:rPr>
                <w:rFonts w:ascii="仿宋" w:hAnsi="仿宋" w:eastAsia="仿宋" w:cs="仿宋"/>
                <w:spacing w:val="5"/>
                <w:sz w:val="20"/>
                <w:szCs w:val="20"/>
              </w:rPr>
              <w:t>)</w:t>
            </w:r>
          </w:p>
        </w:tc>
      </w:tr>
      <w:tr w14:paraId="694EC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60228404">
            <w:pPr>
              <w:keepNext w:val="0"/>
              <w:keepLines w:val="0"/>
              <w:pageBreakBefore w:val="0"/>
              <w:widowControl w:val="0"/>
              <w:wordWrap/>
              <w:overflowPunct/>
              <w:bidi w:val="0"/>
              <w:spacing w:before="98" w:line="203" w:lineRule="auto"/>
              <w:ind w:left="325"/>
              <w:rPr>
                <w:rFonts w:ascii="Arial" w:hAnsi="Arial" w:eastAsia="Arial" w:cs="Arial"/>
                <w:sz w:val="20"/>
                <w:szCs w:val="20"/>
              </w:rPr>
            </w:pPr>
            <w:r>
              <w:rPr>
                <w:rFonts w:ascii="Arial" w:hAnsi="Arial" w:eastAsia="Arial" w:cs="Arial"/>
                <w:sz w:val="20"/>
                <w:szCs w:val="20"/>
              </w:rPr>
              <w:t>1</w:t>
            </w:r>
          </w:p>
        </w:tc>
        <w:tc>
          <w:tcPr>
            <w:tcW w:w="2897" w:type="dxa"/>
            <w:noWrap w:val="0"/>
            <w:vAlign w:val="top"/>
          </w:tcPr>
          <w:p w14:paraId="72888C8A">
            <w:pPr>
              <w:keepNext w:val="0"/>
              <w:keepLines w:val="0"/>
              <w:pageBreakBefore w:val="0"/>
              <w:widowControl w:val="0"/>
              <w:wordWrap/>
              <w:overflowPunct/>
              <w:bidi w:val="0"/>
              <w:spacing w:before="72" w:line="223" w:lineRule="auto"/>
              <w:ind w:left="724"/>
              <w:rPr>
                <w:rFonts w:ascii="仿宋" w:hAnsi="仿宋" w:eastAsia="仿宋" w:cs="仿宋"/>
                <w:sz w:val="20"/>
                <w:szCs w:val="20"/>
              </w:rPr>
            </w:pPr>
            <w:r>
              <w:rPr>
                <w:rFonts w:ascii="仿宋" w:hAnsi="仿宋" w:eastAsia="仿宋" w:cs="仿宋"/>
                <w:spacing w:val="11"/>
                <w:sz w:val="20"/>
                <w:szCs w:val="20"/>
              </w:rPr>
              <w:t>化</w:t>
            </w:r>
            <w:r>
              <w:rPr>
                <w:rFonts w:ascii="仿宋" w:hAnsi="仿宋" w:eastAsia="仿宋" w:cs="仿宋"/>
                <w:spacing w:val="7"/>
                <w:sz w:val="20"/>
                <w:szCs w:val="20"/>
              </w:rPr>
              <w:t>工新材料产业</w:t>
            </w:r>
          </w:p>
        </w:tc>
        <w:tc>
          <w:tcPr>
            <w:tcW w:w="1329" w:type="dxa"/>
            <w:noWrap w:val="0"/>
            <w:vAlign w:val="top"/>
          </w:tcPr>
          <w:p w14:paraId="76336E13">
            <w:pPr>
              <w:keepNext w:val="0"/>
              <w:keepLines w:val="0"/>
              <w:pageBreakBefore w:val="0"/>
              <w:widowControl w:val="0"/>
              <w:wordWrap/>
              <w:overflowPunct/>
              <w:bidi w:val="0"/>
              <w:spacing w:before="84" w:line="203" w:lineRule="auto"/>
              <w:ind w:left="321"/>
              <w:rPr>
                <w:rFonts w:ascii="Arial" w:hAnsi="Arial" w:eastAsia="Arial" w:cs="Arial"/>
                <w:sz w:val="20"/>
                <w:szCs w:val="20"/>
              </w:rPr>
            </w:pPr>
            <w:r>
              <w:rPr>
                <w:rFonts w:ascii="Arial" w:hAnsi="Arial" w:eastAsia="Arial" w:cs="Arial"/>
                <w:spacing w:val="4"/>
                <w:sz w:val="20"/>
                <w:szCs w:val="20"/>
              </w:rPr>
              <w:t>32320</w:t>
            </w:r>
            <w:r>
              <w:rPr>
                <w:rFonts w:ascii="Arial" w:hAnsi="Arial" w:eastAsia="Arial" w:cs="Arial"/>
                <w:spacing w:val="3"/>
                <w:sz w:val="20"/>
                <w:szCs w:val="20"/>
              </w:rPr>
              <w:t>1</w:t>
            </w:r>
          </w:p>
        </w:tc>
        <w:tc>
          <w:tcPr>
            <w:tcW w:w="1330" w:type="dxa"/>
            <w:noWrap w:val="0"/>
            <w:vAlign w:val="top"/>
          </w:tcPr>
          <w:p w14:paraId="3383EE2F">
            <w:pPr>
              <w:keepNext w:val="0"/>
              <w:keepLines w:val="0"/>
              <w:pageBreakBefore w:val="0"/>
              <w:widowControl w:val="0"/>
              <w:wordWrap/>
              <w:overflowPunct/>
              <w:bidi w:val="0"/>
              <w:spacing w:before="84" w:line="203" w:lineRule="auto"/>
              <w:ind w:left="323"/>
              <w:rPr>
                <w:rFonts w:ascii="Arial" w:hAnsi="Arial" w:eastAsia="Arial" w:cs="Arial"/>
                <w:sz w:val="20"/>
                <w:szCs w:val="20"/>
              </w:rPr>
            </w:pPr>
            <w:r>
              <w:rPr>
                <w:rFonts w:ascii="Arial" w:hAnsi="Arial" w:eastAsia="Arial" w:cs="Arial"/>
                <w:spacing w:val="6"/>
                <w:sz w:val="20"/>
                <w:szCs w:val="20"/>
              </w:rPr>
              <w:t>7</w:t>
            </w:r>
            <w:r>
              <w:rPr>
                <w:rFonts w:ascii="Arial" w:hAnsi="Arial" w:eastAsia="Arial" w:cs="Arial"/>
                <w:spacing w:val="4"/>
                <w:sz w:val="20"/>
                <w:szCs w:val="20"/>
              </w:rPr>
              <w:t>4</w:t>
            </w:r>
            <w:r>
              <w:rPr>
                <w:rFonts w:ascii="Arial" w:hAnsi="Arial" w:eastAsia="Arial" w:cs="Arial"/>
                <w:spacing w:val="3"/>
                <w:sz w:val="20"/>
                <w:szCs w:val="20"/>
              </w:rPr>
              <w:t>5172</w:t>
            </w:r>
          </w:p>
        </w:tc>
        <w:tc>
          <w:tcPr>
            <w:tcW w:w="1330" w:type="dxa"/>
            <w:noWrap w:val="0"/>
            <w:vAlign w:val="top"/>
          </w:tcPr>
          <w:p w14:paraId="14E9C684">
            <w:pPr>
              <w:keepNext w:val="0"/>
              <w:keepLines w:val="0"/>
              <w:pageBreakBefore w:val="0"/>
              <w:widowControl w:val="0"/>
              <w:wordWrap/>
              <w:overflowPunct/>
              <w:bidi w:val="0"/>
              <w:spacing w:before="84" w:line="203" w:lineRule="auto"/>
              <w:ind w:left="382"/>
              <w:rPr>
                <w:rFonts w:ascii="Arial" w:hAnsi="Arial" w:eastAsia="Arial" w:cs="Arial"/>
                <w:sz w:val="20"/>
                <w:szCs w:val="20"/>
              </w:rPr>
            </w:pPr>
            <w:r>
              <w:rPr>
                <w:rFonts w:ascii="Arial" w:hAnsi="Arial" w:eastAsia="Arial" w:cs="Arial"/>
                <w:spacing w:val="4"/>
                <w:sz w:val="20"/>
                <w:szCs w:val="20"/>
              </w:rPr>
              <w:t>9</w:t>
            </w:r>
            <w:r>
              <w:rPr>
                <w:rFonts w:ascii="Arial" w:hAnsi="Arial" w:eastAsia="Arial" w:cs="Arial"/>
                <w:spacing w:val="3"/>
                <w:sz w:val="20"/>
                <w:szCs w:val="20"/>
              </w:rPr>
              <w:t>3572</w:t>
            </w:r>
          </w:p>
        </w:tc>
        <w:tc>
          <w:tcPr>
            <w:tcW w:w="1335" w:type="dxa"/>
            <w:noWrap w:val="0"/>
            <w:vAlign w:val="top"/>
          </w:tcPr>
          <w:p w14:paraId="2A155778">
            <w:pPr>
              <w:keepNext w:val="0"/>
              <w:keepLines w:val="0"/>
              <w:pageBreakBefore w:val="0"/>
              <w:widowControl w:val="0"/>
              <w:wordWrap/>
              <w:overflowPunct/>
              <w:bidi w:val="0"/>
              <w:spacing w:before="84" w:line="203" w:lineRule="auto"/>
              <w:ind w:left="383"/>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5410</w:t>
            </w:r>
          </w:p>
        </w:tc>
      </w:tr>
      <w:tr w14:paraId="44A14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4D8AFA34">
            <w:pPr>
              <w:keepNext w:val="0"/>
              <w:keepLines w:val="0"/>
              <w:pageBreakBefore w:val="0"/>
              <w:widowControl w:val="0"/>
              <w:wordWrap/>
              <w:overflowPunct/>
              <w:bidi w:val="0"/>
              <w:spacing w:before="100" w:line="203" w:lineRule="auto"/>
              <w:ind w:left="308"/>
              <w:rPr>
                <w:rFonts w:ascii="Arial" w:hAnsi="Arial" w:eastAsia="Arial" w:cs="Arial"/>
                <w:sz w:val="20"/>
                <w:szCs w:val="20"/>
              </w:rPr>
            </w:pPr>
            <w:r>
              <w:rPr>
                <w:rFonts w:ascii="Arial" w:hAnsi="Arial" w:eastAsia="Arial" w:cs="Arial"/>
                <w:sz w:val="20"/>
                <w:szCs w:val="20"/>
              </w:rPr>
              <w:t>2</w:t>
            </w:r>
          </w:p>
        </w:tc>
        <w:tc>
          <w:tcPr>
            <w:tcW w:w="2897" w:type="dxa"/>
            <w:noWrap w:val="0"/>
            <w:vAlign w:val="top"/>
          </w:tcPr>
          <w:p w14:paraId="5E79801A">
            <w:pPr>
              <w:keepNext w:val="0"/>
              <w:keepLines w:val="0"/>
              <w:pageBreakBefore w:val="0"/>
              <w:widowControl w:val="0"/>
              <w:wordWrap/>
              <w:overflowPunct/>
              <w:bidi w:val="0"/>
              <w:spacing w:before="74" w:line="223" w:lineRule="auto"/>
              <w:ind w:left="720"/>
              <w:rPr>
                <w:rFonts w:ascii="仿宋" w:hAnsi="仿宋" w:eastAsia="仿宋" w:cs="仿宋"/>
                <w:sz w:val="20"/>
                <w:szCs w:val="20"/>
              </w:rPr>
            </w:pPr>
            <w:r>
              <w:rPr>
                <w:rFonts w:ascii="仿宋" w:hAnsi="仿宋" w:eastAsia="仿宋" w:cs="仿宋"/>
                <w:spacing w:val="9"/>
                <w:sz w:val="20"/>
                <w:szCs w:val="20"/>
              </w:rPr>
              <w:t>新</w:t>
            </w:r>
            <w:r>
              <w:rPr>
                <w:rFonts w:ascii="仿宋" w:hAnsi="仿宋" w:eastAsia="仿宋" w:cs="仿宋"/>
                <w:spacing w:val="8"/>
                <w:sz w:val="20"/>
                <w:szCs w:val="20"/>
              </w:rPr>
              <w:t>能源材料产业</w:t>
            </w:r>
          </w:p>
        </w:tc>
        <w:tc>
          <w:tcPr>
            <w:tcW w:w="1329" w:type="dxa"/>
            <w:noWrap w:val="0"/>
            <w:vAlign w:val="top"/>
          </w:tcPr>
          <w:p w14:paraId="2CFA01C2">
            <w:pPr>
              <w:keepNext w:val="0"/>
              <w:keepLines w:val="0"/>
              <w:pageBreakBefore w:val="0"/>
              <w:widowControl w:val="0"/>
              <w:wordWrap/>
              <w:overflowPunct/>
              <w:bidi w:val="0"/>
              <w:spacing w:before="83" w:line="203" w:lineRule="auto"/>
              <w:ind w:left="335"/>
              <w:rPr>
                <w:rFonts w:ascii="Arial" w:hAnsi="Arial" w:eastAsia="Arial" w:cs="Arial"/>
                <w:sz w:val="20"/>
                <w:szCs w:val="20"/>
              </w:rPr>
            </w:pPr>
            <w:r>
              <w:rPr>
                <w:rFonts w:ascii="Arial" w:hAnsi="Arial" w:eastAsia="Arial" w:cs="Arial"/>
                <w:spacing w:val="2"/>
                <w:sz w:val="20"/>
                <w:szCs w:val="20"/>
              </w:rPr>
              <w:t>129</w:t>
            </w:r>
            <w:r>
              <w:rPr>
                <w:rFonts w:ascii="Arial" w:hAnsi="Arial" w:eastAsia="Arial" w:cs="Arial"/>
                <w:spacing w:val="1"/>
                <w:sz w:val="20"/>
                <w:szCs w:val="20"/>
              </w:rPr>
              <w:t>160</w:t>
            </w:r>
          </w:p>
        </w:tc>
        <w:tc>
          <w:tcPr>
            <w:tcW w:w="1330" w:type="dxa"/>
            <w:noWrap w:val="0"/>
            <w:vAlign w:val="top"/>
          </w:tcPr>
          <w:p w14:paraId="3E8FD541">
            <w:pPr>
              <w:keepNext w:val="0"/>
              <w:keepLines w:val="0"/>
              <w:pageBreakBefore w:val="0"/>
              <w:widowControl w:val="0"/>
              <w:wordWrap/>
              <w:overflowPunct/>
              <w:bidi w:val="0"/>
              <w:spacing w:before="83" w:line="203" w:lineRule="auto"/>
              <w:ind w:left="316"/>
              <w:rPr>
                <w:rFonts w:ascii="Arial" w:hAnsi="Arial" w:eastAsia="Arial" w:cs="Arial"/>
                <w:sz w:val="20"/>
                <w:szCs w:val="20"/>
              </w:rPr>
            </w:pPr>
            <w:r>
              <w:rPr>
                <w:rFonts w:ascii="Arial" w:hAnsi="Arial" w:eastAsia="Arial" w:cs="Arial"/>
                <w:spacing w:val="5"/>
                <w:sz w:val="20"/>
                <w:szCs w:val="20"/>
              </w:rPr>
              <w:t>47250</w:t>
            </w:r>
            <w:r>
              <w:rPr>
                <w:rFonts w:ascii="Arial" w:hAnsi="Arial" w:eastAsia="Arial" w:cs="Arial"/>
                <w:spacing w:val="4"/>
                <w:sz w:val="20"/>
                <w:szCs w:val="20"/>
              </w:rPr>
              <w:t>0</w:t>
            </w:r>
          </w:p>
        </w:tc>
        <w:tc>
          <w:tcPr>
            <w:tcW w:w="1330" w:type="dxa"/>
            <w:noWrap w:val="0"/>
            <w:vAlign w:val="top"/>
          </w:tcPr>
          <w:p w14:paraId="7716ADE4">
            <w:pPr>
              <w:keepNext w:val="0"/>
              <w:keepLines w:val="0"/>
              <w:pageBreakBefore w:val="0"/>
              <w:widowControl w:val="0"/>
              <w:wordWrap/>
              <w:overflowPunct/>
              <w:bidi w:val="0"/>
              <w:spacing w:before="83" w:line="203" w:lineRule="auto"/>
              <w:ind w:left="382"/>
              <w:rPr>
                <w:rFonts w:ascii="Arial" w:hAnsi="Arial" w:eastAsia="Arial" w:cs="Arial"/>
                <w:sz w:val="20"/>
                <w:szCs w:val="20"/>
              </w:rPr>
            </w:pPr>
            <w:r>
              <w:rPr>
                <w:rFonts w:ascii="Arial" w:hAnsi="Arial" w:eastAsia="Arial" w:cs="Arial"/>
                <w:spacing w:val="4"/>
                <w:sz w:val="20"/>
                <w:szCs w:val="20"/>
              </w:rPr>
              <w:t>5</w:t>
            </w:r>
            <w:r>
              <w:rPr>
                <w:rFonts w:ascii="Arial" w:hAnsi="Arial" w:eastAsia="Arial" w:cs="Arial"/>
                <w:spacing w:val="3"/>
                <w:sz w:val="20"/>
                <w:szCs w:val="20"/>
              </w:rPr>
              <w:t>4205</w:t>
            </w:r>
          </w:p>
        </w:tc>
        <w:tc>
          <w:tcPr>
            <w:tcW w:w="1335" w:type="dxa"/>
            <w:noWrap w:val="0"/>
            <w:vAlign w:val="top"/>
          </w:tcPr>
          <w:p w14:paraId="3830C317">
            <w:pPr>
              <w:keepNext w:val="0"/>
              <w:keepLines w:val="0"/>
              <w:pageBreakBefore w:val="0"/>
              <w:widowControl w:val="0"/>
              <w:wordWrap/>
              <w:overflowPunct/>
              <w:bidi w:val="0"/>
              <w:spacing w:before="83" w:line="203" w:lineRule="auto"/>
              <w:ind w:left="384"/>
              <w:rPr>
                <w:rFonts w:ascii="Arial" w:hAnsi="Arial" w:eastAsia="Arial" w:cs="Arial"/>
                <w:sz w:val="20"/>
                <w:szCs w:val="20"/>
              </w:rPr>
            </w:pPr>
            <w:r>
              <w:rPr>
                <w:rFonts w:ascii="Arial" w:hAnsi="Arial" w:eastAsia="Arial" w:cs="Arial"/>
                <w:spacing w:val="4"/>
                <w:sz w:val="20"/>
                <w:szCs w:val="20"/>
              </w:rPr>
              <w:t>3</w:t>
            </w:r>
            <w:r>
              <w:rPr>
                <w:rFonts w:ascii="Arial" w:hAnsi="Arial" w:eastAsia="Arial" w:cs="Arial"/>
                <w:spacing w:val="3"/>
                <w:sz w:val="20"/>
                <w:szCs w:val="20"/>
              </w:rPr>
              <w:t>6216</w:t>
            </w:r>
          </w:p>
        </w:tc>
      </w:tr>
      <w:tr w14:paraId="021EE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38932208">
            <w:pPr>
              <w:keepNext w:val="0"/>
              <w:keepLines w:val="0"/>
              <w:pageBreakBefore w:val="0"/>
              <w:widowControl w:val="0"/>
              <w:wordWrap/>
              <w:overflowPunct/>
              <w:bidi w:val="0"/>
              <w:spacing w:before="100" w:line="203" w:lineRule="auto"/>
              <w:ind w:left="311"/>
              <w:rPr>
                <w:rFonts w:ascii="Arial" w:hAnsi="Arial" w:eastAsia="Arial" w:cs="Arial"/>
                <w:sz w:val="20"/>
                <w:szCs w:val="20"/>
              </w:rPr>
            </w:pPr>
            <w:r>
              <w:rPr>
                <w:rFonts w:ascii="Arial" w:hAnsi="Arial" w:eastAsia="Arial" w:cs="Arial"/>
                <w:sz w:val="20"/>
                <w:szCs w:val="20"/>
              </w:rPr>
              <w:t>3</w:t>
            </w:r>
          </w:p>
        </w:tc>
        <w:tc>
          <w:tcPr>
            <w:tcW w:w="2897" w:type="dxa"/>
            <w:noWrap w:val="0"/>
            <w:vAlign w:val="top"/>
          </w:tcPr>
          <w:p w14:paraId="56F9E090">
            <w:pPr>
              <w:keepNext w:val="0"/>
              <w:keepLines w:val="0"/>
              <w:pageBreakBefore w:val="0"/>
              <w:widowControl w:val="0"/>
              <w:wordWrap/>
              <w:overflowPunct/>
              <w:bidi w:val="0"/>
              <w:spacing w:before="73" w:line="223" w:lineRule="auto"/>
              <w:ind w:left="726"/>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7"/>
                <w:sz w:val="20"/>
                <w:szCs w:val="20"/>
              </w:rPr>
              <w:t>健康材料产业</w:t>
            </w:r>
          </w:p>
        </w:tc>
        <w:tc>
          <w:tcPr>
            <w:tcW w:w="1329" w:type="dxa"/>
            <w:noWrap w:val="0"/>
            <w:vAlign w:val="top"/>
          </w:tcPr>
          <w:p w14:paraId="1D292B0C">
            <w:pPr>
              <w:keepNext w:val="0"/>
              <w:keepLines w:val="0"/>
              <w:pageBreakBefore w:val="0"/>
              <w:widowControl w:val="0"/>
              <w:wordWrap/>
              <w:overflowPunct/>
              <w:bidi w:val="0"/>
              <w:spacing w:before="85" w:line="203" w:lineRule="auto"/>
              <w:ind w:left="376"/>
              <w:rPr>
                <w:rFonts w:ascii="Arial" w:hAnsi="Arial" w:eastAsia="Arial" w:cs="Arial"/>
                <w:sz w:val="20"/>
                <w:szCs w:val="20"/>
              </w:rPr>
            </w:pPr>
            <w:r>
              <w:rPr>
                <w:rFonts w:ascii="Arial" w:hAnsi="Arial" w:eastAsia="Arial" w:cs="Arial"/>
                <w:spacing w:val="4"/>
                <w:sz w:val="20"/>
                <w:szCs w:val="20"/>
              </w:rPr>
              <w:t>2000</w:t>
            </w:r>
            <w:r>
              <w:rPr>
                <w:rFonts w:ascii="Arial" w:hAnsi="Arial" w:eastAsia="Arial" w:cs="Arial"/>
                <w:spacing w:val="3"/>
                <w:sz w:val="20"/>
                <w:szCs w:val="20"/>
              </w:rPr>
              <w:t>0</w:t>
            </w:r>
          </w:p>
        </w:tc>
        <w:tc>
          <w:tcPr>
            <w:tcW w:w="1330" w:type="dxa"/>
            <w:noWrap w:val="0"/>
            <w:vAlign w:val="top"/>
          </w:tcPr>
          <w:p w14:paraId="776B1A07">
            <w:pPr>
              <w:keepNext w:val="0"/>
              <w:keepLines w:val="0"/>
              <w:pageBreakBefore w:val="0"/>
              <w:widowControl w:val="0"/>
              <w:wordWrap/>
              <w:overflowPunct/>
              <w:bidi w:val="0"/>
              <w:spacing w:before="85" w:line="203" w:lineRule="auto"/>
              <w:ind w:left="396"/>
              <w:rPr>
                <w:rFonts w:ascii="Arial" w:hAnsi="Arial" w:eastAsia="Arial" w:cs="Arial"/>
                <w:sz w:val="20"/>
                <w:szCs w:val="20"/>
              </w:rPr>
            </w:pPr>
            <w:r>
              <w:rPr>
                <w:rFonts w:ascii="Arial" w:hAnsi="Arial" w:eastAsia="Arial" w:cs="Arial"/>
                <w:spacing w:val="1"/>
                <w:sz w:val="20"/>
                <w:szCs w:val="20"/>
              </w:rPr>
              <w:t>18</w:t>
            </w:r>
            <w:r>
              <w:rPr>
                <w:rFonts w:ascii="Arial" w:hAnsi="Arial" w:eastAsia="Arial" w:cs="Arial"/>
                <w:sz w:val="20"/>
                <w:szCs w:val="20"/>
              </w:rPr>
              <w:t>000</w:t>
            </w:r>
          </w:p>
        </w:tc>
        <w:tc>
          <w:tcPr>
            <w:tcW w:w="1330" w:type="dxa"/>
            <w:noWrap w:val="0"/>
            <w:vAlign w:val="top"/>
          </w:tcPr>
          <w:p w14:paraId="02D14DA8">
            <w:pPr>
              <w:keepNext w:val="0"/>
              <w:keepLines w:val="0"/>
              <w:pageBreakBefore w:val="0"/>
              <w:widowControl w:val="0"/>
              <w:wordWrap/>
              <w:overflowPunct/>
              <w:bidi w:val="0"/>
              <w:spacing w:before="85" w:line="203" w:lineRule="auto"/>
              <w:ind w:left="433"/>
              <w:rPr>
                <w:rFonts w:ascii="Arial" w:hAnsi="Arial" w:eastAsia="Arial" w:cs="Arial"/>
                <w:sz w:val="20"/>
                <w:szCs w:val="20"/>
              </w:rPr>
            </w:pPr>
            <w:r>
              <w:rPr>
                <w:rFonts w:ascii="Arial" w:hAnsi="Arial" w:eastAsia="Arial" w:cs="Arial"/>
                <w:spacing w:val="4"/>
                <w:sz w:val="20"/>
                <w:szCs w:val="20"/>
              </w:rPr>
              <w:t>4000</w:t>
            </w:r>
          </w:p>
        </w:tc>
        <w:tc>
          <w:tcPr>
            <w:tcW w:w="1335" w:type="dxa"/>
            <w:noWrap w:val="0"/>
            <w:vAlign w:val="top"/>
          </w:tcPr>
          <w:p w14:paraId="5C470BB8">
            <w:pPr>
              <w:keepNext w:val="0"/>
              <w:keepLines w:val="0"/>
              <w:pageBreakBefore w:val="0"/>
              <w:widowControl w:val="0"/>
              <w:wordWrap/>
              <w:overflowPunct/>
              <w:bidi w:val="0"/>
              <w:spacing w:before="85" w:line="203" w:lineRule="auto"/>
              <w:ind w:left="439"/>
              <w:rPr>
                <w:rFonts w:ascii="Arial" w:hAnsi="Arial" w:eastAsia="Arial" w:cs="Arial"/>
                <w:sz w:val="20"/>
                <w:szCs w:val="20"/>
              </w:rPr>
            </w:pPr>
            <w:r>
              <w:rPr>
                <w:rFonts w:ascii="Arial" w:hAnsi="Arial" w:eastAsia="Arial" w:cs="Arial"/>
                <w:spacing w:val="4"/>
                <w:sz w:val="20"/>
                <w:szCs w:val="20"/>
              </w:rPr>
              <w:t>2</w:t>
            </w:r>
            <w:r>
              <w:rPr>
                <w:rFonts w:ascii="Arial" w:hAnsi="Arial" w:eastAsia="Arial" w:cs="Arial"/>
                <w:spacing w:val="3"/>
                <w:sz w:val="20"/>
                <w:szCs w:val="20"/>
              </w:rPr>
              <w:t>400</w:t>
            </w:r>
          </w:p>
        </w:tc>
      </w:tr>
      <w:tr w14:paraId="6A06B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72EEE6E8">
            <w:pPr>
              <w:keepNext w:val="0"/>
              <w:keepLines w:val="0"/>
              <w:pageBreakBefore w:val="0"/>
              <w:widowControl w:val="0"/>
              <w:wordWrap/>
              <w:overflowPunct/>
              <w:bidi w:val="0"/>
              <w:spacing w:before="99" w:line="203" w:lineRule="auto"/>
              <w:ind w:left="305"/>
              <w:rPr>
                <w:rFonts w:ascii="Arial" w:hAnsi="Arial" w:eastAsia="Arial" w:cs="Arial"/>
                <w:sz w:val="20"/>
                <w:szCs w:val="20"/>
              </w:rPr>
            </w:pPr>
            <w:r>
              <w:rPr>
                <w:rFonts w:ascii="Arial" w:hAnsi="Arial" w:eastAsia="Arial" w:cs="Arial"/>
                <w:spacing w:val="2"/>
                <w:sz w:val="20"/>
                <w:szCs w:val="20"/>
              </w:rPr>
              <w:t>4</w:t>
            </w:r>
          </w:p>
        </w:tc>
        <w:tc>
          <w:tcPr>
            <w:tcW w:w="2897" w:type="dxa"/>
            <w:noWrap w:val="0"/>
            <w:vAlign w:val="top"/>
          </w:tcPr>
          <w:p w14:paraId="7D9CF47E">
            <w:pPr>
              <w:keepNext w:val="0"/>
              <w:keepLines w:val="0"/>
              <w:pageBreakBefore w:val="0"/>
              <w:widowControl w:val="0"/>
              <w:wordWrap/>
              <w:overflowPunct/>
              <w:bidi w:val="0"/>
              <w:spacing w:before="73" w:line="223" w:lineRule="auto"/>
              <w:ind w:left="512"/>
              <w:rPr>
                <w:rFonts w:ascii="仿宋" w:hAnsi="仿宋" w:eastAsia="仿宋" w:cs="仿宋"/>
                <w:sz w:val="20"/>
                <w:szCs w:val="20"/>
              </w:rPr>
            </w:pPr>
            <w:r>
              <w:rPr>
                <w:rFonts w:ascii="仿宋" w:hAnsi="仿宋" w:eastAsia="仿宋" w:cs="仿宋"/>
                <w:spacing w:val="10"/>
                <w:sz w:val="20"/>
                <w:szCs w:val="20"/>
              </w:rPr>
              <w:t>节</w:t>
            </w:r>
            <w:r>
              <w:rPr>
                <w:rFonts w:ascii="仿宋" w:hAnsi="仿宋" w:eastAsia="仿宋" w:cs="仿宋"/>
                <w:spacing w:val="8"/>
                <w:sz w:val="20"/>
                <w:szCs w:val="20"/>
              </w:rPr>
              <w:t>能环保新材料产业</w:t>
            </w:r>
          </w:p>
        </w:tc>
        <w:tc>
          <w:tcPr>
            <w:tcW w:w="1329" w:type="dxa"/>
            <w:noWrap w:val="0"/>
            <w:vAlign w:val="top"/>
          </w:tcPr>
          <w:p w14:paraId="61AE97BE">
            <w:pPr>
              <w:keepNext w:val="0"/>
              <w:keepLines w:val="0"/>
              <w:pageBreakBefore w:val="0"/>
              <w:widowControl w:val="0"/>
              <w:wordWrap/>
              <w:overflowPunct/>
              <w:bidi w:val="0"/>
              <w:spacing w:before="85" w:line="203" w:lineRule="auto"/>
              <w:ind w:left="378"/>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0000</w:t>
            </w:r>
          </w:p>
        </w:tc>
        <w:tc>
          <w:tcPr>
            <w:tcW w:w="1330" w:type="dxa"/>
            <w:noWrap w:val="0"/>
            <w:vAlign w:val="top"/>
          </w:tcPr>
          <w:p w14:paraId="4F12D9F5">
            <w:pPr>
              <w:keepNext w:val="0"/>
              <w:keepLines w:val="0"/>
              <w:pageBreakBefore w:val="0"/>
              <w:widowControl w:val="0"/>
              <w:wordWrap/>
              <w:overflowPunct/>
              <w:bidi w:val="0"/>
              <w:spacing w:before="85" w:line="203" w:lineRule="auto"/>
              <w:ind w:left="383"/>
              <w:rPr>
                <w:rFonts w:ascii="Arial" w:hAnsi="Arial" w:eastAsia="Arial" w:cs="Arial"/>
                <w:sz w:val="20"/>
                <w:szCs w:val="20"/>
              </w:rPr>
            </w:pPr>
            <w:r>
              <w:rPr>
                <w:rFonts w:ascii="Arial" w:hAnsi="Arial" w:eastAsia="Arial" w:cs="Arial"/>
                <w:spacing w:val="3"/>
                <w:sz w:val="20"/>
                <w:szCs w:val="20"/>
              </w:rPr>
              <w:t>75000</w:t>
            </w:r>
          </w:p>
        </w:tc>
        <w:tc>
          <w:tcPr>
            <w:tcW w:w="1330" w:type="dxa"/>
            <w:noWrap w:val="0"/>
            <w:vAlign w:val="top"/>
          </w:tcPr>
          <w:p w14:paraId="71A4BA21">
            <w:pPr>
              <w:keepNext w:val="0"/>
              <w:keepLines w:val="0"/>
              <w:pageBreakBefore w:val="0"/>
              <w:widowControl w:val="0"/>
              <w:wordWrap/>
              <w:overflowPunct/>
              <w:bidi w:val="0"/>
              <w:spacing w:before="85" w:line="203" w:lineRule="auto"/>
              <w:ind w:left="439"/>
              <w:rPr>
                <w:rFonts w:ascii="Arial" w:hAnsi="Arial" w:eastAsia="Arial" w:cs="Arial"/>
                <w:sz w:val="20"/>
                <w:szCs w:val="20"/>
              </w:rPr>
            </w:pPr>
            <w:r>
              <w:rPr>
                <w:rFonts w:ascii="Arial" w:hAnsi="Arial" w:eastAsia="Arial" w:cs="Arial"/>
                <w:spacing w:val="4"/>
                <w:sz w:val="20"/>
                <w:szCs w:val="20"/>
              </w:rPr>
              <w:t>8</w:t>
            </w:r>
            <w:r>
              <w:rPr>
                <w:rFonts w:ascii="Arial" w:hAnsi="Arial" w:eastAsia="Arial" w:cs="Arial"/>
                <w:spacing w:val="2"/>
                <w:sz w:val="20"/>
                <w:szCs w:val="20"/>
              </w:rPr>
              <w:t>650</w:t>
            </w:r>
          </w:p>
        </w:tc>
        <w:tc>
          <w:tcPr>
            <w:tcW w:w="1335" w:type="dxa"/>
            <w:noWrap w:val="0"/>
            <w:vAlign w:val="top"/>
          </w:tcPr>
          <w:p w14:paraId="189AE307">
            <w:pPr>
              <w:keepNext w:val="0"/>
              <w:keepLines w:val="0"/>
              <w:pageBreakBefore w:val="0"/>
              <w:widowControl w:val="0"/>
              <w:wordWrap/>
              <w:overflowPunct/>
              <w:bidi w:val="0"/>
              <w:spacing w:before="85" w:line="203" w:lineRule="auto"/>
              <w:ind w:left="441"/>
              <w:rPr>
                <w:rFonts w:ascii="Arial" w:hAnsi="Arial" w:eastAsia="Arial" w:cs="Arial"/>
                <w:sz w:val="20"/>
                <w:szCs w:val="20"/>
              </w:rPr>
            </w:pPr>
            <w:r>
              <w:rPr>
                <w:rFonts w:ascii="Arial" w:hAnsi="Arial" w:eastAsia="Arial" w:cs="Arial"/>
                <w:spacing w:val="4"/>
                <w:sz w:val="20"/>
                <w:szCs w:val="20"/>
              </w:rPr>
              <w:t>5</w:t>
            </w:r>
            <w:r>
              <w:rPr>
                <w:rFonts w:ascii="Arial" w:hAnsi="Arial" w:eastAsia="Arial" w:cs="Arial"/>
                <w:spacing w:val="2"/>
                <w:sz w:val="20"/>
                <w:szCs w:val="20"/>
              </w:rPr>
              <w:t>400</w:t>
            </w:r>
          </w:p>
        </w:tc>
      </w:tr>
      <w:tr w14:paraId="0D979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shd w:val="clear" w:color="auto" w:fill="E7E6E6"/>
            <w:noWrap w:val="0"/>
            <w:vAlign w:val="top"/>
          </w:tcPr>
          <w:p w14:paraId="2ACA7544">
            <w:pPr>
              <w:keepNext w:val="0"/>
              <w:keepLines w:val="0"/>
              <w:pageBreakBefore w:val="0"/>
              <w:widowControl w:val="0"/>
              <w:wordWrap/>
              <w:overflowPunct/>
              <w:bidi w:val="0"/>
              <w:rPr>
                <w:rFonts w:ascii="Arial"/>
                <w:sz w:val="21"/>
              </w:rPr>
            </w:pPr>
          </w:p>
        </w:tc>
        <w:tc>
          <w:tcPr>
            <w:tcW w:w="2897" w:type="dxa"/>
            <w:shd w:val="clear" w:color="auto" w:fill="E7E6E6"/>
            <w:noWrap w:val="0"/>
            <w:vAlign w:val="top"/>
          </w:tcPr>
          <w:p w14:paraId="698BBA30">
            <w:pPr>
              <w:keepNext w:val="0"/>
              <w:keepLines w:val="0"/>
              <w:pageBreakBefore w:val="0"/>
              <w:widowControl w:val="0"/>
              <w:wordWrap/>
              <w:overflowPunct/>
              <w:bidi w:val="0"/>
              <w:spacing w:before="75" w:line="225" w:lineRule="auto"/>
              <w:ind w:left="1243"/>
              <w:rPr>
                <w:rFonts w:ascii="仿宋" w:hAnsi="仿宋" w:eastAsia="仿宋" w:cs="仿宋"/>
                <w:sz w:val="20"/>
                <w:szCs w:val="20"/>
              </w:rPr>
            </w:pPr>
            <w:r>
              <w:rPr>
                <w:rFonts w:ascii="仿宋" w:hAnsi="仿宋" w:eastAsia="仿宋" w:cs="仿宋"/>
                <w:spacing w:val="4"/>
                <w:sz w:val="20"/>
                <w:szCs w:val="20"/>
              </w:rPr>
              <w:t>合</w:t>
            </w:r>
            <w:r>
              <w:rPr>
                <w:rFonts w:ascii="仿宋" w:hAnsi="仿宋" w:eastAsia="仿宋" w:cs="仿宋"/>
                <w:spacing w:val="3"/>
                <w:sz w:val="20"/>
                <w:szCs w:val="20"/>
              </w:rPr>
              <w:t>计</w:t>
            </w:r>
          </w:p>
        </w:tc>
        <w:tc>
          <w:tcPr>
            <w:tcW w:w="1329" w:type="dxa"/>
            <w:shd w:val="clear" w:color="auto" w:fill="E7E6E6"/>
            <w:noWrap w:val="0"/>
            <w:vAlign w:val="top"/>
          </w:tcPr>
          <w:p w14:paraId="5FC1EDA6">
            <w:pPr>
              <w:keepNext w:val="0"/>
              <w:keepLines w:val="0"/>
              <w:pageBreakBefore w:val="0"/>
              <w:widowControl w:val="0"/>
              <w:wordWrap/>
              <w:overflowPunct/>
              <w:bidi w:val="0"/>
              <w:spacing w:before="101" w:line="203" w:lineRule="auto"/>
              <w:ind w:left="321"/>
              <w:rPr>
                <w:rFonts w:ascii="Arial" w:hAnsi="Arial" w:eastAsia="Arial" w:cs="Arial"/>
                <w:sz w:val="20"/>
                <w:szCs w:val="20"/>
              </w:rPr>
            </w:pPr>
            <w:r>
              <w:rPr>
                <w:rFonts w:ascii="Arial" w:hAnsi="Arial" w:eastAsia="Arial" w:cs="Arial"/>
                <w:spacing w:val="4"/>
                <w:sz w:val="20"/>
                <w:szCs w:val="20"/>
              </w:rPr>
              <w:t>53236</w:t>
            </w:r>
            <w:r>
              <w:rPr>
                <w:rFonts w:ascii="Arial" w:hAnsi="Arial" w:eastAsia="Arial" w:cs="Arial"/>
                <w:spacing w:val="3"/>
                <w:sz w:val="20"/>
                <w:szCs w:val="20"/>
              </w:rPr>
              <w:t>1</w:t>
            </w:r>
          </w:p>
        </w:tc>
        <w:tc>
          <w:tcPr>
            <w:tcW w:w="1330" w:type="dxa"/>
            <w:shd w:val="clear" w:color="auto" w:fill="E7E6E6"/>
            <w:noWrap w:val="0"/>
            <w:vAlign w:val="top"/>
          </w:tcPr>
          <w:p w14:paraId="1AF34C69">
            <w:pPr>
              <w:keepNext w:val="0"/>
              <w:keepLines w:val="0"/>
              <w:pageBreakBefore w:val="0"/>
              <w:widowControl w:val="0"/>
              <w:wordWrap/>
              <w:overflowPunct/>
              <w:bidi w:val="0"/>
              <w:spacing w:before="101" w:line="203" w:lineRule="auto"/>
              <w:ind w:left="278"/>
              <w:rPr>
                <w:rFonts w:ascii="Arial" w:hAnsi="Arial" w:eastAsia="Arial" w:cs="Arial"/>
                <w:sz w:val="20"/>
                <w:szCs w:val="20"/>
              </w:rPr>
            </w:pPr>
            <w:r>
              <w:rPr>
                <w:rFonts w:ascii="Arial" w:hAnsi="Arial" w:eastAsia="Arial" w:cs="Arial"/>
                <w:spacing w:val="2"/>
                <w:sz w:val="20"/>
                <w:szCs w:val="20"/>
              </w:rPr>
              <w:t>131067</w:t>
            </w:r>
            <w:r>
              <w:rPr>
                <w:rFonts w:ascii="Arial" w:hAnsi="Arial" w:eastAsia="Arial" w:cs="Arial"/>
                <w:spacing w:val="1"/>
                <w:sz w:val="20"/>
                <w:szCs w:val="20"/>
              </w:rPr>
              <w:t>2</w:t>
            </w:r>
          </w:p>
        </w:tc>
        <w:tc>
          <w:tcPr>
            <w:tcW w:w="1330" w:type="dxa"/>
            <w:shd w:val="clear" w:color="auto" w:fill="E7E6E6"/>
            <w:noWrap w:val="0"/>
            <w:vAlign w:val="top"/>
          </w:tcPr>
          <w:p w14:paraId="6A1A554D">
            <w:pPr>
              <w:keepNext w:val="0"/>
              <w:keepLines w:val="0"/>
              <w:pageBreakBefore w:val="0"/>
              <w:widowControl w:val="0"/>
              <w:wordWrap/>
              <w:overflowPunct/>
              <w:bidi w:val="0"/>
              <w:spacing w:before="101" w:line="203" w:lineRule="auto"/>
              <w:ind w:left="338"/>
              <w:rPr>
                <w:rFonts w:ascii="Arial" w:hAnsi="Arial" w:eastAsia="Arial" w:cs="Arial"/>
                <w:sz w:val="20"/>
                <w:szCs w:val="20"/>
              </w:rPr>
            </w:pPr>
            <w:r>
              <w:rPr>
                <w:rFonts w:ascii="Arial" w:hAnsi="Arial" w:eastAsia="Arial" w:cs="Arial"/>
                <w:spacing w:val="2"/>
                <w:sz w:val="20"/>
                <w:szCs w:val="20"/>
              </w:rPr>
              <w:t>160</w:t>
            </w:r>
            <w:r>
              <w:rPr>
                <w:rFonts w:ascii="Arial" w:hAnsi="Arial" w:eastAsia="Arial" w:cs="Arial"/>
                <w:spacing w:val="1"/>
                <w:sz w:val="20"/>
                <w:szCs w:val="20"/>
              </w:rPr>
              <w:t>427</w:t>
            </w:r>
          </w:p>
        </w:tc>
        <w:tc>
          <w:tcPr>
            <w:tcW w:w="1335" w:type="dxa"/>
            <w:shd w:val="clear" w:color="auto" w:fill="E7E6E6"/>
            <w:noWrap w:val="0"/>
            <w:vAlign w:val="top"/>
          </w:tcPr>
          <w:p w14:paraId="4F5F841C">
            <w:pPr>
              <w:keepNext w:val="0"/>
              <w:keepLines w:val="0"/>
              <w:pageBreakBefore w:val="0"/>
              <w:widowControl w:val="0"/>
              <w:wordWrap/>
              <w:overflowPunct/>
              <w:bidi w:val="0"/>
              <w:spacing w:before="101" w:line="203" w:lineRule="auto"/>
              <w:ind w:left="340"/>
              <w:rPr>
                <w:rFonts w:ascii="Arial" w:hAnsi="Arial" w:eastAsia="Arial" w:cs="Arial"/>
                <w:sz w:val="20"/>
                <w:szCs w:val="20"/>
              </w:rPr>
            </w:pPr>
            <w:r>
              <w:rPr>
                <w:rFonts w:ascii="Arial" w:hAnsi="Arial" w:eastAsia="Arial" w:cs="Arial"/>
                <w:spacing w:val="1"/>
                <w:sz w:val="20"/>
                <w:szCs w:val="20"/>
              </w:rPr>
              <w:t>109426</w:t>
            </w:r>
          </w:p>
        </w:tc>
      </w:tr>
      <w:tr w14:paraId="4EFA3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947" w:type="dxa"/>
            <w:gridSpan w:val="6"/>
            <w:shd w:val="clear" w:color="auto" w:fill="E2EFD9"/>
            <w:noWrap w:val="0"/>
            <w:vAlign w:val="top"/>
          </w:tcPr>
          <w:p w14:paraId="6A93B810">
            <w:pPr>
              <w:keepNext w:val="0"/>
              <w:keepLines w:val="0"/>
              <w:pageBreakBefore w:val="0"/>
              <w:widowControl w:val="0"/>
              <w:wordWrap/>
              <w:overflowPunct/>
              <w:bidi w:val="0"/>
              <w:spacing w:before="75" w:line="225" w:lineRule="auto"/>
              <w:ind w:left="3851"/>
              <w:rPr>
                <w:rFonts w:ascii="仿宋" w:hAnsi="仿宋" w:eastAsia="仿宋" w:cs="仿宋"/>
                <w:sz w:val="20"/>
                <w:szCs w:val="20"/>
              </w:rPr>
            </w:pPr>
            <w:r>
              <w:rPr>
                <w:rFonts w:ascii="仿宋" w:hAnsi="仿宋" w:eastAsia="仿宋" w:cs="仿宋"/>
                <w:spacing w:val="-7"/>
                <w:sz w:val="20"/>
                <w:szCs w:val="20"/>
              </w:rPr>
              <w:t>中期(</w:t>
            </w:r>
            <w:r>
              <w:rPr>
                <w:rFonts w:ascii="Arial" w:hAnsi="Arial" w:eastAsia="Arial" w:cs="Arial"/>
                <w:b/>
                <w:bCs/>
                <w:spacing w:val="-7"/>
                <w:sz w:val="20"/>
                <w:szCs w:val="20"/>
              </w:rPr>
              <w:t>2030</w:t>
            </w:r>
            <w:r>
              <w:rPr>
                <w:rFonts w:ascii="仿宋" w:hAnsi="仿宋" w:eastAsia="仿宋" w:cs="仿宋"/>
                <w:spacing w:val="-7"/>
                <w:sz w:val="20"/>
                <w:szCs w:val="20"/>
              </w:rPr>
              <w:t>)</w:t>
            </w:r>
          </w:p>
        </w:tc>
      </w:tr>
      <w:tr w14:paraId="5A4C0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297AE05C">
            <w:pPr>
              <w:keepNext w:val="0"/>
              <w:keepLines w:val="0"/>
              <w:pageBreakBefore w:val="0"/>
              <w:widowControl w:val="0"/>
              <w:wordWrap/>
              <w:overflowPunct/>
              <w:bidi w:val="0"/>
              <w:spacing w:before="101" w:line="203" w:lineRule="auto"/>
              <w:ind w:left="325"/>
              <w:rPr>
                <w:rFonts w:ascii="Arial" w:hAnsi="Arial" w:eastAsia="Arial" w:cs="Arial"/>
                <w:sz w:val="20"/>
                <w:szCs w:val="20"/>
              </w:rPr>
            </w:pPr>
            <w:r>
              <w:rPr>
                <w:rFonts w:ascii="Arial" w:hAnsi="Arial" w:eastAsia="Arial" w:cs="Arial"/>
                <w:sz w:val="20"/>
                <w:szCs w:val="20"/>
              </w:rPr>
              <w:t>1</w:t>
            </w:r>
          </w:p>
        </w:tc>
        <w:tc>
          <w:tcPr>
            <w:tcW w:w="2897" w:type="dxa"/>
            <w:noWrap w:val="0"/>
            <w:vAlign w:val="top"/>
          </w:tcPr>
          <w:p w14:paraId="580C9242">
            <w:pPr>
              <w:keepNext w:val="0"/>
              <w:keepLines w:val="0"/>
              <w:pageBreakBefore w:val="0"/>
              <w:widowControl w:val="0"/>
              <w:wordWrap/>
              <w:overflowPunct/>
              <w:bidi w:val="0"/>
              <w:spacing w:before="74" w:line="223" w:lineRule="auto"/>
              <w:ind w:left="724"/>
              <w:rPr>
                <w:rFonts w:ascii="仿宋" w:hAnsi="仿宋" w:eastAsia="仿宋" w:cs="仿宋"/>
                <w:sz w:val="20"/>
                <w:szCs w:val="20"/>
              </w:rPr>
            </w:pPr>
            <w:r>
              <w:rPr>
                <w:rFonts w:ascii="仿宋" w:hAnsi="仿宋" w:eastAsia="仿宋" w:cs="仿宋"/>
                <w:spacing w:val="11"/>
                <w:sz w:val="20"/>
                <w:szCs w:val="20"/>
              </w:rPr>
              <w:t>化</w:t>
            </w:r>
            <w:r>
              <w:rPr>
                <w:rFonts w:ascii="仿宋" w:hAnsi="仿宋" w:eastAsia="仿宋" w:cs="仿宋"/>
                <w:spacing w:val="7"/>
                <w:sz w:val="20"/>
                <w:szCs w:val="20"/>
              </w:rPr>
              <w:t>工新材料产业</w:t>
            </w:r>
          </w:p>
        </w:tc>
        <w:tc>
          <w:tcPr>
            <w:tcW w:w="1329" w:type="dxa"/>
            <w:noWrap w:val="0"/>
            <w:vAlign w:val="top"/>
          </w:tcPr>
          <w:p w14:paraId="07FB3F73">
            <w:pPr>
              <w:keepNext w:val="0"/>
              <w:keepLines w:val="0"/>
              <w:pageBreakBefore w:val="0"/>
              <w:widowControl w:val="0"/>
              <w:wordWrap/>
              <w:overflowPunct/>
              <w:bidi w:val="0"/>
              <w:spacing w:before="101" w:line="203" w:lineRule="auto"/>
              <w:ind w:left="321"/>
              <w:rPr>
                <w:rFonts w:ascii="Arial" w:hAnsi="Arial" w:eastAsia="Arial" w:cs="Arial"/>
                <w:sz w:val="20"/>
                <w:szCs w:val="20"/>
              </w:rPr>
            </w:pPr>
            <w:r>
              <w:rPr>
                <w:rFonts w:ascii="Arial" w:hAnsi="Arial" w:eastAsia="Arial" w:cs="Arial"/>
                <w:spacing w:val="4"/>
                <w:sz w:val="20"/>
                <w:szCs w:val="20"/>
              </w:rPr>
              <w:t>53866</w:t>
            </w:r>
            <w:r>
              <w:rPr>
                <w:rFonts w:ascii="Arial" w:hAnsi="Arial" w:eastAsia="Arial" w:cs="Arial"/>
                <w:spacing w:val="3"/>
                <w:sz w:val="20"/>
                <w:szCs w:val="20"/>
              </w:rPr>
              <w:t>8</w:t>
            </w:r>
          </w:p>
        </w:tc>
        <w:tc>
          <w:tcPr>
            <w:tcW w:w="1330" w:type="dxa"/>
            <w:noWrap w:val="0"/>
            <w:vAlign w:val="top"/>
          </w:tcPr>
          <w:p w14:paraId="58236CBC">
            <w:pPr>
              <w:keepNext w:val="0"/>
              <w:keepLines w:val="0"/>
              <w:pageBreakBefore w:val="0"/>
              <w:widowControl w:val="0"/>
              <w:wordWrap/>
              <w:overflowPunct/>
              <w:bidi w:val="0"/>
              <w:spacing w:before="101" w:line="203" w:lineRule="auto"/>
              <w:ind w:left="278"/>
              <w:rPr>
                <w:rFonts w:ascii="Arial" w:hAnsi="Arial" w:eastAsia="Arial" w:cs="Arial"/>
                <w:sz w:val="20"/>
                <w:szCs w:val="20"/>
              </w:rPr>
            </w:pPr>
            <w:r>
              <w:rPr>
                <w:rFonts w:ascii="Arial" w:hAnsi="Arial" w:eastAsia="Arial" w:cs="Arial"/>
                <w:spacing w:val="2"/>
                <w:sz w:val="20"/>
                <w:szCs w:val="20"/>
              </w:rPr>
              <w:t>124195</w:t>
            </w:r>
            <w:r>
              <w:rPr>
                <w:rFonts w:ascii="Arial" w:hAnsi="Arial" w:eastAsia="Arial" w:cs="Arial"/>
                <w:spacing w:val="1"/>
                <w:sz w:val="20"/>
                <w:szCs w:val="20"/>
              </w:rPr>
              <w:t>3</w:t>
            </w:r>
          </w:p>
        </w:tc>
        <w:tc>
          <w:tcPr>
            <w:tcW w:w="1330" w:type="dxa"/>
            <w:noWrap w:val="0"/>
            <w:vAlign w:val="top"/>
          </w:tcPr>
          <w:p w14:paraId="0C7C409A">
            <w:pPr>
              <w:keepNext w:val="0"/>
              <w:keepLines w:val="0"/>
              <w:pageBreakBefore w:val="0"/>
              <w:widowControl w:val="0"/>
              <w:wordWrap/>
              <w:overflowPunct/>
              <w:bidi w:val="0"/>
              <w:spacing w:before="101" w:line="203" w:lineRule="auto"/>
              <w:ind w:left="338"/>
              <w:rPr>
                <w:rFonts w:ascii="Arial" w:hAnsi="Arial" w:eastAsia="Arial" w:cs="Arial"/>
                <w:sz w:val="20"/>
                <w:szCs w:val="20"/>
              </w:rPr>
            </w:pPr>
            <w:r>
              <w:rPr>
                <w:rFonts w:ascii="Arial" w:hAnsi="Arial" w:eastAsia="Arial" w:cs="Arial"/>
                <w:spacing w:val="2"/>
                <w:sz w:val="20"/>
                <w:szCs w:val="20"/>
              </w:rPr>
              <w:t>155</w:t>
            </w:r>
            <w:r>
              <w:rPr>
                <w:rFonts w:ascii="Arial" w:hAnsi="Arial" w:eastAsia="Arial" w:cs="Arial"/>
                <w:spacing w:val="1"/>
                <w:sz w:val="20"/>
                <w:szCs w:val="20"/>
              </w:rPr>
              <w:t>953</w:t>
            </w:r>
          </w:p>
        </w:tc>
        <w:tc>
          <w:tcPr>
            <w:tcW w:w="1335" w:type="dxa"/>
            <w:noWrap w:val="0"/>
            <w:vAlign w:val="top"/>
          </w:tcPr>
          <w:p w14:paraId="667D79CB">
            <w:pPr>
              <w:keepNext w:val="0"/>
              <w:keepLines w:val="0"/>
              <w:pageBreakBefore w:val="0"/>
              <w:widowControl w:val="0"/>
              <w:wordWrap/>
              <w:overflowPunct/>
              <w:bidi w:val="0"/>
              <w:spacing w:before="100" w:line="203" w:lineRule="auto"/>
              <w:ind w:left="340"/>
              <w:rPr>
                <w:rFonts w:ascii="Arial" w:hAnsi="Arial" w:eastAsia="Arial" w:cs="Arial"/>
                <w:sz w:val="20"/>
                <w:szCs w:val="20"/>
              </w:rPr>
            </w:pPr>
            <w:r>
              <w:rPr>
                <w:rFonts w:ascii="Arial" w:hAnsi="Arial" w:eastAsia="Arial" w:cs="Arial"/>
                <w:spacing w:val="1"/>
                <w:sz w:val="20"/>
                <w:szCs w:val="20"/>
              </w:rPr>
              <w:t>109017</w:t>
            </w:r>
          </w:p>
        </w:tc>
      </w:tr>
      <w:tr w14:paraId="2AA50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26" w:type="dxa"/>
            <w:noWrap w:val="0"/>
            <w:vAlign w:val="top"/>
          </w:tcPr>
          <w:p w14:paraId="54393DC8">
            <w:pPr>
              <w:keepNext w:val="0"/>
              <w:keepLines w:val="0"/>
              <w:pageBreakBefore w:val="0"/>
              <w:widowControl w:val="0"/>
              <w:wordWrap/>
              <w:overflowPunct/>
              <w:bidi w:val="0"/>
              <w:spacing w:before="100" w:line="203" w:lineRule="auto"/>
              <w:ind w:left="308"/>
              <w:rPr>
                <w:rFonts w:ascii="Arial" w:hAnsi="Arial" w:eastAsia="Arial" w:cs="Arial"/>
                <w:sz w:val="20"/>
                <w:szCs w:val="20"/>
              </w:rPr>
            </w:pPr>
            <w:r>
              <w:rPr>
                <w:rFonts w:ascii="Arial" w:hAnsi="Arial" w:eastAsia="Arial" w:cs="Arial"/>
                <w:sz w:val="20"/>
                <w:szCs w:val="20"/>
              </w:rPr>
              <w:t>2</w:t>
            </w:r>
          </w:p>
        </w:tc>
        <w:tc>
          <w:tcPr>
            <w:tcW w:w="2897" w:type="dxa"/>
            <w:noWrap w:val="0"/>
            <w:vAlign w:val="top"/>
          </w:tcPr>
          <w:p w14:paraId="464F496B">
            <w:pPr>
              <w:keepNext w:val="0"/>
              <w:keepLines w:val="0"/>
              <w:pageBreakBefore w:val="0"/>
              <w:widowControl w:val="0"/>
              <w:wordWrap/>
              <w:overflowPunct/>
              <w:bidi w:val="0"/>
              <w:spacing w:before="74" w:line="223" w:lineRule="auto"/>
              <w:ind w:left="720"/>
              <w:rPr>
                <w:rFonts w:ascii="仿宋" w:hAnsi="仿宋" w:eastAsia="仿宋" w:cs="仿宋"/>
                <w:sz w:val="20"/>
                <w:szCs w:val="20"/>
              </w:rPr>
            </w:pPr>
            <w:r>
              <w:rPr>
                <w:rFonts w:ascii="仿宋" w:hAnsi="仿宋" w:eastAsia="仿宋" w:cs="仿宋"/>
                <w:spacing w:val="9"/>
                <w:sz w:val="20"/>
                <w:szCs w:val="20"/>
              </w:rPr>
              <w:t>新</w:t>
            </w:r>
            <w:r>
              <w:rPr>
                <w:rFonts w:ascii="仿宋" w:hAnsi="仿宋" w:eastAsia="仿宋" w:cs="仿宋"/>
                <w:spacing w:val="8"/>
                <w:sz w:val="20"/>
                <w:szCs w:val="20"/>
              </w:rPr>
              <w:t>能源材料产业</w:t>
            </w:r>
          </w:p>
        </w:tc>
        <w:tc>
          <w:tcPr>
            <w:tcW w:w="1329" w:type="dxa"/>
            <w:noWrap w:val="0"/>
            <w:vAlign w:val="top"/>
          </w:tcPr>
          <w:p w14:paraId="09101BE5">
            <w:pPr>
              <w:keepNext w:val="0"/>
              <w:keepLines w:val="0"/>
              <w:pageBreakBefore w:val="0"/>
              <w:widowControl w:val="0"/>
              <w:wordWrap/>
              <w:overflowPunct/>
              <w:bidi w:val="0"/>
              <w:spacing w:before="100" w:line="203" w:lineRule="auto"/>
              <w:ind w:left="319"/>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15267</w:t>
            </w:r>
          </w:p>
        </w:tc>
        <w:tc>
          <w:tcPr>
            <w:tcW w:w="1330" w:type="dxa"/>
            <w:noWrap w:val="0"/>
            <w:vAlign w:val="top"/>
          </w:tcPr>
          <w:p w14:paraId="26CEDDD5">
            <w:pPr>
              <w:keepNext w:val="0"/>
              <w:keepLines w:val="0"/>
              <w:pageBreakBefore w:val="0"/>
              <w:widowControl w:val="0"/>
              <w:wordWrap/>
              <w:overflowPunct/>
              <w:bidi w:val="0"/>
              <w:spacing w:before="100" w:line="203" w:lineRule="auto"/>
              <w:ind w:left="323"/>
              <w:rPr>
                <w:rFonts w:ascii="Arial" w:hAnsi="Arial" w:eastAsia="Arial" w:cs="Arial"/>
                <w:sz w:val="20"/>
                <w:szCs w:val="20"/>
              </w:rPr>
            </w:pPr>
            <w:r>
              <w:rPr>
                <w:rFonts w:ascii="Arial" w:hAnsi="Arial" w:eastAsia="Arial" w:cs="Arial"/>
                <w:spacing w:val="6"/>
                <w:sz w:val="20"/>
                <w:szCs w:val="20"/>
              </w:rPr>
              <w:t>7</w:t>
            </w:r>
            <w:r>
              <w:rPr>
                <w:rFonts w:ascii="Arial" w:hAnsi="Arial" w:eastAsia="Arial" w:cs="Arial"/>
                <w:spacing w:val="4"/>
                <w:sz w:val="20"/>
                <w:szCs w:val="20"/>
              </w:rPr>
              <w:t>8</w:t>
            </w:r>
            <w:r>
              <w:rPr>
                <w:rFonts w:ascii="Arial" w:hAnsi="Arial" w:eastAsia="Arial" w:cs="Arial"/>
                <w:spacing w:val="3"/>
                <w:sz w:val="20"/>
                <w:szCs w:val="20"/>
              </w:rPr>
              <w:t>7500</w:t>
            </w:r>
          </w:p>
        </w:tc>
        <w:tc>
          <w:tcPr>
            <w:tcW w:w="1330" w:type="dxa"/>
            <w:noWrap w:val="0"/>
            <w:vAlign w:val="top"/>
          </w:tcPr>
          <w:p w14:paraId="024F29B7">
            <w:pPr>
              <w:keepNext w:val="0"/>
              <w:keepLines w:val="0"/>
              <w:pageBreakBefore w:val="0"/>
              <w:widowControl w:val="0"/>
              <w:wordWrap/>
              <w:overflowPunct/>
              <w:bidi w:val="0"/>
              <w:spacing w:before="100" w:line="203" w:lineRule="auto"/>
              <w:ind w:left="382"/>
              <w:rPr>
                <w:rFonts w:ascii="Arial" w:hAnsi="Arial" w:eastAsia="Arial" w:cs="Arial"/>
                <w:sz w:val="20"/>
                <w:szCs w:val="20"/>
              </w:rPr>
            </w:pPr>
            <w:r>
              <w:rPr>
                <w:rFonts w:ascii="Arial" w:hAnsi="Arial" w:eastAsia="Arial" w:cs="Arial"/>
                <w:spacing w:val="4"/>
                <w:sz w:val="20"/>
                <w:szCs w:val="20"/>
              </w:rPr>
              <w:t>9</w:t>
            </w:r>
            <w:r>
              <w:rPr>
                <w:rFonts w:ascii="Arial" w:hAnsi="Arial" w:eastAsia="Arial" w:cs="Arial"/>
                <w:spacing w:val="3"/>
                <w:sz w:val="20"/>
                <w:szCs w:val="20"/>
              </w:rPr>
              <w:t>0342</w:t>
            </w:r>
          </w:p>
        </w:tc>
        <w:tc>
          <w:tcPr>
            <w:tcW w:w="1335" w:type="dxa"/>
            <w:noWrap w:val="0"/>
            <w:vAlign w:val="top"/>
          </w:tcPr>
          <w:p w14:paraId="02B92140">
            <w:pPr>
              <w:keepNext w:val="0"/>
              <w:keepLines w:val="0"/>
              <w:pageBreakBefore w:val="0"/>
              <w:widowControl w:val="0"/>
              <w:wordWrap/>
              <w:overflowPunct/>
              <w:bidi w:val="0"/>
              <w:spacing w:before="100" w:line="203" w:lineRule="auto"/>
              <w:ind w:left="383"/>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0360</w:t>
            </w:r>
          </w:p>
        </w:tc>
      </w:tr>
      <w:tr w14:paraId="37B6C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726" w:type="dxa"/>
            <w:noWrap w:val="0"/>
            <w:vAlign w:val="top"/>
          </w:tcPr>
          <w:p w14:paraId="5091182F">
            <w:pPr>
              <w:keepNext w:val="0"/>
              <w:keepLines w:val="0"/>
              <w:pageBreakBefore w:val="0"/>
              <w:widowControl w:val="0"/>
              <w:wordWrap/>
              <w:overflowPunct/>
              <w:bidi w:val="0"/>
              <w:spacing w:before="101" w:line="203" w:lineRule="auto"/>
              <w:ind w:left="311"/>
              <w:rPr>
                <w:rFonts w:ascii="Arial" w:hAnsi="Arial" w:eastAsia="Arial" w:cs="Arial"/>
                <w:sz w:val="20"/>
                <w:szCs w:val="20"/>
              </w:rPr>
            </w:pPr>
            <w:r>
              <w:rPr>
                <w:rFonts w:ascii="Arial" w:hAnsi="Arial" w:eastAsia="Arial" w:cs="Arial"/>
                <w:sz w:val="20"/>
                <w:szCs w:val="20"/>
              </w:rPr>
              <w:t>3</w:t>
            </w:r>
          </w:p>
        </w:tc>
        <w:tc>
          <w:tcPr>
            <w:tcW w:w="2897" w:type="dxa"/>
            <w:noWrap w:val="0"/>
            <w:vAlign w:val="top"/>
          </w:tcPr>
          <w:p w14:paraId="3BF8DC85">
            <w:pPr>
              <w:keepNext w:val="0"/>
              <w:keepLines w:val="0"/>
              <w:pageBreakBefore w:val="0"/>
              <w:widowControl w:val="0"/>
              <w:wordWrap/>
              <w:overflowPunct/>
              <w:bidi w:val="0"/>
              <w:spacing w:before="75" w:line="223" w:lineRule="auto"/>
              <w:ind w:left="726"/>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7"/>
                <w:sz w:val="20"/>
                <w:szCs w:val="20"/>
              </w:rPr>
              <w:t>健康材料产业</w:t>
            </w:r>
          </w:p>
        </w:tc>
        <w:tc>
          <w:tcPr>
            <w:tcW w:w="1329" w:type="dxa"/>
            <w:noWrap w:val="0"/>
            <w:vAlign w:val="top"/>
          </w:tcPr>
          <w:p w14:paraId="463381D9">
            <w:pPr>
              <w:keepNext w:val="0"/>
              <w:keepLines w:val="0"/>
              <w:pageBreakBefore w:val="0"/>
              <w:widowControl w:val="0"/>
              <w:wordWrap/>
              <w:overflowPunct/>
              <w:bidi w:val="0"/>
              <w:spacing w:before="101" w:line="203" w:lineRule="auto"/>
              <w:ind w:left="373"/>
              <w:rPr>
                <w:rFonts w:ascii="Arial" w:hAnsi="Arial" w:eastAsia="Arial" w:cs="Arial"/>
                <w:sz w:val="20"/>
                <w:szCs w:val="20"/>
              </w:rPr>
            </w:pPr>
            <w:r>
              <w:rPr>
                <w:rFonts w:ascii="Arial" w:hAnsi="Arial" w:eastAsia="Arial" w:cs="Arial"/>
                <w:spacing w:val="6"/>
                <w:sz w:val="20"/>
                <w:szCs w:val="20"/>
              </w:rPr>
              <w:t>4</w:t>
            </w:r>
            <w:r>
              <w:rPr>
                <w:rFonts w:ascii="Arial" w:hAnsi="Arial" w:eastAsia="Arial" w:cs="Arial"/>
                <w:spacing w:val="4"/>
                <w:sz w:val="20"/>
                <w:szCs w:val="20"/>
              </w:rPr>
              <w:t>0000</w:t>
            </w:r>
          </w:p>
        </w:tc>
        <w:tc>
          <w:tcPr>
            <w:tcW w:w="1330" w:type="dxa"/>
            <w:noWrap w:val="0"/>
            <w:vAlign w:val="top"/>
          </w:tcPr>
          <w:p w14:paraId="74CA175A">
            <w:pPr>
              <w:keepNext w:val="0"/>
              <w:keepLines w:val="0"/>
              <w:pageBreakBefore w:val="0"/>
              <w:widowControl w:val="0"/>
              <w:wordWrap/>
              <w:overflowPunct/>
              <w:bidi w:val="0"/>
              <w:spacing w:before="101" w:line="203" w:lineRule="auto"/>
              <w:ind w:left="376"/>
              <w:rPr>
                <w:rFonts w:ascii="Arial" w:hAnsi="Arial" w:eastAsia="Arial" w:cs="Arial"/>
                <w:sz w:val="20"/>
                <w:szCs w:val="20"/>
              </w:rPr>
            </w:pPr>
            <w:r>
              <w:rPr>
                <w:rFonts w:ascii="Arial" w:hAnsi="Arial" w:eastAsia="Arial" w:cs="Arial"/>
                <w:spacing w:val="6"/>
                <w:sz w:val="20"/>
                <w:szCs w:val="20"/>
              </w:rPr>
              <w:t>4</w:t>
            </w:r>
            <w:r>
              <w:rPr>
                <w:rFonts w:ascii="Arial" w:hAnsi="Arial" w:eastAsia="Arial" w:cs="Arial"/>
                <w:spacing w:val="4"/>
                <w:sz w:val="20"/>
                <w:szCs w:val="20"/>
              </w:rPr>
              <w:t>0000</w:t>
            </w:r>
          </w:p>
        </w:tc>
        <w:tc>
          <w:tcPr>
            <w:tcW w:w="1330" w:type="dxa"/>
            <w:noWrap w:val="0"/>
            <w:vAlign w:val="top"/>
          </w:tcPr>
          <w:p w14:paraId="1B671E4A">
            <w:pPr>
              <w:keepNext w:val="0"/>
              <w:keepLines w:val="0"/>
              <w:pageBreakBefore w:val="0"/>
              <w:widowControl w:val="0"/>
              <w:wordWrap/>
              <w:overflowPunct/>
              <w:bidi w:val="0"/>
              <w:spacing w:before="101" w:line="203" w:lineRule="auto"/>
              <w:ind w:left="396"/>
              <w:rPr>
                <w:rFonts w:ascii="Arial" w:hAnsi="Arial" w:eastAsia="Arial" w:cs="Arial"/>
                <w:sz w:val="20"/>
                <w:szCs w:val="20"/>
              </w:rPr>
            </w:pPr>
            <w:r>
              <w:rPr>
                <w:rFonts w:ascii="Arial" w:hAnsi="Arial" w:eastAsia="Arial" w:cs="Arial"/>
                <w:spacing w:val="1"/>
                <w:sz w:val="20"/>
                <w:szCs w:val="20"/>
              </w:rPr>
              <w:t>10</w:t>
            </w:r>
            <w:r>
              <w:rPr>
                <w:rFonts w:ascii="Arial" w:hAnsi="Arial" w:eastAsia="Arial" w:cs="Arial"/>
                <w:sz w:val="20"/>
                <w:szCs w:val="20"/>
              </w:rPr>
              <w:t>000</w:t>
            </w:r>
          </w:p>
        </w:tc>
        <w:tc>
          <w:tcPr>
            <w:tcW w:w="1335" w:type="dxa"/>
            <w:noWrap w:val="0"/>
            <w:vAlign w:val="top"/>
          </w:tcPr>
          <w:p w14:paraId="482F73BD">
            <w:pPr>
              <w:keepNext w:val="0"/>
              <w:keepLines w:val="0"/>
              <w:pageBreakBefore w:val="0"/>
              <w:widowControl w:val="0"/>
              <w:wordWrap/>
              <w:overflowPunct/>
              <w:bidi w:val="0"/>
              <w:spacing w:before="101" w:line="203" w:lineRule="auto"/>
              <w:ind w:left="440"/>
              <w:rPr>
                <w:rFonts w:ascii="Arial" w:hAnsi="Arial" w:eastAsia="Arial" w:cs="Arial"/>
                <w:sz w:val="20"/>
                <w:szCs w:val="20"/>
              </w:rPr>
            </w:pPr>
            <w:r>
              <w:rPr>
                <w:rFonts w:ascii="Arial" w:hAnsi="Arial" w:eastAsia="Arial" w:cs="Arial"/>
                <w:spacing w:val="3"/>
                <w:sz w:val="20"/>
                <w:szCs w:val="20"/>
              </w:rPr>
              <w:t>600</w:t>
            </w:r>
            <w:r>
              <w:rPr>
                <w:rFonts w:ascii="Arial" w:hAnsi="Arial" w:eastAsia="Arial" w:cs="Arial"/>
                <w:spacing w:val="2"/>
                <w:sz w:val="20"/>
                <w:szCs w:val="20"/>
              </w:rPr>
              <w:t>0</w:t>
            </w:r>
          </w:p>
        </w:tc>
      </w:tr>
      <w:tr w14:paraId="5F633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5F025555">
            <w:pPr>
              <w:keepNext w:val="0"/>
              <w:keepLines w:val="0"/>
              <w:pageBreakBefore w:val="0"/>
              <w:widowControl w:val="0"/>
              <w:wordWrap/>
              <w:overflowPunct/>
              <w:bidi w:val="0"/>
              <w:spacing w:before="102" w:line="203" w:lineRule="auto"/>
              <w:ind w:left="305"/>
              <w:rPr>
                <w:rFonts w:ascii="Arial" w:hAnsi="Arial" w:eastAsia="Arial" w:cs="Arial"/>
                <w:sz w:val="20"/>
                <w:szCs w:val="20"/>
              </w:rPr>
            </w:pPr>
            <w:r>
              <w:rPr>
                <w:rFonts w:ascii="Arial" w:hAnsi="Arial" w:eastAsia="Arial" w:cs="Arial"/>
                <w:spacing w:val="2"/>
                <w:sz w:val="20"/>
                <w:szCs w:val="20"/>
              </w:rPr>
              <w:t>4</w:t>
            </w:r>
          </w:p>
        </w:tc>
        <w:tc>
          <w:tcPr>
            <w:tcW w:w="2897" w:type="dxa"/>
            <w:noWrap w:val="0"/>
            <w:vAlign w:val="top"/>
          </w:tcPr>
          <w:p w14:paraId="7DE9A181">
            <w:pPr>
              <w:keepNext w:val="0"/>
              <w:keepLines w:val="0"/>
              <w:pageBreakBefore w:val="0"/>
              <w:widowControl w:val="0"/>
              <w:wordWrap/>
              <w:overflowPunct/>
              <w:bidi w:val="0"/>
              <w:spacing w:before="75" w:line="223" w:lineRule="auto"/>
              <w:ind w:left="512"/>
              <w:rPr>
                <w:rFonts w:ascii="仿宋" w:hAnsi="仿宋" w:eastAsia="仿宋" w:cs="仿宋"/>
                <w:sz w:val="20"/>
                <w:szCs w:val="20"/>
              </w:rPr>
            </w:pPr>
            <w:r>
              <w:rPr>
                <w:rFonts w:ascii="仿宋" w:hAnsi="仿宋" w:eastAsia="仿宋" w:cs="仿宋"/>
                <w:spacing w:val="10"/>
                <w:sz w:val="20"/>
                <w:szCs w:val="20"/>
              </w:rPr>
              <w:t>节</w:t>
            </w:r>
            <w:r>
              <w:rPr>
                <w:rFonts w:ascii="仿宋" w:hAnsi="仿宋" w:eastAsia="仿宋" w:cs="仿宋"/>
                <w:spacing w:val="8"/>
                <w:sz w:val="20"/>
                <w:szCs w:val="20"/>
              </w:rPr>
              <w:t>能环保新材料产业</w:t>
            </w:r>
          </w:p>
        </w:tc>
        <w:tc>
          <w:tcPr>
            <w:tcW w:w="1329" w:type="dxa"/>
            <w:noWrap w:val="0"/>
            <w:vAlign w:val="top"/>
          </w:tcPr>
          <w:p w14:paraId="152546BD">
            <w:pPr>
              <w:keepNext w:val="0"/>
              <w:keepLines w:val="0"/>
              <w:pageBreakBefore w:val="0"/>
              <w:widowControl w:val="0"/>
              <w:wordWrap/>
              <w:overflowPunct/>
              <w:bidi w:val="0"/>
              <w:spacing w:before="102" w:line="203" w:lineRule="auto"/>
              <w:ind w:left="335"/>
              <w:rPr>
                <w:rFonts w:ascii="Arial" w:hAnsi="Arial" w:eastAsia="Arial" w:cs="Arial"/>
                <w:sz w:val="20"/>
                <w:szCs w:val="20"/>
              </w:rPr>
            </w:pPr>
            <w:r>
              <w:rPr>
                <w:rFonts w:ascii="Arial" w:hAnsi="Arial" w:eastAsia="Arial" w:cs="Arial"/>
                <w:spacing w:val="2"/>
                <w:sz w:val="20"/>
                <w:szCs w:val="20"/>
              </w:rPr>
              <w:t>100</w:t>
            </w:r>
            <w:r>
              <w:rPr>
                <w:rFonts w:ascii="Arial" w:hAnsi="Arial" w:eastAsia="Arial" w:cs="Arial"/>
                <w:spacing w:val="1"/>
                <w:sz w:val="20"/>
                <w:szCs w:val="20"/>
              </w:rPr>
              <w:t>000</w:t>
            </w:r>
          </w:p>
        </w:tc>
        <w:tc>
          <w:tcPr>
            <w:tcW w:w="1330" w:type="dxa"/>
            <w:noWrap w:val="0"/>
            <w:vAlign w:val="top"/>
          </w:tcPr>
          <w:p w14:paraId="2F277FB7">
            <w:pPr>
              <w:keepNext w:val="0"/>
              <w:keepLines w:val="0"/>
              <w:pageBreakBefore w:val="0"/>
              <w:widowControl w:val="0"/>
              <w:wordWrap/>
              <w:overflowPunct/>
              <w:bidi w:val="0"/>
              <w:spacing w:before="102" w:line="203" w:lineRule="auto"/>
              <w:ind w:left="336"/>
              <w:rPr>
                <w:rFonts w:ascii="Arial" w:hAnsi="Arial" w:eastAsia="Arial" w:cs="Arial"/>
                <w:sz w:val="20"/>
                <w:szCs w:val="20"/>
              </w:rPr>
            </w:pPr>
            <w:r>
              <w:rPr>
                <w:rFonts w:ascii="Arial" w:hAnsi="Arial" w:eastAsia="Arial" w:cs="Arial"/>
                <w:spacing w:val="2"/>
                <w:sz w:val="20"/>
                <w:szCs w:val="20"/>
              </w:rPr>
              <w:t>125</w:t>
            </w:r>
            <w:r>
              <w:rPr>
                <w:rFonts w:ascii="Arial" w:hAnsi="Arial" w:eastAsia="Arial" w:cs="Arial"/>
                <w:spacing w:val="1"/>
                <w:sz w:val="20"/>
                <w:szCs w:val="20"/>
              </w:rPr>
              <w:t>000</w:t>
            </w:r>
          </w:p>
        </w:tc>
        <w:tc>
          <w:tcPr>
            <w:tcW w:w="1330" w:type="dxa"/>
            <w:noWrap w:val="0"/>
            <w:vAlign w:val="top"/>
          </w:tcPr>
          <w:p w14:paraId="3F467114">
            <w:pPr>
              <w:keepNext w:val="0"/>
              <w:keepLines w:val="0"/>
              <w:pageBreakBefore w:val="0"/>
              <w:widowControl w:val="0"/>
              <w:wordWrap/>
              <w:overflowPunct/>
              <w:bidi w:val="0"/>
              <w:spacing w:before="102" w:line="203" w:lineRule="auto"/>
              <w:ind w:left="396"/>
              <w:rPr>
                <w:rFonts w:ascii="Arial" w:hAnsi="Arial" w:eastAsia="Arial" w:cs="Arial"/>
                <w:sz w:val="20"/>
                <w:szCs w:val="20"/>
              </w:rPr>
            </w:pPr>
            <w:r>
              <w:rPr>
                <w:rFonts w:ascii="Arial" w:hAnsi="Arial" w:eastAsia="Arial" w:cs="Arial"/>
                <w:spacing w:val="1"/>
                <w:sz w:val="20"/>
                <w:szCs w:val="20"/>
              </w:rPr>
              <w:t>14</w:t>
            </w:r>
            <w:r>
              <w:rPr>
                <w:rFonts w:ascii="Arial" w:hAnsi="Arial" w:eastAsia="Arial" w:cs="Arial"/>
                <w:sz w:val="20"/>
                <w:szCs w:val="20"/>
              </w:rPr>
              <w:t>860</w:t>
            </w:r>
          </w:p>
        </w:tc>
        <w:tc>
          <w:tcPr>
            <w:tcW w:w="1335" w:type="dxa"/>
            <w:noWrap w:val="0"/>
            <w:vAlign w:val="top"/>
          </w:tcPr>
          <w:p w14:paraId="44986D96">
            <w:pPr>
              <w:keepNext w:val="0"/>
              <w:keepLines w:val="0"/>
              <w:pageBreakBefore w:val="0"/>
              <w:widowControl w:val="0"/>
              <w:wordWrap/>
              <w:overflowPunct/>
              <w:bidi w:val="0"/>
              <w:spacing w:before="102" w:line="203" w:lineRule="auto"/>
              <w:ind w:left="441"/>
              <w:rPr>
                <w:rFonts w:ascii="Arial" w:hAnsi="Arial" w:eastAsia="Arial" w:cs="Arial"/>
                <w:sz w:val="20"/>
                <w:szCs w:val="20"/>
              </w:rPr>
            </w:pPr>
            <w:r>
              <w:rPr>
                <w:rFonts w:ascii="Arial" w:hAnsi="Arial" w:eastAsia="Arial" w:cs="Arial"/>
                <w:spacing w:val="4"/>
                <w:sz w:val="20"/>
                <w:szCs w:val="20"/>
              </w:rPr>
              <w:t>9</w:t>
            </w:r>
            <w:r>
              <w:rPr>
                <w:rFonts w:ascii="Arial" w:hAnsi="Arial" w:eastAsia="Arial" w:cs="Arial"/>
                <w:spacing w:val="2"/>
                <w:sz w:val="20"/>
                <w:szCs w:val="20"/>
              </w:rPr>
              <w:t>200</w:t>
            </w:r>
          </w:p>
        </w:tc>
      </w:tr>
      <w:tr w14:paraId="0FC17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26" w:type="dxa"/>
            <w:shd w:val="clear" w:color="auto" w:fill="E7E6E6"/>
            <w:noWrap w:val="0"/>
            <w:vAlign w:val="top"/>
          </w:tcPr>
          <w:p w14:paraId="796102F4">
            <w:pPr>
              <w:keepNext w:val="0"/>
              <w:keepLines w:val="0"/>
              <w:pageBreakBefore w:val="0"/>
              <w:widowControl w:val="0"/>
              <w:wordWrap/>
              <w:overflowPunct/>
              <w:bidi w:val="0"/>
              <w:rPr>
                <w:rFonts w:ascii="Arial"/>
                <w:sz w:val="21"/>
              </w:rPr>
            </w:pPr>
          </w:p>
        </w:tc>
        <w:tc>
          <w:tcPr>
            <w:tcW w:w="2897" w:type="dxa"/>
            <w:shd w:val="clear" w:color="auto" w:fill="E7E6E6"/>
            <w:noWrap w:val="0"/>
            <w:vAlign w:val="top"/>
          </w:tcPr>
          <w:p w14:paraId="4A6759EE">
            <w:pPr>
              <w:keepNext w:val="0"/>
              <w:keepLines w:val="0"/>
              <w:pageBreakBefore w:val="0"/>
              <w:widowControl w:val="0"/>
              <w:wordWrap/>
              <w:overflowPunct/>
              <w:bidi w:val="0"/>
              <w:spacing w:before="75" w:line="225" w:lineRule="auto"/>
              <w:ind w:left="1243"/>
              <w:rPr>
                <w:rFonts w:ascii="仿宋" w:hAnsi="仿宋" w:eastAsia="仿宋" w:cs="仿宋"/>
                <w:sz w:val="20"/>
                <w:szCs w:val="20"/>
              </w:rPr>
            </w:pPr>
            <w:r>
              <w:rPr>
                <w:rFonts w:ascii="仿宋" w:hAnsi="仿宋" w:eastAsia="仿宋" w:cs="仿宋"/>
                <w:spacing w:val="4"/>
                <w:sz w:val="20"/>
                <w:szCs w:val="20"/>
              </w:rPr>
              <w:t>合</w:t>
            </w:r>
            <w:r>
              <w:rPr>
                <w:rFonts w:ascii="仿宋" w:hAnsi="仿宋" w:eastAsia="仿宋" w:cs="仿宋"/>
                <w:spacing w:val="3"/>
                <w:sz w:val="20"/>
                <w:szCs w:val="20"/>
              </w:rPr>
              <w:t>计</w:t>
            </w:r>
          </w:p>
        </w:tc>
        <w:tc>
          <w:tcPr>
            <w:tcW w:w="1329" w:type="dxa"/>
            <w:shd w:val="clear" w:color="auto" w:fill="E7E6E6"/>
            <w:noWrap w:val="0"/>
            <w:vAlign w:val="top"/>
          </w:tcPr>
          <w:p w14:paraId="59E8EF6E">
            <w:pPr>
              <w:keepNext w:val="0"/>
              <w:keepLines w:val="0"/>
              <w:pageBreakBefore w:val="0"/>
              <w:widowControl w:val="0"/>
              <w:wordWrap/>
              <w:overflowPunct/>
              <w:bidi w:val="0"/>
              <w:spacing w:before="101" w:line="203" w:lineRule="auto"/>
              <w:ind w:left="321"/>
              <w:rPr>
                <w:rFonts w:ascii="Arial" w:hAnsi="Arial" w:eastAsia="Arial" w:cs="Arial"/>
                <w:sz w:val="20"/>
                <w:szCs w:val="20"/>
              </w:rPr>
            </w:pPr>
            <w:r>
              <w:rPr>
                <w:rFonts w:ascii="Arial" w:hAnsi="Arial" w:eastAsia="Arial" w:cs="Arial"/>
                <w:spacing w:val="4"/>
                <w:sz w:val="20"/>
                <w:szCs w:val="20"/>
              </w:rPr>
              <w:t>89393</w:t>
            </w:r>
            <w:r>
              <w:rPr>
                <w:rFonts w:ascii="Arial" w:hAnsi="Arial" w:eastAsia="Arial" w:cs="Arial"/>
                <w:spacing w:val="3"/>
                <w:sz w:val="20"/>
                <w:szCs w:val="20"/>
              </w:rPr>
              <w:t>5</w:t>
            </w:r>
          </w:p>
        </w:tc>
        <w:tc>
          <w:tcPr>
            <w:tcW w:w="1330" w:type="dxa"/>
            <w:shd w:val="clear" w:color="auto" w:fill="E7E6E6"/>
            <w:noWrap w:val="0"/>
            <w:vAlign w:val="top"/>
          </w:tcPr>
          <w:p w14:paraId="30D060D0">
            <w:pPr>
              <w:keepNext w:val="0"/>
              <w:keepLines w:val="0"/>
              <w:pageBreakBefore w:val="0"/>
              <w:widowControl w:val="0"/>
              <w:wordWrap/>
              <w:overflowPunct/>
              <w:bidi w:val="0"/>
              <w:spacing w:before="101" w:line="203" w:lineRule="auto"/>
              <w:ind w:left="262"/>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194453</w:t>
            </w:r>
          </w:p>
        </w:tc>
        <w:tc>
          <w:tcPr>
            <w:tcW w:w="1330" w:type="dxa"/>
            <w:shd w:val="clear" w:color="auto" w:fill="E7E6E6"/>
            <w:noWrap w:val="0"/>
            <w:vAlign w:val="top"/>
          </w:tcPr>
          <w:p w14:paraId="0B449495">
            <w:pPr>
              <w:keepNext w:val="0"/>
              <w:keepLines w:val="0"/>
              <w:pageBreakBefore w:val="0"/>
              <w:widowControl w:val="0"/>
              <w:wordWrap/>
              <w:overflowPunct/>
              <w:bidi w:val="0"/>
              <w:spacing w:before="101" w:line="203" w:lineRule="auto"/>
              <w:ind w:left="321"/>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71155</w:t>
            </w:r>
          </w:p>
        </w:tc>
        <w:tc>
          <w:tcPr>
            <w:tcW w:w="1335" w:type="dxa"/>
            <w:shd w:val="clear" w:color="auto" w:fill="E7E6E6"/>
            <w:noWrap w:val="0"/>
            <w:vAlign w:val="top"/>
          </w:tcPr>
          <w:p w14:paraId="6A2B9E68">
            <w:pPr>
              <w:keepNext w:val="0"/>
              <w:keepLines w:val="0"/>
              <w:pageBreakBefore w:val="0"/>
              <w:widowControl w:val="0"/>
              <w:wordWrap/>
              <w:overflowPunct/>
              <w:bidi w:val="0"/>
              <w:spacing w:before="101" w:line="203" w:lineRule="auto"/>
              <w:ind w:left="340"/>
              <w:rPr>
                <w:rFonts w:ascii="Arial" w:hAnsi="Arial" w:eastAsia="Arial" w:cs="Arial"/>
                <w:sz w:val="20"/>
                <w:szCs w:val="20"/>
              </w:rPr>
            </w:pPr>
            <w:r>
              <w:rPr>
                <w:rFonts w:ascii="Arial" w:hAnsi="Arial" w:eastAsia="Arial" w:cs="Arial"/>
                <w:spacing w:val="1"/>
                <w:sz w:val="20"/>
                <w:szCs w:val="20"/>
              </w:rPr>
              <w:t>184577</w:t>
            </w:r>
          </w:p>
        </w:tc>
      </w:tr>
      <w:tr w14:paraId="2252D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8947" w:type="dxa"/>
            <w:gridSpan w:val="6"/>
            <w:shd w:val="clear" w:color="auto" w:fill="E2EFD9"/>
            <w:noWrap w:val="0"/>
            <w:vAlign w:val="top"/>
          </w:tcPr>
          <w:p w14:paraId="36913FCB">
            <w:pPr>
              <w:keepNext w:val="0"/>
              <w:keepLines w:val="0"/>
              <w:pageBreakBefore w:val="0"/>
              <w:widowControl w:val="0"/>
              <w:wordWrap/>
              <w:overflowPunct/>
              <w:bidi w:val="0"/>
              <w:spacing w:before="76" w:line="226" w:lineRule="auto"/>
              <w:ind w:left="3833"/>
              <w:rPr>
                <w:rFonts w:ascii="仿宋" w:hAnsi="仿宋" w:eastAsia="仿宋" w:cs="仿宋"/>
                <w:sz w:val="20"/>
                <w:szCs w:val="20"/>
              </w:rPr>
            </w:pPr>
            <w:r>
              <w:rPr>
                <w:rFonts w:ascii="仿宋" w:hAnsi="仿宋" w:eastAsia="仿宋" w:cs="仿宋"/>
                <w:spacing w:val="5"/>
                <w:sz w:val="20"/>
                <w:szCs w:val="20"/>
              </w:rPr>
              <w:t>远期(</w:t>
            </w:r>
            <w:r>
              <w:rPr>
                <w:rFonts w:ascii="Arial" w:hAnsi="Arial" w:eastAsia="Arial" w:cs="Arial"/>
                <w:b/>
                <w:bCs/>
                <w:spacing w:val="5"/>
                <w:sz w:val="20"/>
                <w:szCs w:val="20"/>
              </w:rPr>
              <w:t>2035</w:t>
            </w:r>
            <w:r>
              <w:rPr>
                <w:rFonts w:ascii="仿宋" w:hAnsi="仿宋" w:eastAsia="仿宋" w:cs="仿宋"/>
                <w:spacing w:val="4"/>
                <w:sz w:val="20"/>
                <w:szCs w:val="20"/>
              </w:rPr>
              <w:t>)</w:t>
            </w:r>
          </w:p>
        </w:tc>
      </w:tr>
      <w:tr w14:paraId="6F03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726" w:type="dxa"/>
            <w:noWrap w:val="0"/>
            <w:vAlign w:val="top"/>
          </w:tcPr>
          <w:p w14:paraId="0BF898C0">
            <w:pPr>
              <w:keepNext w:val="0"/>
              <w:keepLines w:val="0"/>
              <w:pageBreakBefore w:val="0"/>
              <w:widowControl w:val="0"/>
              <w:wordWrap/>
              <w:overflowPunct/>
              <w:bidi w:val="0"/>
              <w:spacing w:before="102" w:line="203" w:lineRule="auto"/>
              <w:ind w:left="325"/>
              <w:rPr>
                <w:rFonts w:ascii="Arial" w:hAnsi="Arial" w:eastAsia="Arial" w:cs="Arial"/>
                <w:sz w:val="20"/>
                <w:szCs w:val="20"/>
              </w:rPr>
            </w:pPr>
            <w:r>
              <w:rPr>
                <w:rFonts w:ascii="Arial" w:hAnsi="Arial" w:eastAsia="Arial" w:cs="Arial"/>
                <w:sz w:val="20"/>
                <w:szCs w:val="20"/>
              </w:rPr>
              <w:t>1</w:t>
            </w:r>
          </w:p>
        </w:tc>
        <w:tc>
          <w:tcPr>
            <w:tcW w:w="2897" w:type="dxa"/>
            <w:noWrap w:val="0"/>
            <w:vAlign w:val="top"/>
          </w:tcPr>
          <w:p w14:paraId="38700DCC">
            <w:pPr>
              <w:keepNext w:val="0"/>
              <w:keepLines w:val="0"/>
              <w:pageBreakBefore w:val="0"/>
              <w:widowControl w:val="0"/>
              <w:wordWrap/>
              <w:overflowPunct/>
              <w:bidi w:val="0"/>
              <w:spacing w:before="76" w:line="223" w:lineRule="auto"/>
              <w:ind w:left="724"/>
              <w:rPr>
                <w:rFonts w:ascii="仿宋" w:hAnsi="仿宋" w:eastAsia="仿宋" w:cs="仿宋"/>
                <w:sz w:val="20"/>
                <w:szCs w:val="20"/>
              </w:rPr>
            </w:pPr>
            <w:r>
              <w:rPr>
                <w:rFonts w:ascii="仿宋" w:hAnsi="仿宋" w:eastAsia="仿宋" w:cs="仿宋"/>
                <w:spacing w:val="11"/>
                <w:sz w:val="20"/>
                <w:szCs w:val="20"/>
              </w:rPr>
              <w:t>化</w:t>
            </w:r>
            <w:r>
              <w:rPr>
                <w:rFonts w:ascii="仿宋" w:hAnsi="仿宋" w:eastAsia="仿宋" w:cs="仿宋"/>
                <w:spacing w:val="7"/>
                <w:sz w:val="20"/>
                <w:szCs w:val="20"/>
              </w:rPr>
              <w:t>工新材料产业</w:t>
            </w:r>
          </w:p>
        </w:tc>
        <w:tc>
          <w:tcPr>
            <w:tcW w:w="1329" w:type="dxa"/>
            <w:noWrap w:val="0"/>
            <w:vAlign w:val="top"/>
          </w:tcPr>
          <w:p w14:paraId="57667E43">
            <w:pPr>
              <w:keepNext w:val="0"/>
              <w:keepLines w:val="0"/>
              <w:pageBreakBefore w:val="0"/>
              <w:widowControl w:val="0"/>
              <w:wordWrap/>
              <w:overflowPunct/>
              <w:bidi w:val="0"/>
              <w:spacing w:before="102" w:line="203" w:lineRule="auto"/>
              <w:ind w:left="278"/>
              <w:rPr>
                <w:rFonts w:ascii="Arial" w:hAnsi="Arial" w:eastAsia="Arial" w:cs="Arial"/>
                <w:sz w:val="20"/>
                <w:szCs w:val="20"/>
              </w:rPr>
            </w:pPr>
            <w:r>
              <w:rPr>
                <w:rFonts w:ascii="Arial" w:hAnsi="Arial" w:eastAsia="Arial" w:cs="Arial"/>
                <w:spacing w:val="2"/>
                <w:sz w:val="20"/>
                <w:szCs w:val="20"/>
              </w:rPr>
              <w:t>112222</w:t>
            </w:r>
            <w:r>
              <w:rPr>
                <w:rFonts w:ascii="Arial" w:hAnsi="Arial" w:eastAsia="Arial" w:cs="Arial"/>
                <w:spacing w:val="1"/>
                <w:sz w:val="20"/>
                <w:szCs w:val="20"/>
              </w:rPr>
              <w:t>5</w:t>
            </w:r>
          </w:p>
        </w:tc>
        <w:tc>
          <w:tcPr>
            <w:tcW w:w="1330" w:type="dxa"/>
            <w:noWrap w:val="0"/>
            <w:vAlign w:val="top"/>
          </w:tcPr>
          <w:p w14:paraId="4B634D49">
            <w:pPr>
              <w:keepNext w:val="0"/>
              <w:keepLines w:val="0"/>
              <w:pageBreakBefore w:val="0"/>
              <w:widowControl w:val="0"/>
              <w:wordWrap/>
              <w:overflowPunct/>
              <w:bidi w:val="0"/>
              <w:spacing w:before="102" w:line="203" w:lineRule="auto"/>
              <w:ind w:left="262"/>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587403</w:t>
            </w:r>
          </w:p>
        </w:tc>
        <w:tc>
          <w:tcPr>
            <w:tcW w:w="1330" w:type="dxa"/>
            <w:noWrap w:val="0"/>
            <w:vAlign w:val="top"/>
          </w:tcPr>
          <w:p w14:paraId="1CF7D999">
            <w:pPr>
              <w:keepNext w:val="0"/>
              <w:keepLines w:val="0"/>
              <w:pageBreakBefore w:val="0"/>
              <w:widowControl w:val="0"/>
              <w:wordWrap/>
              <w:overflowPunct/>
              <w:bidi w:val="0"/>
              <w:spacing w:before="102" w:line="203" w:lineRule="auto"/>
              <w:ind w:left="324"/>
              <w:rPr>
                <w:rFonts w:ascii="Arial" w:hAnsi="Arial" w:eastAsia="Arial" w:cs="Arial"/>
                <w:sz w:val="20"/>
                <w:szCs w:val="20"/>
              </w:rPr>
            </w:pPr>
            <w:r>
              <w:rPr>
                <w:rFonts w:ascii="Arial" w:hAnsi="Arial" w:eastAsia="Arial" w:cs="Arial"/>
                <w:spacing w:val="4"/>
                <w:sz w:val="20"/>
                <w:szCs w:val="20"/>
              </w:rPr>
              <w:t>32490</w:t>
            </w:r>
            <w:r>
              <w:rPr>
                <w:rFonts w:ascii="Arial" w:hAnsi="Arial" w:eastAsia="Arial" w:cs="Arial"/>
                <w:spacing w:val="3"/>
                <w:sz w:val="20"/>
                <w:szCs w:val="20"/>
              </w:rPr>
              <w:t>3</w:t>
            </w:r>
          </w:p>
        </w:tc>
        <w:tc>
          <w:tcPr>
            <w:tcW w:w="1335" w:type="dxa"/>
            <w:noWrap w:val="0"/>
            <w:vAlign w:val="top"/>
          </w:tcPr>
          <w:p w14:paraId="47DCCEE9">
            <w:pPr>
              <w:keepNext w:val="0"/>
              <w:keepLines w:val="0"/>
              <w:pageBreakBefore w:val="0"/>
              <w:widowControl w:val="0"/>
              <w:wordWrap/>
              <w:overflowPunct/>
              <w:bidi w:val="0"/>
              <w:spacing w:before="102" w:line="203" w:lineRule="auto"/>
              <w:ind w:left="323"/>
              <w:rPr>
                <w:rFonts w:ascii="Arial" w:hAnsi="Arial" w:eastAsia="Arial" w:cs="Arial"/>
                <w:sz w:val="20"/>
                <w:szCs w:val="20"/>
              </w:rPr>
            </w:pPr>
            <w:r>
              <w:rPr>
                <w:rFonts w:ascii="Arial" w:hAnsi="Arial" w:eastAsia="Arial" w:cs="Arial"/>
                <w:spacing w:val="4"/>
                <w:sz w:val="20"/>
                <w:szCs w:val="20"/>
              </w:rPr>
              <w:t>22711</w:t>
            </w:r>
            <w:r>
              <w:rPr>
                <w:rFonts w:ascii="Arial" w:hAnsi="Arial" w:eastAsia="Arial" w:cs="Arial"/>
                <w:spacing w:val="3"/>
                <w:sz w:val="20"/>
                <w:szCs w:val="20"/>
              </w:rPr>
              <w:t>9</w:t>
            </w:r>
          </w:p>
        </w:tc>
      </w:tr>
      <w:tr w14:paraId="703F2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5D954767">
            <w:pPr>
              <w:keepNext w:val="0"/>
              <w:keepLines w:val="0"/>
              <w:pageBreakBefore w:val="0"/>
              <w:widowControl w:val="0"/>
              <w:wordWrap/>
              <w:overflowPunct/>
              <w:bidi w:val="0"/>
              <w:spacing w:before="101" w:line="203" w:lineRule="auto"/>
              <w:ind w:left="308"/>
              <w:rPr>
                <w:rFonts w:ascii="Arial" w:hAnsi="Arial" w:eastAsia="Arial" w:cs="Arial"/>
                <w:sz w:val="20"/>
                <w:szCs w:val="20"/>
              </w:rPr>
            </w:pPr>
            <w:r>
              <w:rPr>
                <w:rFonts w:ascii="Arial" w:hAnsi="Arial" w:eastAsia="Arial" w:cs="Arial"/>
                <w:sz w:val="20"/>
                <w:szCs w:val="20"/>
              </w:rPr>
              <w:t>2</w:t>
            </w:r>
          </w:p>
        </w:tc>
        <w:tc>
          <w:tcPr>
            <w:tcW w:w="2897" w:type="dxa"/>
            <w:noWrap w:val="0"/>
            <w:vAlign w:val="top"/>
          </w:tcPr>
          <w:p w14:paraId="1D939D50">
            <w:pPr>
              <w:keepNext w:val="0"/>
              <w:keepLines w:val="0"/>
              <w:pageBreakBefore w:val="0"/>
              <w:widowControl w:val="0"/>
              <w:wordWrap/>
              <w:overflowPunct/>
              <w:bidi w:val="0"/>
              <w:spacing w:before="74" w:line="223" w:lineRule="auto"/>
              <w:ind w:left="720"/>
              <w:rPr>
                <w:rFonts w:ascii="仿宋" w:hAnsi="仿宋" w:eastAsia="仿宋" w:cs="仿宋"/>
                <w:sz w:val="20"/>
                <w:szCs w:val="20"/>
              </w:rPr>
            </w:pPr>
            <w:r>
              <w:rPr>
                <w:rFonts w:ascii="仿宋" w:hAnsi="仿宋" w:eastAsia="仿宋" w:cs="仿宋"/>
                <w:spacing w:val="9"/>
                <w:sz w:val="20"/>
                <w:szCs w:val="20"/>
              </w:rPr>
              <w:t>新</w:t>
            </w:r>
            <w:r>
              <w:rPr>
                <w:rFonts w:ascii="仿宋" w:hAnsi="仿宋" w:eastAsia="仿宋" w:cs="仿宋"/>
                <w:spacing w:val="8"/>
                <w:sz w:val="20"/>
                <w:szCs w:val="20"/>
              </w:rPr>
              <w:t>能源材料产业</w:t>
            </w:r>
          </w:p>
        </w:tc>
        <w:tc>
          <w:tcPr>
            <w:tcW w:w="1329" w:type="dxa"/>
            <w:noWrap w:val="0"/>
            <w:vAlign w:val="top"/>
          </w:tcPr>
          <w:p w14:paraId="2747B428">
            <w:pPr>
              <w:keepNext w:val="0"/>
              <w:keepLines w:val="0"/>
              <w:pageBreakBefore w:val="0"/>
              <w:widowControl w:val="0"/>
              <w:wordWrap/>
              <w:overflowPunct/>
              <w:bidi w:val="0"/>
              <w:spacing w:before="101" w:line="203" w:lineRule="auto"/>
              <w:ind w:left="315"/>
              <w:rPr>
                <w:rFonts w:ascii="Arial" w:hAnsi="Arial" w:eastAsia="Arial" w:cs="Arial"/>
                <w:sz w:val="20"/>
                <w:szCs w:val="20"/>
              </w:rPr>
            </w:pPr>
            <w:r>
              <w:rPr>
                <w:rFonts w:ascii="Arial" w:hAnsi="Arial" w:eastAsia="Arial" w:cs="Arial"/>
                <w:spacing w:val="5"/>
                <w:sz w:val="20"/>
                <w:szCs w:val="20"/>
              </w:rPr>
              <w:t>47837</w:t>
            </w:r>
            <w:r>
              <w:rPr>
                <w:rFonts w:ascii="Arial" w:hAnsi="Arial" w:eastAsia="Arial" w:cs="Arial"/>
                <w:spacing w:val="4"/>
                <w:sz w:val="20"/>
                <w:szCs w:val="20"/>
              </w:rPr>
              <w:t>0</w:t>
            </w:r>
          </w:p>
        </w:tc>
        <w:tc>
          <w:tcPr>
            <w:tcW w:w="1330" w:type="dxa"/>
            <w:noWrap w:val="0"/>
            <w:vAlign w:val="top"/>
          </w:tcPr>
          <w:p w14:paraId="2D74C816">
            <w:pPr>
              <w:keepNext w:val="0"/>
              <w:keepLines w:val="0"/>
              <w:pageBreakBefore w:val="0"/>
              <w:widowControl w:val="0"/>
              <w:wordWrap/>
              <w:overflowPunct/>
              <w:bidi w:val="0"/>
              <w:spacing w:before="100" w:line="203" w:lineRule="auto"/>
              <w:ind w:left="278"/>
              <w:rPr>
                <w:rFonts w:ascii="Arial" w:hAnsi="Arial" w:eastAsia="Arial" w:cs="Arial"/>
                <w:sz w:val="20"/>
                <w:szCs w:val="20"/>
              </w:rPr>
            </w:pPr>
            <w:r>
              <w:rPr>
                <w:rFonts w:ascii="Arial" w:hAnsi="Arial" w:eastAsia="Arial" w:cs="Arial"/>
                <w:spacing w:val="2"/>
                <w:sz w:val="20"/>
                <w:szCs w:val="20"/>
              </w:rPr>
              <w:t>175000</w:t>
            </w:r>
            <w:r>
              <w:rPr>
                <w:rFonts w:ascii="Arial" w:hAnsi="Arial" w:eastAsia="Arial" w:cs="Arial"/>
                <w:spacing w:val="1"/>
                <w:sz w:val="20"/>
                <w:szCs w:val="20"/>
              </w:rPr>
              <w:t>0</w:t>
            </w:r>
          </w:p>
        </w:tc>
        <w:tc>
          <w:tcPr>
            <w:tcW w:w="1330" w:type="dxa"/>
            <w:noWrap w:val="0"/>
            <w:vAlign w:val="top"/>
          </w:tcPr>
          <w:p w14:paraId="6A8D975F">
            <w:pPr>
              <w:keepNext w:val="0"/>
              <w:keepLines w:val="0"/>
              <w:pageBreakBefore w:val="0"/>
              <w:widowControl w:val="0"/>
              <w:wordWrap/>
              <w:overflowPunct/>
              <w:bidi w:val="0"/>
              <w:spacing w:before="100" w:line="203" w:lineRule="auto"/>
              <w:ind w:left="321"/>
              <w:rPr>
                <w:rFonts w:ascii="Arial" w:hAnsi="Arial" w:eastAsia="Arial" w:cs="Arial"/>
                <w:sz w:val="20"/>
                <w:szCs w:val="20"/>
              </w:rPr>
            </w:pPr>
            <w:r>
              <w:rPr>
                <w:rFonts w:ascii="Arial" w:hAnsi="Arial" w:eastAsia="Arial" w:cs="Arial"/>
                <w:spacing w:val="5"/>
                <w:sz w:val="20"/>
                <w:szCs w:val="20"/>
              </w:rPr>
              <w:t>2</w:t>
            </w:r>
            <w:r>
              <w:rPr>
                <w:rFonts w:ascii="Arial" w:hAnsi="Arial" w:eastAsia="Arial" w:cs="Arial"/>
                <w:spacing w:val="4"/>
                <w:sz w:val="20"/>
                <w:szCs w:val="20"/>
              </w:rPr>
              <w:t>00759</w:t>
            </w:r>
          </w:p>
        </w:tc>
        <w:tc>
          <w:tcPr>
            <w:tcW w:w="1335" w:type="dxa"/>
            <w:noWrap w:val="0"/>
            <w:vAlign w:val="top"/>
          </w:tcPr>
          <w:p w14:paraId="0A83F372">
            <w:pPr>
              <w:keepNext w:val="0"/>
              <w:keepLines w:val="0"/>
              <w:pageBreakBefore w:val="0"/>
              <w:widowControl w:val="0"/>
              <w:wordWrap/>
              <w:overflowPunct/>
              <w:bidi w:val="0"/>
              <w:spacing w:before="101" w:line="203" w:lineRule="auto"/>
              <w:ind w:left="340"/>
              <w:rPr>
                <w:rFonts w:ascii="Arial" w:hAnsi="Arial" w:eastAsia="Arial" w:cs="Arial"/>
                <w:sz w:val="20"/>
                <w:szCs w:val="20"/>
              </w:rPr>
            </w:pPr>
            <w:r>
              <w:rPr>
                <w:rFonts w:ascii="Arial" w:hAnsi="Arial" w:eastAsia="Arial" w:cs="Arial"/>
                <w:spacing w:val="1"/>
                <w:sz w:val="20"/>
                <w:szCs w:val="20"/>
              </w:rPr>
              <w:t>134134</w:t>
            </w:r>
          </w:p>
        </w:tc>
      </w:tr>
      <w:tr w14:paraId="5C7E8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7CF8BB9B">
            <w:pPr>
              <w:keepNext w:val="0"/>
              <w:keepLines w:val="0"/>
              <w:pageBreakBefore w:val="0"/>
              <w:widowControl w:val="0"/>
              <w:wordWrap/>
              <w:overflowPunct/>
              <w:bidi w:val="0"/>
              <w:spacing w:before="100" w:line="203" w:lineRule="auto"/>
              <w:ind w:left="311"/>
              <w:rPr>
                <w:rFonts w:ascii="Arial" w:hAnsi="Arial" w:eastAsia="Arial" w:cs="Arial"/>
                <w:sz w:val="20"/>
                <w:szCs w:val="20"/>
              </w:rPr>
            </w:pPr>
            <w:r>
              <w:rPr>
                <w:rFonts w:ascii="Arial" w:hAnsi="Arial" w:eastAsia="Arial" w:cs="Arial"/>
                <w:sz w:val="20"/>
                <w:szCs w:val="20"/>
              </w:rPr>
              <w:t>3</w:t>
            </w:r>
          </w:p>
        </w:tc>
        <w:tc>
          <w:tcPr>
            <w:tcW w:w="2897" w:type="dxa"/>
            <w:noWrap w:val="0"/>
            <w:vAlign w:val="top"/>
          </w:tcPr>
          <w:p w14:paraId="766C4047">
            <w:pPr>
              <w:keepNext w:val="0"/>
              <w:keepLines w:val="0"/>
              <w:pageBreakBefore w:val="0"/>
              <w:widowControl w:val="0"/>
              <w:wordWrap/>
              <w:overflowPunct/>
              <w:bidi w:val="0"/>
              <w:spacing w:before="74" w:line="223" w:lineRule="auto"/>
              <w:ind w:left="726"/>
              <w:rPr>
                <w:rFonts w:ascii="仿宋" w:hAnsi="仿宋" w:eastAsia="仿宋" w:cs="仿宋"/>
                <w:sz w:val="20"/>
                <w:szCs w:val="20"/>
              </w:rPr>
            </w:pPr>
            <w:r>
              <w:rPr>
                <w:rFonts w:ascii="仿宋" w:hAnsi="仿宋" w:eastAsia="仿宋" w:cs="仿宋"/>
                <w:spacing w:val="9"/>
                <w:sz w:val="20"/>
                <w:szCs w:val="20"/>
              </w:rPr>
              <w:t>大</w:t>
            </w:r>
            <w:r>
              <w:rPr>
                <w:rFonts w:ascii="仿宋" w:hAnsi="仿宋" w:eastAsia="仿宋" w:cs="仿宋"/>
                <w:spacing w:val="7"/>
                <w:sz w:val="20"/>
                <w:szCs w:val="20"/>
              </w:rPr>
              <w:t>健康材料产业</w:t>
            </w:r>
          </w:p>
        </w:tc>
        <w:tc>
          <w:tcPr>
            <w:tcW w:w="1329" w:type="dxa"/>
            <w:noWrap w:val="0"/>
            <w:vAlign w:val="top"/>
          </w:tcPr>
          <w:p w14:paraId="5FB51694">
            <w:pPr>
              <w:keepNext w:val="0"/>
              <w:keepLines w:val="0"/>
              <w:pageBreakBefore w:val="0"/>
              <w:widowControl w:val="0"/>
              <w:wordWrap/>
              <w:overflowPunct/>
              <w:bidi w:val="0"/>
              <w:spacing w:before="100" w:line="203" w:lineRule="auto"/>
              <w:ind w:left="378"/>
              <w:rPr>
                <w:rFonts w:ascii="Arial" w:hAnsi="Arial" w:eastAsia="Arial" w:cs="Arial"/>
                <w:sz w:val="20"/>
                <w:szCs w:val="20"/>
              </w:rPr>
            </w:pPr>
            <w:r>
              <w:rPr>
                <w:rFonts w:ascii="Arial" w:hAnsi="Arial" w:eastAsia="Arial" w:cs="Arial"/>
                <w:spacing w:val="5"/>
                <w:sz w:val="20"/>
                <w:szCs w:val="20"/>
              </w:rPr>
              <w:t>6</w:t>
            </w:r>
            <w:r>
              <w:rPr>
                <w:rFonts w:ascii="Arial" w:hAnsi="Arial" w:eastAsia="Arial" w:cs="Arial"/>
                <w:spacing w:val="3"/>
                <w:sz w:val="20"/>
                <w:szCs w:val="20"/>
              </w:rPr>
              <w:t>0000</w:t>
            </w:r>
          </w:p>
        </w:tc>
        <w:tc>
          <w:tcPr>
            <w:tcW w:w="1330" w:type="dxa"/>
            <w:noWrap w:val="0"/>
            <w:vAlign w:val="top"/>
          </w:tcPr>
          <w:p w14:paraId="3888A3BA">
            <w:pPr>
              <w:keepNext w:val="0"/>
              <w:keepLines w:val="0"/>
              <w:pageBreakBefore w:val="0"/>
              <w:widowControl w:val="0"/>
              <w:wordWrap/>
              <w:overflowPunct/>
              <w:bidi w:val="0"/>
              <w:spacing w:before="100" w:line="203" w:lineRule="auto"/>
              <w:ind w:left="336"/>
              <w:rPr>
                <w:rFonts w:ascii="Arial" w:hAnsi="Arial" w:eastAsia="Arial" w:cs="Arial"/>
                <w:sz w:val="20"/>
                <w:szCs w:val="20"/>
              </w:rPr>
            </w:pPr>
            <w:r>
              <w:rPr>
                <w:rFonts w:ascii="Arial" w:hAnsi="Arial" w:eastAsia="Arial" w:cs="Arial"/>
                <w:spacing w:val="2"/>
                <w:sz w:val="20"/>
                <w:szCs w:val="20"/>
              </w:rPr>
              <w:t>100</w:t>
            </w:r>
            <w:r>
              <w:rPr>
                <w:rFonts w:ascii="Arial" w:hAnsi="Arial" w:eastAsia="Arial" w:cs="Arial"/>
                <w:spacing w:val="1"/>
                <w:sz w:val="20"/>
                <w:szCs w:val="20"/>
              </w:rPr>
              <w:t>000</w:t>
            </w:r>
          </w:p>
        </w:tc>
        <w:tc>
          <w:tcPr>
            <w:tcW w:w="1330" w:type="dxa"/>
            <w:noWrap w:val="0"/>
            <w:vAlign w:val="top"/>
          </w:tcPr>
          <w:p w14:paraId="5AA796B1">
            <w:pPr>
              <w:keepNext w:val="0"/>
              <w:keepLines w:val="0"/>
              <w:pageBreakBefore w:val="0"/>
              <w:widowControl w:val="0"/>
              <w:wordWrap/>
              <w:overflowPunct/>
              <w:bidi w:val="0"/>
              <w:spacing w:before="100" w:line="203" w:lineRule="auto"/>
              <w:ind w:left="379"/>
              <w:rPr>
                <w:rFonts w:ascii="Arial" w:hAnsi="Arial" w:eastAsia="Arial" w:cs="Arial"/>
                <w:sz w:val="20"/>
                <w:szCs w:val="20"/>
              </w:rPr>
            </w:pPr>
            <w:r>
              <w:rPr>
                <w:rFonts w:ascii="Arial" w:hAnsi="Arial" w:eastAsia="Arial" w:cs="Arial"/>
                <w:spacing w:val="4"/>
                <w:sz w:val="20"/>
                <w:szCs w:val="20"/>
              </w:rPr>
              <w:t>2500</w:t>
            </w:r>
            <w:r>
              <w:rPr>
                <w:rFonts w:ascii="Arial" w:hAnsi="Arial" w:eastAsia="Arial" w:cs="Arial"/>
                <w:spacing w:val="3"/>
                <w:sz w:val="20"/>
                <w:szCs w:val="20"/>
              </w:rPr>
              <w:t>0</w:t>
            </w:r>
          </w:p>
        </w:tc>
        <w:tc>
          <w:tcPr>
            <w:tcW w:w="1335" w:type="dxa"/>
            <w:noWrap w:val="0"/>
            <w:vAlign w:val="top"/>
          </w:tcPr>
          <w:p w14:paraId="0F1DA08E">
            <w:pPr>
              <w:keepNext w:val="0"/>
              <w:keepLines w:val="0"/>
              <w:pageBreakBefore w:val="0"/>
              <w:widowControl w:val="0"/>
              <w:wordWrap/>
              <w:overflowPunct/>
              <w:bidi w:val="0"/>
              <w:spacing w:before="100" w:line="203" w:lineRule="auto"/>
              <w:ind w:left="398"/>
              <w:rPr>
                <w:rFonts w:ascii="Arial" w:hAnsi="Arial" w:eastAsia="Arial" w:cs="Arial"/>
                <w:sz w:val="20"/>
                <w:szCs w:val="20"/>
              </w:rPr>
            </w:pPr>
            <w:r>
              <w:rPr>
                <w:rFonts w:ascii="Arial" w:hAnsi="Arial" w:eastAsia="Arial" w:cs="Arial"/>
                <w:spacing w:val="1"/>
                <w:sz w:val="20"/>
                <w:szCs w:val="20"/>
              </w:rPr>
              <w:t>15</w:t>
            </w:r>
            <w:r>
              <w:rPr>
                <w:rFonts w:ascii="Arial" w:hAnsi="Arial" w:eastAsia="Arial" w:cs="Arial"/>
                <w:sz w:val="20"/>
                <w:szCs w:val="20"/>
              </w:rPr>
              <w:t>000</w:t>
            </w:r>
          </w:p>
        </w:tc>
      </w:tr>
      <w:tr w14:paraId="58F3C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726" w:type="dxa"/>
            <w:noWrap w:val="0"/>
            <w:vAlign w:val="top"/>
          </w:tcPr>
          <w:p w14:paraId="45782CAF">
            <w:pPr>
              <w:keepNext w:val="0"/>
              <w:keepLines w:val="0"/>
              <w:pageBreakBefore w:val="0"/>
              <w:widowControl w:val="0"/>
              <w:wordWrap/>
              <w:overflowPunct/>
              <w:bidi w:val="0"/>
              <w:spacing w:before="102" w:line="203" w:lineRule="auto"/>
              <w:ind w:left="305"/>
              <w:rPr>
                <w:rFonts w:ascii="Arial" w:hAnsi="Arial" w:eastAsia="Arial" w:cs="Arial"/>
                <w:sz w:val="20"/>
                <w:szCs w:val="20"/>
              </w:rPr>
            </w:pPr>
            <w:r>
              <w:rPr>
                <w:rFonts w:ascii="Arial" w:hAnsi="Arial" w:eastAsia="Arial" w:cs="Arial"/>
                <w:spacing w:val="2"/>
                <w:sz w:val="20"/>
                <w:szCs w:val="20"/>
              </w:rPr>
              <w:t>4</w:t>
            </w:r>
          </w:p>
        </w:tc>
        <w:tc>
          <w:tcPr>
            <w:tcW w:w="2897" w:type="dxa"/>
            <w:noWrap w:val="0"/>
            <w:vAlign w:val="top"/>
          </w:tcPr>
          <w:p w14:paraId="1CF2BE9F">
            <w:pPr>
              <w:keepNext w:val="0"/>
              <w:keepLines w:val="0"/>
              <w:pageBreakBefore w:val="0"/>
              <w:widowControl w:val="0"/>
              <w:wordWrap/>
              <w:overflowPunct/>
              <w:bidi w:val="0"/>
              <w:spacing w:before="76" w:line="223" w:lineRule="auto"/>
              <w:ind w:left="512"/>
              <w:rPr>
                <w:rFonts w:ascii="仿宋" w:hAnsi="仿宋" w:eastAsia="仿宋" w:cs="仿宋"/>
                <w:sz w:val="20"/>
                <w:szCs w:val="20"/>
              </w:rPr>
            </w:pPr>
            <w:r>
              <w:rPr>
                <w:rFonts w:ascii="仿宋" w:hAnsi="仿宋" w:eastAsia="仿宋" w:cs="仿宋"/>
                <w:spacing w:val="10"/>
                <w:sz w:val="20"/>
                <w:szCs w:val="20"/>
              </w:rPr>
              <w:t>节</w:t>
            </w:r>
            <w:r>
              <w:rPr>
                <w:rFonts w:ascii="仿宋" w:hAnsi="仿宋" w:eastAsia="仿宋" w:cs="仿宋"/>
                <w:spacing w:val="8"/>
                <w:sz w:val="20"/>
                <w:szCs w:val="20"/>
              </w:rPr>
              <w:t>能环保新材料产业</w:t>
            </w:r>
          </w:p>
        </w:tc>
        <w:tc>
          <w:tcPr>
            <w:tcW w:w="1329" w:type="dxa"/>
            <w:noWrap w:val="0"/>
            <w:vAlign w:val="top"/>
          </w:tcPr>
          <w:p w14:paraId="6A34EBAC">
            <w:pPr>
              <w:keepNext w:val="0"/>
              <w:keepLines w:val="0"/>
              <w:pageBreakBefore w:val="0"/>
              <w:widowControl w:val="0"/>
              <w:wordWrap/>
              <w:overflowPunct/>
              <w:bidi w:val="0"/>
              <w:spacing w:before="102" w:line="203" w:lineRule="auto"/>
              <w:ind w:left="335"/>
              <w:rPr>
                <w:rFonts w:ascii="Arial" w:hAnsi="Arial" w:eastAsia="Arial" w:cs="Arial"/>
                <w:sz w:val="20"/>
                <w:szCs w:val="20"/>
              </w:rPr>
            </w:pPr>
            <w:r>
              <w:rPr>
                <w:rFonts w:ascii="Arial" w:hAnsi="Arial" w:eastAsia="Arial" w:cs="Arial"/>
                <w:spacing w:val="2"/>
                <w:sz w:val="20"/>
                <w:szCs w:val="20"/>
              </w:rPr>
              <w:t>150</w:t>
            </w:r>
            <w:r>
              <w:rPr>
                <w:rFonts w:ascii="Arial" w:hAnsi="Arial" w:eastAsia="Arial" w:cs="Arial"/>
                <w:spacing w:val="1"/>
                <w:sz w:val="20"/>
                <w:szCs w:val="20"/>
              </w:rPr>
              <w:t>000</w:t>
            </w:r>
          </w:p>
        </w:tc>
        <w:tc>
          <w:tcPr>
            <w:tcW w:w="1330" w:type="dxa"/>
            <w:noWrap w:val="0"/>
            <w:vAlign w:val="top"/>
          </w:tcPr>
          <w:p w14:paraId="1756B89B">
            <w:pPr>
              <w:keepNext w:val="0"/>
              <w:keepLines w:val="0"/>
              <w:pageBreakBefore w:val="0"/>
              <w:widowControl w:val="0"/>
              <w:wordWrap/>
              <w:overflowPunct/>
              <w:bidi w:val="0"/>
              <w:spacing w:before="102" w:line="203" w:lineRule="auto"/>
              <w:ind w:left="336"/>
              <w:rPr>
                <w:rFonts w:ascii="Arial" w:hAnsi="Arial" w:eastAsia="Arial" w:cs="Arial"/>
                <w:sz w:val="20"/>
                <w:szCs w:val="20"/>
              </w:rPr>
            </w:pPr>
            <w:r>
              <w:rPr>
                <w:rFonts w:ascii="Arial" w:hAnsi="Arial" w:eastAsia="Arial" w:cs="Arial"/>
                <w:spacing w:val="2"/>
                <w:sz w:val="20"/>
                <w:szCs w:val="20"/>
              </w:rPr>
              <w:t>185</w:t>
            </w:r>
            <w:r>
              <w:rPr>
                <w:rFonts w:ascii="Arial" w:hAnsi="Arial" w:eastAsia="Arial" w:cs="Arial"/>
                <w:spacing w:val="1"/>
                <w:sz w:val="20"/>
                <w:szCs w:val="20"/>
              </w:rPr>
              <w:t>000</w:t>
            </w:r>
          </w:p>
        </w:tc>
        <w:tc>
          <w:tcPr>
            <w:tcW w:w="1330" w:type="dxa"/>
            <w:noWrap w:val="0"/>
            <w:vAlign w:val="top"/>
          </w:tcPr>
          <w:p w14:paraId="03F04FA3">
            <w:pPr>
              <w:keepNext w:val="0"/>
              <w:keepLines w:val="0"/>
              <w:pageBreakBefore w:val="0"/>
              <w:widowControl w:val="0"/>
              <w:wordWrap/>
              <w:overflowPunct/>
              <w:bidi w:val="0"/>
              <w:spacing w:before="102" w:line="203" w:lineRule="auto"/>
              <w:ind w:left="379"/>
              <w:rPr>
                <w:rFonts w:ascii="Arial" w:hAnsi="Arial" w:eastAsia="Arial" w:cs="Arial"/>
                <w:sz w:val="20"/>
                <w:szCs w:val="20"/>
              </w:rPr>
            </w:pPr>
            <w:r>
              <w:rPr>
                <w:rFonts w:ascii="Arial" w:hAnsi="Arial" w:eastAsia="Arial" w:cs="Arial"/>
                <w:spacing w:val="4"/>
                <w:sz w:val="20"/>
                <w:szCs w:val="20"/>
              </w:rPr>
              <w:t>2000</w:t>
            </w:r>
            <w:r>
              <w:rPr>
                <w:rFonts w:ascii="Arial" w:hAnsi="Arial" w:eastAsia="Arial" w:cs="Arial"/>
                <w:spacing w:val="3"/>
                <w:sz w:val="20"/>
                <w:szCs w:val="20"/>
              </w:rPr>
              <w:t>0</w:t>
            </w:r>
          </w:p>
        </w:tc>
        <w:tc>
          <w:tcPr>
            <w:tcW w:w="1335" w:type="dxa"/>
            <w:noWrap w:val="0"/>
            <w:vAlign w:val="top"/>
          </w:tcPr>
          <w:p w14:paraId="53FFE091">
            <w:pPr>
              <w:keepNext w:val="0"/>
              <w:keepLines w:val="0"/>
              <w:pageBreakBefore w:val="0"/>
              <w:widowControl w:val="0"/>
              <w:wordWrap/>
              <w:overflowPunct/>
              <w:bidi w:val="0"/>
              <w:spacing w:before="102" w:line="203" w:lineRule="auto"/>
              <w:ind w:left="398"/>
              <w:rPr>
                <w:rFonts w:ascii="Arial" w:hAnsi="Arial" w:eastAsia="Arial" w:cs="Arial"/>
                <w:sz w:val="20"/>
                <w:szCs w:val="20"/>
              </w:rPr>
            </w:pPr>
            <w:r>
              <w:rPr>
                <w:rFonts w:ascii="Arial" w:hAnsi="Arial" w:eastAsia="Arial" w:cs="Arial"/>
                <w:spacing w:val="1"/>
                <w:sz w:val="20"/>
                <w:szCs w:val="20"/>
              </w:rPr>
              <w:t>12</w:t>
            </w:r>
            <w:r>
              <w:rPr>
                <w:rFonts w:ascii="Arial" w:hAnsi="Arial" w:eastAsia="Arial" w:cs="Arial"/>
                <w:sz w:val="20"/>
                <w:szCs w:val="20"/>
              </w:rPr>
              <w:t>800</w:t>
            </w:r>
          </w:p>
        </w:tc>
      </w:tr>
      <w:tr w14:paraId="6FBAA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726" w:type="dxa"/>
            <w:shd w:val="clear" w:color="auto" w:fill="E7E6E6"/>
            <w:noWrap w:val="0"/>
            <w:vAlign w:val="top"/>
          </w:tcPr>
          <w:p w14:paraId="01EC6D3E">
            <w:pPr>
              <w:keepNext w:val="0"/>
              <w:keepLines w:val="0"/>
              <w:pageBreakBefore w:val="0"/>
              <w:widowControl w:val="0"/>
              <w:wordWrap/>
              <w:overflowPunct/>
              <w:bidi w:val="0"/>
              <w:rPr>
                <w:rFonts w:ascii="Arial"/>
                <w:sz w:val="21"/>
              </w:rPr>
            </w:pPr>
          </w:p>
        </w:tc>
        <w:tc>
          <w:tcPr>
            <w:tcW w:w="2897" w:type="dxa"/>
            <w:shd w:val="clear" w:color="auto" w:fill="E7E6E6"/>
            <w:noWrap w:val="0"/>
            <w:vAlign w:val="top"/>
          </w:tcPr>
          <w:p w14:paraId="0ECCDC81">
            <w:pPr>
              <w:keepNext w:val="0"/>
              <w:keepLines w:val="0"/>
              <w:pageBreakBefore w:val="0"/>
              <w:widowControl w:val="0"/>
              <w:wordWrap/>
              <w:overflowPunct/>
              <w:bidi w:val="0"/>
              <w:spacing w:before="76" w:line="225" w:lineRule="auto"/>
              <w:ind w:left="1243"/>
              <w:rPr>
                <w:rFonts w:ascii="仿宋" w:hAnsi="仿宋" w:eastAsia="仿宋" w:cs="仿宋"/>
                <w:sz w:val="20"/>
                <w:szCs w:val="20"/>
              </w:rPr>
            </w:pPr>
            <w:r>
              <w:rPr>
                <w:rFonts w:ascii="仿宋" w:hAnsi="仿宋" w:eastAsia="仿宋" w:cs="仿宋"/>
                <w:spacing w:val="4"/>
                <w:sz w:val="20"/>
                <w:szCs w:val="20"/>
              </w:rPr>
              <w:t>合</w:t>
            </w:r>
            <w:r>
              <w:rPr>
                <w:rFonts w:ascii="仿宋" w:hAnsi="仿宋" w:eastAsia="仿宋" w:cs="仿宋"/>
                <w:spacing w:val="3"/>
                <w:sz w:val="20"/>
                <w:szCs w:val="20"/>
              </w:rPr>
              <w:t>计</w:t>
            </w:r>
          </w:p>
        </w:tc>
        <w:tc>
          <w:tcPr>
            <w:tcW w:w="1329" w:type="dxa"/>
            <w:shd w:val="clear" w:color="auto" w:fill="E7E6E6"/>
            <w:noWrap w:val="0"/>
            <w:vAlign w:val="top"/>
          </w:tcPr>
          <w:p w14:paraId="2D3100A1">
            <w:pPr>
              <w:keepNext w:val="0"/>
              <w:keepLines w:val="0"/>
              <w:pageBreakBefore w:val="0"/>
              <w:widowControl w:val="0"/>
              <w:wordWrap/>
              <w:overflowPunct/>
              <w:bidi w:val="0"/>
              <w:spacing w:before="102" w:line="203" w:lineRule="auto"/>
              <w:ind w:left="278"/>
              <w:rPr>
                <w:rFonts w:ascii="Arial" w:hAnsi="Arial" w:eastAsia="Arial" w:cs="Arial"/>
                <w:sz w:val="20"/>
                <w:szCs w:val="20"/>
              </w:rPr>
            </w:pPr>
            <w:r>
              <w:rPr>
                <w:rFonts w:ascii="Arial" w:hAnsi="Arial" w:eastAsia="Arial" w:cs="Arial"/>
                <w:spacing w:val="2"/>
                <w:sz w:val="20"/>
                <w:szCs w:val="20"/>
              </w:rPr>
              <w:t>181059</w:t>
            </w:r>
            <w:r>
              <w:rPr>
                <w:rFonts w:ascii="Arial" w:hAnsi="Arial" w:eastAsia="Arial" w:cs="Arial"/>
                <w:spacing w:val="1"/>
                <w:sz w:val="20"/>
                <w:szCs w:val="20"/>
              </w:rPr>
              <w:t>5</w:t>
            </w:r>
          </w:p>
        </w:tc>
        <w:tc>
          <w:tcPr>
            <w:tcW w:w="1330" w:type="dxa"/>
            <w:shd w:val="clear" w:color="auto" w:fill="E7E6E6"/>
            <w:noWrap w:val="0"/>
            <w:vAlign w:val="top"/>
          </w:tcPr>
          <w:p w14:paraId="5E9ADECA">
            <w:pPr>
              <w:keepNext w:val="0"/>
              <w:keepLines w:val="0"/>
              <w:pageBreakBefore w:val="0"/>
              <w:widowControl w:val="0"/>
              <w:wordWrap/>
              <w:overflowPunct/>
              <w:bidi w:val="0"/>
              <w:spacing w:before="102" w:line="203" w:lineRule="auto"/>
              <w:ind w:left="258"/>
              <w:rPr>
                <w:rFonts w:ascii="Arial" w:hAnsi="Arial" w:eastAsia="Arial" w:cs="Arial"/>
                <w:sz w:val="20"/>
                <w:szCs w:val="20"/>
              </w:rPr>
            </w:pPr>
            <w:r>
              <w:rPr>
                <w:rFonts w:ascii="Arial" w:hAnsi="Arial" w:eastAsia="Arial" w:cs="Arial"/>
                <w:spacing w:val="8"/>
                <w:sz w:val="20"/>
                <w:szCs w:val="20"/>
              </w:rPr>
              <w:t>4</w:t>
            </w:r>
            <w:r>
              <w:rPr>
                <w:rFonts w:ascii="Arial" w:hAnsi="Arial" w:eastAsia="Arial" w:cs="Arial"/>
                <w:spacing w:val="5"/>
                <w:sz w:val="20"/>
                <w:szCs w:val="20"/>
              </w:rPr>
              <w:t>6</w:t>
            </w:r>
            <w:r>
              <w:rPr>
                <w:rFonts w:ascii="Arial" w:hAnsi="Arial" w:eastAsia="Arial" w:cs="Arial"/>
                <w:spacing w:val="4"/>
                <w:sz w:val="20"/>
                <w:szCs w:val="20"/>
              </w:rPr>
              <w:t>22403</w:t>
            </w:r>
          </w:p>
        </w:tc>
        <w:tc>
          <w:tcPr>
            <w:tcW w:w="1330" w:type="dxa"/>
            <w:shd w:val="clear" w:color="auto" w:fill="E7E6E6"/>
            <w:noWrap w:val="0"/>
            <w:vAlign w:val="top"/>
          </w:tcPr>
          <w:p w14:paraId="513FB10B">
            <w:pPr>
              <w:keepNext w:val="0"/>
              <w:keepLines w:val="0"/>
              <w:pageBreakBefore w:val="0"/>
              <w:widowControl w:val="0"/>
              <w:wordWrap/>
              <w:overflowPunct/>
              <w:bidi w:val="0"/>
              <w:spacing w:before="102" w:line="203" w:lineRule="auto"/>
              <w:ind w:left="324"/>
              <w:rPr>
                <w:rFonts w:ascii="Arial" w:hAnsi="Arial" w:eastAsia="Arial" w:cs="Arial"/>
                <w:sz w:val="20"/>
                <w:szCs w:val="20"/>
              </w:rPr>
            </w:pPr>
            <w:r>
              <w:rPr>
                <w:rFonts w:ascii="Arial" w:hAnsi="Arial" w:eastAsia="Arial" w:cs="Arial"/>
                <w:spacing w:val="4"/>
                <w:sz w:val="20"/>
                <w:szCs w:val="20"/>
              </w:rPr>
              <w:t>57066</w:t>
            </w:r>
            <w:r>
              <w:rPr>
                <w:rFonts w:ascii="Arial" w:hAnsi="Arial" w:eastAsia="Arial" w:cs="Arial"/>
                <w:spacing w:val="3"/>
                <w:sz w:val="20"/>
                <w:szCs w:val="20"/>
              </w:rPr>
              <w:t>2</w:t>
            </w:r>
          </w:p>
        </w:tc>
        <w:tc>
          <w:tcPr>
            <w:tcW w:w="1335" w:type="dxa"/>
            <w:shd w:val="clear" w:color="auto" w:fill="E7E6E6"/>
            <w:noWrap w:val="0"/>
            <w:vAlign w:val="top"/>
          </w:tcPr>
          <w:p w14:paraId="45811C0E">
            <w:pPr>
              <w:keepNext w:val="0"/>
              <w:keepLines w:val="0"/>
              <w:pageBreakBefore w:val="0"/>
              <w:widowControl w:val="0"/>
              <w:wordWrap/>
              <w:overflowPunct/>
              <w:bidi w:val="0"/>
              <w:spacing w:before="102" w:line="203" w:lineRule="auto"/>
              <w:ind w:left="326"/>
              <w:rPr>
                <w:rFonts w:ascii="Arial" w:hAnsi="Arial" w:eastAsia="Arial" w:cs="Arial"/>
                <w:sz w:val="20"/>
                <w:szCs w:val="20"/>
              </w:rPr>
            </w:pPr>
            <w:r>
              <w:rPr>
                <w:rFonts w:ascii="Arial" w:hAnsi="Arial" w:eastAsia="Arial" w:cs="Arial"/>
                <w:spacing w:val="5"/>
                <w:sz w:val="20"/>
                <w:szCs w:val="20"/>
              </w:rPr>
              <w:t>3</w:t>
            </w:r>
            <w:r>
              <w:rPr>
                <w:rFonts w:ascii="Arial" w:hAnsi="Arial" w:eastAsia="Arial" w:cs="Arial"/>
                <w:spacing w:val="3"/>
                <w:sz w:val="20"/>
                <w:szCs w:val="20"/>
              </w:rPr>
              <w:t>89053</w:t>
            </w:r>
          </w:p>
        </w:tc>
      </w:tr>
    </w:tbl>
    <w:p w14:paraId="5F093AAB">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 w:hAnsi="仿宋" w:eastAsia="仿宋" w:cs="仿宋"/>
          <w:spacing w:val="0"/>
          <w:sz w:val="28"/>
          <w:szCs w:val="28"/>
          <w:lang w:val="en-US" w:eastAsia="zh-CN"/>
        </w:rPr>
      </w:pPr>
    </w:p>
    <w:p w14:paraId="7F7FDECC">
      <w:pPr>
        <w:keepNext w:val="0"/>
        <w:keepLines w:val="0"/>
        <w:pageBreakBefore w:val="0"/>
        <w:widowControl w:val="0"/>
        <w:wordWrap/>
        <w:overflowPunct/>
        <w:bidi w:val="0"/>
        <w:spacing w:line="330" w:lineRule="auto"/>
        <w:rPr>
          <w:rFonts w:ascii="Arial"/>
          <w:sz w:val="21"/>
        </w:rPr>
      </w:pPr>
    </w:p>
    <w:p w14:paraId="528117E2">
      <w:pPr>
        <w:keepNext w:val="0"/>
        <w:keepLines w:val="0"/>
        <w:pageBreakBefore w:val="0"/>
        <w:widowControl w:val="0"/>
        <w:wordWrap/>
        <w:overflowPunct/>
        <w:bidi w:val="0"/>
        <w:spacing w:line="3653" w:lineRule="exact"/>
        <w:textAlignment w:val="center"/>
      </w:pPr>
      <w:r>
        <w:drawing>
          <wp:inline distT="0" distB="0" distL="114300" distR="114300">
            <wp:extent cx="5684520" cy="2319020"/>
            <wp:effectExtent l="0" t="0" r="4445" b="1905"/>
            <wp:docPr id="142" name="图片 48"/>
            <wp:cNvGraphicFramePr/>
            <a:graphic xmlns:a="http://schemas.openxmlformats.org/drawingml/2006/main">
              <a:graphicData uri="http://schemas.openxmlformats.org/drawingml/2006/picture">
                <pic:pic xmlns:pic="http://schemas.openxmlformats.org/drawingml/2006/picture">
                  <pic:nvPicPr>
                    <pic:cNvPr id="142" name="图片 48"/>
                    <pic:cNvPicPr/>
                  </pic:nvPicPr>
                  <pic:blipFill>
                    <a:blip r:embed="rId66"/>
                    <a:stretch>
                      <a:fillRect/>
                    </a:stretch>
                  </pic:blipFill>
                  <pic:spPr>
                    <a:xfrm>
                      <a:off x="0" y="0"/>
                      <a:ext cx="5684520" cy="2319020"/>
                    </a:xfrm>
                    <a:prstGeom prst="rect">
                      <a:avLst/>
                    </a:prstGeom>
                    <a:noFill/>
                    <a:ln>
                      <a:noFill/>
                    </a:ln>
                  </pic:spPr>
                </pic:pic>
              </a:graphicData>
            </a:graphic>
          </wp:inline>
        </w:drawing>
      </w:r>
    </w:p>
    <w:p w14:paraId="03D7BEB6">
      <w:pPr>
        <w:keepNext w:val="0"/>
        <w:keepLines w:val="0"/>
        <w:pageBreakBefore w:val="0"/>
        <w:widowControl w:val="0"/>
        <w:wordWrap/>
        <w:overflowPunct/>
        <w:bidi w:val="0"/>
        <w:spacing w:line="286" w:lineRule="auto"/>
        <w:rPr>
          <w:rFonts w:ascii="Arial"/>
          <w:sz w:val="21"/>
        </w:rPr>
      </w:pPr>
    </w:p>
    <w:p w14:paraId="717B191C">
      <w:pPr>
        <w:keepNext w:val="0"/>
        <w:keepLines w:val="0"/>
        <w:pageBreakBefore w:val="0"/>
        <w:widowControl w:val="0"/>
        <w:wordWrap/>
        <w:overflowPunct/>
        <w:bidi w:val="0"/>
        <w:spacing w:line="287" w:lineRule="auto"/>
        <w:rPr>
          <w:rFonts w:ascii="Arial"/>
          <w:sz w:val="21"/>
        </w:rPr>
      </w:pPr>
    </w:p>
    <w:p w14:paraId="4F08D9AA">
      <w:pPr>
        <w:keepNext w:val="0"/>
        <w:keepLines w:val="0"/>
        <w:pageBreakBefore w:val="0"/>
        <w:widowControl w:val="0"/>
        <w:wordWrap/>
        <w:overflowPunct/>
        <w:bidi w:val="0"/>
        <w:spacing w:line="287" w:lineRule="auto"/>
        <w:rPr>
          <w:rFonts w:ascii="Arial"/>
          <w:sz w:val="21"/>
        </w:rPr>
      </w:pPr>
    </w:p>
    <w:p w14:paraId="6FEB2455">
      <w:pPr>
        <w:keepNext w:val="0"/>
        <w:keepLines w:val="0"/>
        <w:pageBreakBefore w:val="0"/>
        <w:widowControl w:val="0"/>
        <w:wordWrap/>
        <w:overflowPunct/>
        <w:bidi w:val="0"/>
        <w:spacing w:line="287" w:lineRule="auto"/>
        <w:rPr>
          <w:rFonts w:ascii="Arial"/>
          <w:sz w:val="21"/>
        </w:rPr>
      </w:pPr>
    </w:p>
    <w:p w14:paraId="4C6E9380">
      <w:pPr>
        <w:keepNext w:val="0"/>
        <w:keepLines w:val="0"/>
        <w:pageBreakBefore w:val="0"/>
        <w:widowControl w:val="0"/>
        <w:wordWrap/>
        <w:overflowPunct/>
        <w:bidi w:val="0"/>
        <w:spacing w:line="4425" w:lineRule="exact"/>
        <w:ind w:firstLine="19"/>
        <w:textAlignment w:val="center"/>
        <w:rPr>
          <w:rFonts w:ascii="Arial"/>
          <w:sz w:val="21"/>
        </w:rPr>
      </w:pPr>
      <w:r>
        <w:drawing>
          <wp:inline distT="0" distB="0" distL="114300" distR="114300">
            <wp:extent cx="5735955" cy="2809875"/>
            <wp:effectExtent l="0" t="0" r="6985" b="7620"/>
            <wp:docPr id="143" name="图片 49"/>
            <wp:cNvGraphicFramePr/>
            <a:graphic xmlns:a="http://schemas.openxmlformats.org/drawingml/2006/main">
              <a:graphicData uri="http://schemas.openxmlformats.org/drawingml/2006/picture">
                <pic:pic xmlns:pic="http://schemas.openxmlformats.org/drawingml/2006/picture">
                  <pic:nvPicPr>
                    <pic:cNvPr id="143" name="图片 49"/>
                    <pic:cNvPicPr/>
                  </pic:nvPicPr>
                  <pic:blipFill>
                    <a:blip r:embed="rId67"/>
                    <a:stretch>
                      <a:fillRect/>
                    </a:stretch>
                  </pic:blipFill>
                  <pic:spPr>
                    <a:xfrm>
                      <a:off x="0" y="0"/>
                      <a:ext cx="5735955" cy="2809875"/>
                    </a:xfrm>
                    <a:prstGeom prst="rect">
                      <a:avLst/>
                    </a:prstGeom>
                    <a:noFill/>
                    <a:ln>
                      <a:noFill/>
                    </a:ln>
                  </pic:spPr>
                </pic:pic>
              </a:graphicData>
            </a:graphic>
          </wp:inline>
        </w:drawing>
      </w:r>
    </w:p>
    <w:p w14:paraId="2A3A084F">
      <w:pPr>
        <w:keepNext w:val="0"/>
        <w:keepLines w:val="0"/>
        <w:pageBreakBefore w:val="0"/>
        <w:widowControl w:val="0"/>
        <w:wordWrap/>
        <w:overflowPunct/>
        <w:bidi w:val="0"/>
        <w:spacing w:before="75" w:line="225" w:lineRule="auto"/>
        <w:ind w:left="2092"/>
        <w:rPr>
          <w:rFonts w:ascii="黑体" w:hAnsi="黑体" w:eastAsia="黑体" w:cs="黑体"/>
          <w:sz w:val="23"/>
          <w:szCs w:val="23"/>
        </w:rPr>
      </w:pPr>
      <w:r>
        <w:rPr>
          <w:rFonts w:ascii="黑体" w:hAnsi="黑体" w:eastAsia="黑体" w:cs="黑体"/>
          <w:spacing w:val="8"/>
          <w:sz w:val="23"/>
          <w:szCs w:val="23"/>
        </w:rPr>
        <w:t>泉港高新区各产业贡献比例远景图(</w:t>
      </w:r>
      <w:r>
        <w:rPr>
          <w:rFonts w:ascii="Arial" w:hAnsi="Arial" w:eastAsia="Arial" w:cs="Arial"/>
          <w:b/>
          <w:bCs/>
          <w:spacing w:val="8"/>
          <w:sz w:val="23"/>
          <w:szCs w:val="23"/>
        </w:rPr>
        <w:t>2035</w:t>
      </w:r>
      <w:r>
        <w:rPr>
          <w:rFonts w:ascii="黑体" w:hAnsi="黑体" w:eastAsia="黑体" w:cs="黑体"/>
          <w:spacing w:val="8"/>
          <w:sz w:val="23"/>
          <w:szCs w:val="23"/>
        </w:rPr>
        <w:t>年</w:t>
      </w:r>
      <w:r>
        <w:rPr>
          <w:rFonts w:ascii="黑体" w:hAnsi="黑体" w:eastAsia="黑体" w:cs="黑体"/>
          <w:spacing w:val="5"/>
          <w:sz w:val="23"/>
          <w:szCs w:val="23"/>
        </w:rPr>
        <w:t>)</w:t>
      </w:r>
    </w:p>
    <w:p w14:paraId="41703475">
      <w:pPr>
        <w:pStyle w:val="2"/>
        <w:keepNext w:val="0"/>
        <w:keepLines w:val="0"/>
        <w:pageBreakBefore w:val="0"/>
        <w:widowControl w:val="0"/>
        <w:kinsoku/>
        <w:wordWrap/>
        <w:overflowPunct/>
        <w:topLinePunct w:val="0"/>
        <w:autoSpaceDE/>
        <w:autoSpaceDN/>
        <w:bidi w:val="0"/>
        <w:adjustRightInd/>
        <w:snapToGrid/>
        <w:spacing w:before="313" w:beforeLines="100" w:beforeAutospacing="0" w:line="50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7.2社会效益</w:t>
      </w:r>
    </w:p>
    <w:p w14:paraId="3654781A">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泉港高新区的建设符合国家多项区域发展战略，除了高新区自身能产生良好的经济效益，成为泉州市新的经济增长极，对于区域经济和社会的发展也将具有显著的带动作用。</w:t>
      </w:r>
    </w:p>
    <w:p w14:paraId="5BB708AC">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(1)推动区域产业结构调整和升级</w:t>
      </w:r>
    </w:p>
    <w:p w14:paraId="7D6543B3">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东南地区是国内经济发达地区，也是国内实现经济发展方式转变和产业转型升级的先发区域。泉港高新区的产业发展将以新材料、新能源产品等作为发展特色，可以为区域相关产业的升级和战略性新兴产业的发展提供更多的高端产品和服务。</w:t>
      </w:r>
    </w:p>
    <w:p w14:paraId="728BC23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除了与相关产业融合发展外，泉港高新区的发展还可带动物流运输、商业贸易、金融、信息服务、科技等行业的发展，使区域内的现代服务业不断壮大。</w:t>
      </w:r>
    </w:p>
    <w:p w14:paraId="092AB68D">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(2)促进区域经济和社会和谐发展。</w:t>
      </w:r>
    </w:p>
    <w:p w14:paraId="1DC0B4BF">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泉港高新区产业发展将促进区内公共设施的完善，带动该地区城市化水平的提高，从而加快泉州地区的跨越式发展，在各方面缩小与珠三角等发达地区的差距。</w:t>
      </w:r>
    </w:p>
    <w:p w14:paraId="069C5758">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泉港高新区的建设将提供大量的就业机会，项目建设将直接提供超过4000个就业岗位，而为高新区服务的相关产业将使就业岗位成几倍地增加，从而推动该地区人民生活水平和质量的提高，有利于社会的稳定。</w:t>
      </w:r>
    </w:p>
    <w:p w14:paraId="7FE24E1A">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高新技术产业除了需要大量资金，还是一个技术密集型的行业，泉港高新区的发展将为地区吸引人才和留住人才提供良好的平台，促进该地区文化、教育、科技事业的发展。</w:t>
      </w:r>
    </w:p>
    <w:p w14:paraId="31ED57A6">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(3)为对外合作打开新的窗口</w:t>
      </w:r>
    </w:p>
    <w:p w14:paraId="14C2FDC0">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泉港高新区将采用合作共赢的理念，以新材料产业为建设主体，积极搭建四大平台，广泛吸引各类投资与专业企业合作，从而以产业发展为纽带，吸引更多的国内外企业将目光投向泉港。同时，高新区将突出高端、特色，使之成为对外展示泉港高新技术产业的窗口，对于泉港地区的招商引资工作将起到积极的推动作用。</w:t>
      </w:r>
    </w:p>
    <w:p w14:paraId="385626FA">
      <w:pPr>
        <w:pStyle w:val="2"/>
        <w:keepNext w:val="0"/>
        <w:keepLines w:val="0"/>
        <w:pageBreakBefore w:val="0"/>
        <w:widowControl w:val="0"/>
        <w:kinsoku/>
        <w:wordWrap/>
        <w:overflowPunct/>
        <w:topLinePunct w:val="0"/>
        <w:autoSpaceDE/>
        <w:autoSpaceDN/>
        <w:bidi w:val="0"/>
        <w:adjustRightInd/>
        <w:snapToGrid/>
        <w:spacing w:before="0" w:beforeAutospacing="0" w:line="500" w:lineRule="exact"/>
        <w:ind w:left="0" w:leftChars="0" w:firstLine="560" w:firstLineChars="200"/>
        <w:jc w:val="both"/>
        <w:textAlignment w:val="auto"/>
        <w:rPr>
          <w:rFonts w:hint="default" w:ascii="仿宋" w:hAnsi="仿宋" w:eastAsia="仿宋" w:cs="仿宋"/>
          <w:spacing w:val="0"/>
          <w:sz w:val="28"/>
          <w:szCs w:val="28"/>
          <w:lang w:val="en-US" w:eastAsia="zh-CN"/>
        </w:rPr>
      </w:pPr>
    </w:p>
    <w:p w14:paraId="69E11631">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 w:hAnsi="仿宋" w:eastAsia="仿宋" w:cs="仿宋"/>
          <w:spacing w:val="0"/>
          <w:sz w:val="28"/>
          <w:szCs w:val="28"/>
          <w:lang w:val="en-US" w:eastAsia="zh-CN"/>
        </w:rPr>
      </w:pPr>
    </w:p>
    <w:p w14:paraId="1AC1E6C5">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 w:hAnsi="仿宋" w:eastAsia="仿宋" w:cs="仿宋"/>
          <w:spacing w:val="0"/>
          <w:sz w:val="28"/>
          <w:szCs w:val="28"/>
          <w:lang w:val="en-US" w:eastAsia="zh-CN"/>
        </w:rPr>
      </w:pPr>
    </w:p>
    <w:p w14:paraId="3CEBABFE">
      <w:pPr>
        <w:pStyle w:val="2"/>
        <w:keepNext w:val="0"/>
        <w:keepLines w:val="0"/>
        <w:pageBreakBefore w:val="0"/>
        <w:widowControl w:val="0"/>
        <w:kinsoku/>
        <w:wordWrap/>
        <w:overflowPunct/>
        <w:topLinePunct w:val="0"/>
        <w:autoSpaceDE/>
        <w:autoSpaceDN/>
        <w:bidi w:val="0"/>
        <w:adjustRightInd/>
        <w:snapToGrid/>
        <w:spacing w:before="0" w:beforeAutospacing="0" w:line="460" w:lineRule="exact"/>
        <w:ind w:left="0" w:leftChars="0" w:firstLine="560" w:firstLineChars="200"/>
        <w:jc w:val="both"/>
        <w:textAlignment w:val="auto"/>
        <w:rPr>
          <w:rFonts w:hint="default" w:ascii="仿宋" w:hAnsi="仿宋" w:eastAsia="仿宋" w:cs="仿宋"/>
          <w:spacing w:val="0"/>
          <w:sz w:val="28"/>
          <w:szCs w:val="28"/>
          <w:lang w:val="en-US" w:eastAsia="zh-CN"/>
        </w:rPr>
      </w:pPr>
    </w:p>
    <w:p w14:paraId="628F9FE8">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1018570">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D732983">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0" w:firstLineChars="0"/>
        <w:jc w:val="center"/>
        <w:textAlignment w:val="auto"/>
        <w:rPr>
          <w:rFonts w:hint="default" w:ascii="方正小标宋_GBK" w:hAnsi="方正小标宋_GBK" w:eastAsia="方正小标宋_GBK" w:cs="方正小标宋_GBK"/>
          <w:spacing w:val="0"/>
          <w:sz w:val="36"/>
          <w:szCs w:val="36"/>
          <w:lang w:val="en-US" w:eastAsia="zh-CN"/>
        </w:rPr>
      </w:pPr>
      <w:r>
        <w:rPr>
          <w:rFonts w:hint="default" w:ascii="方正小标宋_GBK" w:hAnsi="方正小标宋_GBK" w:eastAsia="方正小标宋_GBK" w:cs="方正小标宋_GBK"/>
          <w:spacing w:val="0"/>
          <w:sz w:val="36"/>
          <w:szCs w:val="36"/>
          <w:lang w:val="en-US" w:eastAsia="zh-CN"/>
        </w:rPr>
        <w:t>8高新区能力发展实施计划</w:t>
      </w:r>
    </w:p>
    <w:p w14:paraId="384B0DC2">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9CFBC51">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8.1加强组织领导保障</w:t>
      </w:r>
    </w:p>
    <w:p w14:paraId="69E41274">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加强组织领导，统筹推进园区各项工作顺利开展。</w:t>
      </w:r>
    </w:p>
    <w:p w14:paraId="29B40A55">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1、成立工作小组</w:t>
      </w:r>
    </w:p>
    <w:p w14:paraId="7D2CB17A">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成立高新区发展建设领导小组，加强顶层设计，研究确定高新区重大发展战略及重大政策措施。</w:t>
      </w:r>
    </w:p>
    <w:p w14:paraId="271BAC7A">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2、成立专家咨询委员会</w:t>
      </w:r>
    </w:p>
    <w:p w14:paraId="0311AB61">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健全决策咨询机制，借重智库力量，聘请第三方智库或国内外资深高新区专家、产业专家等成立专家咨询委员会，负责高新区重点建设项目进行咨询，提出优化方案。</w:t>
      </w:r>
    </w:p>
    <w:p w14:paraId="214D56CE">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3、联席会议制度协商合作机制</w:t>
      </w:r>
    </w:p>
    <w:p w14:paraId="6AAC0E50">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完善部门间工作协作机制，定期举行泉港高新区产业、土地、规划、建设等相关部门的联席会议，统筹各方资源和力量，解决园区发展中遇到的重大问题。</w:t>
      </w:r>
    </w:p>
    <w:p w14:paraId="170FF15C">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8.2完善园区政策体系</w:t>
      </w:r>
    </w:p>
    <w:p w14:paraId="693F5AEA">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eastAsia"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完善园区政策体系，加大园区发展的政策指导和扶持</w:t>
      </w:r>
      <w:r>
        <w:rPr>
          <w:rFonts w:hint="eastAsia" w:ascii="仿宋_GB2312" w:hAnsi="仿宋_GB2312" w:eastAsia="仿宋_GB2312" w:cs="仿宋_GB2312"/>
          <w:spacing w:val="0"/>
          <w:sz w:val="28"/>
          <w:szCs w:val="28"/>
          <w:lang w:val="en-US" w:eastAsia="zh-CN"/>
        </w:rPr>
        <w:t>。</w:t>
      </w:r>
    </w:p>
    <w:p w14:paraId="2E3B9812">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1、出台针对各主导产业升级发展的专业政策，鼓励企业通过技术并购、跨界融合、自主研发等方式来获得技术升级；明确产业发展重点、路线及目标。</w:t>
      </w:r>
    </w:p>
    <w:p w14:paraId="4D46B2A7">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围绕科技型中小企业、创业载体、创业人才、科技金融等多方面制定创业培育政策，在创新创业载体和技术人才上给予政策支持；设立新业态培育及发展专项基金，为园区新业态领域中小企业开展技术创新活动，建设研发中心给予一定比例补贴。</w:t>
      </w:r>
    </w:p>
    <w:p w14:paraId="379061E2">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8.3优化土地资源管理</w:t>
      </w:r>
    </w:p>
    <w:p w14:paraId="0CD553FC">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完善土地规划、土地退出、用地评价等工作体系，优化土地资源管理。</w:t>
      </w:r>
    </w:p>
    <w:p w14:paraId="51DDEA1C">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(1)加强土地规范管理</w:t>
      </w:r>
    </w:p>
    <w:p w14:paraId="6519188F">
      <w:pPr>
        <w:pStyle w:val="2"/>
        <w:keepNext w:val="0"/>
        <w:keepLines w:val="0"/>
        <w:pageBreakBefore w:val="0"/>
        <w:widowControl w:val="0"/>
        <w:kinsoku/>
        <w:wordWrap/>
        <w:overflowPunct/>
        <w:topLinePunct w:val="0"/>
        <w:autoSpaceDE/>
        <w:autoSpaceDN/>
        <w:bidi w:val="0"/>
        <w:adjustRightInd/>
        <w:snapToGrid/>
        <w:spacing w:before="0" w:beforeAutospacing="0" w:line="466"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加强土地规划管控，合理制定土地利用年度计划，优先保障大项目用地需求。</w:t>
      </w:r>
    </w:p>
    <w:p w14:paraId="245CE9E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(2)加强土地集约利用</w:t>
      </w:r>
    </w:p>
    <w:p w14:paraId="775BB8F2">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加强土地节约集约利用，从严控制新上项目用地规模，积极盘活辖区内空闲土地和闲置土地。</w:t>
      </w:r>
    </w:p>
    <w:p w14:paraId="4230B66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(3)建立土地利用评价体系</w:t>
      </w:r>
    </w:p>
    <w:p w14:paraId="2E556B6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健全土地动态评估与考核机制，对辖区内企业用地容积率、产出率、亩均投资强度等情况进行定期检查和综合评价，实行土地节约集约利用动态评价制度。</w:t>
      </w:r>
    </w:p>
    <w:p w14:paraId="2F9287A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(4)完善土地监察管理</w:t>
      </w:r>
    </w:p>
    <w:p w14:paraId="40CD53E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加强土地执法监察，维护好高新区内国土资源管理秩序。</w:t>
      </w:r>
    </w:p>
    <w:p w14:paraId="4DC615D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8.4强化发展统计工作</w:t>
      </w:r>
    </w:p>
    <w:p w14:paraId="1A3E3DFA">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eastAsia" w:ascii="楷体_GB2312" w:hAnsi="楷体_GB2312" w:eastAsia="楷体_GB2312" w:cs="楷体_GB2312"/>
          <w:b/>
          <w:bCs/>
          <w:spacing w:val="0"/>
          <w:sz w:val="28"/>
          <w:szCs w:val="28"/>
          <w:lang w:val="en-US" w:eastAsia="zh-CN"/>
        </w:rPr>
      </w:pPr>
      <w:r>
        <w:rPr>
          <w:rFonts w:hint="eastAsia" w:ascii="楷体_GB2312" w:hAnsi="楷体_GB2312" w:eastAsia="楷体_GB2312" w:cs="楷体_GB2312"/>
          <w:b/>
          <w:bCs/>
          <w:spacing w:val="0"/>
          <w:sz w:val="28"/>
          <w:szCs w:val="28"/>
          <w:lang w:val="en-US" w:eastAsia="zh-CN"/>
        </w:rPr>
        <w:t>8.4.1积极落实考核评价体系——制定适应新时期高新区发展评价体系</w:t>
      </w:r>
    </w:p>
    <w:p w14:paraId="34EF211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参照《国家高新区评价指标体系》，制定《高新区经济发展评估办法》，重点突出高新区在科技孵化、创新创业、对外合作、人才引进等方面的考核评价；对评价体系实行动态管理，定期进行追踪分析和相应调整，突出园区发展亮点；针对目标责任制，以高新区发展评价体系为指导，建立责任到部门、责任到人、责任到事的绩效评价体系。</w:t>
      </w:r>
    </w:p>
    <w:p w14:paraId="1CEE973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2" w:firstLineChars="200"/>
        <w:jc w:val="both"/>
        <w:textAlignment w:val="auto"/>
        <w:rPr>
          <w:rFonts w:hint="default" w:ascii="楷体_GB2312" w:hAnsi="楷体_GB2312" w:eastAsia="楷体_GB2312" w:cs="楷体_GB2312"/>
          <w:b/>
          <w:bCs/>
          <w:spacing w:val="0"/>
          <w:sz w:val="28"/>
          <w:szCs w:val="28"/>
          <w:lang w:val="en-US" w:eastAsia="zh-CN"/>
        </w:rPr>
      </w:pPr>
      <w:r>
        <w:rPr>
          <w:rFonts w:hint="default" w:ascii="楷体_GB2312" w:hAnsi="楷体_GB2312" w:eastAsia="楷体_GB2312" w:cs="楷体_GB2312"/>
          <w:b/>
          <w:bCs/>
          <w:spacing w:val="0"/>
          <w:sz w:val="28"/>
          <w:szCs w:val="28"/>
          <w:lang w:val="en-US" w:eastAsia="zh-CN"/>
        </w:rPr>
        <w:t>8.4.2强化规划管理及监督检查——建立督查跟踪考核评价机制</w:t>
      </w:r>
    </w:p>
    <w:p w14:paraId="0A1789A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(1)设立规划实施督查领导小组，加强对规划实施的监测和跟踪分析，定期向社会公布规划各目标的实施完成情况，提高社会参与度，发挥社会监督作用。</w:t>
      </w:r>
    </w:p>
    <w:p w14:paraId="3EEFD93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(2)建立统计监督跟踪保障制度，加强数据源头和指标的动态数据库管理，定期召开统计工作会议，强化统计工作人员的大局意识及担当意识，发挥各部门的分析反馈作用。</w:t>
      </w:r>
    </w:p>
    <w:p w14:paraId="1343D0A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8.5创新招商模式、加速项目落地</w:t>
      </w:r>
    </w:p>
    <w:p w14:paraId="3165D22F">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根据现有原料及区域市场状况，制定年度招商计划，列出重点招商项目研究每个项目对应的招商目标企业，重点针对世界500强外企、大型国企和业内优秀民企，启动“点对点”、“以商招商”、“原料招商”等具有针对性的拜访、洽谈、跟踪、服务等一系列的招商活动。</w:t>
      </w:r>
    </w:p>
    <w:p w14:paraId="41693755">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8.6广泛宣传，积极引进国内外高水平项目</w:t>
      </w:r>
    </w:p>
    <w:p w14:paraId="590E132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建设国际一流工业区的基础是拥有国际一流的生产项目。建议泉港高新区通过组织招商会、推介会等形式，进一步加强多渠道宣传，早日将自身的综合优势条件转变为招商引资的核心吸引力。坚持规模领先、技术一流的原则，引进高水平化工项目，包括技术含量高、产品质量高、企业管理标准高；要“有所为，有所不为”，突出产业特色，优先发展符合本规划产业发展方向的重点项目。同时应坚持开放化、国际化的战略，充分发挥泉港得天独厚的临港优势，主动与国外大型公司联系，引进技术先进、产品附加值高的产业项目，扩大泉港高新区的国际影响力。</w:t>
      </w:r>
    </w:p>
    <w:p w14:paraId="1783561E">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黑体" w:hAnsi="黑体" w:eastAsia="黑体" w:cs="黑体"/>
          <w:spacing w:val="0"/>
          <w:sz w:val="28"/>
          <w:szCs w:val="28"/>
          <w:lang w:val="en-US" w:eastAsia="zh-CN"/>
        </w:rPr>
      </w:pPr>
      <w:r>
        <w:rPr>
          <w:rFonts w:hint="default" w:ascii="黑体" w:hAnsi="黑体" w:eastAsia="黑体" w:cs="黑体"/>
          <w:spacing w:val="0"/>
          <w:sz w:val="28"/>
          <w:szCs w:val="28"/>
          <w:lang w:val="en-US" w:eastAsia="zh-CN"/>
        </w:rPr>
        <w:t>8.7严格实施环境管理和清洁生产</w:t>
      </w:r>
    </w:p>
    <w:p w14:paraId="7E17732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rFonts w:hint="default" w:ascii="仿宋_GB2312" w:hAnsi="仿宋_GB2312" w:eastAsia="仿宋_GB2312" w:cs="仿宋_GB2312"/>
          <w:spacing w:val="0"/>
          <w:sz w:val="28"/>
          <w:szCs w:val="28"/>
          <w:lang w:val="en-US" w:eastAsia="zh-CN"/>
        </w:rPr>
        <w:t>要建立起切实可行的环境管理制度和清洁生产机制，保证将泉港高新区建设成为国内领先的高新园区，符合泉港高新区生态环保要求的高标准。高新区强调产城融合，环境管理也有一定的特殊性。建议高新区设立专门的环境保护指导监督机构，对园区环境实行整体管理。严格产业项目准入机制，进入园区的项目必须采用先进技术和工艺，达到污染排放标准；园区环境管理形成一个有机整体；完善各种环境保护制度，如环境保护目标责任制、综合整治与定量考核、污染集中控制、排污许可证制度、排污收费制度等；全面实施清洁生产，坚持循环经济理念，体现绿色生态化工特色，保证泉港高新区的可持续发展。</w:t>
      </w:r>
    </w:p>
    <w:p w14:paraId="35CAD0C0">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3E6D88D1">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09760CC">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1D07EFB">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0CF7A287">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199508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605C10D9">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1F87B72D">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5ED969D8">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p>
    <w:p w14:paraId="70E2A2A6">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560" w:firstLineChars="200"/>
        <w:jc w:val="both"/>
        <w:textAlignment w:val="auto"/>
        <w:rPr>
          <w:rFonts w:hint="default" w:ascii="仿宋_GB2312" w:hAnsi="仿宋_GB2312" w:eastAsia="仿宋_GB2312" w:cs="仿宋_GB2312"/>
          <w:spacing w:val="0"/>
          <w:sz w:val="28"/>
          <w:szCs w:val="28"/>
          <w:lang w:val="en-US" w:eastAsia="zh-CN"/>
        </w:rPr>
      </w:pPr>
      <w:r>
        <w:rPr>
          <w:sz w:val="28"/>
        </w:rPr>
        <mc:AlternateContent>
          <mc:Choice Requires="wps">
            <w:drawing>
              <wp:anchor distT="0" distB="0" distL="114300" distR="114300" simplePos="0" relativeHeight="251667456" behindDoc="0" locked="0" layoutInCell="1" allowOverlap="1">
                <wp:simplePos x="0" y="0"/>
                <wp:positionH relativeFrom="column">
                  <wp:posOffset>-4445</wp:posOffset>
                </wp:positionH>
                <wp:positionV relativeFrom="paragraph">
                  <wp:posOffset>274955</wp:posOffset>
                </wp:positionV>
                <wp:extent cx="5759450" cy="0"/>
                <wp:effectExtent l="0" t="6350" r="5080" b="9525"/>
                <wp:wrapNone/>
                <wp:docPr id="171" name="直接连接符 171"/>
                <wp:cNvGraphicFramePr/>
                <a:graphic xmlns:a="http://schemas.openxmlformats.org/drawingml/2006/main">
                  <a:graphicData uri="http://schemas.microsoft.com/office/word/2010/wordprocessingShape">
                    <wps:wsp>
                      <wps:cNvCnPr/>
                      <wps:spPr>
                        <a:xfrm>
                          <a:off x="895350" y="9426575"/>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21.65pt;height:0pt;width:453.5pt;z-index:251667456;mso-width-relative:page;mso-height-relative:page;" filled="f" stroked="t" coordsize="21600,21600" o:gfxdata="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zE3AdYAAAAHAQAADwAAAAAAAAABACAAAAAiAAAAZHJzL2Rvd25yZXYueG1sUEsBAhQAFAAA&#10;AAgAh07iQAg4MwzxAQAAwQMAAA4AAAAAAAAAAQAgAAAAJQEAAGRycy9lMm9Eb2MueG1sUEsFBgAA&#10;AAAGAAYAWQEAAIgFAAAAAA==&#10;">
                <v:fill on="f" focussize="0,0"/>
                <v:stroke weight="1pt" color="#000000 [3213]" miterlimit="8" joinstyle="miter"/>
                <v:imagedata o:title=""/>
                <o:lock v:ext="edit" aspectratio="f"/>
              </v:line>
            </w:pict>
          </mc:Fallback>
        </mc:AlternateContent>
      </w:r>
    </w:p>
    <w:p w14:paraId="4E55D034">
      <w:pPr>
        <w:pStyle w:val="2"/>
        <w:keepNext w:val="0"/>
        <w:keepLines w:val="0"/>
        <w:pageBreakBefore w:val="0"/>
        <w:widowControl w:val="0"/>
        <w:kinsoku/>
        <w:wordWrap/>
        <w:overflowPunct/>
        <w:topLinePunct w:val="0"/>
        <w:autoSpaceDE/>
        <w:autoSpaceDN/>
        <w:bidi w:val="0"/>
        <w:adjustRightInd/>
        <w:snapToGrid/>
        <w:spacing w:before="0" w:beforeAutospacing="0" w:line="480" w:lineRule="exact"/>
        <w:ind w:left="0" w:leftChars="0" w:firstLine="280" w:firstLineChars="100"/>
        <w:jc w:val="both"/>
        <w:textAlignment w:val="auto"/>
        <w:rPr>
          <w:rFonts w:hint="default" w:ascii="仿宋_GB2312" w:hAnsi="仿宋_GB2312" w:eastAsia="仿宋_GB2312" w:cs="仿宋_GB2312"/>
          <w:spacing w:val="0"/>
          <w:sz w:val="28"/>
          <w:szCs w:val="28"/>
          <w:lang w:val="en-US" w:eastAsia="zh-CN"/>
        </w:rPr>
      </w:pPr>
      <w:r>
        <w:rPr>
          <w:sz w:val="28"/>
        </w:rPr>
        <mc:AlternateContent>
          <mc:Choice Requires="wps">
            <w:drawing>
              <wp:anchor distT="0" distB="0" distL="114300" distR="114300" simplePos="0" relativeHeight="251668480" behindDoc="0" locked="0" layoutInCell="1" allowOverlap="1">
                <wp:simplePos x="0" y="0"/>
                <wp:positionH relativeFrom="column">
                  <wp:posOffset>-4445</wp:posOffset>
                </wp:positionH>
                <wp:positionV relativeFrom="paragraph">
                  <wp:posOffset>319405</wp:posOffset>
                </wp:positionV>
                <wp:extent cx="5759450" cy="0"/>
                <wp:effectExtent l="0" t="6350" r="5080" b="9525"/>
                <wp:wrapNone/>
                <wp:docPr id="172" name="直接连接符 17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5pt;margin-top:25.15pt;height:0pt;width:453.5pt;z-index:251668480;mso-width-relative:page;mso-height-relative:page;" filled="f" stroked="t" coordsize="21600,21600" o:gfxdata="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T2t5tYAAAAH&#10;AQAADwAAAAAAAAABACAAAAAiAAAAZHJzL2Rvd25yZXYueG1sUEsBAhQAFAAAAAgAh07iQGT99GDl&#10;AQAAtgMAAA4AAAAAAAAAAQAgAAAAJQEAAGRycy9lMm9Eb2MueG1sUEsFBgAAAAAGAAYAWQEAAHwF&#10;AAAAAA==&#10;">
                <v:fill on="f" focussize="0,0"/>
                <v:stroke weight="1pt" color="#000000 [3213]" miterlimit="8" joinstyle="miter"/>
                <v:imagedata o:title=""/>
                <o:lock v:ext="edit" aspectratio="f"/>
              </v:line>
            </w:pict>
          </mc:Fallback>
        </mc:AlternateContent>
      </w:r>
      <w:r>
        <w:rPr>
          <w:rFonts w:hint="eastAsia" w:ascii="仿宋_GB2312" w:hAnsi="仿宋_GB2312" w:eastAsia="仿宋_GB2312" w:cs="仿宋_GB2312"/>
          <w:position w:val="5"/>
          <w:sz w:val="28"/>
          <w:szCs w:val="28"/>
          <w:lang w:val="en-US" w:eastAsia="zh-CN"/>
        </w:rPr>
        <w:t>泉港区科学技术局综合股</w:t>
      </w:r>
      <w:r>
        <w:rPr>
          <w:rFonts w:hint="eastAsia" w:ascii="仿宋_GB2312" w:hAnsi="仿宋_GB2312" w:eastAsia="仿宋_GB2312" w:cs="仿宋_GB2312"/>
          <w:spacing w:val="3"/>
          <w:position w:val="5"/>
          <w:sz w:val="28"/>
          <w:szCs w:val="28"/>
          <w:lang w:val="en-US" w:eastAsia="zh-CN"/>
        </w:rPr>
        <w:t xml:space="preserve">                   </w:t>
      </w:r>
      <w:r>
        <w:rPr>
          <w:rFonts w:hint="eastAsia" w:ascii="仿宋_GB2312" w:hAnsi="仿宋_GB2312" w:eastAsia="仿宋_GB2312" w:cs="仿宋_GB2312"/>
          <w:position w:val="5"/>
          <w:sz w:val="28"/>
          <w:szCs w:val="28"/>
          <w:lang w:val="en-US" w:eastAsia="zh-CN"/>
        </w:rPr>
        <w:t>2023年8月30日印发</w:t>
      </w:r>
    </w:p>
    <w:sectPr>
      <w:headerReference r:id="rId3" w:type="defaul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86"/>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2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KSOF51D5AD36">
    <w:panose1 w:val="020B0604020202020204"/>
    <w:charset w:val="86"/>
    <w:family w:val="auto"/>
    <w:pitch w:val="default"/>
    <w:sig w:usb0="00000001" w:usb1="00000000" w:usb2="00000000" w:usb3="00000000" w:csb0="00040001" w:csb1="00000000"/>
  </w:font>
  <w:font w:name="KSOF16678F55">
    <w:panose1 w:val="020B0604020202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27E2A">
    <w:pPr>
      <w:spacing w:line="187" w:lineRule="auto"/>
      <w:ind w:left="253"/>
      <w:rPr>
        <w:rFonts w:ascii="宋体" w:hAnsi="宋体" w:eastAsia="宋体" w:cs="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8890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8890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26AD2">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70pt;mso-position-horizontal:outside;mso-position-horizontal-relative:margin;z-index:251659264;mso-width-relative:page;mso-height-relative:page;" filled="f" stroked="f" coordsize="21600,21600" o:gfxdata="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9wvR/TAAAABQEAAA8AAAAAAAAAAQAgAAAAIgAAAGRycy9kb3ducmV2Lnht&#10;bFBLAQIUABQAAAAIAIdO4kA2agb5NwIAAGQEAAAOAAAAAAAAAAEAIAAAACIBAABkcnMvZTJvRG9j&#10;LnhtbFBLBQYAAAAABgAGAFkBAADLBQAAAAA=&#10;">
              <v:fill on="f" focussize="0,0"/>
              <v:stroke on="f" weight="0.5pt"/>
              <v:imagedata o:title=""/>
              <o:lock v:ext="edit" aspectratio="f"/>
              <v:textbox inset="0mm,0mm,0mm,0mm" style="mso-fit-shape-to-text:t;">
                <w:txbxContent>
                  <w:p w14:paraId="3AA26AD2">
                    <w:pPr>
                      <w:pStyle w:val="4"/>
                      <w:rPr>
                        <w:rFonts w:hint="default" w:ascii="Times New Roman" w:hAnsi="Times New Roman" w:cs="Times New Roman" w:eastAsiaTheme="minorEastAsia"/>
                        <w:sz w:val="28"/>
                        <w:szCs w:val="28"/>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eastAsia" w:ascii="Times New Roman" w:hAnsi="Times New Roman" w:cs="Times New Roman"/>
                        <w:sz w:val="28"/>
                        <w:szCs w:val="28"/>
                        <w:lang w:val="en-US" w:eastAsia="zh-CN"/>
                      </w:rPr>
                      <w:t xml:space="preserve"> —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BF59">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5MzYxM2YzOTU4NGU4YTA2MTljYjFiYjc2NGE4NGMifQ=="/>
  </w:docVars>
  <w:rsids>
    <w:rsidRoot w:val="2CF30578"/>
    <w:rsid w:val="00D37947"/>
    <w:rsid w:val="00E01FFE"/>
    <w:rsid w:val="00F53C61"/>
    <w:rsid w:val="01186026"/>
    <w:rsid w:val="011A0CB4"/>
    <w:rsid w:val="013A3F8C"/>
    <w:rsid w:val="014337F8"/>
    <w:rsid w:val="01635D69"/>
    <w:rsid w:val="01754687"/>
    <w:rsid w:val="01DD5345"/>
    <w:rsid w:val="024B5A70"/>
    <w:rsid w:val="03040AD1"/>
    <w:rsid w:val="030626C0"/>
    <w:rsid w:val="03120524"/>
    <w:rsid w:val="03402490"/>
    <w:rsid w:val="04061BAD"/>
    <w:rsid w:val="04460AFF"/>
    <w:rsid w:val="04BA33C3"/>
    <w:rsid w:val="04CB4B62"/>
    <w:rsid w:val="05605522"/>
    <w:rsid w:val="05E44DD6"/>
    <w:rsid w:val="0624613D"/>
    <w:rsid w:val="067A57F6"/>
    <w:rsid w:val="069A47BA"/>
    <w:rsid w:val="06CF3A1E"/>
    <w:rsid w:val="06FC6C39"/>
    <w:rsid w:val="07036952"/>
    <w:rsid w:val="072957B8"/>
    <w:rsid w:val="0742382B"/>
    <w:rsid w:val="080135BB"/>
    <w:rsid w:val="08460D9C"/>
    <w:rsid w:val="08FE7B0C"/>
    <w:rsid w:val="09A92667"/>
    <w:rsid w:val="09AF4D4C"/>
    <w:rsid w:val="0A041621"/>
    <w:rsid w:val="0A07465F"/>
    <w:rsid w:val="0A125155"/>
    <w:rsid w:val="0A785D2B"/>
    <w:rsid w:val="0A791DB0"/>
    <w:rsid w:val="0AAC7730"/>
    <w:rsid w:val="0B7371B1"/>
    <w:rsid w:val="0B955093"/>
    <w:rsid w:val="0BCE541D"/>
    <w:rsid w:val="0C601039"/>
    <w:rsid w:val="0C6133EF"/>
    <w:rsid w:val="0C681B81"/>
    <w:rsid w:val="0CB9076A"/>
    <w:rsid w:val="0CC90DD1"/>
    <w:rsid w:val="0CD30126"/>
    <w:rsid w:val="0D347EDC"/>
    <w:rsid w:val="0D5076B5"/>
    <w:rsid w:val="0D933FAA"/>
    <w:rsid w:val="0DC62E95"/>
    <w:rsid w:val="0E1A1255"/>
    <w:rsid w:val="0E666B26"/>
    <w:rsid w:val="0E770F85"/>
    <w:rsid w:val="0E952805"/>
    <w:rsid w:val="0EA56DFD"/>
    <w:rsid w:val="0EDA7072"/>
    <w:rsid w:val="0EE20797"/>
    <w:rsid w:val="0EF13B3A"/>
    <w:rsid w:val="0EFB6C2C"/>
    <w:rsid w:val="0F0F033F"/>
    <w:rsid w:val="0F124408"/>
    <w:rsid w:val="0F4B3C50"/>
    <w:rsid w:val="0F7E1158"/>
    <w:rsid w:val="0F9F0F04"/>
    <w:rsid w:val="0FF10BD9"/>
    <w:rsid w:val="10371EDE"/>
    <w:rsid w:val="10C5247C"/>
    <w:rsid w:val="10E678DD"/>
    <w:rsid w:val="118D3C11"/>
    <w:rsid w:val="11AD4649"/>
    <w:rsid w:val="11FE6501"/>
    <w:rsid w:val="126441D7"/>
    <w:rsid w:val="12A2231F"/>
    <w:rsid w:val="12ED15CB"/>
    <w:rsid w:val="13682D04"/>
    <w:rsid w:val="13AB5226"/>
    <w:rsid w:val="13E11976"/>
    <w:rsid w:val="13F54E26"/>
    <w:rsid w:val="13FA3651"/>
    <w:rsid w:val="144567E1"/>
    <w:rsid w:val="14C15E5A"/>
    <w:rsid w:val="14D84978"/>
    <w:rsid w:val="15354668"/>
    <w:rsid w:val="153B4985"/>
    <w:rsid w:val="15557480"/>
    <w:rsid w:val="156564B1"/>
    <w:rsid w:val="15673B02"/>
    <w:rsid w:val="157A0988"/>
    <w:rsid w:val="15916793"/>
    <w:rsid w:val="15D76138"/>
    <w:rsid w:val="165C6338"/>
    <w:rsid w:val="16BE56D5"/>
    <w:rsid w:val="16CC28AA"/>
    <w:rsid w:val="16D6019E"/>
    <w:rsid w:val="17497826"/>
    <w:rsid w:val="17975C9E"/>
    <w:rsid w:val="17CF01E2"/>
    <w:rsid w:val="17DD6E2C"/>
    <w:rsid w:val="183028D1"/>
    <w:rsid w:val="188668F6"/>
    <w:rsid w:val="18A368FD"/>
    <w:rsid w:val="18B9442C"/>
    <w:rsid w:val="18BD544A"/>
    <w:rsid w:val="18C1177B"/>
    <w:rsid w:val="19317AE0"/>
    <w:rsid w:val="193E4660"/>
    <w:rsid w:val="198268A6"/>
    <w:rsid w:val="19AF1F1B"/>
    <w:rsid w:val="19B50E83"/>
    <w:rsid w:val="1A1F140F"/>
    <w:rsid w:val="1B174B35"/>
    <w:rsid w:val="1B4E0815"/>
    <w:rsid w:val="1BF44A25"/>
    <w:rsid w:val="1C424981"/>
    <w:rsid w:val="1C506D09"/>
    <w:rsid w:val="1C9A6A71"/>
    <w:rsid w:val="1CCD7199"/>
    <w:rsid w:val="1CD0259C"/>
    <w:rsid w:val="1CEC0633"/>
    <w:rsid w:val="1CEE6C3F"/>
    <w:rsid w:val="1CF547D5"/>
    <w:rsid w:val="1D364F15"/>
    <w:rsid w:val="1D82517F"/>
    <w:rsid w:val="1D8B7972"/>
    <w:rsid w:val="1DD16C75"/>
    <w:rsid w:val="1E561C6C"/>
    <w:rsid w:val="1E645700"/>
    <w:rsid w:val="1ECB7381"/>
    <w:rsid w:val="1EF232A8"/>
    <w:rsid w:val="1EF733C6"/>
    <w:rsid w:val="1F196E7F"/>
    <w:rsid w:val="1F9971D3"/>
    <w:rsid w:val="1FA20AF5"/>
    <w:rsid w:val="1FB97ECA"/>
    <w:rsid w:val="200E038C"/>
    <w:rsid w:val="201A4BC5"/>
    <w:rsid w:val="20C24D63"/>
    <w:rsid w:val="20CE712B"/>
    <w:rsid w:val="20D3029D"/>
    <w:rsid w:val="20E976FD"/>
    <w:rsid w:val="20EB5EB9"/>
    <w:rsid w:val="21342690"/>
    <w:rsid w:val="213B0899"/>
    <w:rsid w:val="213C57B4"/>
    <w:rsid w:val="2193671F"/>
    <w:rsid w:val="21B843D9"/>
    <w:rsid w:val="21C04E3A"/>
    <w:rsid w:val="21EE1F4D"/>
    <w:rsid w:val="21F33BF9"/>
    <w:rsid w:val="21FE5E18"/>
    <w:rsid w:val="22063E22"/>
    <w:rsid w:val="220C0CCB"/>
    <w:rsid w:val="229D5E44"/>
    <w:rsid w:val="22A16179"/>
    <w:rsid w:val="23101D06"/>
    <w:rsid w:val="23A76741"/>
    <w:rsid w:val="23C30A9D"/>
    <w:rsid w:val="23FC3FAF"/>
    <w:rsid w:val="243F5C4A"/>
    <w:rsid w:val="244F484B"/>
    <w:rsid w:val="247955FF"/>
    <w:rsid w:val="24D345D7"/>
    <w:rsid w:val="261D3A0A"/>
    <w:rsid w:val="26486E0F"/>
    <w:rsid w:val="26803BEF"/>
    <w:rsid w:val="26CB75F3"/>
    <w:rsid w:val="26F147F1"/>
    <w:rsid w:val="27084386"/>
    <w:rsid w:val="27457B31"/>
    <w:rsid w:val="27467125"/>
    <w:rsid w:val="27DD4B45"/>
    <w:rsid w:val="28131A9F"/>
    <w:rsid w:val="284742FF"/>
    <w:rsid w:val="286A7696"/>
    <w:rsid w:val="28F614A7"/>
    <w:rsid w:val="293D53F0"/>
    <w:rsid w:val="29464CEE"/>
    <w:rsid w:val="298B6D36"/>
    <w:rsid w:val="29920602"/>
    <w:rsid w:val="29A94EAB"/>
    <w:rsid w:val="2A263635"/>
    <w:rsid w:val="2A5B327C"/>
    <w:rsid w:val="2ACF5F79"/>
    <w:rsid w:val="2AF7102C"/>
    <w:rsid w:val="2B163BA8"/>
    <w:rsid w:val="2B271865"/>
    <w:rsid w:val="2B780724"/>
    <w:rsid w:val="2B8107A6"/>
    <w:rsid w:val="2B8A6B26"/>
    <w:rsid w:val="2BB007F3"/>
    <w:rsid w:val="2C055C34"/>
    <w:rsid w:val="2CD954FF"/>
    <w:rsid w:val="2D475309"/>
    <w:rsid w:val="2D80549A"/>
    <w:rsid w:val="2DDB11B5"/>
    <w:rsid w:val="2E026666"/>
    <w:rsid w:val="2ED609FB"/>
    <w:rsid w:val="2F02587A"/>
    <w:rsid w:val="2F5471D3"/>
    <w:rsid w:val="2F8B12A7"/>
    <w:rsid w:val="2FD0011A"/>
    <w:rsid w:val="2FF3270A"/>
    <w:rsid w:val="2FFD0ECD"/>
    <w:rsid w:val="301A4307"/>
    <w:rsid w:val="301D4841"/>
    <w:rsid w:val="30304CB1"/>
    <w:rsid w:val="30395C43"/>
    <w:rsid w:val="304D13E0"/>
    <w:rsid w:val="30716517"/>
    <w:rsid w:val="30E73CD8"/>
    <w:rsid w:val="30F1626C"/>
    <w:rsid w:val="31173BCD"/>
    <w:rsid w:val="313474AF"/>
    <w:rsid w:val="31734B0F"/>
    <w:rsid w:val="31D416B9"/>
    <w:rsid w:val="31FA5D6A"/>
    <w:rsid w:val="32244C05"/>
    <w:rsid w:val="32463916"/>
    <w:rsid w:val="32AC2827"/>
    <w:rsid w:val="32B066B8"/>
    <w:rsid w:val="32B476B8"/>
    <w:rsid w:val="32CE1057"/>
    <w:rsid w:val="33174961"/>
    <w:rsid w:val="331D1E49"/>
    <w:rsid w:val="33CB5DE5"/>
    <w:rsid w:val="34364D8F"/>
    <w:rsid w:val="34586E50"/>
    <w:rsid w:val="34D23508"/>
    <w:rsid w:val="34D8772C"/>
    <w:rsid w:val="3526545E"/>
    <w:rsid w:val="35664EC4"/>
    <w:rsid w:val="35BA0FAC"/>
    <w:rsid w:val="35D6707E"/>
    <w:rsid w:val="35F76D66"/>
    <w:rsid w:val="361440E0"/>
    <w:rsid w:val="36762766"/>
    <w:rsid w:val="368B3B09"/>
    <w:rsid w:val="36CD2868"/>
    <w:rsid w:val="36E6127E"/>
    <w:rsid w:val="373A1D7B"/>
    <w:rsid w:val="3753277D"/>
    <w:rsid w:val="3757272A"/>
    <w:rsid w:val="376C13D7"/>
    <w:rsid w:val="37CD3411"/>
    <w:rsid w:val="37DA1403"/>
    <w:rsid w:val="37F754B2"/>
    <w:rsid w:val="38950DA7"/>
    <w:rsid w:val="38A30857"/>
    <w:rsid w:val="38C36E79"/>
    <w:rsid w:val="38CF47C8"/>
    <w:rsid w:val="38DB20AB"/>
    <w:rsid w:val="38EC5F48"/>
    <w:rsid w:val="38FB1695"/>
    <w:rsid w:val="394644C5"/>
    <w:rsid w:val="39BD0B31"/>
    <w:rsid w:val="39C113F6"/>
    <w:rsid w:val="3A410516"/>
    <w:rsid w:val="3A745A80"/>
    <w:rsid w:val="3A766019"/>
    <w:rsid w:val="3A7F7D10"/>
    <w:rsid w:val="3AAD69D8"/>
    <w:rsid w:val="3AE720CA"/>
    <w:rsid w:val="3B1A3241"/>
    <w:rsid w:val="3B50200B"/>
    <w:rsid w:val="3B5E67D4"/>
    <w:rsid w:val="3C1618F8"/>
    <w:rsid w:val="3C44609B"/>
    <w:rsid w:val="3C780AE5"/>
    <w:rsid w:val="3CD35931"/>
    <w:rsid w:val="3D3208F6"/>
    <w:rsid w:val="3DDF7CDF"/>
    <w:rsid w:val="3DF47029"/>
    <w:rsid w:val="3E122B6E"/>
    <w:rsid w:val="3E444130"/>
    <w:rsid w:val="3E545CC8"/>
    <w:rsid w:val="3EA030D0"/>
    <w:rsid w:val="3EA82B83"/>
    <w:rsid w:val="3EAC4DCA"/>
    <w:rsid w:val="3EBF1B07"/>
    <w:rsid w:val="3EE2728E"/>
    <w:rsid w:val="3F106C69"/>
    <w:rsid w:val="3FAA74FA"/>
    <w:rsid w:val="3FAF6A7A"/>
    <w:rsid w:val="3FC76DC7"/>
    <w:rsid w:val="3FD13546"/>
    <w:rsid w:val="3FFD4D90"/>
    <w:rsid w:val="40030C42"/>
    <w:rsid w:val="405C7E57"/>
    <w:rsid w:val="40894CBE"/>
    <w:rsid w:val="40CA1D32"/>
    <w:rsid w:val="40EA27C9"/>
    <w:rsid w:val="410A340F"/>
    <w:rsid w:val="412D10FA"/>
    <w:rsid w:val="41511C58"/>
    <w:rsid w:val="41AF2E7C"/>
    <w:rsid w:val="41B032CE"/>
    <w:rsid w:val="41CF23CD"/>
    <w:rsid w:val="41DA12FB"/>
    <w:rsid w:val="41DC39FF"/>
    <w:rsid w:val="42062A43"/>
    <w:rsid w:val="425D39C8"/>
    <w:rsid w:val="427E5597"/>
    <w:rsid w:val="42B15EAB"/>
    <w:rsid w:val="42CF6863"/>
    <w:rsid w:val="42F330AD"/>
    <w:rsid w:val="4328322F"/>
    <w:rsid w:val="433D2E2A"/>
    <w:rsid w:val="43470585"/>
    <w:rsid w:val="439D4A0F"/>
    <w:rsid w:val="43A545A3"/>
    <w:rsid w:val="43C0001A"/>
    <w:rsid w:val="43F64BE5"/>
    <w:rsid w:val="441F72F5"/>
    <w:rsid w:val="44533614"/>
    <w:rsid w:val="44706E4E"/>
    <w:rsid w:val="447A7EF9"/>
    <w:rsid w:val="44840987"/>
    <w:rsid w:val="449A0F4E"/>
    <w:rsid w:val="4543393B"/>
    <w:rsid w:val="45652C74"/>
    <w:rsid w:val="45931EEB"/>
    <w:rsid w:val="45B63AD4"/>
    <w:rsid w:val="46465FA7"/>
    <w:rsid w:val="46835CA8"/>
    <w:rsid w:val="46862ED8"/>
    <w:rsid w:val="46B07049"/>
    <w:rsid w:val="46C423E7"/>
    <w:rsid w:val="46DF6973"/>
    <w:rsid w:val="47272598"/>
    <w:rsid w:val="47946129"/>
    <w:rsid w:val="480321E6"/>
    <w:rsid w:val="4807142F"/>
    <w:rsid w:val="48156E1A"/>
    <w:rsid w:val="48296995"/>
    <w:rsid w:val="4890562B"/>
    <w:rsid w:val="48CE0BDE"/>
    <w:rsid w:val="4901555D"/>
    <w:rsid w:val="4911535B"/>
    <w:rsid w:val="49306C6D"/>
    <w:rsid w:val="49B01706"/>
    <w:rsid w:val="49C1176A"/>
    <w:rsid w:val="4A113742"/>
    <w:rsid w:val="4A445C00"/>
    <w:rsid w:val="4A785E04"/>
    <w:rsid w:val="4A872255"/>
    <w:rsid w:val="4AD73910"/>
    <w:rsid w:val="4ADB05A5"/>
    <w:rsid w:val="4AED3637"/>
    <w:rsid w:val="4B077D40"/>
    <w:rsid w:val="4B0812C9"/>
    <w:rsid w:val="4B09298A"/>
    <w:rsid w:val="4B461912"/>
    <w:rsid w:val="4B4F1966"/>
    <w:rsid w:val="4C0D01B2"/>
    <w:rsid w:val="4C686721"/>
    <w:rsid w:val="4D1F3437"/>
    <w:rsid w:val="4D2C6E03"/>
    <w:rsid w:val="4D337058"/>
    <w:rsid w:val="4D563357"/>
    <w:rsid w:val="4D811942"/>
    <w:rsid w:val="4E8D1100"/>
    <w:rsid w:val="4ECC6DC2"/>
    <w:rsid w:val="4EEF1E97"/>
    <w:rsid w:val="4EFC139B"/>
    <w:rsid w:val="4F367FA9"/>
    <w:rsid w:val="4F460DE2"/>
    <w:rsid w:val="4F9842DC"/>
    <w:rsid w:val="4FC434CE"/>
    <w:rsid w:val="4FE56848"/>
    <w:rsid w:val="4FEA07C2"/>
    <w:rsid w:val="4FF50A6C"/>
    <w:rsid w:val="502E6984"/>
    <w:rsid w:val="50903BA8"/>
    <w:rsid w:val="50B2610E"/>
    <w:rsid w:val="50D405B3"/>
    <w:rsid w:val="50E4560B"/>
    <w:rsid w:val="50EB1B6E"/>
    <w:rsid w:val="51007ABC"/>
    <w:rsid w:val="518E498F"/>
    <w:rsid w:val="51972CF4"/>
    <w:rsid w:val="51C03390"/>
    <w:rsid w:val="51C40EFF"/>
    <w:rsid w:val="51D66CC8"/>
    <w:rsid w:val="52164189"/>
    <w:rsid w:val="5290116F"/>
    <w:rsid w:val="52B35FD7"/>
    <w:rsid w:val="52DA77CC"/>
    <w:rsid w:val="53005653"/>
    <w:rsid w:val="53273DA5"/>
    <w:rsid w:val="532A715E"/>
    <w:rsid w:val="532C68B9"/>
    <w:rsid w:val="5333191D"/>
    <w:rsid w:val="537863BA"/>
    <w:rsid w:val="53926CFE"/>
    <w:rsid w:val="53953374"/>
    <w:rsid w:val="53D01C03"/>
    <w:rsid w:val="53D167AB"/>
    <w:rsid w:val="53D40EE8"/>
    <w:rsid w:val="540112BC"/>
    <w:rsid w:val="5422686A"/>
    <w:rsid w:val="542A6846"/>
    <w:rsid w:val="544D1B39"/>
    <w:rsid w:val="5491756C"/>
    <w:rsid w:val="54C36370"/>
    <w:rsid w:val="54CA16AD"/>
    <w:rsid w:val="54E35FFA"/>
    <w:rsid w:val="552F2239"/>
    <w:rsid w:val="557A7FD8"/>
    <w:rsid w:val="55844E99"/>
    <w:rsid w:val="55A25CD9"/>
    <w:rsid w:val="55AF609A"/>
    <w:rsid w:val="55C16B84"/>
    <w:rsid w:val="55E12602"/>
    <w:rsid w:val="55EF1E37"/>
    <w:rsid w:val="56224A41"/>
    <w:rsid w:val="563153DD"/>
    <w:rsid w:val="5654159F"/>
    <w:rsid w:val="575661B5"/>
    <w:rsid w:val="576B4A43"/>
    <w:rsid w:val="57B60DFB"/>
    <w:rsid w:val="58023855"/>
    <w:rsid w:val="58534D23"/>
    <w:rsid w:val="587C3218"/>
    <w:rsid w:val="58A41C96"/>
    <w:rsid w:val="58AE3858"/>
    <w:rsid w:val="58C0702C"/>
    <w:rsid w:val="590F1484"/>
    <w:rsid w:val="595732FC"/>
    <w:rsid w:val="59B25B64"/>
    <w:rsid w:val="59E41F31"/>
    <w:rsid w:val="5A755B51"/>
    <w:rsid w:val="5AB1392F"/>
    <w:rsid w:val="5ABA2002"/>
    <w:rsid w:val="5ACE5056"/>
    <w:rsid w:val="5B247D38"/>
    <w:rsid w:val="5B35592E"/>
    <w:rsid w:val="5B7200D7"/>
    <w:rsid w:val="5C2E7D3B"/>
    <w:rsid w:val="5CB862E4"/>
    <w:rsid w:val="5D0A5B8C"/>
    <w:rsid w:val="5D1970B7"/>
    <w:rsid w:val="5D30300A"/>
    <w:rsid w:val="5D621153"/>
    <w:rsid w:val="5D7A358E"/>
    <w:rsid w:val="5D953E89"/>
    <w:rsid w:val="5DAD53F7"/>
    <w:rsid w:val="5E2379FF"/>
    <w:rsid w:val="5E680C22"/>
    <w:rsid w:val="5E7031AC"/>
    <w:rsid w:val="5E886ACB"/>
    <w:rsid w:val="5E973F3D"/>
    <w:rsid w:val="5EE44E48"/>
    <w:rsid w:val="5F506F43"/>
    <w:rsid w:val="5F9D4AAC"/>
    <w:rsid w:val="5FA316F9"/>
    <w:rsid w:val="605576C0"/>
    <w:rsid w:val="60692C8D"/>
    <w:rsid w:val="60A96E90"/>
    <w:rsid w:val="60B7767B"/>
    <w:rsid w:val="60BA0556"/>
    <w:rsid w:val="60CA2743"/>
    <w:rsid w:val="60D6504D"/>
    <w:rsid w:val="60E67CB3"/>
    <w:rsid w:val="61001033"/>
    <w:rsid w:val="61451319"/>
    <w:rsid w:val="61882403"/>
    <w:rsid w:val="619B1395"/>
    <w:rsid w:val="61CE4E2B"/>
    <w:rsid w:val="624F6F55"/>
    <w:rsid w:val="6251583D"/>
    <w:rsid w:val="62616A15"/>
    <w:rsid w:val="626F614B"/>
    <w:rsid w:val="62746EB4"/>
    <w:rsid w:val="62855683"/>
    <w:rsid w:val="62984021"/>
    <w:rsid w:val="629B3A4C"/>
    <w:rsid w:val="62A72BE6"/>
    <w:rsid w:val="62C965FA"/>
    <w:rsid w:val="6332504E"/>
    <w:rsid w:val="633D2BD8"/>
    <w:rsid w:val="63456671"/>
    <w:rsid w:val="6356247B"/>
    <w:rsid w:val="635F7DAD"/>
    <w:rsid w:val="63603808"/>
    <w:rsid w:val="63663A74"/>
    <w:rsid w:val="636B2239"/>
    <w:rsid w:val="63956215"/>
    <w:rsid w:val="63F02405"/>
    <w:rsid w:val="63F46D55"/>
    <w:rsid w:val="64283A29"/>
    <w:rsid w:val="64D93922"/>
    <w:rsid w:val="65303270"/>
    <w:rsid w:val="65522EAC"/>
    <w:rsid w:val="655F355B"/>
    <w:rsid w:val="659B206D"/>
    <w:rsid w:val="659B5E07"/>
    <w:rsid w:val="65BE4C1A"/>
    <w:rsid w:val="65FA3CF4"/>
    <w:rsid w:val="66283FC3"/>
    <w:rsid w:val="666E7078"/>
    <w:rsid w:val="66A575B3"/>
    <w:rsid w:val="673407B2"/>
    <w:rsid w:val="677D5918"/>
    <w:rsid w:val="678747C5"/>
    <w:rsid w:val="6821071B"/>
    <w:rsid w:val="6848564E"/>
    <w:rsid w:val="68586A58"/>
    <w:rsid w:val="686A0AB4"/>
    <w:rsid w:val="68873690"/>
    <w:rsid w:val="68B95DF5"/>
    <w:rsid w:val="68C748AC"/>
    <w:rsid w:val="68FB795E"/>
    <w:rsid w:val="690D36BA"/>
    <w:rsid w:val="694D5CE0"/>
    <w:rsid w:val="696E40C9"/>
    <w:rsid w:val="696F16D6"/>
    <w:rsid w:val="69904A39"/>
    <w:rsid w:val="6992106A"/>
    <w:rsid w:val="69C117D2"/>
    <w:rsid w:val="69D739F8"/>
    <w:rsid w:val="6A220F1A"/>
    <w:rsid w:val="6A243D6A"/>
    <w:rsid w:val="6B471853"/>
    <w:rsid w:val="6B7316A4"/>
    <w:rsid w:val="6B881251"/>
    <w:rsid w:val="6C123536"/>
    <w:rsid w:val="6C2246DA"/>
    <w:rsid w:val="6CB70F1F"/>
    <w:rsid w:val="6CC8623A"/>
    <w:rsid w:val="6D4A4A10"/>
    <w:rsid w:val="6D561A4E"/>
    <w:rsid w:val="6DA570EC"/>
    <w:rsid w:val="6E4458C7"/>
    <w:rsid w:val="6E476B98"/>
    <w:rsid w:val="6EA35F29"/>
    <w:rsid w:val="6EDC27B1"/>
    <w:rsid w:val="6EE415C1"/>
    <w:rsid w:val="6EF67818"/>
    <w:rsid w:val="6EFF6FDB"/>
    <w:rsid w:val="6F2A6738"/>
    <w:rsid w:val="6F2F34E9"/>
    <w:rsid w:val="6F340340"/>
    <w:rsid w:val="6F3C60A8"/>
    <w:rsid w:val="6F761DAA"/>
    <w:rsid w:val="6F8D3156"/>
    <w:rsid w:val="6F9924A7"/>
    <w:rsid w:val="6FF27051"/>
    <w:rsid w:val="70585696"/>
    <w:rsid w:val="705876E0"/>
    <w:rsid w:val="7065039E"/>
    <w:rsid w:val="70C83C00"/>
    <w:rsid w:val="70ED2CE2"/>
    <w:rsid w:val="7158344A"/>
    <w:rsid w:val="71763E02"/>
    <w:rsid w:val="71917A4E"/>
    <w:rsid w:val="724A34C0"/>
    <w:rsid w:val="728C1AE1"/>
    <w:rsid w:val="7290147E"/>
    <w:rsid w:val="72D26AB4"/>
    <w:rsid w:val="732C744A"/>
    <w:rsid w:val="733C49D7"/>
    <w:rsid w:val="734A070C"/>
    <w:rsid w:val="74076B2F"/>
    <w:rsid w:val="74373814"/>
    <w:rsid w:val="74884354"/>
    <w:rsid w:val="74A6583C"/>
    <w:rsid w:val="74E64777"/>
    <w:rsid w:val="74EF7AD2"/>
    <w:rsid w:val="75304859"/>
    <w:rsid w:val="75A74DCC"/>
    <w:rsid w:val="75D42E7C"/>
    <w:rsid w:val="75FB7FE4"/>
    <w:rsid w:val="76035005"/>
    <w:rsid w:val="76154E1D"/>
    <w:rsid w:val="769211D6"/>
    <w:rsid w:val="76A10290"/>
    <w:rsid w:val="76A42CBE"/>
    <w:rsid w:val="76BB11C4"/>
    <w:rsid w:val="772C579E"/>
    <w:rsid w:val="776029FB"/>
    <w:rsid w:val="777668B4"/>
    <w:rsid w:val="77BD7134"/>
    <w:rsid w:val="78462AE9"/>
    <w:rsid w:val="784A2FF2"/>
    <w:rsid w:val="784D40AC"/>
    <w:rsid w:val="788E7550"/>
    <w:rsid w:val="78CA30F6"/>
    <w:rsid w:val="791B40DF"/>
    <w:rsid w:val="795734C4"/>
    <w:rsid w:val="796F2BA3"/>
    <w:rsid w:val="79741C5E"/>
    <w:rsid w:val="797A05F4"/>
    <w:rsid w:val="79811957"/>
    <w:rsid w:val="799A07A0"/>
    <w:rsid w:val="79DB692A"/>
    <w:rsid w:val="79F93A46"/>
    <w:rsid w:val="7A124C5D"/>
    <w:rsid w:val="7A5D3ADC"/>
    <w:rsid w:val="7A6B4B71"/>
    <w:rsid w:val="7AA22A65"/>
    <w:rsid w:val="7B0029A1"/>
    <w:rsid w:val="7B013B2B"/>
    <w:rsid w:val="7B164183"/>
    <w:rsid w:val="7B590514"/>
    <w:rsid w:val="7BB036C1"/>
    <w:rsid w:val="7C5807CC"/>
    <w:rsid w:val="7C771F3E"/>
    <w:rsid w:val="7CA348E5"/>
    <w:rsid w:val="7D127336"/>
    <w:rsid w:val="7D545522"/>
    <w:rsid w:val="7D770AB0"/>
    <w:rsid w:val="7D9341B1"/>
    <w:rsid w:val="7DA45501"/>
    <w:rsid w:val="7DDA6D11"/>
    <w:rsid w:val="7E0A602E"/>
    <w:rsid w:val="7E1207ED"/>
    <w:rsid w:val="7E2B5128"/>
    <w:rsid w:val="7E59242D"/>
    <w:rsid w:val="7E6F5BAA"/>
    <w:rsid w:val="7E932BDB"/>
    <w:rsid w:val="7EA55ED8"/>
    <w:rsid w:val="7EA71F32"/>
    <w:rsid w:val="7ECC6D87"/>
    <w:rsid w:val="7ED160D1"/>
    <w:rsid w:val="7EEE727B"/>
    <w:rsid w:val="7F174C40"/>
    <w:rsid w:val="7F1B5223"/>
    <w:rsid w:val="7F8368DC"/>
    <w:rsid w:val="7FF05342"/>
    <w:rsid w:val="AFCD0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正文首行缩进1"/>
    <w:basedOn w:val="3"/>
    <w:qFormat/>
    <w:uiPriority w:val="0"/>
    <w:pPr>
      <w:widowControl/>
      <w:spacing w:before="100" w:beforeAutospacing="1" w:after="0"/>
      <w:ind w:firstLine="420" w:firstLineChars="100"/>
    </w:pPr>
    <w:rPr>
      <w:rFonts w:ascii="Calibri" w:hAnsi="Calibri" w:eastAsia="楷体_GB2312" w:cs="Arial"/>
    </w:rPr>
  </w:style>
  <w:style w:type="paragraph" w:styleId="3">
    <w:name w:val="Body Text"/>
    <w:basedOn w:val="1"/>
    <w:next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widowControl/>
      <w:spacing w:before="100" w:beforeAutospacing="1" w:after="100" w:afterAutospacing="1"/>
      <w:jc w:val="left"/>
    </w:pPr>
    <w:rPr>
      <w:rFonts w:ascii="宋体" w:hAnsi="宋体"/>
      <w:kern w:val="0"/>
      <w:sz w:val="24"/>
    </w:rPr>
  </w:style>
  <w:style w:type="table" w:customStyle="1" w:styleId="9">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228</Pages>
  <Words>648</Words>
  <Characters>895</Characters>
  <Lines>0</Lines>
  <Paragraphs>0</Paragraphs>
  <TotalTime>2</TotalTime>
  <ScaleCrop>false</ScaleCrop>
  <LinksUpToDate>false</LinksUpToDate>
  <CharactersWithSpaces>972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2023-09-04T09:32:00Z</dcterms:created>
  <dc:creator>HP</dc:creator>
  <cp:lastModifiedBy>庄君清</cp:lastModifiedBy>
  <cp:lastPrinted>2023-09-08T16:46:00Z</cp:lastPrinted>
  <dcterms:modified xsi:type="dcterms:W3CDTF">2026-03-25T06:47:54Z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2D15BAA8AE1B44DEBB563A7EEFEE763E</vt:lpwstr>
  </property>
  <property fmtid="{D5CDD505-2E9C-101B-9397-08002B2CF9AE}" pid="4" name="KSOTemplateDocerSaveRecord">
    <vt:lpwstr>eyJoZGlkIjoiNGIyYjEyZWEzNTQxYzEyODg0MmRmNTc1MjJkNmU5ZDUiLCJ1c2VySWQiOiI0ODMwMTU3NzAifQ==</vt:lpwstr>
  </property>
</Properties>
</file>