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6E0B9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《泉港区优抚对象医疗保障实施办法》</w:t>
      </w:r>
    </w:p>
    <w:p w14:paraId="1AB7474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（征求意见稿）</w:t>
      </w:r>
      <w:bookmarkStart w:id="0" w:name="_GoBack"/>
      <w:bookmarkEnd w:id="0"/>
    </w:p>
    <w:p w14:paraId="69BE4CF5">
      <w:pPr>
        <w:keepNext w:val="0"/>
        <w:keepLines w:val="0"/>
        <w:pageBreakBefore w:val="0"/>
        <w:widowControl w:val="0"/>
        <w:kinsoku/>
        <w:overflowPunct/>
        <w:topLinePunct w:val="0"/>
        <w:autoSpaceDE/>
        <w:autoSpaceDN/>
        <w:bidi w:val="0"/>
        <w:adjustRightInd/>
        <w:snapToGrid/>
        <w:spacing w:line="520" w:lineRule="exact"/>
        <w:rPr>
          <w:rFonts w:hint="eastAsia"/>
        </w:rPr>
      </w:pPr>
    </w:p>
    <w:p w14:paraId="48C655F9">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为贯彻落实党和国家对退役军人的优待政策，缓解我区优抚对象“医疗难”问题，根据《军人抚恤优待条例》《福建省退役军人事务厅等6部门关于印发〈福建省优抚对象医疗保障实施办法〉的通知》（闽退役军人厅规</w:t>
      </w:r>
      <w:r>
        <w:rPr>
          <w:rFonts w:hint="eastAsia" w:ascii="Times New Roman" w:hAnsi="Times New Roman" w:eastAsia="方正仿宋简体" w:cs="Times New Roman"/>
          <w:sz w:val="32"/>
          <w:szCs w:val="32"/>
          <w:lang w:val="en-US" w:eastAsia="zh-CN"/>
        </w:rPr>
        <w:t>〔2025〕2</w:t>
      </w:r>
      <w:r>
        <w:rPr>
          <w:rFonts w:hint="eastAsia" w:ascii="Times New Roman" w:hAnsi="Times New Roman" w:eastAsia="仿宋_GB2312" w:cs="Times New Roman"/>
          <w:sz w:val="32"/>
          <w:szCs w:val="32"/>
          <w:lang w:val="en-US" w:eastAsia="zh-CN"/>
        </w:rPr>
        <w:t>号）等有关文件精神，结合我区实际，制定优抚对象医疗补助办法，具体如下：</w:t>
      </w:r>
    </w:p>
    <w:p w14:paraId="5510A6A0">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w:t>
      </w:r>
      <w:r>
        <w:rPr>
          <w:rFonts w:hint="eastAsia" w:ascii="Times New Roman" w:hAnsi="Times New Roman" w:eastAsia="黑体" w:cs="Times New Roman"/>
          <w:sz w:val="32"/>
          <w:szCs w:val="32"/>
          <w:lang w:val="en-US" w:eastAsia="zh-CN"/>
        </w:rPr>
        <w:t>保障</w:t>
      </w:r>
      <w:r>
        <w:rPr>
          <w:rFonts w:hint="default" w:ascii="Times New Roman" w:hAnsi="Times New Roman" w:eastAsia="黑体" w:cs="Times New Roman"/>
          <w:sz w:val="32"/>
          <w:szCs w:val="32"/>
          <w:lang w:val="en-US" w:eastAsia="zh-CN"/>
        </w:rPr>
        <w:t>原则</w:t>
      </w:r>
    </w:p>
    <w:p w14:paraId="7252C5F9">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坚持待遇与贡献匹配、普惠与优待叠加原则，优抚对象按规定参加我区基本医疗保险并享受相应的医疗补助待遇。</w:t>
      </w:r>
    </w:p>
    <w:p w14:paraId="56A12493">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（二）优抚对象</w:t>
      </w:r>
      <w:r>
        <w:rPr>
          <w:rFonts w:hint="default" w:ascii="Times New Roman" w:hAnsi="Times New Roman" w:eastAsia="仿宋_GB2312" w:cs="Times New Roman"/>
          <w:sz w:val="32"/>
          <w:szCs w:val="32"/>
          <w:lang w:val="en-US" w:eastAsia="zh-CN"/>
        </w:rPr>
        <w:t>医疗</w:t>
      </w:r>
      <w:r>
        <w:rPr>
          <w:rFonts w:hint="eastAsia" w:ascii="Times New Roman" w:hAnsi="Times New Roman" w:eastAsia="仿宋_GB2312" w:cs="Times New Roman"/>
          <w:sz w:val="32"/>
          <w:szCs w:val="32"/>
          <w:lang w:val="en-US" w:eastAsia="zh-CN"/>
        </w:rPr>
        <w:t>保障</w:t>
      </w:r>
      <w:r>
        <w:rPr>
          <w:rFonts w:hint="default" w:ascii="Times New Roman" w:hAnsi="Times New Roman" w:eastAsia="仿宋_GB2312" w:cs="Times New Roman"/>
          <w:sz w:val="32"/>
          <w:szCs w:val="32"/>
          <w:lang w:val="en-US" w:eastAsia="zh-CN"/>
        </w:rPr>
        <w:t>水平</w:t>
      </w:r>
      <w:r>
        <w:rPr>
          <w:rFonts w:hint="eastAsia" w:ascii="Times New Roman" w:hAnsi="Times New Roman" w:eastAsia="仿宋_GB2312" w:cs="Times New Roman"/>
          <w:sz w:val="32"/>
          <w:szCs w:val="32"/>
          <w:lang w:val="en-US" w:eastAsia="zh-CN"/>
        </w:rPr>
        <w:t>应</w:t>
      </w:r>
      <w:r>
        <w:rPr>
          <w:rFonts w:hint="default" w:ascii="Times New Roman" w:hAnsi="Times New Roman" w:eastAsia="仿宋_GB2312" w:cs="Times New Roman"/>
          <w:sz w:val="32"/>
          <w:szCs w:val="32"/>
          <w:lang w:val="en-US" w:eastAsia="zh-CN"/>
        </w:rPr>
        <w:t>与我</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lang w:val="en-US" w:eastAsia="zh-CN"/>
        </w:rPr>
        <w:t>经济发展水平和财政承担能力相适应，</w:t>
      </w:r>
      <w:r>
        <w:rPr>
          <w:rFonts w:hint="eastAsia" w:ascii="Times New Roman" w:hAnsi="Times New Roman" w:eastAsia="仿宋_GB2312" w:cs="Times New Roman"/>
          <w:sz w:val="32"/>
          <w:szCs w:val="32"/>
          <w:lang w:val="en-US" w:eastAsia="zh-CN"/>
        </w:rPr>
        <w:t>保证优抚对象现有医疗待遇不降低。优抚对象应按照属地原则参加职工基本医疗保险、城乡居民基本医疗保险，实现应保尽保。</w:t>
      </w:r>
    </w:p>
    <w:p w14:paraId="25664E8A">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黑体" w:hAnsi="黑体" w:eastAsia="黑体" w:cs="黑体"/>
          <w:sz w:val="32"/>
          <w:szCs w:val="32"/>
          <w:lang w:val="en-US" w:eastAsia="zh-CN"/>
        </w:rPr>
      </w:pPr>
      <w:r>
        <w:rPr>
          <w:rFonts w:hint="eastAsia"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lang w:val="en-US" w:eastAsia="zh-CN"/>
        </w:rPr>
        <w:t>医疗</w:t>
      </w:r>
      <w:r>
        <w:rPr>
          <w:rFonts w:hint="eastAsia" w:ascii="Times New Roman" w:hAnsi="Times New Roman" w:eastAsia="仿宋_GB2312" w:cs="Times New Roman"/>
          <w:sz w:val="32"/>
          <w:szCs w:val="32"/>
          <w:lang w:val="en-US" w:eastAsia="zh-CN"/>
        </w:rPr>
        <w:t>保障</w:t>
      </w:r>
      <w:r>
        <w:rPr>
          <w:rFonts w:hint="default" w:ascii="Times New Roman" w:hAnsi="Times New Roman" w:eastAsia="仿宋_GB2312" w:cs="Times New Roman"/>
          <w:sz w:val="32"/>
          <w:szCs w:val="32"/>
          <w:lang w:val="en-US" w:eastAsia="zh-CN"/>
        </w:rPr>
        <w:t>经费要合理使用，厉行节约。</w:t>
      </w:r>
    </w:p>
    <w:p w14:paraId="3B23C953">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二、补助对象范围</w:t>
      </w:r>
    </w:p>
    <w:p w14:paraId="655FA3D5">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本办法适用于我</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lang w:val="en-US" w:eastAsia="zh-CN"/>
        </w:rPr>
        <w:t>享受</w:t>
      </w:r>
      <w:r>
        <w:rPr>
          <w:rFonts w:hint="eastAsia" w:ascii="Times New Roman" w:hAnsi="Times New Roman" w:eastAsia="仿宋_GB2312" w:cs="Times New Roman"/>
          <w:sz w:val="32"/>
          <w:szCs w:val="32"/>
          <w:lang w:val="en-US" w:eastAsia="zh-CN"/>
        </w:rPr>
        <w:t>国家</w:t>
      </w:r>
      <w:r>
        <w:rPr>
          <w:rFonts w:hint="default" w:ascii="Times New Roman" w:hAnsi="Times New Roman" w:eastAsia="仿宋_GB2312" w:cs="Times New Roman"/>
          <w:sz w:val="32"/>
          <w:szCs w:val="32"/>
          <w:lang w:val="en-US" w:eastAsia="zh-CN"/>
        </w:rPr>
        <w:t>定期抚恤补助的优抚对象。</w:t>
      </w:r>
    </w:p>
    <w:p w14:paraId="0C3CA54C">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本办法所称优抚对象，分为</w:t>
      </w:r>
      <w:r>
        <w:rPr>
          <w:rFonts w:hint="eastAsia"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lang w:val="en-US" w:eastAsia="zh-CN"/>
        </w:rPr>
        <w:t>类：</w:t>
      </w:r>
    </w:p>
    <w:p w14:paraId="15778928">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第一类：一级至</w:t>
      </w:r>
      <w:r>
        <w:rPr>
          <w:rFonts w:hint="eastAsia"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lang w:val="en-US" w:eastAsia="zh-CN"/>
        </w:rPr>
        <w:t>级残疾退役军人；</w:t>
      </w:r>
    </w:p>
    <w:p w14:paraId="779A3029">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第二类：五级至六级残疾退役军人；</w:t>
      </w:r>
    </w:p>
    <w:p w14:paraId="0AD212DC">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第</w:t>
      </w:r>
      <w:r>
        <w:rPr>
          <w:rFonts w:hint="eastAsia"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lang w:val="en-US" w:eastAsia="zh-CN"/>
        </w:rPr>
        <w:t>类：七级至十级残疾退役军人、烈士遗属、因公牺牲军人遗属、病故军人遗属、带病回乡军人、在乡复员军人、参战参试退役军人。</w:t>
      </w:r>
    </w:p>
    <w:p w14:paraId="6B90542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三、</w:t>
      </w:r>
      <w:r>
        <w:rPr>
          <w:rFonts w:hint="eastAsia" w:ascii="黑体" w:hAnsi="黑体" w:eastAsia="黑体" w:cs="黑体"/>
          <w:sz w:val="32"/>
          <w:szCs w:val="32"/>
          <w:lang w:val="en-US" w:eastAsia="zh-CN"/>
        </w:rPr>
        <w:t>医疗补助</w:t>
      </w:r>
    </w:p>
    <w:p w14:paraId="5411150B">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w:t>
      </w:r>
      <w:r>
        <w:rPr>
          <w:rFonts w:hint="eastAsia" w:ascii="Times New Roman" w:hAnsi="Times New Roman" w:eastAsia="仿宋_GB2312" w:cs="Times New Roman"/>
          <w:sz w:val="32"/>
          <w:szCs w:val="32"/>
          <w:lang w:val="en-US" w:eastAsia="zh-CN"/>
        </w:rPr>
        <w:t>）补</w:t>
      </w:r>
      <w:r>
        <w:rPr>
          <w:rFonts w:hint="eastAsia" w:ascii="楷体_GB2312" w:hAnsi="楷体_GB2312" w:eastAsia="楷体_GB2312" w:cs="楷体_GB2312"/>
          <w:sz w:val="32"/>
          <w:szCs w:val="32"/>
          <w:lang w:eastAsia="zh-CN"/>
        </w:rPr>
        <w:t>助标准</w:t>
      </w:r>
    </w:p>
    <w:p w14:paraId="444ABB2C">
      <w:pPr>
        <w:keepNext w:val="0"/>
        <w:keepLines w:val="0"/>
        <w:pageBreakBefore w:val="0"/>
        <w:widowControl w:val="0"/>
        <w:numPr>
          <w:ilvl w:val="0"/>
          <w:numId w:val="0"/>
        </w:numPr>
        <w:kinsoku/>
        <w:wordWrap w:val="0"/>
        <w:overflowPunct/>
        <w:topLinePunct w:val="0"/>
        <w:autoSpaceDE/>
        <w:autoSpaceDN/>
        <w:bidi w:val="0"/>
        <w:adjustRightInd/>
        <w:snapToGrid/>
        <w:spacing w:before="0" w:after="0" w:line="520" w:lineRule="exact"/>
        <w:ind w:right="160" w:rightChars="0" w:firstLine="640" w:firstLineChars="200"/>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一级至四级残疾退役军人补助标准。根据《军人抚恤优待条例》（2024年10月1日施行）第三十三条规定：“退出现役时为一级至四级的残疾军人，由国家供养终身”。补助对象在医保定点医疗机构发生的医疗费用经基本医疗保险、大病保险、医疗救助等政策报销后，个人自付部分由优抚对象医疗补助资金按100%比例给予补助。</w:t>
      </w:r>
    </w:p>
    <w:p w14:paraId="284DAC5B">
      <w:pPr>
        <w:keepNext w:val="0"/>
        <w:keepLines w:val="0"/>
        <w:pageBreakBefore w:val="0"/>
        <w:widowControl w:val="0"/>
        <w:numPr>
          <w:ilvl w:val="0"/>
          <w:numId w:val="0"/>
        </w:numPr>
        <w:kinsoku/>
        <w:wordWrap w:val="0"/>
        <w:overflowPunct/>
        <w:topLinePunct w:val="0"/>
        <w:autoSpaceDE/>
        <w:autoSpaceDN/>
        <w:bidi w:val="0"/>
        <w:adjustRightInd/>
        <w:snapToGrid/>
        <w:spacing w:before="0" w:after="0" w:line="520" w:lineRule="exact"/>
        <w:ind w:right="160" w:rightChars="0" w:firstLine="640" w:firstLineChars="200"/>
        <w:jc w:val="both"/>
        <w:textAlignment w:val="baseline"/>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2.五级至六级残疾退役军人补助标准。补助对象在医保定点医疗机构发生的医疗费用经基本医疗保险、大病保险、医疗救助等政策报销后，个人自付部分由优抚对象医疗补助资金按医保目录内100%比例给予补助。</w:t>
      </w:r>
    </w:p>
    <w:p w14:paraId="72399A73">
      <w:pPr>
        <w:keepNext w:val="0"/>
        <w:keepLines w:val="0"/>
        <w:pageBreakBefore w:val="0"/>
        <w:widowControl w:val="0"/>
        <w:numPr>
          <w:ilvl w:val="-1"/>
          <w:numId w:val="0"/>
        </w:numPr>
        <w:kinsoku/>
        <w:wordWrap/>
        <w:overflowPunct/>
        <w:topLinePunct w:val="0"/>
        <w:autoSpaceDE/>
        <w:autoSpaceDN/>
        <w:bidi w:val="0"/>
        <w:adjustRightInd/>
        <w:snapToGrid/>
        <w:spacing w:before="0" w:after="0" w:line="520" w:lineRule="exact"/>
        <w:ind w:right="0" w:righ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七级至十级及其他优抚对象补助标准。个人门诊费按优抚对象医疗补助资金个人年筹集标准的30%（180元/年）拨入其个人账户，用于平时在医保定点医院门诊的开支。补助对象在医保定点医疗机构发生的基本医疗保险政策范围内住院和门诊特殊病种医疗费用经基本医疗保险、大病保险、医疗救助等政策报销后，个人自付部分由优抚对象医疗补助资金按医保目录内90%比例给予补助。</w:t>
      </w:r>
    </w:p>
    <w:p w14:paraId="4A354F7F">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补助限额。</w:t>
      </w:r>
      <w:r>
        <w:rPr>
          <w:rFonts w:hint="eastAsia" w:ascii="Times New Roman" w:hAnsi="Times New Roman" w:eastAsia="仿宋_GB2312" w:cs="Times New Roman"/>
          <w:sz w:val="32"/>
          <w:szCs w:val="32"/>
          <w:lang w:val="en-US" w:eastAsia="zh-CN"/>
        </w:rPr>
        <w:t>第一、二类优抚对象不设年度补助限额，</w:t>
      </w:r>
      <w:r>
        <w:rPr>
          <w:rFonts w:hint="default" w:ascii="Times New Roman" w:hAnsi="Times New Roman" w:eastAsia="仿宋_GB2312" w:cs="Times New Roman"/>
          <w:sz w:val="32"/>
          <w:szCs w:val="32"/>
          <w:lang w:val="en-US" w:eastAsia="zh-CN"/>
        </w:rPr>
        <w:t>第</w:t>
      </w:r>
      <w:r>
        <w:rPr>
          <w:rFonts w:hint="eastAsia"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val="en-US" w:eastAsia="zh-CN"/>
        </w:rPr>
        <w:t>优抚</w:t>
      </w:r>
      <w:r>
        <w:rPr>
          <w:rFonts w:hint="default" w:ascii="Times New Roman" w:hAnsi="Times New Roman" w:eastAsia="仿宋_GB2312" w:cs="Times New Roman"/>
          <w:sz w:val="32"/>
          <w:szCs w:val="32"/>
          <w:lang w:val="en-US" w:eastAsia="zh-CN"/>
        </w:rPr>
        <w:t>对象每人每年</w:t>
      </w:r>
      <w:r>
        <w:rPr>
          <w:rFonts w:hint="eastAsia" w:ascii="Times New Roman" w:hAnsi="Times New Roman" w:eastAsia="仿宋_GB2312" w:cs="Times New Roman"/>
          <w:sz w:val="32"/>
          <w:szCs w:val="32"/>
          <w:lang w:val="en-US" w:eastAsia="zh-CN"/>
        </w:rPr>
        <w:t>住院</w:t>
      </w:r>
      <w:r>
        <w:rPr>
          <w:rFonts w:hint="default" w:ascii="Times New Roman" w:hAnsi="Times New Roman" w:eastAsia="仿宋_GB2312" w:cs="Times New Roman"/>
          <w:sz w:val="32"/>
          <w:szCs w:val="32"/>
          <w:lang w:val="en-US" w:eastAsia="zh-CN"/>
        </w:rPr>
        <w:t>年度补助最高限额</w:t>
      </w:r>
      <w:r>
        <w:rPr>
          <w:rFonts w:hint="eastAsia" w:ascii="Times New Roman" w:hAnsi="Times New Roman" w:eastAsia="仿宋_GB2312" w:cs="Times New Roman"/>
          <w:sz w:val="32"/>
          <w:szCs w:val="32"/>
          <w:lang w:val="en-US" w:eastAsia="zh-CN"/>
        </w:rPr>
        <w:t>标准</w:t>
      </w:r>
      <w:r>
        <w:rPr>
          <w:rFonts w:hint="default" w:ascii="Times New Roman" w:hAnsi="Times New Roman" w:eastAsia="仿宋_GB2312" w:cs="Times New Roman"/>
          <w:sz w:val="32"/>
          <w:szCs w:val="32"/>
          <w:lang w:val="en-US" w:eastAsia="zh-CN"/>
        </w:rPr>
        <w:t>为</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，门诊特殊病种</w:t>
      </w:r>
      <w:r>
        <w:rPr>
          <w:rFonts w:hint="default" w:ascii="Times New Roman" w:hAnsi="Times New Roman" w:eastAsia="仿宋_GB2312" w:cs="Times New Roman"/>
          <w:sz w:val="32"/>
          <w:szCs w:val="32"/>
          <w:lang w:val="en-US" w:eastAsia="zh-CN"/>
        </w:rPr>
        <w:t>年度补助最高限额</w:t>
      </w:r>
      <w:r>
        <w:rPr>
          <w:rFonts w:hint="eastAsia" w:ascii="Times New Roman" w:hAnsi="Times New Roman" w:eastAsia="仿宋_GB2312" w:cs="Times New Roman"/>
          <w:sz w:val="32"/>
          <w:szCs w:val="32"/>
          <w:lang w:val="en-US" w:eastAsia="zh-CN"/>
        </w:rPr>
        <w:t>标准</w:t>
      </w:r>
      <w:r>
        <w:rPr>
          <w:rFonts w:hint="default" w:ascii="Times New Roman" w:hAnsi="Times New Roman" w:eastAsia="仿宋_GB2312" w:cs="Times New Roman"/>
          <w:sz w:val="32"/>
          <w:szCs w:val="32"/>
          <w:lang w:val="en-US" w:eastAsia="zh-CN"/>
        </w:rPr>
        <w:t>为</w:t>
      </w:r>
      <w:r>
        <w:rPr>
          <w:rFonts w:hint="eastAsia" w:ascii="Times New Roman" w:hAnsi="Times New Roman" w:eastAsia="仿宋_GB2312" w:cs="Times New Roman"/>
          <w:sz w:val="32"/>
          <w:szCs w:val="32"/>
          <w:lang w:val="en-US" w:eastAsia="zh-CN"/>
        </w:rPr>
        <w:t>3千</w:t>
      </w:r>
      <w:r>
        <w:rPr>
          <w:rFonts w:hint="default" w:ascii="Times New Roman" w:hAnsi="Times New Roman" w:eastAsia="仿宋_GB2312" w:cs="Times New Roman"/>
          <w:sz w:val="32"/>
          <w:szCs w:val="32"/>
          <w:lang w:val="en-US" w:eastAsia="zh-CN"/>
        </w:rPr>
        <w:t>元。年度限额计算周期为</w:t>
      </w:r>
      <w:r>
        <w:rPr>
          <w:rFonts w:hint="eastAsia" w:ascii="Times New Roman" w:hAnsi="Times New Roman" w:eastAsia="仿宋_GB2312" w:cs="Times New Roman"/>
          <w:sz w:val="32"/>
          <w:szCs w:val="32"/>
          <w:lang w:val="en-US" w:eastAsia="zh-CN"/>
        </w:rPr>
        <w:t>当年度</w:t>
      </w:r>
      <w:r>
        <w:rPr>
          <w:rFonts w:hint="default" w:ascii="Times New Roman" w:hAnsi="Times New Roman" w:eastAsia="仿宋_GB2312" w:cs="Times New Roman"/>
          <w:sz w:val="32"/>
          <w:szCs w:val="32"/>
          <w:lang w:val="en-US" w:eastAsia="zh-CN"/>
        </w:rPr>
        <w:t>1月1日至</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lang w:val="en-US" w:eastAsia="zh-CN"/>
        </w:rPr>
        <w:t>月3</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日。</w:t>
      </w:r>
    </w:p>
    <w:p w14:paraId="12AF5B36">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（二）补助流程</w:t>
      </w:r>
    </w:p>
    <w:p w14:paraId="2B56B801">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第一、二类优抚对象申请医疗补助的，需携带医疗费用发票、疾病证明书、费用汇总清单、出院小结、医疗结算单等医疗材料原件及身份证和银行卡复印件，到泉州市医疗保障基金中心泉港分中心申请，由泉州市医疗保障基金中心泉港分中心协助查询相关数据，加盖公章汇总至区退役军人事务局审批。</w:t>
      </w:r>
    </w:p>
    <w:p w14:paraId="36FFFF20">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第三类优抚对象申请医疗补助的，需携带医疗费用发票、出院小结、医疗结算单、费用汇总清单等医疗材料原件及身份证和银行卡复印件至区退役军人服务中心申请，由区退役军人服务中心初步受理并审核后汇总至区退役军人事务局审批。</w:t>
      </w:r>
    </w:p>
    <w:p w14:paraId="790745D0">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3.医疗费用补助金实行社会化发放方式，经审批通过后，由银行代发至申请对象个人账户。具体补助发放时间根据实际情况安排（原则上每月结算一次，本月上报次月核销）。</w:t>
      </w:r>
    </w:p>
    <w:p w14:paraId="0C68F594">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四、下列情形发生的医疗费用不属于补助范围</w:t>
      </w:r>
    </w:p>
    <w:p w14:paraId="2EDA775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（一）城镇职工医疗保险，新型农村合作医疗规定的医疗用药目录，诊疗项目目录和医疗服务设施目录支付范围以外的费用；</w:t>
      </w:r>
    </w:p>
    <w:p w14:paraId="5860E75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（二）参与违法犯罪活动等原因产生的医疗费用的；</w:t>
      </w:r>
    </w:p>
    <w:p w14:paraId="6C146D2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（三）提供虚假证明或相关证明材料提供不全的；</w:t>
      </w:r>
    </w:p>
    <w:p w14:paraId="1C73E6D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（四）在境外（含港澳台地区）就医的；</w:t>
      </w:r>
    </w:p>
    <w:p w14:paraId="4C1C3A3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（五）应当由第三者负担的；</w:t>
      </w:r>
    </w:p>
    <w:p w14:paraId="7222AC2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（六）其他依法、依规不应予以支付的医疗费用。</w:t>
      </w:r>
    </w:p>
    <w:p w14:paraId="0ECC0842">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lang w:val="en-US" w:eastAsia="zh-CN"/>
        </w:rPr>
        <w:t>、</w:t>
      </w:r>
      <w:r>
        <w:rPr>
          <w:rFonts w:hint="eastAsia" w:ascii="Times New Roman" w:hAnsi="Times New Roman" w:eastAsia="黑体" w:cs="Times New Roman"/>
          <w:sz w:val="32"/>
          <w:szCs w:val="32"/>
          <w:lang w:val="en-US" w:eastAsia="zh-CN"/>
        </w:rPr>
        <w:t>组织实施</w:t>
      </w:r>
    </w:p>
    <w:p w14:paraId="7CF3AEEF">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优抚对象医疗保障工作由区退役军人事务局、财政局、卫健局、人社局、医保部门管理并组织实施，各部门应密切配合，切实履行各自职责。</w:t>
      </w:r>
    </w:p>
    <w:p w14:paraId="19F946AF">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lang w:val="en-US" w:eastAsia="zh-CN"/>
        </w:rPr>
        <w:t>、</w:t>
      </w:r>
      <w:r>
        <w:rPr>
          <w:rFonts w:hint="eastAsia" w:ascii="Times New Roman" w:hAnsi="Times New Roman" w:eastAsia="黑体" w:cs="Times New Roman"/>
          <w:sz w:val="32"/>
          <w:szCs w:val="32"/>
          <w:lang w:val="en-US" w:eastAsia="zh-CN"/>
        </w:rPr>
        <w:t>其他事项</w:t>
      </w:r>
    </w:p>
    <w:p w14:paraId="5C3D920A">
      <w:pPr>
        <w:keepNext w:val="0"/>
        <w:keepLines w:val="0"/>
        <w:pageBreakBefore w:val="0"/>
        <w:widowControl w:val="0"/>
        <w:kinsoku/>
        <w:wordWrap/>
        <w:overflowPunct/>
        <w:topLinePunct w:val="0"/>
        <w:autoSpaceDE/>
        <w:autoSpaceDN/>
        <w:bidi w:val="0"/>
        <w:adjustRightInd/>
        <w:snapToGrid/>
        <w:spacing w:line="520" w:lineRule="exact"/>
        <w:ind w:left="319" w:leftChars="152" w:firstLine="320" w:firstLineChars="1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lang w:val="en-US" w:eastAsia="zh-CN"/>
        </w:rPr>
        <w:t>本办法自</w:t>
      </w:r>
      <w:r>
        <w:rPr>
          <w:rFonts w:hint="eastAsia" w:ascii="Times New Roman" w:hAnsi="Times New Roman" w:eastAsia="仿宋_GB2312" w:cs="Times New Roman"/>
          <w:sz w:val="32"/>
          <w:szCs w:val="32"/>
          <w:lang w:val="en-US" w:eastAsia="zh-CN"/>
        </w:rPr>
        <w:t>2026</w:t>
      </w:r>
      <w:r>
        <w:rPr>
          <w:rFonts w:hint="default" w:ascii="Times New Roman" w:hAnsi="Times New Roman" w:eastAsia="仿宋_GB2312" w:cs="Times New Roman"/>
          <w:sz w:val="32"/>
          <w:szCs w:val="32"/>
          <w:lang w:val="en-US" w:eastAsia="zh-CN"/>
        </w:rPr>
        <w:t>年  月  日起实施</w:t>
      </w:r>
      <w:r>
        <w:rPr>
          <w:rFonts w:hint="eastAsia" w:ascii="Times New Roman" w:hAnsi="Times New Roman" w:eastAsia="仿宋_GB2312" w:cs="Times New Roman"/>
          <w:sz w:val="32"/>
          <w:szCs w:val="32"/>
          <w:lang w:val="en-US" w:eastAsia="zh-CN"/>
        </w:rPr>
        <w:t>，有效期至2030年12月31日。</w:t>
      </w:r>
    </w:p>
    <w:p w14:paraId="718117B6">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（二）本办法未作规定的，依照国家、省、市有关优抚对象医疗保障实施办法执行。</w:t>
      </w:r>
    </w:p>
    <w:p w14:paraId="2C1CA77E">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（三）本办法由区退役军人事务局、财政局、卫健局、人社局和医保部门负责解释。</w:t>
      </w:r>
    </w:p>
    <w:p w14:paraId="262A3091">
      <w:pPr>
        <w:keepNext w:val="0"/>
        <w:keepLines w:val="0"/>
        <w:pageBreakBefore w:val="0"/>
        <w:widowControl w:val="0"/>
        <w:kinsoku/>
        <w:wordWrap w:val="0"/>
        <w:overflowPunct/>
        <w:topLinePunct w:val="0"/>
        <w:autoSpaceDE/>
        <w:autoSpaceDN/>
        <w:bidi w:val="0"/>
        <w:adjustRightInd/>
        <w:snapToGrid/>
        <w:spacing w:line="52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p>
    <w:p w14:paraId="323E2125">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eastAsiaTheme="minorEastAsia"/>
          <w:lang w:eastAsia="zh-CN"/>
        </w:rPr>
      </w:pPr>
    </w:p>
    <w:sectPr>
      <w:pgSz w:w="11906" w:h="16838"/>
      <w:pgMar w:top="1497" w:right="1973"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A2F1886-A6D4-4461-BFE9-44DAFA2678F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D7F9B1C-7A45-424E-B12A-B4CBCB7A6639}"/>
  </w:font>
  <w:font w:name="方正小标宋简体">
    <w:panose1 w:val="02000000000000000000"/>
    <w:charset w:val="86"/>
    <w:family w:val="auto"/>
    <w:pitch w:val="default"/>
    <w:sig w:usb0="00000001" w:usb1="08000000" w:usb2="00000000" w:usb3="00000000" w:csb0="00040000" w:csb1="00000000"/>
    <w:embedRegular r:id="rId3" w:fontKey="{F78C9A4D-74C9-4A64-BFAD-876B918003AF}"/>
  </w:font>
  <w:font w:name="仿宋_GB2312">
    <w:altName w:val="仿宋"/>
    <w:panose1 w:val="02010609030101010101"/>
    <w:charset w:val="86"/>
    <w:family w:val="modern"/>
    <w:pitch w:val="default"/>
    <w:sig w:usb0="00000000" w:usb1="00000000" w:usb2="00000000" w:usb3="00000000" w:csb0="00040000" w:csb1="00000000"/>
    <w:embedRegular r:id="rId4" w:fontKey="{84E31398-C64F-41FD-B792-76C0B0C4BB68}"/>
  </w:font>
  <w:font w:name="仿宋">
    <w:panose1 w:val="02010609060101010101"/>
    <w:charset w:val="86"/>
    <w:family w:val="auto"/>
    <w:pitch w:val="default"/>
    <w:sig w:usb0="800002BF" w:usb1="38CF7CFA" w:usb2="00000016" w:usb3="00000000" w:csb0="00040001" w:csb1="00000000"/>
  </w:font>
  <w:font w:name="方正仿宋简体">
    <w:altName w:val="微软雅黑"/>
    <w:panose1 w:val="02010601030101010101"/>
    <w:charset w:val="86"/>
    <w:family w:val="auto"/>
    <w:pitch w:val="default"/>
    <w:sig w:usb0="00000000" w:usb1="00000000" w:usb2="00000000" w:usb3="00000000" w:csb0="00040000" w:csb1="00000000"/>
    <w:embedRegular r:id="rId5" w:fontKey="{71BA5977-DADC-4C5D-9567-DAC7E93930A3}"/>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embedRegular r:id="rId6" w:fontKey="{3CAF4902-0D0F-4C18-9EDE-5C30722212A6}"/>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3E6D3E"/>
    <w:rsid w:val="0B7D4E74"/>
    <w:rsid w:val="11871A39"/>
    <w:rsid w:val="12A6671A"/>
    <w:rsid w:val="14227135"/>
    <w:rsid w:val="178A3F3A"/>
    <w:rsid w:val="1C0320AA"/>
    <w:rsid w:val="26A25CC4"/>
    <w:rsid w:val="38575582"/>
    <w:rsid w:val="3C5E2BC4"/>
    <w:rsid w:val="3E2B7513"/>
    <w:rsid w:val="3ED656D0"/>
    <w:rsid w:val="3F505F0C"/>
    <w:rsid w:val="3FA75A88"/>
    <w:rsid w:val="459B4F7E"/>
    <w:rsid w:val="4BB70638"/>
    <w:rsid w:val="4C876156"/>
    <w:rsid w:val="59CF678C"/>
    <w:rsid w:val="5AB355B0"/>
    <w:rsid w:val="5BFFA968"/>
    <w:rsid w:val="5F3E6D3E"/>
    <w:rsid w:val="614C34D0"/>
    <w:rsid w:val="61756D67"/>
    <w:rsid w:val="685A261F"/>
    <w:rsid w:val="69C26E00"/>
    <w:rsid w:val="70451B00"/>
    <w:rsid w:val="71FC4D80"/>
    <w:rsid w:val="780169EB"/>
    <w:rsid w:val="7CBF9D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1648</Words>
  <Characters>1683</Characters>
  <Lines>0</Lines>
  <Paragraphs>0</Paragraphs>
  <TotalTime>39</TotalTime>
  <ScaleCrop>false</ScaleCrop>
  <LinksUpToDate>false</LinksUpToDate>
  <CharactersWithSpaces>1691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2026-01-23T17:56:00Z</dcterms:created>
  <dc:creator>Administrator</dc:creator>
  <cp:lastModifiedBy>唐糖糖糖糖</cp:lastModifiedBy>
  <cp:lastPrinted>2026-06-09T02:19:00Z</cp:lastPrinted>
  <dcterms:modified xsi:type="dcterms:W3CDTF">2026-06-10T09:05:16Z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0DC532150166315C0E39256A2871B240_43</vt:lpwstr>
  </property>
  <property fmtid="{D5CDD505-2E9C-101B-9397-08002B2CF9AE}" pid="4" name="KSOTemplateDocerSaveRecord">
    <vt:lpwstr>eyJoZGlkIjoiOTE2NjBmMWI5ZTg1YWMwMGUzYjEyMzI3NDhkYmE3YjciLCJ1c2VySWQiOiI2NzIzOTc5NzEifQ==</vt:lpwstr>
  </property>
</Properties>
</file>