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FEEEF">
      <w:pPr>
        <w:keepNext w:val="0"/>
        <w:keepLines w:val="0"/>
        <w:pageBreakBefore w:val="0"/>
        <w:widowControl w:val="0"/>
        <w:kinsoku/>
        <w:wordWrap/>
        <w:overflowPunct/>
        <w:topLinePunct w:val="0"/>
        <w:autoSpaceDE/>
        <w:autoSpaceDN/>
        <w:bidi w:val="0"/>
        <w:adjustRightInd/>
        <w:snapToGrid/>
        <w:spacing w:line="560" w:lineRule="exact"/>
        <w:ind w:left="879" w:leftChars="209" w:hanging="440" w:hangingChars="100"/>
        <w:jc w:val="center"/>
        <w:textAlignment w:val="auto"/>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泉港区退役军人事务局关于《泉港区优抚对象医疗保障实施办法》的起草说明</w:t>
      </w:r>
    </w:p>
    <w:p w14:paraId="119584A3">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napToGrid w:val="0"/>
          <w:color w:val="000000"/>
          <w:kern w:val="0"/>
          <w:sz w:val="44"/>
          <w:szCs w:val="44"/>
          <w:lang w:val="en-US" w:eastAsia="zh-CN"/>
        </w:rPr>
      </w:pPr>
    </w:p>
    <w:p w14:paraId="1CB328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napToGrid w:val="0"/>
          <w:color w:val="000000"/>
          <w:kern w:val="0"/>
          <w:sz w:val="32"/>
          <w:szCs w:val="32"/>
          <w:lang w:val="en-US" w:eastAsia="zh-CN"/>
        </w:rPr>
      </w:pPr>
      <w:r>
        <w:rPr>
          <w:rFonts w:hint="eastAsia" w:ascii="黑体" w:hAnsi="黑体" w:eastAsia="黑体" w:cs="黑体"/>
          <w:snapToGrid w:val="0"/>
          <w:color w:val="000000"/>
          <w:kern w:val="0"/>
          <w:sz w:val="32"/>
          <w:szCs w:val="32"/>
          <w:lang w:val="en-US" w:eastAsia="zh-CN"/>
        </w:rPr>
        <w:t>一、起草背景</w:t>
      </w:r>
    </w:p>
    <w:p w14:paraId="38B82CF1">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党和国家对退役军人和其他优抚对象的关心关爱，切实解决我区部分优抚对象医疗困难问题，结合我区实际情况，我区牵头起草了《泉港区优抚对象医疗保障实施办法（征求意见稿）》（以下简称《办法》），旨减轻优抚对象的医疗费用负担，提升其医疗保障水平。</w:t>
      </w:r>
    </w:p>
    <w:p w14:paraId="1C6168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napToGrid w:val="0"/>
          <w:color w:val="000000"/>
          <w:kern w:val="0"/>
          <w:sz w:val="32"/>
          <w:szCs w:val="32"/>
          <w:lang w:val="en-US" w:eastAsia="zh-CN"/>
        </w:rPr>
      </w:pPr>
      <w:r>
        <w:rPr>
          <w:rFonts w:hint="eastAsia" w:ascii="黑体" w:hAnsi="黑体" w:eastAsia="黑体" w:cs="黑体"/>
          <w:snapToGrid w:val="0"/>
          <w:color w:val="000000"/>
          <w:kern w:val="0"/>
          <w:sz w:val="32"/>
          <w:szCs w:val="32"/>
          <w:lang w:val="en-US" w:eastAsia="zh-CN"/>
        </w:rPr>
        <w:t>二、起草依据</w:t>
      </w:r>
    </w:p>
    <w:p w14:paraId="726694A4">
      <w:pPr>
        <w:keepNext w:val="0"/>
        <w:keepLines w:val="0"/>
        <w:pageBreakBefore w:val="0"/>
        <w:widowControl w:val="0"/>
        <w:kinsoku/>
        <w:wordWrap w:val="0"/>
        <w:overflowPunct w:val="0"/>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本《办法》</w:t>
      </w:r>
      <w:r>
        <w:rPr>
          <w:rFonts w:hint="eastAsia" w:ascii="仿宋_GB2312" w:hAnsi="仿宋_GB2312" w:eastAsia="仿宋_GB2312" w:cs="仿宋_GB2312"/>
          <w:sz w:val="32"/>
          <w:szCs w:val="32"/>
        </w:rPr>
        <w:t>根据《军人抚恤优待</w:t>
      </w:r>
      <w:r>
        <w:rPr>
          <w:rFonts w:hint="eastAsia" w:ascii="仿宋_GB2312" w:hAnsi="仿宋_GB2312" w:eastAsia="仿宋_GB2312" w:cs="仿宋_GB2312"/>
          <w:sz w:val="32"/>
          <w:szCs w:val="32"/>
          <w:lang w:eastAsia="zh-CN"/>
        </w:rPr>
        <w:t>条</w:t>
      </w:r>
      <w:r>
        <w:rPr>
          <w:rFonts w:hint="eastAsia" w:ascii="仿宋_GB2312" w:hAnsi="仿宋_GB2312" w:eastAsia="仿宋_GB2312" w:cs="仿宋_GB2312"/>
          <w:sz w:val="32"/>
          <w:szCs w:val="32"/>
        </w:rPr>
        <w:t>例》</w:t>
      </w:r>
      <w:r>
        <w:rPr>
          <w:rFonts w:hint="eastAsia" w:ascii="仿宋_GB2312" w:hAnsi="仿宋_GB2312" w:eastAsia="仿宋_GB2312" w:cs="仿宋_GB2312"/>
          <w:sz w:val="32"/>
          <w:szCs w:val="32"/>
          <w:lang w:eastAsia="zh-CN"/>
        </w:rPr>
        <w:t>、《退役军人事务部等</w:t>
      </w:r>
      <w:r>
        <w:rPr>
          <w:rFonts w:hint="eastAsia" w:ascii="仿宋_GB2312" w:hAnsi="仿宋_GB2312" w:eastAsia="仿宋_GB2312" w:cs="仿宋_GB2312"/>
          <w:sz w:val="32"/>
          <w:szCs w:val="32"/>
          <w:lang w:val="en-US" w:eastAsia="zh-CN"/>
        </w:rPr>
        <w:t>6部门关于印发&lt;残疾退役军人医疗保障办法&gt;的通知</w:t>
      </w:r>
      <w:r>
        <w:rPr>
          <w:rFonts w:hint="eastAsia" w:ascii="仿宋_GB2312" w:hAnsi="仿宋_GB2312" w:eastAsia="仿宋_GB2312" w:cs="仿宋_GB2312"/>
          <w:sz w:val="32"/>
          <w:szCs w:val="32"/>
          <w:lang w:eastAsia="zh-CN"/>
        </w:rPr>
        <w:t>》（退役军人部发〔</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退役军人事务厅等</w:t>
      </w:r>
      <w:r>
        <w:rPr>
          <w:rFonts w:hint="eastAsia" w:ascii="仿宋_GB2312" w:hAnsi="仿宋_GB2312" w:eastAsia="仿宋_GB2312" w:cs="仿宋_GB2312"/>
          <w:sz w:val="32"/>
          <w:szCs w:val="32"/>
          <w:lang w:val="en-US" w:eastAsia="zh-CN"/>
        </w:rPr>
        <w:t>6部门关于印发&lt;福建省优抚对象医疗保障实施办法&gt;</w:t>
      </w:r>
      <w:bookmarkStart w:id="0" w:name="_GoBack"/>
      <w:bookmarkEnd w:id="0"/>
      <w:r>
        <w:rPr>
          <w:rFonts w:hint="eastAsia" w:ascii="仿宋_GB2312" w:hAnsi="仿宋_GB2312" w:eastAsia="仿宋_GB2312" w:cs="仿宋_GB2312"/>
          <w:sz w:val="32"/>
          <w:szCs w:val="32"/>
          <w:lang w:val="en-US" w:eastAsia="zh-CN"/>
        </w:rPr>
        <w:t>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（闽退役军人厅规〔2025〕2号）</w:t>
      </w:r>
      <w:r>
        <w:rPr>
          <w:rFonts w:hint="eastAsia" w:ascii="仿宋_GB2312" w:hAnsi="仿宋_GB2312" w:eastAsia="仿宋_GB2312" w:cs="仿宋_GB2312"/>
          <w:sz w:val="32"/>
          <w:szCs w:val="32"/>
        </w:rPr>
        <w:t>等有关政策文件精神，结合我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实际，</w:t>
      </w:r>
      <w:r>
        <w:rPr>
          <w:rFonts w:hint="eastAsia" w:ascii="仿宋_GB2312" w:hAnsi="仿宋_GB2312" w:eastAsia="仿宋_GB2312" w:cs="仿宋_GB2312"/>
          <w:sz w:val="32"/>
          <w:szCs w:val="32"/>
          <w:lang w:eastAsia="zh-CN"/>
        </w:rPr>
        <w:t>制定本办法。</w:t>
      </w:r>
    </w:p>
    <w:p w14:paraId="7B76C2D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napToGrid w:val="0"/>
          <w:color w:val="000000"/>
          <w:kern w:val="0"/>
          <w:sz w:val="32"/>
          <w:szCs w:val="32"/>
          <w:lang w:val="en-US" w:eastAsia="zh-CN"/>
        </w:rPr>
      </w:pPr>
      <w:r>
        <w:rPr>
          <w:rFonts w:hint="eastAsia" w:ascii="黑体" w:hAnsi="黑体" w:eastAsia="黑体" w:cs="黑体"/>
          <w:snapToGrid w:val="0"/>
          <w:color w:val="000000"/>
          <w:kern w:val="0"/>
          <w:sz w:val="32"/>
          <w:szCs w:val="32"/>
          <w:lang w:val="en-US" w:eastAsia="zh-CN"/>
        </w:rPr>
        <w:t>主要内容</w:t>
      </w:r>
    </w:p>
    <w:p w14:paraId="0902CD0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320" w:firstLineChars="1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补助</w:t>
      </w:r>
      <w:r>
        <w:rPr>
          <w:rFonts w:hint="eastAsia" w:ascii="楷体_GB2312" w:hAnsi="楷体_GB2312" w:eastAsia="楷体_GB2312" w:cs="楷体_GB2312"/>
          <w:sz w:val="32"/>
          <w:szCs w:val="32"/>
        </w:rPr>
        <w:t>对象</w:t>
      </w:r>
    </w:p>
    <w:p w14:paraId="67CDB7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lang w:eastAsia="zh-CN"/>
        </w:rPr>
        <w:t>适用于</w:t>
      </w:r>
      <w:r>
        <w:rPr>
          <w:rFonts w:hint="eastAsia" w:ascii="Times New Roman" w:hAnsi="Times New Roman" w:eastAsia="仿宋_GB2312" w:cs="Times New Roman"/>
          <w:sz w:val="32"/>
          <w:szCs w:val="32"/>
          <w:lang w:eastAsia="zh-CN"/>
        </w:rPr>
        <w:t>在我区</w:t>
      </w:r>
      <w:r>
        <w:rPr>
          <w:rFonts w:hint="default" w:ascii="Times New Roman" w:hAnsi="Times New Roman" w:eastAsia="仿宋_GB2312" w:cs="Times New Roman"/>
          <w:sz w:val="32"/>
          <w:szCs w:val="32"/>
          <w:lang w:eastAsia="zh-CN"/>
        </w:rPr>
        <w:t>享受</w:t>
      </w:r>
      <w:r>
        <w:rPr>
          <w:rFonts w:hint="eastAsia" w:ascii="Times New Roman" w:hAnsi="Times New Roman" w:eastAsia="仿宋_GB2312" w:cs="Times New Roman"/>
          <w:sz w:val="32"/>
          <w:szCs w:val="32"/>
          <w:lang w:eastAsia="zh-CN"/>
        </w:rPr>
        <w:t>国家</w:t>
      </w:r>
      <w:r>
        <w:rPr>
          <w:rFonts w:hint="default" w:ascii="Times New Roman" w:hAnsi="Times New Roman" w:eastAsia="仿宋_GB2312" w:cs="Times New Roman"/>
          <w:sz w:val="32"/>
          <w:szCs w:val="32"/>
          <w:lang w:eastAsia="zh-CN"/>
        </w:rPr>
        <w:t>定期抚恤</w:t>
      </w:r>
      <w:r>
        <w:rPr>
          <w:rFonts w:hint="eastAsia" w:ascii="Times New Roman" w:hAnsi="Times New Roman" w:eastAsia="仿宋_GB2312" w:cs="Times New Roman"/>
          <w:sz w:val="32"/>
          <w:szCs w:val="32"/>
          <w:lang w:eastAsia="zh-CN"/>
        </w:rPr>
        <w:t>补</w:t>
      </w:r>
      <w:r>
        <w:rPr>
          <w:rFonts w:hint="default" w:ascii="Times New Roman" w:hAnsi="Times New Roman" w:eastAsia="仿宋_GB2312" w:cs="Times New Roman"/>
          <w:sz w:val="32"/>
          <w:szCs w:val="32"/>
          <w:lang w:eastAsia="zh-CN"/>
        </w:rPr>
        <w:t>助的</w:t>
      </w:r>
      <w:r>
        <w:rPr>
          <w:rFonts w:hint="eastAsia" w:ascii="Times New Roman" w:hAnsi="Times New Roman" w:eastAsia="仿宋_GB2312" w:cs="Times New Roman"/>
          <w:sz w:val="32"/>
          <w:szCs w:val="32"/>
          <w:lang w:eastAsia="zh-CN"/>
        </w:rPr>
        <w:t>残疾退役军人（含其他伤残人员）、烈士遗属、因公牺牲军人遗属、病故军人遗属、在乡复员军人、参战（参试）退役军人、带病回乡退役军人。以上人员在本实施办法中简称优抚对象</w:t>
      </w:r>
      <w:r>
        <w:rPr>
          <w:rFonts w:hint="default" w:ascii="Times New Roman" w:hAnsi="Times New Roman" w:eastAsia="仿宋_GB2312" w:cs="Times New Roman"/>
          <w:sz w:val="32"/>
          <w:szCs w:val="32"/>
          <w:lang w:val="en-US" w:eastAsia="zh-CN"/>
        </w:rPr>
        <w:t>。</w:t>
      </w:r>
    </w:p>
    <w:p w14:paraId="128EF857">
      <w:pPr>
        <w:pStyle w:val="4"/>
        <w:keepNext w:val="0"/>
        <w:keepLines w:val="0"/>
        <w:pageBreakBefore w:val="0"/>
        <w:widowControl w:val="0"/>
        <w:numPr>
          <w:ilvl w:val="0"/>
          <w:numId w:val="2"/>
        </w:numPr>
        <w:kinsoku/>
        <w:wordWrap/>
        <w:overflowPunct/>
        <w:topLinePunct w:val="0"/>
        <w:autoSpaceDE/>
        <w:autoSpaceDN/>
        <w:bidi w:val="0"/>
        <w:adjustRightInd/>
        <w:snapToGrid/>
        <w:spacing w:after="0" w:line="600" w:lineRule="exact"/>
        <w:ind w:left="0" w:leftChars="0" w:firstLine="320" w:firstLineChars="100"/>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实施细则</w:t>
      </w:r>
    </w:p>
    <w:p w14:paraId="0B546345">
      <w:pPr>
        <w:pStyle w:val="4"/>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100" w:firstLine="643" w:firstLineChars="200"/>
        <w:jc w:val="left"/>
        <w:textAlignment w:val="auto"/>
        <w:rPr>
          <w:rFonts w:hint="default" w:ascii="Times New Roman" w:hAnsi="Times New Roman" w:eastAsia="仿宋_GB2312" w:cs="Times New Roman"/>
          <w:sz w:val="32"/>
          <w:szCs w:val="32"/>
          <w:lang w:eastAsia="zh-CN"/>
        </w:rPr>
      </w:pPr>
      <w:r>
        <w:rPr>
          <w:rFonts w:hint="eastAsia" w:ascii="仿宋_GB2312" w:hAnsi="仿宋_GB2312" w:eastAsia="仿宋_GB2312" w:cs="仿宋_GB2312"/>
          <w:b/>
          <w:bCs/>
          <w:sz w:val="32"/>
          <w:szCs w:val="32"/>
          <w:lang w:val="en-US" w:eastAsia="zh-CN"/>
        </w:rPr>
        <w:t>1、一级至四级残疾退役军人：</w:t>
      </w:r>
      <w:r>
        <w:rPr>
          <w:rFonts w:hint="eastAsia" w:ascii="Times New Roman" w:hAnsi="Times New Roman" w:eastAsia="仿宋_GB2312" w:cs="Times New Roman"/>
          <w:sz w:val="32"/>
          <w:szCs w:val="32"/>
          <w:lang w:val="en-US" w:eastAsia="zh-CN"/>
        </w:rPr>
        <w:t>在医保定点医疗机构发生的医疗费用经基本医疗保险、大病保险、医疗救助等政策报销后，个人自付部分由优抚对象医疗补助资金按100%比例给予补助。</w:t>
      </w:r>
    </w:p>
    <w:p w14:paraId="2FCAFF98">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right="160" w:rightChars="0" w:firstLine="643" w:firstLineChars="200"/>
        <w:jc w:val="both"/>
        <w:textAlignment w:val="baseline"/>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kern w:val="2"/>
          <w:sz w:val="32"/>
          <w:szCs w:val="32"/>
          <w:lang w:val="en-US" w:eastAsia="zh-CN" w:bidi="ar-SA"/>
        </w:rPr>
        <w:t>五级至六级残疾退役军人</w:t>
      </w:r>
      <w:r>
        <w:rPr>
          <w:rFonts w:hint="eastAsia" w:ascii="仿宋_GB2312" w:hAnsi="仿宋_GB2312" w:eastAsia="仿宋_GB2312" w:cs="仿宋_GB2312"/>
          <w:b/>
          <w:bCs/>
          <w:sz w:val="32"/>
          <w:szCs w:val="32"/>
          <w:lang w:eastAsia="zh-CN"/>
        </w:rPr>
        <w:t>：</w:t>
      </w:r>
      <w:r>
        <w:rPr>
          <w:rFonts w:hint="eastAsia" w:ascii="Times New Roman" w:hAnsi="Times New Roman" w:eastAsia="仿宋_GB2312" w:cs="Times New Roman"/>
          <w:sz w:val="32"/>
          <w:szCs w:val="32"/>
          <w:lang w:val="en-US" w:eastAsia="zh-CN"/>
        </w:rPr>
        <w:t>在医保定点医疗机构发生的医疗费用经基本医疗保险、大病保险、医疗救助等政策报销后，个人自付部分由优抚对象医疗补助资金按医保目录内100%比例给予补助。</w:t>
      </w:r>
    </w:p>
    <w:p w14:paraId="3D9A9C11">
      <w:pPr>
        <w:keepNext w:val="0"/>
        <w:keepLines w:val="0"/>
        <w:pageBreakBefore w:val="0"/>
        <w:widowControl w:val="0"/>
        <w:numPr>
          <w:ilvl w:val="-1"/>
          <w:numId w:val="0"/>
        </w:numPr>
        <w:kinsoku/>
        <w:wordWrap/>
        <w:overflowPunct/>
        <w:topLinePunct w:val="0"/>
        <w:autoSpaceDE/>
        <w:autoSpaceDN/>
        <w:bidi w:val="0"/>
        <w:adjustRightInd/>
        <w:snapToGrid/>
        <w:spacing w:before="0" w:after="0" w:line="520" w:lineRule="exact"/>
        <w:ind w:right="0" w:rightChars="0"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kern w:val="2"/>
          <w:sz w:val="32"/>
          <w:szCs w:val="32"/>
          <w:lang w:val="en-US" w:eastAsia="zh-CN" w:bidi="ar-SA"/>
        </w:rPr>
        <w:t>3、七级至十级及其他优抚对象：</w:t>
      </w:r>
      <w:r>
        <w:rPr>
          <w:rFonts w:hint="eastAsia" w:ascii="Times New Roman" w:hAnsi="Times New Roman" w:eastAsia="仿宋_GB2312" w:cs="Times New Roman"/>
          <w:sz w:val="32"/>
          <w:szCs w:val="32"/>
          <w:lang w:val="en-US" w:eastAsia="zh-CN"/>
        </w:rPr>
        <w:t>个人门诊费按优抚对象医疗补助资金个人年筹集标准的30%（180元/年）拨入其个人账户，用于平时在医保定点医院门诊的开支。补助对象在医保定点医疗机构发生的基本医疗保险政策范围内住院和门诊特殊病种医疗费用经基本医疗保险、大病保险、医疗救助等政策报销后，个人自付部分由优抚对象医疗补助资金按医保目录内90%比例给予补助。</w:t>
      </w:r>
    </w:p>
    <w:p w14:paraId="00A4174D">
      <w:pPr>
        <w:keepNext w:val="0"/>
        <w:keepLines w:val="0"/>
        <w:pageBreakBefore w:val="0"/>
        <w:widowControl w:val="0"/>
        <w:numPr>
          <w:ilvl w:val="-1"/>
          <w:numId w:val="0"/>
        </w:numPr>
        <w:kinsoku/>
        <w:wordWrap/>
        <w:overflowPunct/>
        <w:topLinePunct w:val="0"/>
        <w:autoSpaceDE/>
        <w:autoSpaceDN/>
        <w:bidi w:val="0"/>
        <w:adjustRightInd/>
        <w:snapToGrid/>
        <w:spacing w:before="0" w:after="0" w:line="52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b/>
          <w:bCs/>
          <w:kern w:val="2"/>
          <w:sz w:val="32"/>
          <w:szCs w:val="32"/>
          <w:lang w:val="en-US" w:eastAsia="zh-CN" w:bidi="ar-SA"/>
        </w:rPr>
        <w:t>补助限额</w:t>
      </w:r>
      <w:r>
        <w:rPr>
          <w:rFonts w:hint="eastAsia" w:ascii="Times New Roman" w:hAnsi="Times New Roman" w:eastAsia="仿宋_GB2312" w:cs="Times New Roman"/>
          <w:sz w:val="32"/>
          <w:szCs w:val="32"/>
          <w:lang w:val="en-US" w:eastAsia="zh-CN"/>
        </w:rPr>
        <w:t>：一级至六级残疾退役军人不设年度补助限额，七级至十级及其他优抚对象</w:t>
      </w:r>
      <w:r>
        <w:rPr>
          <w:rFonts w:hint="default" w:ascii="Times New Roman" w:hAnsi="Times New Roman" w:eastAsia="仿宋_GB2312" w:cs="Times New Roman"/>
          <w:sz w:val="32"/>
          <w:szCs w:val="32"/>
          <w:lang w:val="en-US" w:eastAsia="zh-CN"/>
        </w:rPr>
        <w:t>每人每年</w:t>
      </w:r>
      <w:r>
        <w:rPr>
          <w:rFonts w:hint="eastAsia" w:ascii="Times New Roman" w:hAnsi="Times New Roman" w:eastAsia="仿宋_GB2312" w:cs="Times New Roman"/>
          <w:sz w:val="32"/>
          <w:szCs w:val="32"/>
          <w:lang w:val="en-US" w:eastAsia="zh-CN"/>
        </w:rPr>
        <w:t>住院</w:t>
      </w:r>
      <w:r>
        <w:rPr>
          <w:rFonts w:hint="default" w:ascii="Times New Roman" w:hAnsi="Times New Roman" w:eastAsia="仿宋_GB2312" w:cs="Times New Roman"/>
          <w:sz w:val="32"/>
          <w:szCs w:val="32"/>
          <w:lang w:val="en-US" w:eastAsia="zh-CN"/>
        </w:rPr>
        <w:t>年度补助最高限额</w:t>
      </w:r>
      <w:r>
        <w:rPr>
          <w:rFonts w:hint="eastAsia" w:ascii="Times New Roman" w:hAnsi="Times New Roman" w:eastAsia="仿宋_GB2312" w:cs="Times New Roman"/>
          <w:sz w:val="32"/>
          <w:szCs w:val="32"/>
          <w:lang w:val="en-US" w:eastAsia="zh-CN"/>
        </w:rPr>
        <w:t>标准</w:t>
      </w: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，门诊特殊病种</w:t>
      </w:r>
      <w:r>
        <w:rPr>
          <w:rFonts w:hint="default" w:ascii="Times New Roman" w:hAnsi="Times New Roman" w:eastAsia="仿宋_GB2312" w:cs="Times New Roman"/>
          <w:sz w:val="32"/>
          <w:szCs w:val="32"/>
          <w:lang w:val="en-US" w:eastAsia="zh-CN"/>
        </w:rPr>
        <w:t>年度补助最高限额</w:t>
      </w:r>
      <w:r>
        <w:rPr>
          <w:rFonts w:hint="eastAsia" w:ascii="Times New Roman" w:hAnsi="Times New Roman" w:eastAsia="仿宋_GB2312" w:cs="Times New Roman"/>
          <w:sz w:val="32"/>
          <w:szCs w:val="32"/>
          <w:lang w:val="en-US" w:eastAsia="zh-CN"/>
        </w:rPr>
        <w:t>标准</w:t>
      </w: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3千</w:t>
      </w:r>
      <w:r>
        <w:rPr>
          <w:rFonts w:hint="default" w:ascii="Times New Roman" w:hAnsi="Times New Roman" w:eastAsia="仿宋_GB2312" w:cs="Times New Roman"/>
          <w:sz w:val="32"/>
          <w:szCs w:val="32"/>
          <w:lang w:val="en-US" w:eastAsia="zh-CN"/>
        </w:rPr>
        <w:t>元。年度限额计算周期为</w:t>
      </w:r>
      <w:r>
        <w:rPr>
          <w:rFonts w:hint="eastAsia" w:ascii="Times New Roman" w:hAnsi="Times New Roman" w:eastAsia="仿宋_GB2312" w:cs="Times New Roman"/>
          <w:sz w:val="32"/>
          <w:szCs w:val="32"/>
          <w:lang w:val="en-US" w:eastAsia="zh-CN"/>
        </w:rPr>
        <w:t>当年度</w:t>
      </w:r>
      <w:r>
        <w:rPr>
          <w:rFonts w:hint="default" w:ascii="Times New Roman" w:hAnsi="Times New Roman" w:eastAsia="仿宋_GB2312" w:cs="Times New Roman"/>
          <w:sz w:val="32"/>
          <w:szCs w:val="32"/>
          <w:lang w:val="en-US" w:eastAsia="zh-CN"/>
        </w:rPr>
        <w:t>1月1日至</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月3</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日。</w:t>
      </w:r>
    </w:p>
    <w:p w14:paraId="711100AA">
      <w:pPr>
        <w:pStyle w:val="4"/>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四、其他事项</w:t>
      </w:r>
    </w:p>
    <w:p w14:paraId="4C09062E">
      <w:pPr>
        <w:pStyle w:val="4"/>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lang w:val="en-US" w:eastAsia="zh-CN"/>
        </w:rPr>
        <w:t>本办法由区退役军人事务局负责解释，未尽事项事宜，按相关文件规定处理。</w:t>
      </w:r>
    </w:p>
    <w:p w14:paraId="07D5B3E6">
      <w:pPr>
        <w:pStyle w:val="4"/>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napToGrid w:val="0"/>
          <w:color w:val="000000"/>
          <w:kern w:val="0"/>
          <w:sz w:val="32"/>
          <w:szCs w:val="32"/>
          <w:lang w:val="en-US" w:eastAsia="zh-CN"/>
        </w:rPr>
        <w:t>本办法自2026年 月 日起施行，有效期至2030年12月31日止。</w:t>
      </w:r>
      <w:r>
        <w:rPr>
          <w:rFonts w:hint="eastAsia" w:ascii="仿宋_GB2312" w:hAnsi="仿宋_GB2312" w:eastAsia="仿宋_GB2312" w:cs="仿宋_GB2312"/>
          <w:snapToGrid w:val="0"/>
          <w:color w:val="auto"/>
          <w:kern w:val="0"/>
          <w:sz w:val="32"/>
          <w:szCs w:val="32"/>
          <w:lang w:val="en-US" w:eastAsia="zh-CN"/>
        </w:rPr>
        <w:t>若国家、省有关政策调整，以国家、省最新规定为准。</w:t>
      </w:r>
    </w:p>
    <w:p w14:paraId="7A0EBC7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9641A2-343E-4C15-BACA-F2FD01B5F5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184341A-49BC-4ADC-9EFB-FEA5D40192FD}"/>
  </w:font>
  <w:font w:name="方正小标宋简体">
    <w:panose1 w:val="02000000000000000000"/>
    <w:charset w:val="86"/>
    <w:family w:val="auto"/>
    <w:pitch w:val="default"/>
    <w:sig w:usb0="00000001" w:usb1="08000000" w:usb2="00000000" w:usb3="00000000" w:csb0="00040000" w:csb1="00000000"/>
    <w:embedRegular r:id="rId3" w:fontKey="{E0987F97-DB58-401F-9B42-5802845A91C3}"/>
  </w:font>
  <w:font w:name="仿宋_GB2312">
    <w:altName w:val="仿宋"/>
    <w:panose1 w:val="02010609030101010101"/>
    <w:charset w:val="86"/>
    <w:family w:val="auto"/>
    <w:pitch w:val="default"/>
    <w:sig w:usb0="00000000" w:usb1="00000000" w:usb2="00000000" w:usb3="00000000" w:csb0="00040000" w:csb1="00000000"/>
    <w:embedRegular r:id="rId4" w:fontKey="{63A1E78E-CAE1-4ACE-8455-9B508A935E78}"/>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5" w:fontKey="{5405D965-D698-4F6C-9B2B-2A80C9FABF3B}"/>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DE4C08"/>
    <w:multiLevelType w:val="singleLevel"/>
    <w:tmpl w:val="57DE4C08"/>
    <w:lvl w:ilvl="0" w:tentative="0">
      <w:start w:val="3"/>
      <w:numFmt w:val="chineseCounting"/>
      <w:suff w:val="nothing"/>
      <w:lvlText w:val="%1、"/>
      <w:lvlJc w:val="left"/>
      <w:rPr>
        <w:rFonts w:hint="eastAsia"/>
      </w:rPr>
    </w:lvl>
  </w:abstractNum>
  <w:abstractNum w:abstractNumId="1">
    <w:nsid w:val="5F4ECEC2"/>
    <w:multiLevelType w:val="singleLevel"/>
    <w:tmpl w:val="5F4ECEC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D2394"/>
    <w:rsid w:val="17167FED"/>
    <w:rsid w:val="2DC72D03"/>
    <w:rsid w:val="323D0353"/>
    <w:rsid w:val="53E755D5"/>
    <w:rsid w:val="6F241291"/>
    <w:rsid w:val="6FE64E02"/>
    <w:rsid w:val="704849E6"/>
    <w:rsid w:val="74650B78"/>
    <w:rsid w:val="755C1784"/>
    <w:rsid w:val="7EF0ED0A"/>
    <w:rsid w:val="DD7F1421"/>
    <w:rsid w:val="DF6E03D6"/>
    <w:rsid w:val="FE450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Calibri" w:hAnsi="Calibri" w:eastAsia="宋体" w:cs="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2"/>
    <w:basedOn w:val="2"/>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951</Words>
  <Characters>981</Characters>
  <Lines>0</Lines>
  <Paragraphs>0</Paragraphs>
  <TotalTime>4</TotalTime>
  <ScaleCrop>false</ScaleCrop>
  <LinksUpToDate>false</LinksUpToDate>
  <CharactersWithSpaces>983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2025-12-24T18:26:00Z</dcterms:created>
  <dc:creator>Administrator</dc:creator>
  <cp:lastModifiedBy>唐糖糖糖糖</cp:lastModifiedBy>
  <dcterms:modified xsi:type="dcterms:W3CDTF">2026-06-10T09:06:49Z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eyJoZGlkIjoiOTE2NjBmMWI5ZTg1YWMwMGUzYjEyMzI3NDhkYmE3YjciLCJ1c2VySWQiOiI2NzIzOTc5NzEifQ==</vt:lpwstr>
  </property>
  <property fmtid="{D5CDD505-2E9C-101B-9397-08002B2CF9AE}" pid="4" name="ICV">
    <vt:lpwstr>E77EFF87E0054DFB8ACB9A7A9C161E81_13</vt:lpwstr>
  </property>
</Properties>
</file>