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b/>
          <w:bCs/>
          <w:sz w:val="44"/>
          <w:szCs w:val="44"/>
        </w:rPr>
      </w:pPr>
    </w:p>
    <w:p>
      <w:pPr>
        <w:jc w:val="center"/>
        <w:rPr>
          <w:rFonts w:ascii="宋体" w:cs="Times New Roman"/>
          <w:b/>
          <w:bCs/>
          <w:sz w:val="44"/>
          <w:szCs w:val="44"/>
        </w:rPr>
      </w:pPr>
    </w:p>
    <w:p>
      <w:pPr>
        <w:spacing w:line="560" w:lineRule="exact"/>
        <w:jc w:val="center"/>
        <w:rPr>
          <w:rFonts w:ascii="仿宋_GB2312" w:hAnsi="仿宋_GB2312" w:eastAsia="仿宋_GB2312" w:cs="Times New Roman"/>
          <w:sz w:val="32"/>
          <w:szCs w:val="32"/>
        </w:rPr>
      </w:pPr>
      <w:bookmarkStart w:id="0" w:name="_GoBack"/>
      <w:bookmarkEnd w:id="0"/>
    </w:p>
    <w:p>
      <w:pPr>
        <w:spacing w:line="560" w:lineRule="exact"/>
        <w:jc w:val="center"/>
        <w:rPr>
          <w:rFonts w:ascii="仿宋_GB2312" w:hAnsi="仿宋_GB2312" w:eastAsia="仿宋_GB2312" w:cs="Times New Roman"/>
          <w:sz w:val="32"/>
          <w:szCs w:val="32"/>
        </w:rPr>
      </w:pPr>
    </w:p>
    <w:p>
      <w:pPr>
        <w:spacing w:line="560" w:lineRule="exact"/>
        <w:jc w:val="center"/>
        <w:rPr>
          <w:rFonts w:ascii="仿宋_GB2312" w:hAnsi="仿宋_GB2312" w:eastAsia="仿宋_GB2312" w:cs="Times New Roman"/>
          <w:sz w:val="32"/>
          <w:szCs w:val="32"/>
        </w:rPr>
      </w:pPr>
    </w:p>
    <w:p>
      <w:pPr>
        <w:spacing w:line="560" w:lineRule="exact"/>
        <w:rPr>
          <w:rFonts w:ascii="仿宋_GB2312" w:hAnsi="仿宋_GB2312" w:eastAsia="仿宋_GB2312" w:cs="Times New Roman"/>
          <w:sz w:val="32"/>
          <w:szCs w:val="32"/>
        </w:rPr>
      </w:pPr>
    </w:p>
    <w:p>
      <w:pPr>
        <w:spacing w:line="560" w:lineRule="exact"/>
        <w:rPr>
          <w:rFonts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泉港文综〔</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rPr>
          <w:rFonts w:ascii="宋体" w:cs="Times New Roman"/>
          <w:b/>
          <w:bCs/>
          <w:sz w:val="44"/>
          <w:szCs w:val="44"/>
        </w:rPr>
      </w:pPr>
    </w:p>
    <w:p>
      <w:pPr>
        <w:jc w:val="center"/>
        <w:rPr>
          <w:rFonts w:ascii="宋体" w:cs="Times New Roman"/>
          <w:b/>
          <w:bCs/>
          <w:sz w:val="44"/>
          <w:szCs w:val="44"/>
        </w:rPr>
      </w:pPr>
      <w:r>
        <w:rPr>
          <w:rFonts w:hint="eastAsia" w:ascii="宋体" w:hAnsi="宋体" w:cs="宋体"/>
          <w:b/>
          <w:bCs/>
          <w:sz w:val="44"/>
          <w:szCs w:val="44"/>
        </w:rPr>
        <w:t>泉港区文化体育和旅游局</w:t>
      </w:r>
      <w:r>
        <w:rPr>
          <w:rFonts w:hint="eastAsia" w:ascii="宋体" w:hAnsi="宋体" w:cs="宋体"/>
          <w:b/>
          <w:bCs/>
          <w:sz w:val="44"/>
          <w:szCs w:val="44"/>
          <w:lang w:val="en-US" w:eastAsia="zh-CN"/>
        </w:rPr>
        <w:t>2020</w:t>
      </w:r>
      <w:r>
        <w:rPr>
          <w:rFonts w:hint="eastAsia" w:ascii="宋体" w:hAnsi="宋体" w:cs="宋体"/>
          <w:b/>
          <w:bCs/>
          <w:sz w:val="44"/>
          <w:szCs w:val="44"/>
        </w:rPr>
        <w:t>年政府信息</w:t>
      </w:r>
    </w:p>
    <w:p>
      <w:pPr>
        <w:jc w:val="center"/>
        <w:rPr>
          <w:rFonts w:ascii="宋体" w:cs="Times New Roman"/>
          <w:b/>
          <w:bCs/>
          <w:sz w:val="44"/>
          <w:szCs w:val="44"/>
        </w:rPr>
      </w:pPr>
      <w:r>
        <w:rPr>
          <w:rFonts w:hint="eastAsia" w:ascii="宋体" w:hAnsi="宋体" w:cs="宋体"/>
          <w:b/>
          <w:bCs/>
          <w:sz w:val="44"/>
          <w:szCs w:val="44"/>
        </w:rPr>
        <w:t>公开工作年度报告</w:t>
      </w:r>
    </w:p>
    <w:p>
      <w:pPr>
        <w:widowControl/>
        <w:ind w:firstLine="480"/>
        <w:rPr>
          <w:rFonts w:ascii="黑体" w:hAnsi="黑体" w:eastAsia="黑体" w:cs="Times New Roman"/>
          <w:kern w:val="0"/>
          <w:sz w:val="32"/>
          <w:szCs w:val="32"/>
        </w:rPr>
      </w:pPr>
    </w:p>
    <w:p>
      <w:pPr>
        <w:spacing w:line="56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kern w:val="0"/>
          <w:sz w:val="32"/>
          <w:szCs w:val="32"/>
        </w:rPr>
        <w:t>本报告系根据《中华人民共和国政府信息公开条例》（以下简称《条例》）《国务院办公厅政府信息与政务公开办公室关于政府信息公开工作年度报告有关事项的通知》《福建省政府公开办法》（以下简称《办法》）规定，汇总本部门政府信息公开情况编制而成，所列政府信息公开数据统计期限自</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lang w:val="en-US" w:eastAsia="zh-CN"/>
        </w:rPr>
        <w:t>20</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日至</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lang w:val="en-US" w:eastAsia="zh-CN"/>
        </w:rPr>
        <w:t>20</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31</w:t>
      </w:r>
      <w:r>
        <w:rPr>
          <w:rFonts w:hint="eastAsia" w:ascii="仿宋_GB2312" w:hAnsi="宋体" w:eastAsia="仿宋_GB2312" w:cs="仿宋_GB2312"/>
          <w:kern w:val="0"/>
          <w:sz w:val="32"/>
          <w:szCs w:val="32"/>
        </w:rPr>
        <w:t>日。</w:t>
      </w:r>
      <w:r>
        <w:rPr>
          <w:rFonts w:hint="eastAsia" w:ascii="仿宋_GB2312" w:hAnsi="宋体" w:eastAsia="仿宋_GB2312" w:cs="仿宋_GB2312"/>
          <w:color w:val="000000"/>
          <w:kern w:val="36"/>
          <w:sz w:val="32"/>
          <w:szCs w:val="32"/>
        </w:rPr>
        <w:t>报告全文由总体情况、主动公开政府信息情况、收到和处理政府信息公开申请情况、政府信息公开行政复议和行政诉讼情况、存在的主要问题及改进情况、其他需要报告的事项六个部分组成。本报告在泉港区政府门户网站泉港区文化体育和旅游局专栏（</w:t>
      </w:r>
      <w:r>
        <w:rPr>
          <w:rFonts w:ascii="仿宋_GB2312" w:hAnsi="宋体" w:eastAsia="仿宋_GB2312" w:cs="仿宋_GB2312"/>
          <w:color w:val="000000"/>
          <w:kern w:val="36"/>
          <w:sz w:val="32"/>
          <w:szCs w:val="32"/>
        </w:rPr>
        <w:t>http://www.qg.gov.cn/</w:t>
      </w:r>
      <w:r>
        <w:rPr>
          <w:rFonts w:hint="eastAsia" w:ascii="仿宋_GB2312" w:hAnsi="宋体" w:eastAsia="仿宋_GB2312" w:cs="仿宋_GB2312"/>
          <w:color w:val="000000"/>
          <w:kern w:val="36"/>
          <w:sz w:val="32"/>
          <w:szCs w:val="32"/>
        </w:rPr>
        <w:t>）公布，</w:t>
      </w:r>
      <w:r>
        <w:rPr>
          <w:rFonts w:hint="eastAsia" w:ascii="仿宋_GB2312" w:eastAsia="仿宋_GB2312" w:cs="仿宋_GB2312"/>
          <w:color w:val="000000"/>
          <w:sz w:val="32"/>
          <w:szCs w:val="32"/>
        </w:rPr>
        <w:t>如对本年度报告有任何疑问，请联系泉港区文化体育和旅游局综合股（地址：泉港区广电大楼</w:t>
      </w:r>
      <w:r>
        <w:rPr>
          <w:rFonts w:ascii="仿宋_GB2312" w:eastAsia="仿宋_GB2312" w:cs="仿宋_GB2312"/>
          <w:color w:val="000000"/>
          <w:sz w:val="32"/>
          <w:szCs w:val="32"/>
        </w:rPr>
        <w:t>8</w:t>
      </w:r>
      <w:r>
        <w:rPr>
          <w:rFonts w:hint="eastAsia" w:ascii="仿宋_GB2312" w:eastAsia="仿宋_GB2312" w:cs="仿宋_GB2312"/>
          <w:color w:val="000000"/>
          <w:sz w:val="32"/>
          <w:szCs w:val="32"/>
        </w:rPr>
        <w:t>层；联系电话：</w:t>
      </w:r>
      <w:r>
        <w:rPr>
          <w:rFonts w:ascii="仿宋_GB2312" w:eastAsia="仿宋_GB2312" w:cs="仿宋_GB2312"/>
          <w:color w:val="000000"/>
          <w:sz w:val="32"/>
          <w:szCs w:val="32"/>
        </w:rPr>
        <w:t>0595-87971012</w:t>
      </w:r>
      <w:r>
        <w:rPr>
          <w:rFonts w:hint="eastAsia" w:ascii="仿宋_GB2312" w:eastAsia="仿宋_GB2312" w:cs="仿宋_GB2312"/>
          <w:color w:val="000000"/>
          <w:sz w:val="32"/>
          <w:szCs w:val="32"/>
        </w:rPr>
        <w:t>；邮箱：</w:t>
      </w:r>
      <w:r>
        <w:rPr>
          <w:rFonts w:ascii="仿宋_GB2312" w:eastAsia="仿宋_GB2312" w:cs="仿宋_GB2312"/>
          <w:color w:val="000000"/>
          <w:sz w:val="32"/>
          <w:szCs w:val="32"/>
        </w:rPr>
        <w:t>qgwtlyj@163.com</w:t>
      </w:r>
      <w:r>
        <w:rPr>
          <w:rFonts w:hint="eastAsia" w:ascii="仿宋_GB2312" w:eastAsia="仿宋_GB2312" w:cs="仿宋_GB2312"/>
          <w:color w:val="000000"/>
          <w:sz w:val="32"/>
          <w:szCs w:val="32"/>
        </w:rPr>
        <w:t>）。</w:t>
      </w:r>
    </w:p>
    <w:p>
      <w:pPr>
        <w:widowControl/>
        <w:spacing w:line="560" w:lineRule="exact"/>
        <w:ind w:firstLine="480"/>
        <w:rPr>
          <w:rFonts w:ascii="黑体" w:hAnsi="黑体" w:eastAsia="黑体" w:cs="Times New Roman"/>
          <w:kern w:val="0"/>
          <w:sz w:val="32"/>
          <w:szCs w:val="32"/>
        </w:rPr>
      </w:pPr>
      <w:r>
        <w:rPr>
          <w:rFonts w:hint="eastAsia" w:ascii="黑体" w:hAnsi="黑体" w:eastAsia="黑体" w:cs="黑体"/>
          <w:kern w:val="0"/>
          <w:sz w:val="32"/>
          <w:szCs w:val="32"/>
        </w:rPr>
        <w:t>一、总体情况</w:t>
      </w:r>
    </w:p>
    <w:p>
      <w:pPr>
        <w:widowControl/>
        <w:spacing w:line="560" w:lineRule="exact"/>
        <w:ind w:firstLine="645"/>
        <w:rPr>
          <w:rFonts w:ascii="仿宋_GB2312" w:hAnsi="宋体" w:eastAsia="仿宋_GB2312" w:cs="Times New Roman"/>
          <w:color w:val="000000"/>
          <w:kern w:val="0"/>
          <w:sz w:val="32"/>
          <w:szCs w:val="32"/>
        </w:rPr>
      </w:pP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rPr>
        <w:t>年度，我局认真贯彻落实《条例》、《办法》要求，着力加强政府信息公开工作的组织领导，完善制度建设，创新公开形式，拓展公开内容，丰富公开载体，保证了我局政府信息公开工作健康有序发展。累计制作政府信息</w:t>
      </w:r>
      <w:r>
        <w:rPr>
          <w:rFonts w:hint="eastAsia" w:ascii="仿宋_GB2312" w:eastAsia="仿宋_GB2312" w:cs="仿宋_GB2312"/>
          <w:color w:val="000000"/>
          <w:sz w:val="32"/>
          <w:szCs w:val="32"/>
          <w:lang w:val="en-US" w:eastAsia="zh-CN"/>
        </w:rPr>
        <w:t>25</w:t>
      </w:r>
      <w:r>
        <w:rPr>
          <w:rFonts w:hint="eastAsia" w:ascii="仿宋_GB2312" w:eastAsia="仿宋_GB2312" w:cs="仿宋_GB2312"/>
          <w:color w:val="000000"/>
          <w:sz w:val="32"/>
          <w:szCs w:val="32"/>
        </w:rPr>
        <w:t>条，并向社会主动公开编制索引目录的政府信息</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条，其中依托区政府门户网站信息公开专栏向社会主动公开政府信息</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条，全文电子化网站公开率</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r>
        <w:rPr>
          <w:rFonts w:hint="eastAsia" w:ascii="仿宋_GB2312" w:hAnsi="宋体" w:eastAsia="仿宋_GB2312" w:cs="仿宋_GB2312"/>
          <w:color w:val="000000"/>
          <w:kern w:val="0"/>
          <w:sz w:val="32"/>
          <w:szCs w:val="32"/>
        </w:rPr>
        <w:t>全年主动公开信息纸质版均已送区档案馆、区图书馆、区行政服务中心等</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个政府信息查阅点，接受群众查阅。</w:t>
      </w:r>
    </w:p>
    <w:p>
      <w:pPr>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仿宋" w:eastAsia="仿宋_GB2312" w:cs="仿宋_GB2312"/>
          <w:sz w:val="32"/>
          <w:szCs w:val="32"/>
        </w:rPr>
        <w:t>为切实加强对政府信息公开工作的领导，</w:t>
      </w:r>
      <w:r>
        <w:rPr>
          <w:rFonts w:hint="eastAsia" w:ascii="仿宋_GB2312" w:hAnsi="宋体" w:eastAsia="仿宋_GB2312" w:cs="仿宋_GB2312"/>
          <w:color w:val="000000"/>
          <w:kern w:val="0"/>
          <w:sz w:val="32"/>
          <w:szCs w:val="32"/>
        </w:rPr>
        <w:t>我局设立信息公开办公室并挂靠在综合股，</w:t>
      </w:r>
      <w:r>
        <w:rPr>
          <w:rFonts w:hint="eastAsia" w:ascii="仿宋_GB2312" w:hAnsi="仿宋" w:eastAsia="仿宋_GB2312" w:cs="仿宋_GB2312"/>
          <w:sz w:val="32"/>
          <w:szCs w:val="32"/>
        </w:rPr>
        <w:t>由局主要领导任组长，分管领导任副组长，各股室及下属单位负责人任成员，</w:t>
      </w:r>
      <w:r>
        <w:rPr>
          <w:rFonts w:hint="eastAsia" w:ascii="仿宋_GB2312" w:hAnsi="宋体" w:eastAsia="仿宋_GB2312" w:cs="仿宋_GB2312"/>
          <w:color w:val="000000"/>
          <w:kern w:val="0"/>
          <w:sz w:val="32"/>
          <w:szCs w:val="32"/>
        </w:rPr>
        <w:t>配置信息公开专职工作人员</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名，负责信息公开工作。政府信息制作时标定公开属性，建立台账，经信息公开保密审查小组审核后发布。依托区政府门户网站后台管理系统进行主动公开信息发布全流程管理，依托福建政务公开情况统计报表报送系统对政府信息公开工作情况进行统计。</w:t>
      </w:r>
    </w:p>
    <w:p>
      <w:pPr>
        <w:widowControl/>
        <w:spacing w:after="240"/>
        <w:ind w:firstLine="480"/>
        <w:rPr>
          <w:rFonts w:hint="eastAsia" w:ascii="黑体" w:hAnsi="黑体" w:eastAsia="黑体" w:cs="黑体"/>
          <w:kern w:val="0"/>
          <w:sz w:val="32"/>
          <w:szCs w:val="32"/>
        </w:rPr>
      </w:pPr>
      <w:r>
        <w:rPr>
          <w:rFonts w:hint="eastAsia" w:ascii="黑体" w:hAnsi="黑体" w:eastAsia="黑体" w:cs="黑体"/>
          <w:kern w:val="0"/>
          <w:sz w:val="32"/>
          <w:szCs w:val="32"/>
        </w:rPr>
        <w:t>二、主动公开政府信息情况</w:t>
      </w:r>
    </w:p>
    <w:p>
      <w:pPr>
        <w:widowControl/>
        <w:spacing w:after="240"/>
        <w:rPr>
          <w:rFonts w:hint="eastAsia" w:ascii="黑体" w:hAnsi="黑体" w:eastAsia="黑体" w:cs="黑体"/>
          <w:kern w:val="0"/>
          <w:sz w:val="32"/>
          <w:szCs w:val="32"/>
        </w:rPr>
      </w:pPr>
    </w:p>
    <w:tbl>
      <w:tblPr>
        <w:tblStyle w:val="3"/>
        <w:tblW w:w="9158" w:type="dxa"/>
        <w:jc w:val="center"/>
        <w:shd w:val="clear" w:color="auto" w:fill="auto"/>
        <w:tblLayout w:type="autofit"/>
        <w:tblCellMar>
          <w:top w:w="0" w:type="dxa"/>
          <w:left w:w="0" w:type="dxa"/>
          <w:bottom w:w="0" w:type="dxa"/>
          <w:right w:w="0" w:type="dxa"/>
        </w:tblCellMar>
      </w:tblPr>
      <w:tblGrid>
        <w:gridCol w:w="2655"/>
        <w:gridCol w:w="2497"/>
        <w:gridCol w:w="2524"/>
        <w:gridCol w:w="1482"/>
      </w:tblGrid>
      <w:tr>
        <w:tblPrEx>
          <w:shd w:val="clear" w:color="auto" w:fill="auto"/>
          <w:tblCellMar>
            <w:top w:w="0" w:type="dxa"/>
            <w:left w:w="0" w:type="dxa"/>
            <w:bottom w:w="0" w:type="dxa"/>
            <w:right w:w="0" w:type="dxa"/>
          </w:tblCellMar>
        </w:tblPrEx>
        <w:trPr>
          <w:trHeight w:val="643" w:hRule="atLeast"/>
          <w:tblHeader/>
          <w:jc w:val="center"/>
        </w:trPr>
        <w:tc>
          <w:tcPr>
            <w:tcW w:w="5152" w:type="dxa"/>
            <w:gridSpan w:val="2"/>
            <w:tcBorders>
              <w:top w:val="single" w:color="000000" w:sz="4" w:space="0"/>
              <w:left w:val="single" w:color="000000" w:sz="4" w:space="0"/>
              <w:bottom w:val="single" w:color="000000" w:sz="4" w:space="0"/>
              <w:right w:val="single" w:color="000000" w:sz="4" w:space="0"/>
            </w:tcBorders>
            <w:shd w:val="clear" w:color="auto" w:fill="F2DCDB"/>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信息内容</w:t>
            </w:r>
          </w:p>
        </w:tc>
        <w:tc>
          <w:tcPr>
            <w:tcW w:w="2524" w:type="dxa"/>
            <w:tcBorders>
              <w:top w:val="single" w:color="000000" w:sz="4" w:space="0"/>
              <w:left w:val="single" w:color="000000" w:sz="4" w:space="0"/>
              <w:bottom w:val="single" w:color="000000" w:sz="4" w:space="0"/>
              <w:right w:val="single" w:color="000000" w:sz="4" w:space="0"/>
            </w:tcBorders>
            <w:shd w:val="clear" w:color="auto" w:fill="F2DCDB"/>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统计项目</w:t>
            </w:r>
          </w:p>
        </w:tc>
        <w:tc>
          <w:tcPr>
            <w:tcW w:w="1482" w:type="dxa"/>
            <w:tcBorders>
              <w:top w:val="single" w:color="000000" w:sz="4" w:space="0"/>
              <w:left w:val="single" w:color="000000" w:sz="4" w:space="0"/>
              <w:bottom w:val="single" w:color="000000" w:sz="4" w:space="0"/>
              <w:right w:val="single" w:color="000000" w:sz="4" w:space="0"/>
            </w:tcBorders>
            <w:shd w:val="clear" w:color="auto" w:fill="F2DCDB"/>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数量</w:t>
            </w:r>
          </w:p>
        </w:tc>
      </w:tr>
      <w:tr>
        <w:tblPrEx>
          <w:tblCellMar>
            <w:top w:w="0" w:type="dxa"/>
            <w:left w:w="0" w:type="dxa"/>
            <w:bottom w:w="0" w:type="dxa"/>
            <w:right w:w="0" w:type="dxa"/>
          </w:tblCellMar>
        </w:tblPrEx>
        <w:trPr>
          <w:trHeight w:val="643" w:hRule="atLeast"/>
          <w:jc w:val="center"/>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第二十条第（一）项</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规章</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本年新制作数量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本年新公开数量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对外公开总数量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规范性文件</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本年新制作数量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本年新公开数量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对外公开总数量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第二十条第（五）项</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行政许可</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上一年项目数量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本年增/减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处理决定数量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其他对外管理服务事项</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上一年项目数量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本年增/减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处理决定数量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第二十条第（六）项</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行政处罚</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上一年项目数量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本年增/减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处理决定数量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行政强制</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上一年项目数量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本年增/减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处理决定数量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第二十条第（八）项</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行政事业性收费</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上一年项目数量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本年增/减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43" w:hRule="atLeast"/>
          <w:jc w:val="center"/>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第二十条第（九）项</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政府集中采购</w:t>
            </w: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采购项目数量</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CellMar>
            <w:top w:w="0" w:type="dxa"/>
            <w:left w:w="0" w:type="dxa"/>
            <w:bottom w:w="0" w:type="dxa"/>
            <w:right w:w="0" w:type="dxa"/>
          </w:tblCellMar>
        </w:tblPrEx>
        <w:trPr>
          <w:trHeight w:val="679" w:hRule="atLeast"/>
          <w:jc w:val="center"/>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8DB4E2"/>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D8E4BC"/>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采购总额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bl>
    <w:p>
      <w:pPr>
        <w:widowControl/>
        <w:rPr>
          <w:rFonts w:ascii="仿宋_GB2312" w:hAnsi="宋体" w:eastAsia="仿宋_GB2312" w:cs="Times New Roman"/>
          <w:kern w:val="0"/>
          <w:sz w:val="32"/>
          <w:szCs w:val="32"/>
        </w:rPr>
      </w:pPr>
    </w:p>
    <w:p>
      <w:pPr>
        <w:widowControl/>
        <w:spacing w:after="240"/>
        <w:ind w:firstLine="480"/>
        <w:rPr>
          <w:rFonts w:ascii="黑体" w:hAnsi="黑体" w:eastAsia="黑体" w:cs="Times New Roman"/>
          <w:kern w:val="0"/>
          <w:sz w:val="32"/>
          <w:szCs w:val="32"/>
        </w:rPr>
      </w:pPr>
      <w:r>
        <w:rPr>
          <w:rFonts w:hint="eastAsia" w:ascii="黑体" w:hAnsi="黑体" w:eastAsia="黑体" w:cs="黑体"/>
          <w:kern w:val="0"/>
          <w:sz w:val="32"/>
          <w:szCs w:val="32"/>
        </w:rPr>
        <w:t>三、收到和处理政府信息公开申请情况</w:t>
      </w:r>
    </w:p>
    <w:tbl>
      <w:tblPr>
        <w:tblStyle w:val="3"/>
        <w:tblW w:w="91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1008"/>
        <w:gridCol w:w="1002"/>
        <w:gridCol w:w="1454"/>
        <w:gridCol w:w="840"/>
        <w:gridCol w:w="780"/>
        <w:gridCol w:w="780"/>
        <w:gridCol w:w="825"/>
        <w:gridCol w:w="765"/>
        <w:gridCol w:w="927"/>
        <w:gridCol w:w="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67" w:hRule="atLeast"/>
          <w:jc w:val="center"/>
        </w:trPr>
        <w:tc>
          <w:tcPr>
            <w:tcW w:w="3464" w:type="dxa"/>
            <w:gridSpan w:val="3"/>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（本列数据的勾稽关系为：第一项加第二项之和，等于第三项加第四项之和）</w:t>
            </w:r>
          </w:p>
        </w:tc>
        <w:tc>
          <w:tcPr>
            <w:tcW w:w="5697" w:type="dxa"/>
            <w:gridSpan w:val="7"/>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67" w:hRule="atLeast"/>
          <w:jc w:val="center"/>
        </w:trPr>
        <w:tc>
          <w:tcPr>
            <w:tcW w:w="3464" w:type="dxa"/>
            <w:gridSpan w:val="3"/>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自然人</w:t>
            </w:r>
          </w:p>
        </w:tc>
        <w:tc>
          <w:tcPr>
            <w:tcW w:w="4077" w:type="dxa"/>
            <w:gridSpan w:val="5"/>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法人或其他组织</w:t>
            </w:r>
          </w:p>
        </w:tc>
        <w:tc>
          <w:tcPr>
            <w:tcW w:w="78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92" w:hRule="atLeast"/>
          <w:jc w:val="center"/>
        </w:trPr>
        <w:tc>
          <w:tcPr>
            <w:tcW w:w="3464" w:type="dxa"/>
            <w:gridSpan w:val="3"/>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840"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商业企业</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科研机构</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社会公益组织</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法律服务机构</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其他</w:t>
            </w:r>
          </w:p>
        </w:tc>
        <w:tc>
          <w:tcPr>
            <w:tcW w:w="780"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92" w:hRule="atLeast"/>
          <w:jc w:val="center"/>
        </w:trPr>
        <w:tc>
          <w:tcPr>
            <w:tcW w:w="3464" w:type="dxa"/>
            <w:gridSpan w:val="3"/>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一、本年新收政府信息公开申请数量</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92" w:hRule="atLeast"/>
          <w:jc w:val="center"/>
        </w:trPr>
        <w:tc>
          <w:tcPr>
            <w:tcW w:w="3464" w:type="dxa"/>
            <w:gridSpan w:val="3"/>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二、上年结转政府信息公开申请数量</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67" w:hRule="atLeast"/>
          <w:jc w:val="center"/>
        </w:trPr>
        <w:tc>
          <w:tcPr>
            <w:tcW w:w="10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三、本年度办理结果</w:t>
            </w:r>
          </w:p>
        </w:tc>
        <w:tc>
          <w:tcPr>
            <w:tcW w:w="245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（一）予以公开</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5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（二）部分公开（区分处理的，只计这一情形，不计其他情形）</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921"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（三）不予公开</w:t>
            </w: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1.属于国家秘密</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79"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2.其他法律行政法规禁止公开</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3.危及“三安全一稳定”</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4.保护第三方合法权益</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5.属于三类内部事务信息</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6.属于四类过程性信息</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921"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7.属于行政执法案卷</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921"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8.属于行政查询事项</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79"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（四）无法提供</w:t>
            </w: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1.本机关不掌握相关政府信息</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79"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2.没有现成信息需要另行制作</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3.补正后申请内容仍不明确</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（五）不予处理</w:t>
            </w: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1.信访举报投诉类申请</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92"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2.重复申请</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3.要求提供公开出版物</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550"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4.无正当理由大量反复申请</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92"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002"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145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5.要求行政机关确认或重新出具已获取信息</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67"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5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（六）其他处理</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67" w:hRule="atLeast"/>
          <w:jc w:val="center"/>
        </w:trPr>
        <w:tc>
          <w:tcPr>
            <w:tcW w:w="1008"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245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（七）总计</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13" w:hRule="atLeast"/>
          <w:jc w:val="center"/>
        </w:trPr>
        <w:tc>
          <w:tcPr>
            <w:tcW w:w="3464" w:type="dxa"/>
            <w:gridSpan w:val="3"/>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四、结转下年度继续办理</w:t>
            </w:r>
          </w:p>
        </w:tc>
        <w:tc>
          <w:tcPr>
            <w:tcW w:w="8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6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92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bl>
    <w:p>
      <w:pPr>
        <w:widowControl/>
        <w:rPr>
          <w:rFonts w:ascii="仿宋_GB2312" w:hAnsi="宋体" w:eastAsia="仿宋_GB2312" w:cs="Times New Roman"/>
          <w:kern w:val="0"/>
          <w:sz w:val="32"/>
          <w:szCs w:val="32"/>
        </w:rPr>
      </w:pPr>
    </w:p>
    <w:p>
      <w:pPr>
        <w:widowControl/>
        <w:spacing w:after="240"/>
        <w:ind w:firstLine="480"/>
        <w:rPr>
          <w:rFonts w:ascii="黑体" w:hAnsi="黑体" w:eastAsia="黑体" w:cs="Times New Roman"/>
          <w:kern w:val="0"/>
          <w:sz w:val="32"/>
          <w:szCs w:val="32"/>
        </w:rPr>
      </w:pPr>
      <w:r>
        <w:rPr>
          <w:rFonts w:hint="eastAsia" w:ascii="黑体" w:hAnsi="黑体" w:eastAsia="黑体" w:cs="黑体"/>
          <w:kern w:val="0"/>
          <w:sz w:val="32"/>
          <w:szCs w:val="32"/>
        </w:rPr>
        <w:t>四、政府信息公开行政复议、行政诉讼情况</w:t>
      </w:r>
    </w:p>
    <w:tbl>
      <w:tblPr>
        <w:tblStyle w:val="3"/>
        <w:tblW w:w="9759" w:type="dxa"/>
        <w:jc w:val="center"/>
        <w:shd w:val="clear" w:color="auto" w:fill="auto"/>
        <w:tblLayout w:type="autofit"/>
        <w:tblCellMar>
          <w:top w:w="0" w:type="dxa"/>
          <w:left w:w="0" w:type="dxa"/>
          <w:bottom w:w="0" w:type="dxa"/>
          <w:right w:w="0" w:type="dxa"/>
        </w:tblCellMar>
      </w:tblPr>
      <w:tblGrid>
        <w:gridCol w:w="650"/>
        <w:gridCol w:w="650"/>
        <w:gridCol w:w="650"/>
        <w:gridCol w:w="650"/>
        <w:gridCol w:w="652"/>
        <w:gridCol w:w="650"/>
        <w:gridCol w:w="650"/>
        <w:gridCol w:w="650"/>
        <w:gridCol w:w="650"/>
        <w:gridCol w:w="652"/>
        <w:gridCol w:w="650"/>
        <w:gridCol w:w="650"/>
        <w:gridCol w:w="650"/>
        <w:gridCol w:w="650"/>
        <w:gridCol w:w="655"/>
      </w:tblGrid>
      <w:tr>
        <w:tblPrEx>
          <w:shd w:val="clear" w:color="auto" w:fill="auto"/>
          <w:tblCellMar>
            <w:top w:w="0" w:type="dxa"/>
            <w:left w:w="0" w:type="dxa"/>
            <w:bottom w:w="0" w:type="dxa"/>
            <w:right w:w="0" w:type="dxa"/>
          </w:tblCellMar>
        </w:tblPrEx>
        <w:trPr>
          <w:trHeight w:val="670" w:hRule="atLeast"/>
          <w:jc w:val="center"/>
        </w:trPr>
        <w:tc>
          <w:tcPr>
            <w:tcW w:w="3252"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行政复议</w:t>
            </w:r>
          </w:p>
        </w:tc>
        <w:tc>
          <w:tcPr>
            <w:tcW w:w="6507" w:type="dxa"/>
            <w:gridSpan w:val="10"/>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行政诉讼</w:t>
            </w:r>
          </w:p>
        </w:tc>
      </w:tr>
      <w:tr>
        <w:tblPrEx>
          <w:tblCellMar>
            <w:top w:w="0" w:type="dxa"/>
            <w:left w:w="0" w:type="dxa"/>
            <w:bottom w:w="0" w:type="dxa"/>
            <w:right w:w="0" w:type="dxa"/>
          </w:tblCellMar>
        </w:tblPrEx>
        <w:trPr>
          <w:trHeight w:val="670" w:hRule="atLeast"/>
          <w:jc w:val="center"/>
        </w:trPr>
        <w:tc>
          <w:tcPr>
            <w:tcW w:w="6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结果维持</w:t>
            </w: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结果纠正</w:t>
            </w: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其他结果</w:t>
            </w: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尚未审结</w:t>
            </w:r>
          </w:p>
        </w:tc>
        <w:tc>
          <w:tcPr>
            <w:tcW w:w="65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总计</w:t>
            </w:r>
          </w:p>
        </w:tc>
        <w:tc>
          <w:tcPr>
            <w:tcW w:w="3252"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未经复议直接起诉</w:t>
            </w:r>
          </w:p>
        </w:tc>
        <w:tc>
          <w:tcPr>
            <w:tcW w:w="325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复议后起诉</w:t>
            </w:r>
          </w:p>
        </w:tc>
      </w:tr>
      <w:tr>
        <w:tblPrEx>
          <w:tblCellMar>
            <w:top w:w="0" w:type="dxa"/>
            <w:left w:w="0" w:type="dxa"/>
            <w:bottom w:w="0" w:type="dxa"/>
            <w:right w:w="0" w:type="dxa"/>
          </w:tblCellMar>
        </w:tblPrEx>
        <w:trPr>
          <w:trHeight w:val="2211" w:hRule="atLeast"/>
          <w:jc w:val="center"/>
        </w:trPr>
        <w:tc>
          <w:tcPr>
            <w:tcW w:w="6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结果维持</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结果纠正</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其他结果</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尚未审结</w:t>
            </w:r>
          </w:p>
        </w:tc>
        <w:tc>
          <w:tcPr>
            <w:tcW w:w="6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总计</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结果维持</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结果纠正</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其他结果</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尚未审结</w:t>
            </w:r>
          </w:p>
        </w:tc>
        <w:tc>
          <w:tcPr>
            <w:tcW w:w="6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总计</w:t>
            </w:r>
          </w:p>
        </w:tc>
      </w:tr>
      <w:tr>
        <w:tblPrEx>
          <w:tblCellMar>
            <w:top w:w="0" w:type="dxa"/>
            <w:left w:w="0" w:type="dxa"/>
            <w:bottom w:w="0" w:type="dxa"/>
            <w:right w:w="0" w:type="dxa"/>
          </w:tblCellMar>
        </w:tblPrEx>
        <w:trPr>
          <w:trHeight w:val="691" w:hRule="atLeast"/>
          <w:jc w:val="center"/>
        </w:trPr>
        <w:tc>
          <w:tcPr>
            <w:tcW w:w="6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c>
          <w:tcPr>
            <w:tcW w:w="6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w:t>
            </w:r>
          </w:p>
        </w:tc>
      </w:tr>
    </w:tbl>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2020</w:t>
      </w:r>
      <w:r>
        <w:rPr>
          <w:rFonts w:hint="eastAsia" w:ascii="仿宋_GB2312" w:eastAsia="仿宋_GB2312" w:cs="仿宋_GB2312"/>
          <w:sz w:val="32"/>
          <w:szCs w:val="32"/>
        </w:rPr>
        <w:t>年，</w:t>
      </w:r>
      <w:r>
        <w:rPr>
          <w:rFonts w:hint="eastAsia" w:ascii="仿宋_GB2312" w:eastAsia="仿宋_GB2312" w:cs="仿宋_GB2312"/>
          <w:sz w:val="32"/>
          <w:szCs w:val="32"/>
          <w:lang w:eastAsia="zh-CN"/>
        </w:rPr>
        <w:t>我局信息公开工作有序推进，取得了较好的进展，但仍存在一些薄弱环节：</w:t>
      </w:r>
      <w:r>
        <w:rPr>
          <w:rFonts w:hint="eastAsia" w:ascii="仿宋_GB2312" w:eastAsia="仿宋_GB2312" w:cs="仿宋_GB2312"/>
          <w:b/>
          <w:bCs/>
          <w:sz w:val="32"/>
          <w:szCs w:val="32"/>
          <w:lang w:eastAsia="zh-CN"/>
        </w:rPr>
        <w:t>一是</w:t>
      </w:r>
      <w:r>
        <w:rPr>
          <w:rFonts w:hint="eastAsia" w:ascii="仿宋_GB2312" w:eastAsia="仿宋_GB2312" w:cs="仿宋_GB2312"/>
          <w:sz w:val="32"/>
          <w:szCs w:val="32"/>
          <w:lang w:eastAsia="zh-CN"/>
        </w:rPr>
        <w:t>信息公开形式较为单一，主动公开的范围需进一步细化；</w:t>
      </w:r>
      <w:r>
        <w:rPr>
          <w:rFonts w:hint="eastAsia" w:ascii="仿宋_GB2312" w:eastAsia="仿宋_GB2312" w:cs="仿宋_GB2312"/>
          <w:b/>
          <w:bCs/>
          <w:sz w:val="32"/>
          <w:szCs w:val="32"/>
        </w:rPr>
        <w:t>二是</w:t>
      </w:r>
      <w:r>
        <w:rPr>
          <w:rFonts w:hint="eastAsia" w:ascii="仿宋_GB2312" w:eastAsia="仿宋_GB2312" w:cs="仿宋_GB2312"/>
          <w:b w:val="0"/>
          <w:bCs w:val="0"/>
          <w:sz w:val="32"/>
          <w:szCs w:val="32"/>
          <w:lang w:eastAsia="zh-CN"/>
        </w:rPr>
        <w:t>负责政务公开工作</w:t>
      </w:r>
      <w:r>
        <w:rPr>
          <w:rFonts w:hint="eastAsia" w:ascii="仿宋_GB2312" w:eastAsia="仿宋_GB2312" w:cs="仿宋_GB2312"/>
          <w:b w:val="0"/>
          <w:bCs w:val="0"/>
          <w:sz w:val="32"/>
          <w:szCs w:val="32"/>
        </w:rPr>
        <w:t>人员业务能力有待提高</w:t>
      </w:r>
      <w:r>
        <w:rPr>
          <w:rFonts w:hint="eastAsia" w:ascii="仿宋_GB2312" w:eastAsia="仿宋_GB2312" w:cs="仿宋_GB2312"/>
          <w:b w:val="0"/>
          <w:bCs w:val="0"/>
          <w:sz w:val="32"/>
          <w:szCs w:val="32"/>
          <w:lang w:eastAsia="zh-CN"/>
        </w:rPr>
        <w:t>；</w:t>
      </w:r>
      <w:r>
        <w:rPr>
          <w:rFonts w:hint="eastAsia" w:ascii="仿宋_GB2312" w:eastAsia="仿宋_GB2312" w:cs="仿宋_GB2312"/>
          <w:b/>
          <w:bCs/>
          <w:sz w:val="32"/>
          <w:szCs w:val="32"/>
        </w:rPr>
        <w:t>三是</w:t>
      </w:r>
      <w:r>
        <w:rPr>
          <w:rFonts w:hint="eastAsia" w:ascii="仿宋_GB2312" w:eastAsia="仿宋_GB2312" w:cs="仿宋_GB2312"/>
          <w:sz w:val="32"/>
          <w:szCs w:val="32"/>
          <w:lang w:eastAsia="zh-CN"/>
        </w:rPr>
        <w:t>在部分重点领域信息公开程度仍需进一步拓展；</w:t>
      </w:r>
      <w:r>
        <w:rPr>
          <w:rFonts w:hint="eastAsia" w:ascii="仿宋_GB2312" w:eastAsia="仿宋_GB2312" w:cs="仿宋_GB2312"/>
          <w:b/>
          <w:bCs/>
          <w:sz w:val="32"/>
          <w:szCs w:val="32"/>
          <w:lang w:eastAsia="zh-CN"/>
        </w:rPr>
        <w:t>四</w:t>
      </w:r>
      <w:r>
        <w:rPr>
          <w:rFonts w:hint="eastAsia" w:ascii="仿宋_GB2312" w:eastAsia="仿宋_GB2312" w:cs="仿宋_GB2312"/>
          <w:b/>
          <w:bCs/>
          <w:sz w:val="32"/>
          <w:szCs w:val="32"/>
        </w:rPr>
        <w:t>是</w:t>
      </w:r>
      <w:r>
        <w:rPr>
          <w:rFonts w:hint="eastAsia" w:ascii="仿宋_GB2312" w:eastAsia="仿宋_GB2312" w:cs="仿宋_GB2312"/>
          <w:sz w:val="32"/>
          <w:szCs w:val="32"/>
          <w:lang w:eastAsia="zh-CN"/>
        </w:rPr>
        <w:t>政府信息公开工作运行机制要进一步完善，避免出现政府信息的漏报、迟报等情况发生。</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下一步，我局将进一步深化思想认识、增强公开意识、落实工作责任，从以下几个方面认真加以改进：</w:t>
      </w:r>
    </w:p>
    <w:p>
      <w:pPr>
        <w:spacing w:line="560" w:lineRule="exact"/>
        <w:ind w:firstLine="643" w:firstLineChars="200"/>
        <w:rPr>
          <w:rFonts w:hint="eastAsia" w:ascii="仿宋_GB2312" w:eastAsia="仿宋_GB2312" w:cs="Times New Roman"/>
          <w:sz w:val="32"/>
          <w:szCs w:val="32"/>
          <w:lang w:eastAsia="zh-CN"/>
        </w:rPr>
      </w:pPr>
      <w:r>
        <w:rPr>
          <w:rFonts w:hint="eastAsia" w:ascii="楷体_GB2312" w:eastAsia="楷体_GB2312" w:cs="楷体_GB2312"/>
          <w:b/>
          <w:bCs/>
          <w:sz w:val="32"/>
          <w:szCs w:val="32"/>
        </w:rPr>
        <w:t>（一）</w:t>
      </w:r>
      <w:r>
        <w:rPr>
          <w:rFonts w:hint="eastAsia" w:ascii="楷体_GB2312" w:eastAsia="楷体_GB2312" w:cs="楷体_GB2312"/>
          <w:b/>
          <w:bCs/>
          <w:sz w:val="32"/>
          <w:szCs w:val="32"/>
          <w:lang w:eastAsia="zh-CN"/>
        </w:rPr>
        <w:t>围绕重点领域，扩大公开范围</w:t>
      </w:r>
      <w:r>
        <w:rPr>
          <w:rFonts w:hint="eastAsia" w:ascii="楷体_GB2312" w:eastAsia="楷体_GB2312" w:cs="楷体_GB2312"/>
          <w:b/>
          <w:bCs/>
          <w:sz w:val="32"/>
          <w:szCs w:val="32"/>
        </w:rPr>
        <w:t>。</w:t>
      </w:r>
      <w:r>
        <w:rPr>
          <w:rFonts w:hint="eastAsia" w:ascii="仿宋_GB2312" w:eastAsia="仿宋_GB2312" w:cs="仿宋_GB2312"/>
          <w:sz w:val="32"/>
          <w:szCs w:val="32"/>
          <w:lang w:eastAsia="zh-CN"/>
        </w:rPr>
        <w:t>细化主动公开范围、种类、方式、时限等，采用多种形式全方位公开政府工作信息，确保公开的政府信息能够做到准确、全面、及时、有效公开。</w:t>
      </w:r>
    </w:p>
    <w:p>
      <w:pPr>
        <w:spacing w:line="560" w:lineRule="exact"/>
        <w:ind w:firstLine="643" w:firstLineChars="200"/>
        <w:rPr>
          <w:rFonts w:hint="eastAsia" w:ascii="楷体_GB2312" w:eastAsia="楷体_GB2312" w:cs="楷体_GB2312"/>
          <w:b w:val="0"/>
          <w:bCs w:val="0"/>
          <w:sz w:val="32"/>
          <w:szCs w:val="32"/>
        </w:rPr>
      </w:pPr>
      <w:r>
        <w:rPr>
          <w:rFonts w:hint="eastAsia" w:ascii="楷体_GB2312" w:eastAsia="楷体_GB2312" w:cs="楷体_GB2312"/>
          <w:b/>
          <w:bCs/>
          <w:sz w:val="32"/>
          <w:szCs w:val="32"/>
        </w:rPr>
        <w:t>（二）要继续开展对政府信息公开工作的宣传和教育。</w:t>
      </w:r>
      <w:r>
        <w:rPr>
          <w:rFonts w:hint="eastAsia" w:ascii="楷体_GB2312" w:eastAsia="楷体_GB2312" w:cs="楷体_GB2312"/>
          <w:b w:val="0"/>
          <w:bCs w:val="0"/>
          <w:sz w:val="32"/>
          <w:szCs w:val="32"/>
        </w:rPr>
        <w:t>组织机关工作人员学习《条例》，加强对政府信息公开工作人员的业务培训，提高工作人员的服务水平，切实提高对政府信息公开重大意义的认识，不断深化公开理念。</w:t>
      </w:r>
    </w:p>
    <w:p>
      <w:pPr>
        <w:spacing w:line="560" w:lineRule="exact"/>
        <w:ind w:firstLine="643" w:firstLineChars="200"/>
        <w:rPr>
          <w:rFonts w:hint="eastAsia" w:ascii="仿宋_GB2312" w:eastAsia="仿宋_GB2312" w:cs="仿宋_GB2312"/>
          <w:sz w:val="32"/>
          <w:szCs w:val="32"/>
          <w:lang w:eastAsia="zh-CN"/>
        </w:rPr>
      </w:pPr>
      <w:r>
        <w:rPr>
          <w:rFonts w:hint="eastAsia" w:ascii="楷体_GB2312" w:eastAsia="楷体_GB2312" w:cs="楷体_GB2312"/>
          <w:b/>
          <w:bCs/>
          <w:sz w:val="32"/>
          <w:szCs w:val="32"/>
        </w:rPr>
        <w:t>（</w:t>
      </w:r>
      <w:r>
        <w:rPr>
          <w:rFonts w:hint="eastAsia" w:ascii="楷体_GB2312" w:eastAsia="楷体_GB2312" w:cs="楷体_GB2312"/>
          <w:b/>
          <w:bCs/>
          <w:sz w:val="32"/>
          <w:szCs w:val="32"/>
          <w:lang w:eastAsia="zh-CN"/>
        </w:rPr>
        <w:t>三</w:t>
      </w:r>
      <w:r>
        <w:rPr>
          <w:rFonts w:hint="eastAsia" w:ascii="楷体_GB2312" w:eastAsia="楷体_GB2312" w:cs="楷体_GB2312"/>
          <w:b/>
          <w:bCs/>
          <w:sz w:val="32"/>
          <w:szCs w:val="32"/>
        </w:rPr>
        <w:t>）加强自查自纠，不断完善政务公开内容。</w:t>
      </w:r>
      <w:r>
        <w:rPr>
          <w:rFonts w:hint="eastAsia" w:ascii="仿宋_GB2312" w:eastAsia="仿宋_GB2312" w:cs="仿宋_GB2312"/>
          <w:sz w:val="32"/>
          <w:szCs w:val="32"/>
          <w:lang w:eastAsia="zh-CN"/>
        </w:rPr>
        <w:t>建立公开信息定期排查制度，在公开信息上求真求实求细，使政务公开工作切实达到促廉政、树形象、展作风的效果，推动我局各项目标任务的圆满完成。</w:t>
      </w:r>
    </w:p>
    <w:p>
      <w:pPr>
        <w:spacing w:line="560" w:lineRule="exact"/>
        <w:ind w:firstLine="643" w:firstLineChars="200"/>
        <w:rPr>
          <w:rFonts w:ascii="仿宋_GB2312" w:eastAsia="仿宋_GB2312" w:cs="Times New Roman"/>
          <w:sz w:val="32"/>
          <w:szCs w:val="32"/>
        </w:rPr>
      </w:pPr>
      <w:r>
        <w:rPr>
          <w:rFonts w:hint="eastAsia" w:ascii="楷体_GB2312" w:eastAsia="楷体_GB2312" w:cs="楷体_GB2312"/>
          <w:b/>
          <w:bCs/>
          <w:sz w:val="32"/>
          <w:szCs w:val="32"/>
        </w:rPr>
        <w:t>（</w:t>
      </w:r>
      <w:r>
        <w:rPr>
          <w:rFonts w:hint="eastAsia" w:ascii="楷体_GB2312" w:eastAsia="楷体_GB2312" w:cs="楷体_GB2312"/>
          <w:b/>
          <w:bCs/>
          <w:sz w:val="32"/>
          <w:szCs w:val="32"/>
          <w:lang w:eastAsia="zh-CN"/>
        </w:rPr>
        <w:t>四</w:t>
      </w:r>
      <w:r>
        <w:rPr>
          <w:rFonts w:hint="eastAsia" w:ascii="楷体_GB2312" w:eastAsia="楷体_GB2312" w:cs="楷体_GB2312"/>
          <w:b/>
          <w:bCs/>
          <w:sz w:val="32"/>
          <w:szCs w:val="32"/>
        </w:rPr>
        <w:t>）加强考评,确保质量。</w:t>
      </w:r>
      <w:r>
        <w:rPr>
          <w:rFonts w:hint="eastAsia" w:ascii="仿宋_GB2312" w:eastAsia="仿宋_GB2312" w:cs="仿宋_GB2312"/>
          <w:sz w:val="32"/>
          <w:szCs w:val="32"/>
        </w:rPr>
        <w:t>把政务公开工作纳入年度目标管理和重点工作考核内容。围绕组织领导、公开内容、公开时限以及公开效果等方面，加强对本单位和所属事业单位政务公开落实情况的指导、检查、管理和考核，及时发现和解决存在的问题，推动政务公开工作常态长效、扎实深入开展。</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六、其他需要报告的事项</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无。</w:t>
      </w:r>
    </w:p>
    <w:p>
      <w:pPr>
        <w:rPr>
          <w:rFonts w:ascii="仿宋_GB2312" w:eastAsia="仿宋_GB2312" w:cs="Times New Roman"/>
          <w:sz w:val="32"/>
          <w:szCs w:val="32"/>
        </w:rPr>
      </w:pPr>
    </w:p>
    <w:p>
      <w:pPr>
        <w:jc w:val="righ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泉港区文化体育和旅游局</w:t>
      </w:r>
    </w:p>
    <w:p>
      <w:pPr>
        <w:ind w:right="320"/>
        <w:jc w:val="right"/>
        <w:rPr>
          <w:rFonts w:ascii="仿宋_GB2312" w:eastAsia="仿宋_GB2312" w:cs="Times New Roman"/>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19</w:t>
      </w:r>
      <w:r>
        <w:rPr>
          <w:rFonts w:hint="eastAsia" w:ascii="仿宋_GB2312" w:eastAsia="仿宋_GB2312" w:cs="仿宋_GB2312"/>
          <w:sz w:val="32"/>
          <w:szCs w:val="32"/>
        </w:rPr>
        <w:t>日</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pBdr>
          <w:top w:val="single" w:color="auto" w:sz="6" w:space="1"/>
          <w:bottom w:val="single" w:color="auto" w:sz="6" w:space="1"/>
        </w:pBdr>
        <w:ind w:firstLine="280" w:firstLineChars="100"/>
        <w:rPr>
          <w:rFonts w:ascii="仿宋_GB2312" w:eastAsia="仿宋_GB2312" w:cs="Times New Roman"/>
          <w:sz w:val="28"/>
          <w:szCs w:val="28"/>
        </w:rPr>
      </w:pPr>
      <w:r>
        <w:rPr>
          <w:rFonts w:hint="eastAsia" w:ascii="仿宋_GB2312" w:eastAsia="仿宋_GB2312" w:cs="仿宋_GB2312"/>
          <w:sz w:val="28"/>
          <w:szCs w:val="28"/>
        </w:rPr>
        <w:t>泉港区文化体育和旅游局</w:t>
      </w:r>
      <w:r>
        <w:rPr>
          <w:rFonts w:ascii="仿宋_GB2312" w:eastAsia="仿宋_GB2312" w:cs="仿宋_GB2312"/>
          <w:sz w:val="28"/>
          <w:szCs w:val="28"/>
        </w:rPr>
        <w:t xml:space="preserve">                  202</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19</w:t>
      </w:r>
      <w:r>
        <w:rPr>
          <w:rFonts w:hint="eastAsia" w:ascii="仿宋_GB2312" w:eastAsia="仿宋_GB2312" w:cs="仿宋_GB2312"/>
          <w:sz w:val="28"/>
          <w:szCs w:val="28"/>
        </w:rPr>
        <w:t>日印发</w:t>
      </w:r>
    </w:p>
    <w:sectPr>
      <w:footerReference r:id="rId3" w:type="default"/>
      <w:footerReference r:id="rId4" w:type="even"/>
      <w:pgSz w:w="11906" w:h="16838"/>
      <w:pgMar w:top="1871" w:right="1531" w:bottom="1814" w:left="1531" w:header="851" w:footer="1474" w:gutter="0"/>
      <w:pgBorders>
        <w:top w:val="none" w:sz="0" w:space="0"/>
        <w:left w:val="none" w:sz="0" w:space="0"/>
        <w:bottom w:val="none" w:sz="0" w:space="0"/>
        <w:right w:val="none" w:sz="0" w:space="0"/>
      </w:pgBorders>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7 -</w:t>
    </w:r>
    <w:r>
      <w:rPr>
        <w:rFonts w:ascii="宋体" w:hAnsi="宋体" w:cs="宋体"/>
        <w:sz w:val="28"/>
        <w:szCs w:val="28"/>
      </w:rPr>
      <w:fldChar w:fldCharType="end"/>
    </w:r>
  </w:p>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8 -</w:t>
    </w:r>
    <w:r>
      <w:rPr>
        <w:rFonts w:ascii="宋体" w:hAnsi="宋体" w:cs="宋体"/>
        <w:sz w:val="28"/>
        <w:szCs w:val="28"/>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1C8F"/>
    <w:rsid w:val="008F056D"/>
    <w:rsid w:val="237F6544"/>
    <w:rsid w:val="2EB63FCC"/>
    <w:rsid w:val="48445B23"/>
    <w:rsid w:val="4DE43F91"/>
    <w:rsid w:val="6A3127F6"/>
    <w:rsid w:val="77A31C8F"/>
    <w:rsid w:val="78D5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2021-01-18T07:24:00Z</dcterms:created>
  <dc:creator>Administrator</dc:creator>
  <cp:lastModifiedBy>Administrator</cp:lastModifiedBy>
  <cp:lastPrinted>2021-01-18T10:52:00Z</cp:lastPrinted>
  <dcterms:modified xsi:type="dcterms:W3CDTF">2021-01-20T01:34:43Z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