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b/>
          <w:bCs/>
          <w:sz w:val="44"/>
          <w:szCs w:val="44"/>
        </w:rPr>
      </w:pPr>
    </w:p>
    <w:p>
      <w:pPr>
        <w:jc w:val="center"/>
        <w:rPr>
          <w:rFonts w:ascii="宋体" w:cs="Times New Roman"/>
          <w:b/>
          <w:bCs/>
          <w:sz w:val="44"/>
          <w:szCs w:val="44"/>
        </w:rPr>
      </w:pPr>
    </w:p>
    <w:p>
      <w:pPr>
        <w:spacing w:line="560" w:lineRule="exact"/>
        <w:jc w:val="center"/>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p>
    <w:p>
      <w:pPr>
        <w:spacing w:line="560" w:lineRule="exact"/>
        <w:rPr>
          <w:rFonts w:ascii="仿宋_GB2312" w:hAnsi="仿宋_GB2312" w:eastAsia="仿宋_GB2312" w:cs="Times New Roman"/>
          <w:sz w:val="32"/>
          <w:szCs w:val="32"/>
        </w:rPr>
      </w:pPr>
    </w:p>
    <w:p>
      <w:pPr>
        <w:spacing w:line="5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泉港文综〔</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w:t>
      </w:r>
    </w:p>
    <w:p>
      <w:pPr>
        <w:rPr>
          <w:rFonts w:ascii="宋体" w:cs="Times New Roman"/>
          <w:b/>
          <w:bCs/>
          <w:sz w:val="44"/>
          <w:szCs w:val="44"/>
        </w:rPr>
      </w:pPr>
    </w:p>
    <w:p>
      <w:pPr>
        <w:jc w:val="center"/>
        <w:rPr>
          <w:rFonts w:ascii="宋体" w:cs="Times New Roman"/>
          <w:b/>
          <w:bCs/>
          <w:sz w:val="44"/>
          <w:szCs w:val="44"/>
        </w:rPr>
      </w:pPr>
      <w:r>
        <w:rPr>
          <w:rFonts w:hint="eastAsia" w:ascii="宋体" w:hAnsi="宋体" w:cs="宋体"/>
          <w:b/>
          <w:bCs/>
          <w:sz w:val="44"/>
          <w:szCs w:val="44"/>
        </w:rPr>
        <w:t>泉港区文化体育和旅游局</w:t>
      </w:r>
      <w:r>
        <w:rPr>
          <w:rFonts w:ascii="宋体" w:hAnsi="宋体" w:cs="宋体"/>
          <w:b/>
          <w:bCs/>
          <w:sz w:val="44"/>
          <w:szCs w:val="44"/>
        </w:rPr>
        <w:t>2019</w:t>
      </w:r>
      <w:r>
        <w:rPr>
          <w:rFonts w:hint="eastAsia" w:ascii="宋体" w:hAnsi="宋体" w:cs="宋体"/>
          <w:b/>
          <w:bCs/>
          <w:sz w:val="44"/>
          <w:szCs w:val="44"/>
        </w:rPr>
        <w:t>年政府信息</w:t>
      </w:r>
    </w:p>
    <w:p>
      <w:pPr>
        <w:jc w:val="center"/>
        <w:rPr>
          <w:rFonts w:ascii="宋体" w:cs="Times New Roman"/>
          <w:b/>
          <w:bCs/>
          <w:sz w:val="44"/>
          <w:szCs w:val="44"/>
        </w:rPr>
      </w:pPr>
      <w:r>
        <w:rPr>
          <w:rFonts w:hint="eastAsia" w:ascii="宋体" w:hAnsi="宋体" w:cs="宋体"/>
          <w:b/>
          <w:bCs/>
          <w:sz w:val="44"/>
          <w:szCs w:val="44"/>
        </w:rPr>
        <w:t>公开工作年度报告</w:t>
      </w:r>
    </w:p>
    <w:p>
      <w:pPr>
        <w:widowControl/>
        <w:ind w:firstLine="480"/>
        <w:rPr>
          <w:rFonts w:ascii="黑体" w:hAnsi="黑体" w:eastAsia="黑体" w:cs="Times New Roman"/>
          <w:kern w:val="0"/>
          <w:sz w:val="32"/>
          <w:szCs w:val="32"/>
        </w:rPr>
      </w:pPr>
    </w:p>
    <w:p>
      <w:pPr>
        <w:spacing w:line="56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kern w:val="0"/>
          <w:sz w:val="32"/>
          <w:szCs w:val="32"/>
        </w:rPr>
        <w:t>本报告系根据《中华人民共和国政府信息公开条例》（以下简称《条例》）《国务院办公厅政府信息与政务公开办公室关于政府信息公开工作年度报告有关事项的通知》《福建省政府公开办法》（以下简称《办法》）规定，汇总本部门政府信息公开情况编制而成，所列政府信息公开数据统计期限自</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日至</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31</w:t>
      </w:r>
      <w:r>
        <w:rPr>
          <w:rFonts w:hint="eastAsia" w:ascii="仿宋_GB2312" w:hAnsi="宋体" w:eastAsia="仿宋_GB2312" w:cs="仿宋_GB2312"/>
          <w:kern w:val="0"/>
          <w:sz w:val="32"/>
          <w:szCs w:val="32"/>
        </w:rPr>
        <w:t>日。</w:t>
      </w:r>
      <w:r>
        <w:rPr>
          <w:rFonts w:hint="eastAsia" w:ascii="仿宋_GB2312" w:hAnsi="宋体" w:eastAsia="仿宋_GB2312" w:cs="仿宋_GB2312"/>
          <w:color w:val="000000"/>
          <w:kern w:val="36"/>
          <w:sz w:val="32"/>
          <w:szCs w:val="32"/>
        </w:rPr>
        <w:t>报告全文由总体情况、主动公开政府信息情况、收到和处理政府信息公开申请情况、政府信息公开行政复议和行政诉讼情况、存在的主要问题及改进情况、其他需要报告的事项六个部分组成。本报告在泉港区政府门户网站泉港区文化体育和旅游局专栏（</w:t>
      </w:r>
      <w:r>
        <w:rPr>
          <w:rFonts w:ascii="仿宋_GB2312" w:hAnsi="宋体" w:eastAsia="仿宋_GB2312" w:cs="仿宋_GB2312"/>
          <w:color w:val="000000"/>
          <w:kern w:val="36"/>
          <w:sz w:val="32"/>
          <w:szCs w:val="32"/>
        </w:rPr>
        <w:t>http://www.qg.gov.cn/</w:t>
      </w:r>
      <w:r>
        <w:rPr>
          <w:rFonts w:hint="eastAsia" w:ascii="仿宋_GB2312" w:hAnsi="宋体" w:eastAsia="仿宋_GB2312" w:cs="仿宋_GB2312"/>
          <w:color w:val="000000"/>
          <w:kern w:val="36"/>
          <w:sz w:val="32"/>
          <w:szCs w:val="32"/>
        </w:rPr>
        <w:t>）公布，</w:t>
      </w:r>
      <w:r>
        <w:rPr>
          <w:rFonts w:hint="eastAsia" w:ascii="仿宋_GB2312" w:eastAsia="仿宋_GB2312" w:cs="仿宋_GB2312"/>
          <w:color w:val="000000"/>
          <w:sz w:val="32"/>
          <w:szCs w:val="32"/>
        </w:rPr>
        <w:t>如对本年度报告有任何疑问，请联系泉港区文化体育和旅游局综合股（地址：泉港区广电大楼</w:t>
      </w:r>
      <w:r>
        <w:rPr>
          <w:rFonts w:ascii="仿宋_GB2312" w:eastAsia="仿宋_GB2312" w:cs="仿宋_GB2312"/>
          <w:color w:val="000000"/>
          <w:sz w:val="32"/>
          <w:szCs w:val="32"/>
        </w:rPr>
        <w:t>8</w:t>
      </w:r>
      <w:r>
        <w:rPr>
          <w:rFonts w:hint="eastAsia" w:ascii="仿宋_GB2312" w:eastAsia="仿宋_GB2312" w:cs="仿宋_GB2312"/>
          <w:color w:val="000000"/>
          <w:sz w:val="32"/>
          <w:szCs w:val="32"/>
        </w:rPr>
        <w:t>层；联系电话：</w:t>
      </w:r>
      <w:r>
        <w:rPr>
          <w:rFonts w:ascii="仿宋_GB2312" w:eastAsia="仿宋_GB2312" w:cs="仿宋_GB2312"/>
          <w:color w:val="000000"/>
          <w:sz w:val="32"/>
          <w:szCs w:val="32"/>
        </w:rPr>
        <w:t>0595-87971012</w:t>
      </w:r>
      <w:r>
        <w:rPr>
          <w:rFonts w:hint="eastAsia" w:ascii="仿宋_GB2312" w:eastAsia="仿宋_GB2312" w:cs="仿宋_GB2312"/>
          <w:color w:val="000000"/>
          <w:sz w:val="32"/>
          <w:szCs w:val="32"/>
        </w:rPr>
        <w:t>；邮箱：</w:t>
      </w:r>
      <w:r>
        <w:rPr>
          <w:rFonts w:ascii="仿宋_GB2312" w:eastAsia="仿宋_GB2312" w:cs="仿宋_GB2312"/>
          <w:color w:val="000000"/>
          <w:sz w:val="32"/>
          <w:szCs w:val="32"/>
        </w:rPr>
        <w:t>qgwtlyj@163.com</w:t>
      </w:r>
      <w:r>
        <w:rPr>
          <w:rFonts w:hint="eastAsia" w:ascii="仿宋_GB2312" w:eastAsia="仿宋_GB2312" w:cs="仿宋_GB2312"/>
          <w:color w:val="000000"/>
          <w:sz w:val="32"/>
          <w:szCs w:val="32"/>
        </w:rPr>
        <w:t>）。</w:t>
      </w:r>
    </w:p>
    <w:p>
      <w:pPr>
        <w:widowControl/>
        <w:spacing w:line="560" w:lineRule="exact"/>
        <w:ind w:firstLine="480"/>
        <w:rPr>
          <w:rFonts w:ascii="黑体" w:hAnsi="黑体" w:eastAsia="黑体" w:cs="Times New Roman"/>
          <w:kern w:val="0"/>
          <w:sz w:val="32"/>
          <w:szCs w:val="32"/>
        </w:rPr>
      </w:pPr>
      <w:r>
        <w:rPr>
          <w:rFonts w:hint="eastAsia" w:ascii="黑体" w:hAnsi="黑体" w:eastAsia="黑体" w:cs="黑体"/>
          <w:kern w:val="0"/>
          <w:sz w:val="32"/>
          <w:szCs w:val="32"/>
        </w:rPr>
        <w:t>一、总体情况</w:t>
      </w:r>
    </w:p>
    <w:p>
      <w:pPr>
        <w:widowControl/>
        <w:spacing w:line="560" w:lineRule="exact"/>
        <w:ind w:firstLine="645"/>
        <w:rPr>
          <w:rFonts w:ascii="仿宋_GB2312" w:hAnsi="宋体" w:eastAsia="仿宋_GB2312" w:cs="Times New Roman"/>
          <w:color w:val="000000"/>
          <w:kern w:val="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度，我局认真贯彻落实《条例》、《办法》要求，着力加强政府信息公开工作的组织领导，完善制度建设，创新公开形式，拓展公开内容，丰富公开载体，保证了我局政府信息公开工作健康有序发展。累计制作政府信息</w:t>
      </w:r>
      <w:r>
        <w:rPr>
          <w:rFonts w:ascii="仿宋_GB2312" w:eastAsia="仿宋_GB2312" w:cs="仿宋_GB2312"/>
          <w:color w:val="000000"/>
          <w:sz w:val="32"/>
          <w:szCs w:val="32"/>
        </w:rPr>
        <w:t>24</w:t>
      </w:r>
      <w:r>
        <w:rPr>
          <w:rFonts w:hint="eastAsia" w:ascii="仿宋_GB2312" w:eastAsia="仿宋_GB2312" w:cs="仿宋_GB2312"/>
          <w:color w:val="000000"/>
          <w:sz w:val="32"/>
          <w:szCs w:val="32"/>
        </w:rPr>
        <w:t>条，并向社会主动公开编制索引目录的政府信息</w:t>
      </w:r>
      <w:r>
        <w:rPr>
          <w:rFonts w:ascii="仿宋_GB2312" w:eastAsia="仿宋_GB2312" w:cs="仿宋_GB2312"/>
          <w:color w:val="000000"/>
          <w:sz w:val="32"/>
          <w:szCs w:val="32"/>
        </w:rPr>
        <w:t>13</w:t>
      </w:r>
      <w:r>
        <w:rPr>
          <w:rFonts w:hint="eastAsia" w:ascii="仿宋_GB2312" w:eastAsia="仿宋_GB2312" w:cs="仿宋_GB2312"/>
          <w:color w:val="000000"/>
          <w:sz w:val="32"/>
          <w:szCs w:val="32"/>
        </w:rPr>
        <w:t>条，其中依托区政府门户网站信息公开专栏向社会主动公开政府信息</w:t>
      </w:r>
      <w:r>
        <w:rPr>
          <w:rFonts w:ascii="仿宋_GB2312" w:eastAsia="仿宋_GB2312" w:cs="仿宋_GB2312"/>
          <w:color w:val="000000"/>
          <w:sz w:val="32"/>
          <w:szCs w:val="32"/>
        </w:rPr>
        <w:t>13</w:t>
      </w:r>
      <w:r>
        <w:rPr>
          <w:rFonts w:hint="eastAsia" w:ascii="仿宋_GB2312" w:eastAsia="仿宋_GB2312" w:cs="仿宋_GB2312"/>
          <w:color w:val="000000"/>
          <w:sz w:val="32"/>
          <w:szCs w:val="32"/>
        </w:rPr>
        <w:t>条，全文电子化网站公开率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r>
        <w:rPr>
          <w:rFonts w:hint="eastAsia" w:ascii="仿宋_GB2312" w:hAnsi="宋体" w:eastAsia="仿宋_GB2312" w:cs="仿宋_GB2312"/>
          <w:color w:val="000000"/>
          <w:kern w:val="0"/>
          <w:sz w:val="32"/>
          <w:szCs w:val="32"/>
        </w:rPr>
        <w:t>全年主动公开信息纸质版均已送区档案馆、区图书馆、区行政服务中心等</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个政府信息查阅点，接受群众查阅。</w:t>
      </w:r>
    </w:p>
    <w:p>
      <w:pPr>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仿宋" w:eastAsia="仿宋_GB2312" w:cs="仿宋_GB2312"/>
          <w:sz w:val="32"/>
          <w:szCs w:val="32"/>
        </w:rPr>
        <w:t>为切实加强对政府信息公开工作的领导，</w:t>
      </w:r>
      <w:r>
        <w:rPr>
          <w:rFonts w:hint="eastAsia" w:ascii="仿宋_GB2312" w:hAnsi="宋体" w:eastAsia="仿宋_GB2312" w:cs="仿宋_GB2312"/>
          <w:color w:val="000000"/>
          <w:kern w:val="0"/>
          <w:sz w:val="32"/>
          <w:szCs w:val="32"/>
        </w:rPr>
        <w:t>我局设立信息公开办公室并挂靠在综合股，</w:t>
      </w:r>
      <w:r>
        <w:rPr>
          <w:rFonts w:hint="eastAsia" w:ascii="仿宋_GB2312" w:hAnsi="仿宋" w:eastAsia="仿宋_GB2312" w:cs="仿宋_GB2312"/>
          <w:sz w:val="32"/>
          <w:szCs w:val="32"/>
        </w:rPr>
        <w:t>由局主要领导任组长，分管领导任副组长，各股室及下属单位负责人任成员，</w:t>
      </w:r>
      <w:r>
        <w:rPr>
          <w:rFonts w:hint="eastAsia" w:ascii="仿宋_GB2312" w:hAnsi="宋体" w:eastAsia="仿宋_GB2312" w:cs="仿宋_GB2312"/>
          <w:color w:val="000000"/>
          <w:kern w:val="0"/>
          <w:sz w:val="32"/>
          <w:szCs w:val="32"/>
        </w:rPr>
        <w:t>配置信息公开专职工作人员</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名，负责信息公开工作。政府信息制作时标定公开属性，建立台账，经信息公开保密审查小组审核后发布。依托区政府门户网站后台管理系统进行主动公开信息发布全流程管理，依托福建政务公开情况统计报表报送系统对政府信息公开工作情况进行统计。</w:t>
      </w: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二、主动公开政府信息情况</w:t>
      </w:r>
    </w:p>
    <w:p>
      <w:pPr>
        <w:widowControl/>
        <w:spacing w:after="240"/>
        <w:ind w:firstLine="480"/>
        <w:rPr>
          <w:rFonts w:ascii="黑体" w:hAnsi="黑体" w:eastAsia="黑体" w:cs="Times New Roman"/>
          <w:kern w:val="0"/>
          <w:sz w:val="32"/>
          <w:szCs w:val="32"/>
        </w:rPr>
      </w:pPr>
    </w:p>
    <w:tbl>
      <w:tblPr>
        <w:tblStyle w:val="5"/>
        <w:tblW w:w="8579" w:type="dxa"/>
        <w:jc w:val="center"/>
        <w:tblLayout w:type="autofit"/>
        <w:tblCellMar>
          <w:top w:w="0" w:type="dxa"/>
          <w:left w:w="108" w:type="dxa"/>
          <w:bottom w:w="0" w:type="dxa"/>
          <w:right w:w="108" w:type="dxa"/>
        </w:tblCellMar>
      </w:tblPr>
      <w:tblGrid>
        <w:gridCol w:w="1995"/>
        <w:gridCol w:w="2268"/>
        <w:gridCol w:w="1756"/>
        <w:gridCol w:w="2560"/>
      </w:tblGrid>
      <w:tr>
        <w:tblPrEx>
          <w:tblCellMar>
            <w:top w:w="0" w:type="dxa"/>
            <w:left w:w="108" w:type="dxa"/>
            <w:bottom w:w="0" w:type="dxa"/>
            <w:right w:w="108" w:type="dxa"/>
          </w:tblCellMar>
        </w:tblPrEx>
        <w:trPr>
          <w:trHeight w:val="495" w:hRule="atLeast"/>
          <w:jc w:val="center"/>
        </w:trPr>
        <w:tc>
          <w:tcPr>
            <w:tcW w:w="8579"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第二十条第（一）项</w:t>
            </w:r>
          </w:p>
        </w:tc>
      </w:tr>
      <w:tr>
        <w:tblPrEx>
          <w:tblCellMar>
            <w:top w:w="0" w:type="dxa"/>
            <w:left w:w="108" w:type="dxa"/>
            <w:bottom w:w="0" w:type="dxa"/>
            <w:right w:w="108" w:type="dxa"/>
          </w:tblCellMar>
        </w:tblPrEx>
        <w:trPr>
          <w:trHeight w:val="975"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信息内容</w:t>
            </w:r>
          </w:p>
        </w:tc>
        <w:tc>
          <w:tcPr>
            <w:tcW w:w="2268"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本年新</w:t>
            </w:r>
            <w:r>
              <w:rPr>
                <w:rFonts w:hint="eastAsia" w:ascii="仿宋_GB2312" w:hAnsi="宋体" w:eastAsia="仿宋_GB2312" w:cs="仿宋_GB2312"/>
                <w:kern w:val="0"/>
                <w:sz w:val="28"/>
                <w:szCs w:val="28"/>
              </w:rPr>
              <w:t>制作数量</w:t>
            </w:r>
          </w:p>
        </w:tc>
        <w:tc>
          <w:tcPr>
            <w:tcW w:w="175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本年新</w:t>
            </w:r>
            <w:r>
              <w:rPr>
                <w:rFonts w:hint="eastAsia" w:ascii="仿宋_GB2312" w:hAnsi="宋体" w:eastAsia="仿宋_GB2312" w:cs="仿宋_GB2312"/>
                <w:kern w:val="0"/>
                <w:sz w:val="28"/>
                <w:szCs w:val="28"/>
              </w:rPr>
              <w:t>公开数量</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对外公开总数量</w:t>
            </w:r>
          </w:p>
        </w:tc>
      </w:tr>
      <w:tr>
        <w:tblPrEx>
          <w:tblCellMar>
            <w:top w:w="0" w:type="dxa"/>
            <w:left w:w="108" w:type="dxa"/>
            <w:bottom w:w="0" w:type="dxa"/>
            <w:right w:w="108" w:type="dxa"/>
          </w:tblCellMar>
        </w:tblPrEx>
        <w:trPr>
          <w:trHeight w:val="523"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规章</w:t>
            </w:r>
          </w:p>
        </w:tc>
        <w:tc>
          <w:tcPr>
            <w:tcW w:w="2268"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ascii="仿宋_GB2312" w:hAnsi="宋体" w:eastAsia="仿宋_GB2312" w:cs="仿宋_GB2312"/>
                <w:color w:val="000000"/>
                <w:kern w:val="0"/>
                <w:sz w:val="32"/>
                <w:szCs w:val="32"/>
              </w:rPr>
              <w:t xml:space="preserve">  0</w:t>
            </w:r>
          </w:p>
        </w:tc>
        <w:tc>
          <w:tcPr>
            <w:tcW w:w="175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ascii="仿宋_GB2312" w:eastAsia="仿宋_GB2312" w:cs="Times New Roman"/>
                <w:color w:val="000000"/>
                <w:kern w:val="0"/>
                <w:sz w:val="32"/>
                <w:szCs w:val="32"/>
              </w:rPr>
              <w:t> </w:t>
            </w:r>
            <w:r>
              <w:rPr>
                <w:rFonts w:ascii="仿宋_GB2312" w:eastAsia="仿宋_GB2312" w:cs="仿宋_GB2312"/>
                <w:color w:val="000000"/>
                <w:kern w:val="0"/>
                <w:sz w:val="32"/>
                <w:szCs w:val="32"/>
              </w:rPr>
              <w:t>0</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r>
      <w:tr>
        <w:tblPrEx>
          <w:tblCellMar>
            <w:top w:w="0" w:type="dxa"/>
            <w:left w:w="108" w:type="dxa"/>
            <w:bottom w:w="0" w:type="dxa"/>
            <w:right w:w="108" w:type="dxa"/>
          </w:tblCellMar>
        </w:tblPrEx>
        <w:trPr>
          <w:trHeight w:val="489"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规范性文件</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ascii="仿宋_GB2312" w:hAnsi="宋体" w:eastAsia="仿宋_GB2312" w:cs="仿宋_GB2312"/>
                <w:color w:val="000000"/>
                <w:kern w:val="0"/>
                <w:sz w:val="32"/>
                <w:szCs w:val="32"/>
              </w:rPr>
              <w:t xml:space="preserve">  5</w:t>
            </w:r>
          </w:p>
        </w:tc>
        <w:tc>
          <w:tcPr>
            <w:tcW w:w="1756" w:type="dxa"/>
            <w:tcBorders>
              <w:top w:val="nil"/>
              <w:left w:val="nil"/>
              <w:bottom w:val="single" w:color="auto" w:sz="4" w:space="0"/>
              <w:right w:val="single" w:color="auto" w:sz="4" w:space="0"/>
            </w:tcBorders>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ascii="仿宋_GB2312" w:eastAsia="仿宋_GB2312" w:cs="Times New Roman"/>
                <w:color w:val="000000"/>
                <w:kern w:val="0"/>
                <w:sz w:val="32"/>
                <w:szCs w:val="32"/>
              </w:rPr>
              <w:t> </w:t>
            </w:r>
            <w:r>
              <w:rPr>
                <w:rFonts w:ascii="仿宋_GB2312" w:eastAsia="仿宋_GB2312" w:cs="仿宋_GB2312"/>
                <w:color w:val="000000"/>
                <w:kern w:val="0"/>
                <w:sz w:val="32"/>
                <w:szCs w:val="32"/>
              </w:rPr>
              <w:t>2</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2</w:t>
            </w:r>
          </w:p>
        </w:tc>
      </w:tr>
      <w:tr>
        <w:tblPrEx>
          <w:tblCellMar>
            <w:top w:w="0" w:type="dxa"/>
            <w:left w:w="108" w:type="dxa"/>
            <w:bottom w:w="0" w:type="dxa"/>
            <w:right w:w="108" w:type="dxa"/>
          </w:tblCellMar>
        </w:tblPrEx>
        <w:trPr>
          <w:trHeight w:val="480" w:hRule="atLeast"/>
          <w:jc w:val="center"/>
        </w:trPr>
        <w:tc>
          <w:tcPr>
            <w:tcW w:w="8579"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第二十条第（五）项</w:t>
            </w:r>
          </w:p>
        </w:tc>
      </w:tr>
      <w:tr>
        <w:tblPrEx>
          <w:tblCellMar>
            <w:top w:w="0" w:type="dxa"/>
            <w:left w:w="108" w:type="dxa"/>
            <w:bottom w:w="0" w:type="dxa"/>
            <w:right w:w="108" w:type="dxa"/>
          </w:tblCellMar>
        </w:tblPrEx>
        <w:trPr>
          <w:trHeight w:val="634"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信息内容</w:t>
            </w:r>
          </w:p>
        </w:tc>
        <w:tc>
          <w:tcPr>
            <w:tcW w:w="2268"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上一年项目数量</w:t>
            </w:r>
          </w:p>
        </w:tc>
        <w:tc>
          <w:tcPr>
            <w:tcW w:w="175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本年增</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减</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处理决定数量</w:t>
            </w:r>
          </w:p>
        </w:tc>
      </w:tr>
      <w:tr>
        <w:tblPrEx>
          <w:tblCellMar>
            <w:top w:w="0" w:type="dxa"/>
            <w:left w:w="108" w:type="dxa"/>
            <w:bottom w:w="0" w:type="dxa"/>
            <w:right w:w="108" w:type="dxa"/>
          </w:tblCellMar>
        </w:tblPrEx>
        <w:trPr>
          <w:trHeight w:val="528"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行政许可</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1756"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r>
      <w:tr>
        <w:tblPrEx>
          <w:tblCellMar>
            <w:top w:w="0" w:type="dxa"/>
            <w:left w:w="108" w:type="dxa"/>
            <w:bottom w:w="0" w:type="dxa"/>
            <w:right w:w="108" w:type="dxa"/>
          </w:tblCellMar>
        </w:tblPrEx>
        <w:trPr>
          <w:trHeight w:val="918"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其他对外管理服务事项</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1756"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r>
      <w:tr>
        <w:tblPrEx>
          <w:tblCellMar>
            <w:top w:w="0" w:type="dxa"/>
            <w:left w:w="108" w:type="dxa"/>
            <w:bottom w:w="0" w:type="dxa"/>
            <w:right w:w="108" w:type="dxa"/>
          </w:tblCellMar>
        </w:tblPrEx>
        <w:trPr>
          <w:trHeight w:val="406" w:hRule="atLeast"/>
          <w:jc w:val="center"/>
        </w:trPr>
        <w:tc>
          <w:tcPr>
            <w:tcW w:w="8579"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第二十条第（六）项</w:t>
            </w:r>
          </w:p>
        </w:tc>
      </w:tr>
      <w:tr>
        <w:tblPrEx>
          <w:tblCellMar>
            <w:top w:w="0" w:type="dxa"/>
            <w:left w:w="108" w:type="dxa"/>
            <w:bottom w:w="0" w:type="dxa"/>
            <w:right w:w="108" w:type="dxa"/>
          </w:tblCellMar>
        </w:tblPrEx>
        <w:trPr>
          <w:trHeight w:val="634"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信息内容</w:t>
            </w:r>
          </w:p>
        </w:tc>
        <w:tc>
          <w:tcPr>
            <w:tcW w:w="2268"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上一年项目数量</w:t>
            </w:r>
          </w:p>
        </w:tc>
        <w:tc>
          <w:tcPr>
            <w:tcW w:w="175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本年增</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减</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处理决定数量</w:t>
            </w:r>
          </w:p>
        </w:tc>
      </w:tr>
      <w:tr>
        <w:tblPrEx>
          <w:tblCellMar>
            <w:top w:w="0" w:type="dxa"/>
            <w:left w:w="108" w:type="dxa"/>
            <w:bottom w:w="0" w:type="dxa"/>
            <w:right w:w="108" w:type="dxa"/>
          </w:tblCellMar>
        </w:tblPrEx>
        <w:trPr>
          <w:trHeight w:val="430"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行政处罚</w:t>
            </w:r>
          </w:p>
        </w:tc>
        <w:tc>
          <w:tcPr>
            <w:tcW w:w="2268"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1756" w:type="dxa"/>
            <w:tcBorders>
              <w:top w:val="single" w:color="auto" w:sz="4" w:space="0"/>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r>
      <w:tr>
        <w:tblPrEx>
          <w:tblCellMar>
            <w:top w:w="0" w:type="dxa"/>
            <w:left w:w="108" w:type="dxa"/>
            <w:bottom w:w="0" w:type="dxa"/>
            <w:right w:w="108" w:type="dxa"/>
          </w:tblCellMar>
        </w:tblPrEx>
        <w:trPr>
          <w:trHeight w:val="409"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行政强制</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1756"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2560"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r>
      <w:tr>
        <w:tblPrEx>
          <w:tblCellMar>
            <w:top w:w="0" w:type="dxa"/>
            <w:left w:w="108" w:type="dxa"/>
            <w:bottom w:w="0" w:type="dxa"/>
            <w:right w:w="108" w:type="dxa"/>
          </w:tblCellMar>
        </w:tblPrEx>
        <w:trPr>
          <w:trHeight w:val="474" w:hRule="atLeast"/>
          <w:jc w:val="center"/>
        </w:trPr>
        <w:tc>
          <w:tcPr>
            <w:tcW w:w="8579"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第二十条第（八）项</w:t>
            </w:r>
          </w:p>
        </w:tc>
      </w:tr>
      <w:tr>
        <w:tblPrEx>
          <w:tblCellMar>
            <w:top w:w="0" w:type="dxa"/>
            <w:left w:w="108" w:type="dxa"/>
            <w:bottom w:w="0" w:type="dxa"/>
            <w:right w:w="108" w:type="dxa"/>
          </w:tblCellMar>
        </w:tblPrEx>
        <w:trPr>
          <w:trHeight w:val="270"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信息内容</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上一年项目数量</w:t>
            </w:r>
          </w:p>
        </w:tc>
        <w:tc>
          <w:tcPr>
            <w:tcW w:w="431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本年增</w:t>
            </w:r>
            <w:r>
              <w:rPr>
                <w:rFonts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rPr>
              <w:t>减</w:t>
            </w:r>
          </w:p>
        </w:tc>
      </w:tr>
      <w:tr>
        <w:tblPrEx>
          <w:tblCellMar>
            <w:top w:w="0" w:type="dxa"/>
            <w:left w:w="108" w:type="dxa"/>
            <w:bottom w:w="0" w:type="dxa"/>
            <w:right w:w="108" w:type="dxa"/>
          </w:tblCellMar>
        </w:tblPrEx>
        <w:trPr>
          <w:trHeight w:val="551"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spacing w:val="-42"/>
                <w:kern w:val="0"/>
                <w:sz w:val="32"/>
                <w:szCs w:val="32"/>
              </w:rPr>
            </w:pPr>
            <w:r>
              <w:rPr>
                <w:rFonts w:hint="eastAsia" w:ascii="仿宋_GB2312" w:hAnsi="宋体" w:eastAsia="仿宋_GB2312" w:cs="仿宋_GB2312"/>
                <w:color w:val="000000"/>
                <w:spacing w:val="-42"/>
                <w:kern w:val="0"/>
                <w:sz w:val="32"/>
                <w:szCs w:val="32"/>
              </w:rPr>
              <w:t>行政事业性收费</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431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Times New Roman"/>
                <w:color w:val="000000"/>
                <w:kern w:val="0"/>
                <w:sz w:val="32"/>
                <w:szCs w:val="32"/>
              </w:rPr>
              <w:t> </w:t>
            </w:r>
            <w:r>
              <w:rPr>
                <w:rFonts w:ascii="仿宋_GB2312" w:eastAsia="仿宋_GB2312" w:cs="仿宋_GB2312"/>
                <w:color w:val="000000"/>
                <w:kern w:val="0"/>
                <w:sz w:val="32"/>
                <w:szCs w:val="32"/>
              </w:rPr>
              <w:t>0</w:t>
            </w:r>
          </w:p>
        </w:tc>
      </w:tr>
      <w:tr>
        <w:tblPrEx>
          <w:tblCellMar>
            <w:top w:w="0" w:type="dxa"/>
            <w:left w:w="108" w:type="dxa"/>
            <w:bottom w:w="0" w:type="dxa"/>
            <w:right w:w="108" w:type="dxa"/>
          </w:tblCellMar>
        </w:tblPrEx>
        <w:trPr>
          <w:trHeight w:val="476" w:hRule="atLeast"/>
          <w:jc w:val="center"/>
        </w:trPr>
        <w:tc>
          <w:tcPr>
            <w:tcW w:w="8579"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第二十条第（九）项</w:t>
            </w:r>
          </w:p>
        </w:tc>
      </w:tr>
      <w:tr>
        <w:tblPrEx>
          <w:tblCellMar>
            <w:top w:w="0" w:type="dxa"/>
            <w:left w:w="108" w:type="dxa"/>
            <w:bottom w:w="0" w:type="dxa"/>
            <w:right w:w="108" w:type="dxa"/>
          </w:tblCellMar>
        </w:tblPrEx>
        <w:trPr>
          <w:trHeight w:val="585"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信息内容</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采购项目数量</w:t>
            </w:r>
          </w:p>
        </w:tc>
        <w:tc>
          <w:tcPr>
            <w:tcW w:w="431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采购总金额</w:t>
            </w:r>
          </w:p>
        </w:tc>
      </w:tr>
      <w:tr>
        <w:tblPrEx>
          <w:tblCellMar>
            <w:top w:w="0" w:type="dxa"/>
            <w:left w:w="108" w:type="dxa"/>
            <w:bottom w:w="0" w:type="dxa"/>
            <w:right w:w="108" w:type="dxa"/>
          </w:tblCellMar>
        </w:tblPrEx>
        <w:trPr>
          <w:trHeight w:val="539" w:hRule="atLeast"/>
          <w:jc w:val="center"/>
        </w:trPr>
        <w:tc>
          <w:tcPr>
            <w:tcW w:w="1995" w:type="dxa"/>
            <w:tcBorders>
              <w:top w:val="nil"/>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spacing w:val="-20"/>
                <w:kern w:val="0"/>
                <w:sz w:val="32"/>
                <w:szCs w:val="32"/>
              </w:rPr>
            </w:pPr>
            <w:r>
              <w:rPr>
                <w:rFonts w:hint="eastAsia" w:ascii="仿宋_GB2312" w:hAnsi="宋体" w:eastAsia="仿宋_GB2312" w:cs="仿宋_GB2312"/>
                <w:color w:val="000000"/>
                <w:spacing w:val="-20"/>
                <w:kern w:val="0"/>
                <w:sz w:val="32"/>
                <w:szCs w:val="32"/>
              </w:rPr>
              <w:t>政府集中采购</w:t>
            </w:r>
          </w:p>
        </w:tc>
        <w:tc>
          <w:tcPr>
            <w:tcW w:w="2268" w:type="dxa"/>
            <w:tcBorders>
              <w:top w:val="nil"/>
              <w:left w:val="nil"/>
              <w:bottom w:val="single" w:color="auto" w:sz="4" w:space="0"/>
              <w:right w:val="single" w:color="auto" w:sz="4" w:space="0"/>
            </w:tcBorders>
            <w:noWrap/>
            <w:vAlign w:val="center"/>
          </w:tcPr>
          <w:p>
            <w:pPr>
              <w:widowControl/>
              <w:spacing w:before="100" w:beforeAutospacing="1" w:after="100" w:afterAutospacing="1"/>
              <w:jc w:val="left"/>
              <w:rPr>
                <w:rFonts w:ascii="仿宋_GB2312" w:hAnsi="宋体" w:eastAsia="仿宋_GB2312" w:cs="Times New Roman"/>
                <w:kern w:val="0"/>
                <w:sz w:val="32"/>
                <w:szCs w:val="32"/>
              </w:rPr>
            </w:pPr>
            <w:r>
              <w:rPr>
                <w:rFonts w:hint="eastAsia" w:ascii="仿宋_GB2312" w:hAnsi="宋体" w:eastAsia="仿宋_GB2312" w:cs="仿宋_GB2312"/>
                <w:color w:val="000000"/>
                <w:kern w:val="0"/>
                <w:sz w:val="32"/>
                <w:szCs w:val="32"/>
              </w:rPr>
              <w:t>　</w:t>
            </w:r>
            <w:r>
              <w:rPr>
                <w:rFonts w:ascii="仿宋_GB2312" w:hAnsi="宋体" w:eastAsia="仿宋_GB2312" w:cs="仿宋_GB2312"/>
                <w:color w:val="000000"/>
                <w:kern w:val="0"/>
                <w:sz w:val="32"/>
                <w:szCs w:val="32"/>
              </w:rPr>
              <w:t>0</w:t>
            </w:r>
          </w:p>
        </w:tc>
        <w:tc>
          <w:tcPr>
            <w:tcW w:w="4316" w:type="dxa"/>
            <w:gridSpan w:val="2"/>
            <w:tcBorders>
              <w:top w:val="single" w:color="auto" w:sz="4" w:space="0"/>
              <w:left w:val="nil"/>
              <w:bottom w:val="single" w:color="auto" w:sz="4" w:space="0"/>
              <w:right w:val="single" w:color="000000" w:sz="4" w:space="0"/>
            </w:tcBorders>
            <w:noWrap/>
            <w:vAlign w:val="center"/>
          </w:tcPr>
          <w:p>
            <w:pPr>
              <w:widowControl/>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0</w:t>
            </w:r>
          </w:p>
        </w:tc>
      </w:tr>
    </w:tbl>
    <w:p>
      <w:pPr>
        <w:widowControl/>
        <w:rPr>
          <w:rFonts w:ascii="仿宋_GB2312" w:hAnsi="宋体" w:eastAsia="仿宋_GB2312" w:cs="Times New Roman"/>
          <w:kern w:val="0"/>
          <w:sz w:val="32"/>
          <w:szCs w:val="32"/>
        </w:rPr>
      </w:pP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三、收到和处理政府信息公开申请情况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（本列数据的勾稽关系为：第一项加第二项之和，等于第三项加第四项之和）</w:t>
            </w:r>
          </w:p>
        </w:tc>
        <w:tc>
          <w:tcPr>
            <w:tcW w:w="5592" w:type="dxa"/>
            <w:gridSpan w:val="7"/>
            <w:tcBorders>
              <w:left w:val="nil"/>
            </w:tcBorders>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p>
        </w:tc>
        <w:tc>
          <w:tcPr>
            <w:tcW w:w="825" w:type="dxa"/>
            <w:vMerge w:val="restart"/>
            <w:tcBorders>
              <w:top w:val="nil"/>
              <w:left w:val="nil"/>
            </w:tcBorders>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自然人</w:t>
            </w:r>
          </w:p>
        </w:tc>
        <w:tc>
          <w:tcPr>
            <w:tcW w:w="4065" w:type="dxa"/>
            <w:gridSpan w:val="5"/>
            <w:tcBorders>
              <w:left w:val="nil"/>
            </w:tcBorders>
            <w:vAlign w:val="center"/>
          </w:tcPr>
          <w:p>
            <w:pPr>
              <w:widowControl/>
              <w:spacing w:before="100" w:beforeAutospacing="1" w:after="100" w:afterAutospacing="1"/>
              <w:jc w:val="center"/>
              <w:rPr>
                <w:rFonts w:ascii="仿宋_GB2312" w:hAnsi="宋体" w:eastAsia="仿宋_GB2312" w:cs="Times New Roman"/>
                <w:color w:val="000000"/>
                <w:kern w:val="0"/>
                <w:sz w:val="28"/>
                <w:szCs w:val="28"/>
              </w:rPr>
            </w:pPr>
            <w:r>
              <w:rPr>
                <w:rFonts w:hint="eastAsia" w:ascii="仿宋_GB2312" w:hAnsi="宋体" w:eastAsia="仿宋_GB2312" w:cs="仿宋_GB2312"/>
                <w:color w:val="000000"/>
                <w:kern w:val="0"/>
                <w:sz w:val="28"/>
                <w:szCs w:val="28"/>
              </w:rPr>
              <w:t>法人或其他组织</w:t>
            </w:r>
          </w:p>
        </w:tc>
        <w:tc>
          <w:tcPr>
            <w:tcW w:w="702" w:type="dxa"/>
            <w:vMerge w:val="restart"/>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vAlign w:val="center"/>
          </w:tcPr>
          <w:p>
            <w:pPr>
              <w:widowControl/>
              <w:jc w:val="left"/>
              <w:rPr>
                <w:rFonts w:ascii="仿宋_GB2312" w:hAnsi="宋体" w:eastAsia="仿宋_GB2312" w:cs="Times New Roman"/>
                <w:kern w:val="0"/>
                <w:sz w:val="28"/>
                <w:szCs w:val="28"/>
              </w:rPr>
            </w:pPr>
          </w:p>
        </w:tc>
        <w:tc>
          <w:tcPr>
            <w:tcW w:w="82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商业企业</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科研机构</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社会公益组织</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法律服务机构</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其他</w:t>
            </w:r>
          </w:p>
        </w:tc>
        <w:tc>
          <w:tcPr>
            <w:tcW w:w="702" w:type="dxa"/>
            <w:vMerge w:val="continue"/>
            <w:tcBorders>
              <w:left w:val="nil"/>
            </w:tcBorders>
            <w:vAlign w:val="center"/>
          </w:tcPr>
          <w:p>
            <w:pPr>
              <w:widowControl/>
              <w:jc w:val="left"/>
              <w:rPr>
                <w:rFonts w:ascii="仿宋_GB2312" w:hAnsi="宋体"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eastAsia="仿宋_GB2312" w:cs="仿宋_GB2312"/>
                <w:sz w:val="28"/>
                <w:szCs w:val="28"/>
              </w:rPr>
              <w:t>一、本年新收政府信息公开申请数量</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eastAsia="仿宋_GB2312" w:cs="仿宋_GB2312"/>
                <w:sz w:val="28"/>
                <w:szCs w:val="28"/>
              </w:rPr>
              <w:t>二、上年结转政府信息公开申请数量</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tcBorders>
              <w:top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三、本年度办理结果</w:t>
            </w:r>
          </w:p>
        </w:tc>
        <w:tc>
          <w:tcPr>
            <w:tcW w:w="2985" w:type="dxa"/>
            <w:gridSpan w:val="2"/>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（一）予以公开</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2985" w:type="dxa"/>
            <w:gridSpan w:val="2"/>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（二）部分公开（区分处理的，只计这一情形，不计其他情形）</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restart"/>
            <w:tcBorders>
              <w:top w:val="nil"/>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（三）不予公开</w:t>
            </w: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1.</w:t>
            </w:r>
            <w:r>
              <w:rPr>
                <w:rFonts w:hint="eastAsia" w:ascii="仿宋_GB2312" w:hAnsi="楷体" w:eastAsia="仿宋_GB2312" w:cs="仿宋_GB2312"/>
                <w:sz w:val="28"/>
                <w:szCs w:val="28"/>
              </w:rPr>
              <w:t>属于国家秘密</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2.</w:t>
            </w:r>
            <w:r>
              <w:rPr>
                <w:rFonts w:hint="eastAsia" w:ascii="仿宋_GB2312" w:hAnsi="楷体" w:eastAsia="仿宋_GB2312" w:cs="仿宋_GB2312"/>
                <w:sz w:val="28"/>
                <w:szCs w:val="28"/>
              </w:rPr>
              <w:t>其他法律行政法规禁止公开</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3.</w:t>
            </w:r>
            <w:r>
              <w:rPr>
                <w:rFonts w:hint="eastAsia" w:ascii="仿宋_GB2312" w:hAnsi="楷体" w:eastAsia="仿宋_GB2312" w:cs="仿宋_GB2312"/>
                <w:sz w:val="28"/>
                <w:szCs w:val="28"/>
              </w:rPr>
              <w:t>危及“三安全一稳定”</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4.</w:t>
            </w:r>
            <w:r>
              <w:rPr>
                <w:rFonts w:hint="eastAsia" w:ascii="仿宋_GB2312" w:hAnsi="楷体" w:eastAsia="仿宋_GB2312" w:cs="仿宋_GB2312"/>
                <w:sz w:val="28"/>
                <w:szCs w:val="28"/>
              </w:rPr>
              <w:t>保护第三方合法权益</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5.</w:t>
            </w:r>
            <w:r>
              <w:rPr>
                <w:rFonts w:hint="eastAsia" w:ascii="仿宋_GB2312" w:hAnsi="楷体" w:eastAsia="仿宋_GB2312" w:cs="仿宋_GB2312"/>
                <w:sz w:val="28"/>
                <w:szCs w:val="28"/>
              </w:rPr>
              <w:t>属于三类内部事务信息</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6.</w:t>
            </w:r>
            <w:r>
              <w:rPr>
                <w:rFonts w:hint="eastAsia" w:ascii="仿宋_GB2312" w:hAnsi="楷体" w:eastAsia="仿宋_GB2312" w:cs="仿宋_GB2312"/>
                <w:sz w:val="28"/>
                <w:szCs w:val="28"/>
              </w:rPr>
              <w:t>属于四类过程性信息</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7.</w:t>
            </w:r>
            <w:r>
              <w:rPr>
                <w:rFonts w:hint="eastAsia" w:ascii="仿宋_GB2312" w:hAnsi="楷体" w:eastAsia="仿宋_GB2312" w:cs="仿宋_GB2312"/>
                <w:sz w:val="28"/>
                <w:szCs w:val="28"/>
              </w:rPr>
              <w:t>属于行政执法案卷</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8.</w:t>
            </w:r>
            <w:r>
              <w:rPr>
                <w:rFonts w:hint="eastAsia" w:ascii="仿宋_GB2312" w:hAnsi="楷体" w:eastAsia="仿宋_GB2312" w:cs="仿宋_GB2312"/>
                <w:sz w:val="28"/>
                <w:szCs w:val="28"/>
              </w:rPr>
              <w:t>属于行政查询事项</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restart"/>
            <w:tcBorders>
              <w:top w:val="nil"/>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（四）无法提供</w:t>
            </w: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1.</w:t>
            </w:r>
            <w:r>
              <w:rPr>
                <w:rFonts w:hint="eastAsia" w:ascii="仿宋_GB2312" w:hAnsi="楷体" w:eastAsia="仿宋_GB2312" w:cs="仿宋_GB2312"/>
                <w:sz w:val="28"/>
                <w:szCs w:val="28"/>
              </w:rPr>
              <w:t>本机关不掌握相关政府信息</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2.</w:t>
            </w:r>
            <w:r>
              <w:rPr>
                <w:rFonts w:hint="eastAsia" w:ascii="仿宋_GB2312" w:hAnsi="楷体" w:eastAsia="仿宋_GB2312" w:cs="仿宋_GB2312"/>
                <w:sz w:val="28"/>
                <w:szCs w:val="28"/>
              </w:rPr>
              <w:t>没有现成信息需要另行制作</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3.</w:t>
            </w:r>
            <w:r>
              <w:rPr>
                <w:rFonts w:hint="eastAsia" w:ascii="仿宋_GB2312" w:hAnsi="楷体" w:eastAsia="仿宋_GB2312" w:cs="仿宋_GB2312"/>
                <w:sz w:val="28"/>
                <w:szCs w:val="28"/>
              </w:rPr>
              <w:t>补正后申请内容仍不明确</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restart"/>
            <w:tcBorders>
              <w:top w:val="nil"/>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（五）不予处理</w:t>
            </w: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1.</w:t>
            </w:r>
            <w:r>
              <w:rPr>
                <w:rFonts w:hint="eastAsia" w:ascii="仿宋_GB2312" w:hAnsi="楷体" w:eastAsia="仿宋_GB2312" w:cs="仿宋_GB2312"/>
                <w:sz w:val="28"/>
                <w:szCs w:val="28"/>
              </w:rPr>
              <w:t>信访举报投诉类申请</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2.</w:t>
            </w:r>
            <w:r>
              <w:rPr>
                <w:rFonts w:hint="eastAsia" w:ascii="仿宋_GB2312" w:hAnsi="楷体" w:eastAsia="仿宋_GB2312" w:cs="仿宋_GB2312"/>
                <w:sz w:val="28"/>
                <w:szCs w:val="28"/>
              </w:rPr>
              <w:t>重复申请</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3.</w:t>
            </w:r>
            <w:r>
              <w:rPr>
                <w:rFonts w:hint="eastAsia" w:ascii="仿宋_GB2312" w:hAnsi="楷体" w:eastAsia="仿宋_GB2312" w:cs="仿宋_GB2312"/>
                <w:sz w:val="28"/>
                <w:szCs w:val="28"/>
              </w:rPr>
              <w:t>要求提供公开出版物</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4.</w:t>
            </w:r>
            <w:r>
              <w:rPr>
                <w:rFonts w:hint="eastAsia" w:ascii="仿宋_GB2312" w:hAnsi="楷体" w:eastAsia="仿宋_GB2312" w:cs="仿宋_GB2312"/>
                <w:sz w:val="28"/>
                <w:szCs w:val="28"/>
              </w:rPr>
              <w:t>无正当理由大量反复申请</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855" w:type="dxa"/>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2130" w:type="dxa"/>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ascii="仿宋_GB2312" w:hAnsi="楷体" w:eastAsia="仿宋_GB2312" w:cs="仿宋_GB2312"/>
                <w:sz w:val="28"/>
                <w:szCs w:val="28"/>
              </w:rPr>
              <w:t>5.</w:t>
            </w:r>
            <w:r>
              <w:rPr>
                <w:rFonts w:hint="eastAsia" w:ascii="仿宋_GB2312" w:hAnsi="楷体" w:eastAsia="仿宋_GB2312" w:cs="仿宋_GB2312"/>
                <w:sz w:val="28"/>
                <w:szCs w:val="28"/>
              </w:rPr>
              <w:t>要求行政机关确认或重新出具已获取信息</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cs="Times New Roman"/>
                <w:sz w:val="28"/>
                <w:szCs w:val="28"/>
              </w:rPr>
              <w:t> </w:t>
            </w:r>
            <w:r>
              <w:rPr>
                <w:rFonts w:eastAsia="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eastAsia="仿宋_GB2312"/>
                <w:sz w:val="28"/>
                <w:szCs w:val="28"/>
              </w:rPr>
              <w:t>0</w:t>
            </w:r>
            <w:r>
              <w:rPr>
                <w:rFonts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2985" w:type="dxa"/>
            <w:gridSpan w:val="2"/>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（六）其他处理</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仿宋_GB2312" w:hAnsi="宋体" w:eastAsia="仿宋_GB2312" w:cs="Times New Roman"/>
                <w:kern w:val="0"/>
                <w:sz w:val="28"/>
                <w:szCs w:val="28"/>
              </w:rPr>
            </w:pPr>
          </w:p>
        </w:tc>
        <w:tc>
          <w:tcPr>
            <w:tcW w:w="2985" w:type="dxa"/>
            <w:gridSpan w:val="2"/>
            <w:tcBorders>
              <w:left w:val="nil"/>
            </w:tcBorders>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hAnsi="楷体" w:eastAsia="仿宋_GB2312" w:cs="仿宋_GB2312"/>
                <w:sz w:val="28"/>
                <w:szCs w:val="28"/>
              </w:rPr>
              <w:t>（七）总计</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02"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仿宋_GB2312" w:hAnsi="宋体" w:eastAsia="仿宋_GB2312" w:cs="Times New Roman"/>
                <w:kern w:val="0"/>
                <w:sz w:val="28"/>
                <w:szCs w:val="28"/>
              </w:rPr>
            </w:pPr>
            <w:r>
              <w:rPr>
                <w:rFonts w:hint="eastAsia" w:ascii="仿宋_GB2312" w:eastAsia="仿宋_GB2312" w:cs="仿宋_GB2312"/>
                <w:sz w:val="28"/>
                <w:szCs w:val="28"/>
              </w:rPr>
              <w:t>四、结转下年度继续办理</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6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82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99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Times New Roman"/>
                <w:sz w:val="28"/>
                <w:szCs w:val="28"/>
              </w:rPr>
              <w:t> </w:t>
            </w:r>
            <w:r>
              <w:rPr>
                <w:rFonts w:ascii="仿宋_GB2312" w:eastAsia="仿宋_GB2312" w:cs="仿宋_GB2312"/>
                <w:sz w:val="28"/>
                <w:szCs w:val="28"/>
              </w:rPr>
              <w:t>0</w:t>
            </w:r>
          </w:p>
        </w:tc>
        <w:tc>
          <w:tcPr>
            <w:tcW w:w="72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ascii="仿宋_GB2312" w:eastAsia="仿宋_GB2312" w:cs="仿宋_GB2312"/>
                <w:sz w:val="28"/>
                <w:szCs w:val="28"/>
              </w:rPr>
              <w:t>0</w:t>
            </w:r>
            <w:r>
              <w:rPr>
                <w:rFonts w:ascii="仿宋_GB2312" w:eastAsia="仿宋_GB2312" w:cs="Times New Roman"/>
                <w:sz w:val="28"/>
                <w:szCs w:val="28"/>
              </w:rPr>
              <w:t> </w:t>
            </w:r>
          </w:p>
        </w:tc>
        <w:tc>
          <w:tcPr>
            <w:tcW w:w="702" w:type="dxa"/>
            <w:tcBorders>
              <w:left w:val="nil"/>
            </w:tcBorders>
            <w:vAlign w:val="center"/>
          </w:tcPr>
          <w:p>
            <w:pPr>
              <w:widowControl/>
              <w:jc w:val="left"/>
              <w:rPr>
                <w:rFonts w:ascii="仿宋_GB2312" w:hAnsi="宋体" w:eastAsia="仿宋_GB2312" w:cs="Times New Roman"/>
                <w:kern w:val="0"/>
                <w:sz w:val="28"/>
                <w:szCs w:val="28"/>
              </w:rPr>
            </w:pPr>
            <w:r>
              <w:rPr>
                <w:rFonts w:ascii="仿宋_GB2312" w:hAnsi="宋体" w:eastAsia="仿宋_GB2312" w:cs="仿宋_GB2312"/>
                <w:kern w:val="0"/>
                <w:sz w:val="28"/>
                <w:szCs w:val="28"/>
              </w:rPr>
              <w:t>0</w:t>
            </w:r>
          </w:p>
        </w:tc>
      </w:tr>
    </w:tbl>
    <w:p>
      <w:pPr>
        <w:widowControl/>
        <w:rPr>
          <w:rFonts w:ascii="仿宋_GB2312" w:hAnsi="宋体" w:eastAsia="仿宋_GB2312" w:cs="Times New Roman"/>
          <w:kern w:val="0"/>
          <w:sz w:val="32"/>
          <w:szCs w:val="32"/>
        </w:rPr>
      </w:pPr>
    </w:p>
    <w:p>
      <w:pPr>
        <w:widowControl/>
        <w:spacing w:after="240"/>
        <w:ind w:firstLine="480"/>
        <w:rPr>
          <w:rFonts w:ascii="黑体" w:hAnsi="黑体" w:eastAsia="黑体" w:cs="Times New Roman"/>
          <w:kern w:val="0"/>
          <w:sz w:val="32"/>
          <w:szCs w:val="32"/>
        </w:rPr>
      </w:pPr>
    </w:p>
    <w:p>
      <w:pPr>
        <w:widowControl/>
        <w:spacing w:after="240"/>
        <w:ind w:firstLine="480"/>
        <w:rPr>
          <w:rFonts w:ascii="黑体" w:hAnsi="黑体" w:eastAsia="黑体" w:cs="Times New Roman"/>
          <w:kern w:val="0"/>
          <w:sz w:val="32"/>
          <w:szCs w:val="32"/>
        </w:rPr>
      </w:pPr>
    </w:p>
    <w:p>
      <w:pPr>
        <w:widowControl/>
        <w:spacing w:after="240"/>
        <w:ind w:firstLine="480"/>
        <w:rPr>
          <w:rFonts w:ascii="黑体" w:hAnsi="黑体" w:eastAsia="黑体" w:cs="Times New Roman"/>
          <w:kern w:val="0"/>
          <w:sz w:val="32"/>
          <w:szCs w:val="32"/>
        </w:rPr>
      </w:pPr>
    </w:p>
    <w:p>
      <w:pPr>
        <w:widowControl/>
        <w:spacing w:after="240"/>
        <w:ind w:firstLine="480"/>
        <w:rPr>
          <w:rFonts w:ascii="黑体" w:hAnsi="黑体" w:eastAsia="黑体" w:cs="Times New Roman"/>
          <w:kern w:val="0"/>
          <w:sz w:val="32"/>
          <w:szCs w:val="32"/>
        </w:rPr>
      </w:pPr>
      <w:r>
        <w:rPr>
          <w:rFonts w:hint="eastAsia" w:ascii="黑体" w:hAnsi="黑体" w:eastAsia="黑体" w:cs="黑体"/>
          <w:kern w:val="0"/>
          <w:sz w:val="32"/>
          <w:szCs w:val="32"/>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90"/>
        <w:gridCol w:w="590"/>
        <w:gridCol w:w="590"/>
        <w:gridCol w:w="637"/>
        <w:gridCol w:w="543"/>
        <w:gridCol w:w="591"/>
        <w:gridCol w:w="591"/>
        <w:gridCol w:w="591"/>
        <w:gridCol w:w="696"/>
        <w:gridCol w:w="591"/>
        <w:gridCol w:w="591"/>
        <w:gridCol w:w="696"/>
        <w:gridCol w:w="592"/>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行政复议</w:t>
            </w:r>
          </w:p>
        </w:tc>
        <w:tc>
          <w:tcPr>
            <w:tcW w:w="5997" w:type="dxa"/>
            <w:gridSpan w:val="10"/>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结果维持</w:t>
            </w:r>
          </w:p>
        </w:tc>
        <w:tc>
          <w:tcPr>
            <w:tcW w:w="604" w:type="dxa"/>
            <w:vMerge w:val="restart"/>
            <w:tcBorders>
              <w:top w:val="nil"/>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结果纠正</w:t>
            </w:r>
          </w:p>
        </w:tc>
        <w:tc>
          <w:tcPr>
            <w:tcW w:w="604" w:type="dxa"/>
            <w:vMerge w:val="restart"/>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其他结果</w:t>
            </w:r>
          </w:p>
        </w:tc>
        <w:tc>
          <w:tcPr>
            <w:tcW w:w="604" w:type="dxa"/>
            <w:vMerge w:val="restart"/>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尚未审结</w:t>
            </w:r>
          </w:p>
        </w:tc>
        <w:tc>
          <w:tcPr>
            <w:tcW w:w="658" w:type="dxa"/>
            <w:vMerge w:val="restart"/>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总计</w:t>
            </w:r>
          </w:p>
        </w:tc>
        <w:tc>
          <w:tcPr>
            <w:tcW w:w="2970" w:type="dxa"/>
            <w:gridSpan w:val="5"/>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未经复议直接起诉</w:t>
            </w:r>
          </w:p>
        </w:tc>
        <w:tc>
          <w:tcPr>
            <w:tcW w:w="3027" w:type="dxa"/>
            <w:gridSpan w:val="5"/>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tcBorders>
            <w:vAlign w:val="center"/>
          </w:tcPr>
          <w:p>
            <w:pPr>
              <w:widowControl/>
              <w:jc w:val="left"/>
              <w:rPr>
                <w:rFonts w:ascii="仿宋_GB2312" w:hAnsi="宋体" w:eastAsia="仿宋_GB2312" w:cs="Times New Roman"/>
                <w:kern w:val="0"/>
                <w:sz w:val="28"/>
                <w:szCs w:val="28"/>
              </w:rPr>
            </w:pPr>
          </w:p>
        </w:tc>
        <w:tc>
          <w:tcPr>
            <w:tcW w:w="0" w:type="auto"/>
            <w:vMerge w:val="continue"/>
            <w:tcBorders>
              <w:top w:val="nil"/>
              <w:left w:val="nil"/>
            </w:tcBorders>
            <w:vAlign w:val="center"/>
          </w:tcPr>
          <w:p>
            <w:pPr>
              <w:widowControl/>
              <w:jc w:val="left"/>
              <w:rPr>
                <w:rFonts w:ascii="仿宋_GB2312" w:hAnsi="宋体" w:eastAsia="仿宋_GB2312" w:cs="Times New Roman"/>
                <w:kern w:val="0"/>
                <w:sz w:val="28"/>
                <w:szCs w:val="28"/>
              </w:rPr>
            </w:pPr>
          </w:p>
        </w:tc>
        <w:tc>
          <w:tcPr>
            <w:tcW w:w="0" w:type="auto"/>
            <w:vMerge w:val="continue"/>
            <w:tcBorders>
              <w:left w:val="nil"/>
            </w:tcBorders>
            <w:vAlign w:val="center"/>
          </w:tcPr>
          <w:p>
            <w:pPr>
              <w:widowControl/>
              <w:jc w:val="left"/>
              <w:rPr>
                <w:rFonts w:ascii="仿宋_GB2312" w:hAnsi="宋体" w:eastAsia="仿宋_GB2312" w:cs="Times New Roman"/>
                <w:kern w:val="0"/>
                <w:sz w:val="28"/>
                <w:szCs w:val="28"/>
              </w:rPr>
            </w:pPr>
          </w:p>
        </w:tc>
        <w:tc>
          <w:tcPr>
            <w:tcW w:w="0" w:type="auto"/>
            <w:vMerge w:val="continue"/>
            <w:tcBorders>
              <w:left w:val="nil"/>
            </w:tcBorders>
            <w:vAlign w:val="center"/>
          </w:tcPr>
          <w:p>
            <w:pPr>
              <w:widowControl/>
              <w:jc w:val="left"/>
              <w:rPr>
                <w:rFonts w:ascii="仿宋_GB2312" w:hAnsi="宋体" w:eastAsia="仿宋_GB2312" w:cs="Times New Roman"/>
                <w:kern w:val="0"/>
                <w:sz w:val="28"/>
                <w:szCs w:val="28"/>
              </w:rPr>
            </w:pPr>
          </w:p>
        </w:tc>
        <w:tc>
          <w:tcPr>
            <w:tcW w:w="0" w:type="auto"/>
            <w:vMerge w:val="continue"/>
            <w:tcBorders>
              <w:left w:val="nil"/>
            </w:tcBorders>
            <w:vAlign w:val="center"/>
          </w:tcPr>
          <w:p>
            <w:pPr>
              <w:widowControl/>
              <w:jc w:val="left"/>
              <w:rPr>
                <w:rFonts w:ascii="仿宋_GB2312" w:hAnsi="宋体" w:eastAsia="仿宋_GB2312" w:cs="Times New Roman"/>
                <w:kern w:val="0"/>
                <w:sz w:val="28"/>
                <w:szCs w:val="28"/>
              </w:rPr>
            </w:pPr>
          </w:p>
        </w:tc>
        <w:tc>
          <w:tcPr>
            <w:tcW w:w="55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结果维持</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结果纠正</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其他结果</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尚未审结</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总计</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结果维持</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结果纠正</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其他结果</w:t>
            </w:r>
          </w:p>
        </w:tc>
        <w:tc>
          <w:tcPr>
            <w:tcW w:w="606"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eastAsia="仿宋_GB2312" w:cs="仿宋_GB2312"/>
                <w:sz w:val="28"/>
                <w:szCs w:val="28"/>
              </w:rPr>
              <w:t>尚未审结</w:t>
            </w:r>
          </w:p>
        </w:tc>
        <w:tc>
          <w:tcPr>
            <w:tcW w:w="606"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28"/>
                <w:szCs w:val="28"/>
              </w:rPr>
            </w:pPr>
            <w:r>
              <w:rPr>
                <w:rFonts w:hint="eastAsia" w:ascii="仿宋_GB2312" w:hAnsi="宋体" w:eastAsia="仿宋_GB2312" w:cs="仿宋_GB2312"/>
                <w:color w:val="000000"/>
                <w:kern w:val="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4"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4"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4"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Times New Roman"/>
                <w:sz w:val="32"/>
                <w:szCs w:val="32"/>
              </w:rPr>
              <w:t> </w:t>
            </w:r>
            <w:r>
              <w:rPr>
                <w:rFonts w:ascii="仿宋_GB2312" w:eastAsia="仿宋_GB2312" w:cs="仿宋_GB2312"/>
                <w:sz w:val="32"/>
                <w:szCs w:val="32"/>
              </w:rPr>
              <w:t>0</w:t>
            </w:r>
          </w:p>
        </w:tc>
        <w:tc>
          <w:tcPr>
            <w:tcW w:w="658"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Times New Roman"/>
                <w:sz w:val="32"/>
                <w:szCs w:val="32"/>
              </w:rPr>
              <w:t> </w:t>
            </w:r>
            <w:r>
              <w:rPr>
                <w:rFonts w:ascii="仿宋_GB2312" w:eastAsia="仿宋_GB2312" w:cs="仿宋_GB2312"/>
                <w:sz w:val="32"/>
                <w:szCs w:val="32"/>
              </w:rPr>
              <w:t>0</w:t>
            </w:r>
          </w:p>
        </w:tc>
        <w:tc>
          <w:tcPr>
            <w:tcW w:w="550"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Times New Roman"/>
                <w:sz w:val="32"/>
                <w:szCs w:val="32"/>
              </w:rPr>
              <w:t> </w:t>
            </w:r>
            <w:r>
              <w:rPr>
                <w:rFonts w:ascii="仿宋_GB2312" w:eastAsia="仿宋_GB2312" w:cs="仿宋_GB2312"/>
                <w:sz w:val="32"/>
                <w:szCs w:val="32"/>
              </w:rPr>
              <w:t>0</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Times New Roman"/>
                <w:sz w:val="32"/>
                <w:szCs w:val="32"/>
              </w:rPr>
              <w:t> </w:t>
            </w:r>
            <w:r>
              <w:rPr>
                <w:rFonts w:ascii="仿宋_GB2312" w:eastAsia="仿宋_GB2312" w:cs="仿宋_GB2312"/>
                <w:sz w:val="32"/>
                <w:szCs w:val="32"/>
              </w:rPr>
              <w:t>0</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hAnsi="宋体" w:eastAsia="仿宋_GB2312" w:cs="Times New Roman"/>
                <w:color w:val="000000"/>
                <w:kern w:val="0"/>
                <w:sz w:val="32"/>
                <w:szCs w:val="32"/>
              </w:rPr>
              <w:t> </w:t>
            </w:r>
            <w:r>
              <w:rPr>
                <w:rFonts w:ascii="仿宋_GB2312" w:hAnsi="宋体" w:eastAsia="仿宋_GB2312" w:cs="仿宋_GB2312"/>
                <w:color w:val="000000"/>
                <w:kern w:val="0"/>
                <w:sz w:val="32"/>
                <w:szCs w:val="32"/>
              </w:rPr>
              <w:t>0</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5"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hAnsi="宋体" w:eastAsia="仿宋_GB2312" w:cs="仿宋_GB2312"/>
                <w:color w:val="000000"/>
                <w:kern w:val="0"/>
                <w:sz w:val="32"/>
                <w:szCs w:val="32"/>
              </w:rPr>
              <w:t>0</w:t>
            </w:r>
            <w:r>
              <w:rPr>
                <w:rFonts w:ascii="仿宋_GB2312" w:hAnsi="宋体" w:eastAsia="仿宋_GB2312" w:cs="Times New Roman"/>
                <w:color w:val="000000"/>
                <w:kern w:val="0"/>
                <w:sz w:val="32"/>
                <w:szCs w:val="32"/>
              </w:rPr>
              <w:t> </w:t>
            </w:r>
          </w:p>
        </w:tc>
        <w:tc>
          <w:tcPr>
            <w:tcW w:w="606" w:type="dxa"/>
            <w:tcBorders>
              <w:left w:val="nil"/>
            </w:tcBorders>
            <w:vAlign w:val="center"/>
          </w:tcPr>
          <w:p>
            <w:pPr>
              <w:widowControl/>
              <w:spacing w:before="100" w:beforeAutospacing="1" w:after="100" w:afterAutospacing="1"/>
              <w:jc w:val="center"/>
              <w:rPr>
                <w:rFonts w:ascii="仿宋_GB2312" w:hAnsi="宋体" w:eastAsia="仿宋_GB2312" w:cs="Times New Roman"/>
                <w:kern w:val="0"/>
                <w:sz w:val="32"/>
                <w:szCs w:val="32"/>
              </w:rPr>
            </w:pPr>
            <w:r>
              <w:rPr>
                <w:rFonts w:ascii="仿宋_GB2312" w:eastAsia="仿宋_GB2312" w:cs="仿宋_GB2312"/>
                <w:sz w:val="32"/>
                <w:szCs w:val="32"/>
              </w:rPr>
              <w:t>0</w:t>
            </w:r>
            <w:r>
              <w:rPr>
                <w:rFonts w:ascii="仿宋_GB2312" w:eastAsia="仿宋_GB2312" w:cs="Times New Roman"/>
                <w:sz w:val="32"/>
                <w:szCs w:val="32"/>
              </w:rPr>
              <w:t> </w:t>
            </w:r>
          </w:p>
        </w:tc>
        <w:tc>
          <w:tcPr>
            <w:tcW w:w="606" w:type="dxa"/>
            <w:tcBorders>
              <w:left w:val="nil"/>
            </w:tcBorders>
            <w:vAlign w:val="center"/>
          </w:tcPr>
          <w:p>
            <w:pPr>
              <w:widowControl/>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0</w:t>
            </w:r>
          </w:p>
        </w:tc>
      </w:tr>
    </w:tbl>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五、存在的主要问题及改进情况</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2019</w:t>
      </w:r>
      <w:r>
        <w:rPr>
          <w:rFonts w:hint="eastAsia" w:ascii="仿宋_GB2312" w:eastAsia="仿宋_GB2312" w:cs="仿宋_GB2312"/>
          <w:sz w:val="32"/>
          <w:szCs w:val="32"/>
        </w:rPr>
        <w:t>年，我局信息公开工作取得了积极进展，但仍存在以下问题：</w:t>
      </w:r>
      <w:r>
        <w:rPr>
          <w:rFonts w:hint="eastAsia" w:ascii="仿宋_GB2312" w:eastAsia="仿宋_GB2312" w:cs="仿宋_GB2312"/>
          <w:b/>
          <w:bCs/>
          <w:sz w:val="32"/>
          <w:szCs w:val="32"/>
        </w:rPr>
        <w:t>一是</w:t>
      </w:r>
      <w:r>
        <w:rPr>
          <w:rFonts w:hint="eastAsia" w:ascii="仿宋_GB2312" w:eastAsia="仿宋_GB2312" w:cs="仿宋_GB2312"/>
          <w:sz w:val="32"/>
          <w:szCs w:val="32"/>
        </w:rPr>
        <w:t>信息公开内容还不够完善，不够全面；</w:t>
      </w:r>
      <w:r>
        <w:rPr>
          <w:rFonts w:hint="eastAsia" w:ascii="仿宋_GB2312" w:eastAsia="仿宋_GB2312" w:cs="仿宋_GB2312"/>
          <w:b/>
          <w:bCs/>
          <w:sz w:val="32"/>
          <w:szCs w:val="32"/>
        </w:rPr>
        <w:t>二是</w:t>
      </w:r>
      <w:r>
        <w:rPr>
          <w:rFonts w:hint="eastAsia" w:ascii="仿宋_GB2312" w:eastAsia="仿宋_GB2312" w:cs="仿宋_GB2312"/>
          <w:sz w:val="32"/>
          <w:szCs w:val="32"/>
        </w:rPr>
        <w:t>对新形成的政务信息公开内容更新速度较慢；</w:t>
      </w:r>
      <w:r>
        <w:rPr>
          <w:rFonts w:hint="eastAsia" w:ascii="仿宋_GB2312" w:eastAsia="仿宋_GB2312" w:cs="仿宋_GB2312"/>
          <w:b/>
          <w:bCs/>
          <w:sz w:val="32"/>
          <w:szCs w:val="32"/>
        </w:rPr>
        <w:t>三是</w:t>
      </w:r>
      <w:r>
        <w:rPr>
          <w:rFonts w:hint="eastAsia" w:ascii="仿宋_GB2312" w:eastAsia="仿宋_GB2312" w:cs="仿宋_GB2312"/>
          <w:sz w:val="32"/>
          <w:szCs w:val="32"/>
        </w:rPr>
        <w:t>个别工作人员对政府信息公开工作尚不够重视，业务水平有待提升。</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为此，我局将继续认真贯彻落实《条例》、《办法》，着力做好以下工作：</w:t>
      </w:r>
    </w:p>
    <w:p>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（一）</w:t>
      </w:r>
      <w:r>
        <w:rPr>
          <w:rFonts w:hint="eastAsia" w:ascii="楷体_GB2312" w:eastAsia="楷体_GB2312" w:cs="楷体_GB2312"/>
          <w:b/>
          <w:bCs/>
          <w:sz w:val="32"/>
          <w:szCs w:val="32"/>
          <w:lang w:eastAsia="zh-CN"/>
        </w:rPr>
        <w:t>抓好制度建设，完善工作机制</w:t>
      </w:r>
      <w:r>
        <w:rPr>
          <w:rFonts w:hint="eastAsia" w:ascii="楷体_GB2312" w:eastAsia="楷体_GB2312" w:cs="楷体_GB2312"/>
          <w:b/>
          <w:bCs/>
          <w:sz w:val="32"/>
          <w:szCs w:val="32"/>
        </w:rPr>
        <w:t>。</w:t>
      </w:r>
      <w:r>
        <w:rPr>
          <w:rFonts w:hint="eastAsia" w:ascii="仿宋_GB2312" w:eastAsia="仿宋_GB2312" w:cs="仿宋_GB2312"/>
          <w:sz w:val="32"/>
          <w:szCs w:val="32"/>
        </w:rPr>
        <w:t>不断完善主动公开工作操作细则，明确内部工作流程和职责，及时做好主动公开工作。进一步完善网上依申请公开操作细则，对依申请公开的受理范围作出明确界定，健全依申请公开的工作机制。</w:t>
      </w:r>
    </w:p>
    <w:p>
      <w:pPr>
        <w:spacing w:line="560" w:lineRule="exact"/>
        <w:ind w:firstLine="643" w:firstLineChars="200"/>
        <w:rPr>
          <w:rFonts w:hint="eastAsia" w:ascii="仿宋_GB2312" w:eastAsia="仿宋_GB2312" w:cs="Times New Roman"/>
          <w:sz w:val="32"/>
          <w:szCs w:val="32"/>
          <w:lang w:eastAsia="zh-CN"/>
        </w:rPr>
      </w:pPr>
      <w:r>
        <w:rPr>
          <w:rFonts w:hint="eastAsia" w:ascii="楷体_GB2312" w:eastAsia="楷体_GB2312" w:cs="楷体_GB2312"/>
          <w:b/>
          <w:bCs/>
          <w:sz w:val="32"/>
          <w:szCs w:val="32"/>
        </w:rPr>
        <w:t>（二）丰富公开内容</w:t>
      </w:r>
      <w:r>
        <w:rPr>
          <w:rFonts w:hint="eastAsia" w:ascii="楷体_GB2312" w:eastAsia="楷体_GB2312" w:cs="楷体_GB2312"/>
          <w:b/>
          <w:bCs/>
          <w:sz w:val="32"/>
          <w:szCs w:val="32"/>
          <w:lang w:eastAsia="zh-CN"/>
        </w:rPr>
        <w:t>，创新公开形式</w:t>
      </w:r>
      <w:r>
        <w:rPr>
          <w:rFonts w:hint="eastAsia" w:ascii="楷体_GB2312" w:eastAsia="楷体_GB2312" w:cs="楷体_GB2312"/>
          <w:b/>
          <w:bCs/>
          <w:sz w:val="32"/>
          <w:szCs w:val="32"/>
        </w:rPr>
        <w:t>。</w:t>
      </w:r>
      <w:r>
        <w:rPr>
          <w:rFonts w:hint="eastAsia" w:ascii="仿宋_GB2312" w:eastAsia="仿宋_GB2312" w:cs="仿宋_GB2312"/>
          <w:sz w:val="32"/>
          <w:szCs w:val="32"/>
        </w:rPr>
        <w:t>不断完善信息公开目录和指南，重点推进群众关心的重大政策制定和落实情况的信息公开，深化办事指南、咨询服务等指引性信息公开内容，及时做好重大项目建设情况等业务工作信息公开。</w:t>
      </w:r>
      <w:r>
        <w:rPr>
          <w:rFonts w:hint="eastAsia" w:ascii="仿宋_GB2312" w:eastAsia="仿宋_GB2312" w:cs="仿宋_GB2312"/>
          <w:sz w:val="32"/>
          <w:szCs w:val="32"/>
          <w:lang w:eastAsia="zh-CN"/>
        </w:rPr>
        <w:t>创新公开形式，深入推进信息公开。</w:t>
      </w:r>
    </w:p>
    <w:p>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（三）加强检查力度</w:t>
      </w:r>
      <w:r>
        <w:rPr>
          <w:rFonts w:hint="eastAsia" w:ascii="楷体_GB2312" w:eastAsia="楷体_GB2312" w:cs="楷体_GB2312"/>
          <w:b/>
          <w:bCs/>
          <w:sz w:val="32"/>
          <w:szCs w:val="32"/>
          <w:lang w:eastAsia="zh-CN"/>
        </w:rPr>
        <w:t>，形成长效机制</w:t>
      </w:r>
      <w:r>
        <w:rPr>
          <w:rFonts w:hint="eastAsia" w:ascii="楷体_GB2312" w:eastAsia="楷体_GB2312" w:cs="楷体_GB2312"/>
          <w:b/>
          <w:bCs/>
          <w:sz w:val="32"/>
          <w:szCs w:val="32"/>
        </w:rPr>
        <w:t>。</w:t>
      </w:r>
      <w:r>
        <w:rPr>
          <w:rFonts w:hint="eastAsia" w:ascii="仿宋_GB2312" w:eastAsia="仿宋_GB2312" w:cs="仿宋_GB2312"/>
          <w:sz w:val="32"/>
          <w:szCs w:val="32"/>
        </w:rPr>
        <w:t>为保证按规定应公开的政务信息及时公开，我局将定期组织人员对公开信息进行梳理和检查。同时，加强督办工作，督促有关股室及下属单位及时发布新政策、法规和动态性信息，特别是审批程序、规范和结果，及时更新规范性文本（表格）等，确保应主动公开的信息及时公开。</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六、其他需要报告的事项</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无。</w:t>
      </w:r>
    </w:p>
    <w:p>
      <w:pPr>
        <w:rPr>
          <w:rFonts w:ascii="仿宋_GB2312" w:eastAsia="仿宋_GB2312" w:cs="Times New Roman"/>
          <w:sz w:val="32"/>
          <w:szCs w:val="32"/>
        </w:rPr>
      </w:pPr>
    </w:p>
    <w:p>
      <w:pPr>
        <w:jc w:val="righ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泉港区文化体育和旅游局</w:t>
      </w:r>
    </w:p>
    <w:p>
      <w:pPr>
        <w:ind w:right="320"/>
        <w:jc w:val="right"/>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10</w:t>
      </w:r>
      <w:r>
        <w:rPr>
          <w:rFonts w:hint="eastAsia" w:ascii="仿宋_GB2312" w:eastAsia="仿宋_GB2312" w:cs="仿宋_GB2312"/>
          <w:sz w:val="32"/>
          <w:szCs w:val="32"/>
        </w:rPr>
        <w:t>日</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bookmarkStart w:id="0" w:name="_GoBack"/>
      <w:bookmarkEnd w:id="0"/>
    </w:p>
    <w:p>
      <w:pPr>
        <w:rPr>
          <w:rFonts w:ascii="仿宋_GB2312" w:eastAsia="仿宋_GB2312" w:cs="Times New Roman"/>
          <w:sz w:val="32"/>
          <w:szCs w:val="32"/>
        </w:rPr>
      </w:pPr>
    </w:p>
    <w:p>
      <w:pPr>
        <w:rPr>
          <w:rFonts w:ascii="仿宋_GB2312" w:eastAsia="仿宋_GB2312" w:cs="Times New Roman"/>
          <w:sz w:val="32"/>
          <w:szCs w:val="32"/>
        </w:rPr>
      </w:pPr>
    </w:p>
    <w:p>
      <w:pPr>
        <w:pBdr>
          <w:top w:val="single" w:color="auto" w:sz="6" w:space="1"/>
          <w:bottom w:val="single" w:color="auto" w:sz="6" w:space="1"/>
        </w:pBdr>
        <w:ind w:firstLine="280" w:firstLineChars="100"/>
        <w:rPr>
          <w:rFonts w:ascii="仿宋_GB2312" w:eastAsia="仿宋_GB2312" w:cs="Times New Roman"/>
          <w:sz w:val="28"/>
          <w:szCs w:val="28"/>
        </w:rPr>
      </w:pPr>
      <w:r>
        <w:rPr>
          <w:rFonts w:hint="eastAsia" w:ascii="仿宋_GB2312" w:eastAsia="仿宋_GB2312" w:cs="仿宋_GB2312"/>
          <w:sz w:val="28"/>
          <w:szCs w:val="28"/>
        </w:rPr>
        <w:t>泉港区文化体育和旅游局</w:t>
      </w:r>
      <w:r>
        <w:rPr>
          <w:rFonts w:ascii="仿宋_GB2312" w:eastAsia="仿宋_GB2312" w:cs="仿宋_GB2312"/>
          <w:sz w:val="28"/>
          <w:szCs w:val="28"/>
        </w:rPr>
        <w:t xml:space="preserve">                  2020</w:t>
      </w:r>
      <w:r>
        <w:rPr>
          <w:rFonts w:hint="eastAsia" w:ascii="仿宋_GB2312" w:eastAsia="仿宋_GB2312" w:cs="仿宋_GB2312"/>
          <w:sz w:val="28"/>
          <w:szCs w:val="28"/>
        </w:rPr>
        <w:t>年</w:t>
      </w:r>
      <w:r>
        <w:rPr>
          <w:rFonts w:ascii="仿宋_GB2312" w:eastAsia="仿宋_GB2312" w:cs="仿宋_GB2312"/>
          <w:sz w:val="28"/>
          <w:szCs w:val="28"/>
        </w:rPr>
        <w:t>1</w:t>
      </w:r>
      <w:r>
        <w:rPr>
          <w:rFonts w:hint="eastAsia" w:ascii="仿宋_GB2312" w:eastAsia="仿宋_GB2312" w:cs="仿宋_GB2312"/>
          <w:sz w:val="28"/>
          <w:szCs w:val="28"/>
        </w:rPr>
        <w:t>月</w:t>
      </w:r>
      <w:r>
        <w:rPr>
          <w:rFonts w:ascii="仿宋_GB2312" w:eastAsia="仿宋_GB2312" w:cs="仿宋_GB2312"/>
          <w:sz w:val="28"/>
          <w:szCs w:val="28"/>
        </w:rPr>
        <w:t>10</w:t>
      </w:r>
      <w:r>
        <w:rPr>
          <w:rFonts w:hint="eastAsia" w:ascii="仿宋_GB2312" w:eastAsia="仿宋_GB2312" w:cs="仿宋_GB2312"/>
          <w:sz w:val="28"/>
          <w:szCs w:val="28"/>
        </w:rPr>
        <w:t>日印发</w:t>
      </w:r>
    </w:p>
    <w:sectPr>
      <w:footerReference r:id="rId3" w:type="default"/>
      <w:footerReference r:id="rId4" w:type="even"/>
      <w:pgSz w:w="11906" w:h="16838"/>
      <w:pgMar w:top="1871" w:right="1531" w:bottom="1814" w:left="1531" w:header="851" w:footer="1474"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7 -</w:t>
    </w:r>
    <w:r>
      <w:rPr>
        <w:rFonts w:ascii="宋体" w:hAnsi="宋体" w:cs="宋体"/>
        <w:sz w:val="28"/>
        <w:szCs w:val="28"/>
      </w:rPr>
      <w:fldChar w:fldCharType="end"/>
    </w:r>
  </w:p>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8 -</w:t>
    </w:r>
    <w:r>
      <w:rPr>
        <w:rFonts w:ascii="宋体" w:hAnsi="宋体" w:cs="宋体"/>
        <w:sz w:val="28"/>
        <w:szCs w:val="28"/>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983"/>
    <w:rsid w:val="00014487"/>
    <w:rsid w:val="00057714"/>
    <w:rsid w:val="000731F7"/>
    <w:rsid w:val="00113983"/>
    <w:rsid w:val="0016748F"/>
    <w:rsid w:val="00184C5B"/>
    <w:rsid w:val="001D20C3"/>
    <w:rsid w:val="002034BE"/>
    <w:rsid w:val="0021536C"/>
    <w:rsid w:val="002428B1"/>
    <w:rsid w:val="00254CA8"/>
    <w:rsid w:val="00282058"/>
    <w:rsid w:val="002830EE"/>
    <w:rsid w:val="0029179E"/>
    <w:rsid w:val="002B5D70"/>
    <w:rsid w:val="002F7AFA"/>
    <w:rsid w:val="00343C7C"/>
    <w:rsid w:val="00371ACB"/>
    <w:rsid w:val="003A3008"/>
    <w:rsid w:val="004050CA"/>
    <w:rsid w:val="004A0057"/>
    <w:rsid w:val="004B5E4B"/>
    <w:rsid w:val="004F560D"/>
    <w:rsid w:val="00537BBA"/>
    <w:rsid w:val="005936CD"/>
    <w:rsid w:val="005B5AD0"/>
    <w:rsid w:val="005C12EB"/>
    <w:rsid w:val="005C44FC"/>
    <w:rsid w:val="005D7611"/>
    <w:rsid w:val="00600A7D"/>
    <w:rsid w:val="00670865"/>
    <w:rsid w:val="00670892"/>
    <w:rsid w:val="0067404E"/>
    <w:rsid w:val="006E73A5"/>
    <w:rsid w:val="007278F9"/>
    <w:rsid w:val="00746469"/>
    <w:rsid w:val="007B0A81"/>
    <w:rsid w:val="007D47BA"/>
    <w:rsid w:val="007D4946"/>
    <w:rsid w:val="00844EDD"/>
    <w:rsid w:val="00890FDE"/>
    <w:rsid w:val="008C30DD"/>
    <w:rsid w:val="008E4DE3"/>
    <w:rsid w:val="00902284"/>
    <w:rsid w:val="00957392"/>
    <w:rsid w:val="00967382"/>
    <w:rsid w:val="009E6C8F"/>
    <w:rsid w:val="00A46BC1"/>
    <w:rsid w:val="00AB6D1F"/>
    <w:rsid w:val="00AD0AD8"/>
    <w:rsid w:val="00AE2CCA"/>
    <w:rsid w:val="00B3543B"/>
    <w:rsid w:val="00B7194E"/>
    <w:rsid w:val="00BB4990"/>
    <w:rsid w:val="00BE33FC"/>
    <w:rsid w:val="00BF1F56"/>
    <w:rsid w:val="00C04708"/>
    <w:rsid w:val="00C06DB7"/>
    <w:rsid w:val="00C33E05"/>
    <w:rsid w:val="00C5135A"/>
    <w:rsid w:val="00C52757"/>
    <w:rsid w:val="00C62986"/>
    <w:rsid w:val="00C6363C"/>
    <w:rsid w:val="00C82839"/>
    <w:rsid w:val="00CA115A"/>
    <w:rsid w:val="00CA32E8"/>
    <w:rsid w:val="00CC6983"/>
    <w:rsid w:val="00D414C4"/>
    <w:rsid w:val="00D50E2E"/>
    <w:rsid w:val="00DA708F"/>
    <w:rsid w:val="00DB2A65"/>
    <w:rsid w:val="00DB47F8"/>
    <w:rsid w:val="00DD73ED"/>
    <w:rsid w:val="00DF20B9"/>
    <w:rsid w:val="00E039CA"/>
    <w:rsid w:val="00E649AF"/>
    <w:rsid w:val="00E71A3C"/>
    <w:rsid w:val="00E764D5"/>
    <w:rsid w:val="00E85E80"/>
    <w:rsid w:val="00EC0104"/>
    <w:rsid w:val="00EE14C3"/>
    <w:rsid w:val="00EE2376"/>
    <w:rsid w:val="00F30F76"/>
    <w:rsid w:val="00F32154"/>
    <w:rsid w:val="00F4090B"/>
    <w:rsid w:val="33E15EB5"/>
    <w:rsid w:val="506903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432</Words>
  <Characters>2466</Characters>
  <Lines>0</Lines>
  <Paragraphs>0</Paragraphs>
  <TotalTime>40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2020-01-07T09:20:00Z</dcterms:created>
  <dc:creator>Windows 用户</dc:creator>
  <cp:lastModifiedBy>Zhuangfenting</cp:lastModifiedBy>
  <cp:lastPrinted>2020-01-10T07:28:00Z</cp:lastPrinted>
  <dcterms:modified xsi:type="dcterms:W3CDTF">2021-03-25T06:47:17Z</dcterms:modified>
  <dc:title>泉港文综〔2020〕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0D3A2A71FC0B44EB9BCA18D99C520BD7</vt:lpwstr>
  </property>
</Properties>
</file>