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0CD7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泉港区文体旅游局关于2025年度法治政府</w:t>
      </w:r>
    </w:p>
    <w:p w14:paraId="1CCC408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建设情况的报告</w:t>
      </w:r>
    </w:p>
    <w:p w14:paraId="4751F093">
      <w:pPr>
        <w:keepNext w:val="0"/>
        <w:keepLines w:val="0"/>
        <w:pageBreakBefore w:val="0"/>
        <w:widowControl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sz w:val="32"/>
          <w:szCs w:val="32"/>
        </w:rPr>
      </w:pPr>
    </w:p>
    <w:p w14:paraId="3F0B8D0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泉港区文体旅游局</w:t>
      </w:r>
    </w:p>
    <w:p w14:paraId="3F79D53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2025年12月8</w:t>
      </w:r>
      <w:bookmarkStart w:id="0" w:name="_GoBack"/>
      <w:bookmarkEnd w:id="0"/>
      <w:r>
        <w:rPr>
          <w:rFonts w:hint="eastAsia" w:ascii="楷体_GB2312" w:hAnsi="楷体_GB2312" w:eastAsia="楷体_GB2312" w:cs="楷体_GB2312"/>
          <w:sz w:val="32"/>
          <w:szCs w:val="32"/>
          <w:lang w:val="en-US" w:eastAsia="zh-CN"/>
        </w:rPr>
        <w:t>日</w:t>
      </w:r>
    </w:p>
    <w:p w14:paraId="01514B87">
      <w:pPr>
        <w:keepNext w:val="0"/>
        <w:keepLines w:val="0"/>
        <w:pageBreakBefore w:val="0"/>
        <w:widowControl w:val="0"/>
        <w:kinsoku/>
        <w:wordWrap/>
        <w:overflowPunct/>
        <w:topLinePunct w:val="0"/>
        <w:autoSpaceDE/>
        <w:autoSpaceDN/>
        <w:bidi w:val="0"/>
        <w:adjustRightInd/>
        <w:snapToGrid/>
        <w:spacing w:beforeAutospacing="0" w:afterAutospacing="0" w:line="560" w:lineRule="exact"/>
        <w:rPr>
          <w:rFonts w:hint="eastAsia" w:ascii="仿宋_GB2312" w:hAnsi="仿宋_GB2312" w:eastAsia="仿宋_GB2312" w:cs="仿宋_GB2312"/>
          <w:sz w:val="32"/>
          <w:szCs w:val="32"/>
        </w:rPr>
      </w:pPr>
    </w:p>
    <w:p w14:paraId="68073A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年，泉港区文体旅游局坚持以习近平新时代中国特色社会主义思想为指导，</w:t>
      </w:r>
      <w:r>
        <w:rPr>
          <w:rFonts w:hint="default" w:ascii="Times New Roman" w:hAnsi="Times New Roman" w:eastAsia="仿宋_GB2312" w:cs="Times New Roman"/>
          <w:color w:val="auto"/>
          <w:spacing w:val="0"/>
          <w:sz w:val="32"/>
          <w:szCs w:val="32"/>
          <w:u w:val="none"/>
          <w:lang w:val="en-US" w:eastAsia="zh-CN"/>
        </w:rPr>
        <w:t>深入学习贯彻党的二十大和二十届二中、三中、四中全会精神和</w:t>
      </w:r>
      <w:r>
        <w:rPr>
          <w:rFonts w:hint="eastAsia" w:ascii="仿宋_GB2312" w:hAnsi="仿宋_GB2312" w:eastAsia="仿宋_GB2312" w:cs="仿宋_GB2312"/>
          <w:sz w:val="32"/>
          <w:szCs w:val="32"/>
        </w:rPr>
        <w:t>习近平法治思想，将法治政府建设与</w:t>
      </w:r>
      <w:r>
        <w:rPr>
          <w:rFonts w:hint="default" w:ascii="Times New Roman" w:hAnsi="Times New Roman" w:eastAsia="仿宋_GB2312" w:cs="Times New Roman"/>
          <w:color w:val="auto"/>
          <w:spacing w:val="0"/>
          <w:sz w:val="32"/>
          <w:szCs w:val="32"/>
          <w:u w:val="none"/>
          <w:lang w:val="en-US" w:eastAsia="zh-CN"/>
        </w:rPr>
        <w:t>省委持续深化拓展“深学争优、敢为争先、实干争效”和市委“项目提效年”等行动部署</w:t>
      </w:r>
      <w:r>
        <w:rPr>
          <w:rFonts w:hint="eastAsia" w:ascii="Times New Roman" w:hAnsi="Times New Roman" w:eastAsia="仿宋_GB2312" w:cs="Times New Roman"/>
          <w:color w:val="auto"/>
          <w:spacing w:val="0"/>
          <w:sz w:val="32"/>
          <w:szCs w:val="32"/>
          <w:u w:val="none"/>
          <w:lang w:val="en-US" w:eastAsia="zh-CN"/>
        </w:rPr>
        <w:t>、</w:t>
      </w:r>
      <w:r>
        <w:rPr>
          <w:rFonts w:hint="default" w:ascii="Times New Roman" w:hAnsi="Times New Roman" w:eastAsia="仿宋_GB2312" w:cs="Times New Roman"/>
          <w:color w:val="auto"/>
          <w:spacing w:val="0"/>
          <w:sz w:val="32"/>
          <w:szCs w:val="32"/>
          <w:u w:val="none"/>
          <w:lang w:val="en-US" w:eastAsia="zh-CN"/>
        </w:rPr>
        <w:t>区委“139”动员令</w:t>
      </w:r>
      <w:r>
        <w:rPr>
          <w:rFonts w:hint="eastAsia" w:ascii="仿宋_GB2312" w:hAnsi="仿宋_GB2312" w:eastAsia="仿宋_GB2312" w:cs="仿宋_GB2312"/>
          <w:sz w:val="32"/>
          <w:szCs w:val="32"/>
        </w:rPr>
        <w:t>深度融合，坚持依法治旅、依法兴文，以健全制度体系、规范执法行为、强化普法宣传、提升治理效能为重点，扎实推进法治建设各项工作，为全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文体旅游行业高质量发展提供了坚实法治保障。</w:t>
      </w:r>
    </w:p>
    <w:p w14:paraId="6B53E4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一、2025年度法治政府建设情况</w:t>
      </w:r>
    </w:p>
    <w:p w14:paraId="0F09D13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（一）以政治建设为引领，筑牢法治建设思想根基</w:t>
      </w:r>
    </w:p>
    <w:p w14:paraId="6977D4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我局始终把筑牢法治建设思想根基为首要政治任务，以学铸魂、以学增智、以学促干。</w:t>
      </w:r>
      <w:r>
        <w:rPr>
          <w:rFonts w:hint="eastAsia" w:ascii="仿宋_GB2312" w:hAnsi="仿宋_GB2312" w:eastAsia="仿宋_GB2312" w:cs="仿宋_GB2312"/>
          <w:b/>
          <w:bCs/>
          <w:sz w:val="32"/>
          <w:szCs w:val="32"/>
          <w:lang w:val="en-US" w:eastAsia="zh-CN"/>
        </w:rPr>
        <w:t>一是深化理论学习，</w:t>
      </w:r>
      <w:r>
        <w:rPr>
          <w:rFonts w:hint="eastAsia" w:ascii="仿宋_GB2312" w:hAnsi="仿宋_GB2312" w:eastAsia="仿宋_GB2312" w:cs="仿宋_GB2312"/>
          <w:sz w:val="32"/>
          <w:szCs w:val="32"/>
          <w:lang w:val="en-US" w:eastAsia="zh-CN"/>
        </w:rPr>
        <w:t>将习近平新时代中国特色社会主义思想，特别是习近平法治思想、宪法、法律法规及相关政策文件纳入局党组理论学习中心组学习计划和干部职工常态化学习内容，全年开展专题学习11次，集中研讨4次，引导全体干部职工树牢法治意识，提升依法履职能力。</w:t>
      </w:r>
      <w:r>
        <w:rPr>
          <w:rFonts w:hint="eastAsia" w:ascii="仿宋_GB2312" w:hAnsi="仿宋_GB2312" w:eastAsia="仿宋_GB2312" w:cs="仿宋_GB2312"/>
          <w:b/>
          <w:bCs/>
          <w:sz w:val="32"/>
          <w:szCs w:val="32"/>
          <w:lang w:val="en-US" w:eastAsia="zh-CN"/>
        </w:rPr>
        <w:t>二是压实工作责任，</w:t>
      </w:r>
      <w:r>
        <w:rPr>
          <w:rFonts w:hint="eastAsia" w:ascii="仿宋_GB2312" w:hAnsi="仿宋_GB2312" w:eastAsia="仿宋_GB2312" w:cs="仿宋_GB2312"/>
          <w:sz w:val="32"/>
          <w:szCs w:val="32"/>
          <w:lang w:val="en-US" w:eastAsia="zh-CN"/>
        </w:rPr>
        <w:t>成立由局主要负责同志任组长的法治建设工作领导小组，明确党组主体责任、主要负责人第一责任人责任和班子成员“一岗双责”。</w:t>
      </w:r>
    </w:p>
    <w:p w14:paraId="24AF10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（二）以依法履职为核心，护航法治建设发展大局</w:t>
      </w:r>
    </w:p>
    <w:p w14:paraId="6896DC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一是深化“放管服”改革。</w:t>
      </w:r>
      <w:r>
        <w:rPr>
          <w:rFonts w:hint="eastAsia" w:ascii="仿宋_GB2312" w:hAnsi="仿宋_GB2312" w:eastAsia="仿宋_GB2312" w:cs="仿宋_GB2312"/>
          <w:sz w:val="32"/>
          <w:szCs w:val="32"/>
          <w:lang w:val="en-US" w:eastAsia="zh-CN"/>
        </w:rPr>
        <w:t>秉持服务与监管并重理念，通过涉企合规指导等方式，推动行业服务标准化、规范化建设。</w:t>
      </w:r>
      <w:r>
        <w:rPr>
          <w:rFonts w:hint="eastAsia" w:ascii="仿宋_GB2312" w:hAnsi="仿宋_GB2312" w:eastAsia="仿宋_GB2312" w:cs="仿宋_GB2312"/>
          <w:b/>
          <w:bCs/>
          <w:sz w:val="32"/>
          <w:szCs w:val="32"/>
          <w:lang w:val="en-US" w:eastAsia="zh-CN"/>
        </w:rPr>
        <w:t>二是明确权责事项清单。</w:t>
      </w:r>
      <w:r>
        <w:rPr>
          <w:rFonts w:hint="eastAsia" w:ascii="仿宋_GB2312" w:hAnsi="仿宋_GB2312" w:eastAsia="仿宋_GB2312" w:cs="仿宋_GB2312"/>
          <w:sz w:val="32"/>
          <w:szCs w:val="32"/>
          <w:lang w:val="en-US" w:eastAsia="zh-CN"/>
        </w:rPr>
        <w:t>整合文化、体育、旅游领域权责清单并在区政府门户网站公开，实现“高效办成一件事”“数据最多采一次”。</w:t>
      </w:r>
      <w:r>
        <w:rPr>
          <w:rFonts w:hint="eastAsia" w:ascii="仿宋_GB2312" w:hAnsi="仿宋_GB2312" w:eastAsia="仿宋_GB2312" w:cs="仿宋_GB2312"/>
          <w:b/>
          <w:bCs/>
          <w:sz w:val="32"/>
          <w:szCs w:val="32"/>
          <w:lang w:val="en-US" w:eastAsia="zh-CN"/>
        </w:rPr>
        <w:t>三是深化法治宣传。</w:t>
      </w:r>
      <w:r>
        <w:rPr>
          <w:rFonts w:hint="eastAsia" w:ascii="仿宋_GB2312" w:hAnsi="仿宋_GB2312" w:eastAsia="仿宋_GB2312" w:cs="仿宋_GB2312"/>
          <w:sz w:val="32"/>
          <w:szCs w:val="32"/>
          <w:lang w:val="en-US" w:eastAsia="zh-CN"/>
        </w:rPr>
        <w:t>结合五一、国庆等重要节庆和“12·4”国家宪法日等节点，开展集中普法宣传4场，重点宣传文化旅游、扫黑除恶等相关法律法规，提升群众法治意识和参与度。</w:t>
      </w:r>
    </w:p>
    <w:p w14:paraId="2FAC40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bidi="ar"/>
        </w:rPr>
        <w:t>（三）以制度建设为支撑，提升依法行政规范化水平</w:t>
      </w:r>
    </w:p>
    <w:p w14:paraId="7B25A93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default" w:ascii="仿宋_GB2312" w:hAnsi="仿宋_GB2312" w:eastAsia="仿宋_GB2312" w:cs="仿宋_GB2312"/>
          <w:b/>
          <w:bCs/>
          <w:sz w:val="32"/>
          <w:szCs w:val="32"/>
          <w:lang w:val="en-US" w:eastAsia="zh-CN"/>
        </w:rPr>
        <w:t>完善制度体系</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结合文体旅游工作实际，修订完善《泉港区文化体育和旅游局关于公布涉企行政检查事项清单及2025年行政检查计划表的通知》（泉港文综〔2025〕25号）、《泉港区文化体育和旅游局关于建立文化市场领域“首违不罚”制度的通知》（泉港文综〔2025〕29号）等管理制度，进一步规范决策流程、执法行为和内部管理，做到用制度管权、管事、管人。</w:t>
      </w:r>
      <w:r>
        <w:rPr>
          <w:rFonts w:hint="eastAsia" w:ascii="仿宋_GB2312" w:hAnsi="仿宋_GB2312" w:eastAsia="仿宋_GB2312" w:cs="仿宋_GB2312"/>
          <w:b/>
          <w:bCs/>
          <w:sz w:val="32"/>
          <w:szCs w:val="32"/>
          <w:lang w:val="en-US" w:eastAsia="zh-CN"/>
        </w:rPr>
        <w:t>二是加强规范性文件管理。</w:t>
      </w:r>
      <w:r>
        <w:rPr>
          <w:rFonts w:hint="eastAsia" w:ascii="仿宋_GB2312" w:hAnsi="仿宋_GB2312" w:eastAsia="仿宋_GB2312" w:cs="仿宋_GB2312"/>
          <w:sz w:val="32"/>
          <w:szCs w:val="32"/>
          <w:lang w:val="en-US" w:eastAsia="zh-CN"/>
        </w:rPr>
        <w:t>严格执行行政规范性文件管理规定，结合文体旅行业实际及时学习贯彻上级文件精神，确保工作有规可依。2025年完成区级规范性文件备案审查8件，提出清理意见8件，其中建议废止1件存在排除限制公平竞争、妨碍统一大市场的文件，有效维护规范性文件合法性。</w:t>
      </w:r>
      <w:r>
        <w:rPr>
          <w:rFonts w:hint="eastAsia" w:ascii="仿宋_GB2312" w:hAnsi="仿宋_GB2312" w:eastAsia="仿宋_GB2312" w:cs="仿宋_GB2312"/>
          <w:b/>
          <w:bCs/>
          <w:sz w:val="32"/>
          <w:szCs w:val="32"/>
          <w:lang w:val="en-US" w:eastAsia="zh-CN"/>
        </w:rPr>
        <w:t>三是深化政务公开与权力监督。</w:t>
      </w:r>
      <w:r>
        <w:rPr>
          <w:rFonts w:hint="eastAsia" w:ascii="仿宋_GB2312" w:hAnsi="仿宋_GB2312" w:eastAsia="仿宋_GB2312" w:cs="仿宋_GB2312"/>
          <w:sz w:val="32"/>
          <w:szCs w:val="32"/>
          <w:lang w:val="en-US" w:eastAsia="zh-CN"/>
        </w:rPr>
        <w:t>坚持以公开为常态、不公开为例外，通过政府门户平台、泉港文体旅游公众号等渠道，主动公开文体旅游领域法律法规、政策文件、行政处罚案件信息、“双随机”抽查情况、权责清单等信息，接受社会监督，提升行政透明度。</w:t>
      </w:r>
    </w:p>
    <w:p w14:paraId="6B2A11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rPr>
          <w:rFonts w:hint="default"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（四）以公正执法为关键，规范文体旅市场监管行为</w:t>
      </w:r>
    </w:p>
    <w:p w14:paraId="691935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一是深化行政执法体制改革。</w:t>
      </w:r>
      <w:r>
        <w:rPr>
          <w:rFonts w:hint="eastAsia" w:ascii="仿宋_GB2312" w:hAnsi="仿宋_GB2312" w:eastAsia="仿宋_GB2312" w:cs="仿宋_GB2312"/>
          <w:sz w:val="32"/>
          <w:szCs w:val="32"/>
          <w:lang w:val="en-US" w:eastAsia="zh-CN"/>
        </w:rPr>
        <w:t>严格按照行政执法体制改革要求，规范执法主体资格，统筹配置行政处罚职能和执法资源，动态调整</w:t>
      </w:r>
      <w:r>
        <w:rPr>
          <w:rFonts w:hint="eastAsia" w:ascii="仿宋_GB2312" w:eastAsia="仿宋_GB2312"/>
          <w:sz w:val="32"/>
          <w:szCs w:val="32"/>
          <w:lang w:eastAsia="zh-CN"/>
        </w:rPr>
        <w:t>我局</w:t>
      </w:r>
      <w:r>
        <w:rPr>
          <w:rFonts w:hint="eastAsia" w:ascii="仿宋_GB2312" w:eastAsia="仿宋_GB2312"/>
          <w:sz w:val="32"/>
          <w:szCs w:val="32"/>
        </w:rPr>
        <w:t>权责事项</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加强与区公安、市管、城管、卫健等部门协作，建立“综合查一次”联合执法机制，在娱乐场所整治、校园周边环境治理等领域开展联合执法17次，形成监管合力。</w:t>
      </w:r>
      <w:r>
        <w:rPr>
          <w:rFonts w:hint="eastAsia" w:ascii="仿宋_GB2312" w:hAnsi="仿宋_GB2312" w:eastAsia="仿宋_GB2312" w:cs="仿宋_GB2312"/>
          <w:b/>
          <w:bCs/>
          <w:sz w:val="32"/>
          <w:szCs w:val="32"/>
          <w:lang w:val="en-US" w:eastAsia="zh-CN"/>
        </w:rPr>
        <w:t>二是加大重点领域执法力度。</w:t>
      </w:r>
      <w:r>
        <w:rPr>
          <w:rFonts w:hint="eastAsia" w:ascii="仿宋_GB2312" w:hAnsi="仿宋_GB2312" w:eastAsia="仿宋_GB2312" w:cs="仿宋_GB2312"/>
          <w:sz w:val="32"/>
          <w:szCs w:val="32"/>
          <w:lang w:val="en-US" w:eastAsia="zh-CN"/>
        </w:rPr>
        <w:t>深入开展规范涉企行政执法、基层执法领域突出问题、旅游行业导游乱象、强制消费等专项整治，聚焦校园周边文化环境、出版物市场、网络文化经营单位、娱乐场所等重点领域，累计开展日常检查15次、专项检查20余次，出动执法人员58人次，检查经营场所40余家次。持续开展“清朗泉港·护苗成长”专项行动，开展网吧、娱乐场所违规接纳未成年人专项夜查2次，严厉查处娱乐场所违规经营、违禁出版物、无证经营等行为，现场开展普法宣传和问卷调查，以案释法引导经营者合法经营。</w:t>
      </w:r>
      <w:r>
        <w:rPr>
          <w:rFonts w:hint="eastAsia" w:ascii="仿宋_GB2312" w:hAnsi="仿宋_GB2312" w:eastAsia="仿宋_GB2312" w:cs="仿宋_GB2312"/>
          <w:b/>
          <w:bCs/>
          <w:sz w:val="32"/>
          <w:szCs w:val="32"/>
          <w:lang w:val="en-US" w:eastAsia="zh-CN"/>
        </w:rPr>
        <w:t>三是推进执法规范化建设。</w:t>
      </w:r>
      <w:r>
        <w:rPr>
          <w:rFonts w:hint="eastAsia" w:ascii="仿宋_GB2312" w:hAnsi="仿宋_GB2312" w:eastAsia="仿宋_GB2312" w:cs="仿宋_GB2312"/>
          <w:sz w:val="32"/>
          <w:szCs w:val="32"/>
          <w:lang w:val="en-US" w:eastAsia="zh-CN"/>
        </w:rPr>
        <w:t>加强执法队伍建设，强化行业监管执法，规范执法办案流程，增设1间独立问询室和1间群众举报受理室。组建专业化行政执法队伍，</w:t>
      </w:r>
      <w:r>
        <w:rPr>
          <w:rFonts w:hint="eastAsia" w:ascii="仿宋_GB2312" w:hAnsi="仿宋_GB2312" w:eastAsia="仿宋_GB2312" w:cs="仿宋_GB2312"/>
          <w:sz w:val="32"/>
          <w:szCs w:val="32"/>
        </w:rPr>
        <w:t>全局持有有效行政执法证人员共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名，专职从事执法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无执法辅助人员，所有检查、处罚均由持证执法人员完成。</w:t>
      </w:r>
      <w:r>
        <w:rPr>
          <w:rFonts w:hint="eastAsia" w:ascii="仿宋_GB2312" w:hAnsi="仿宋_GB2312" w:eastAsia="仿宋_GB2312" w:cs="仿宋_GB2312"/>
          <w:sz w:val="32"/>
          <w:szCs w:val="32"/>
          <w:lang w:val="en-US" w:eastAsia="zh-CN"/>
        </w:rPr>
        <w:t>今年组织执法人员参加2025年全市文化市场综合执法技能竞赛活动、2025年全市文化市场综合执法培训班等活动，提升执法人员的法治素养和执法水平。严格执行行政执法“三项制度”（《行政执法公示制度》、《执法全过程记录制度》、《重大执法决定法制审核制度》），统一执法文书格式，规范调查取证、案件审理、处罚决定等环节，确保执法行为合法规范。本年度</w:t>
      </w:r>
      <w:r>
        <w:rPr>
          <w:rFonts w:hint="eastAsia" w:ascii="仿宋_GB2312" w:hAnsi="仿宋_GB2312" w:eastAsia="仿宋_GB2312" w:cs="仿宋_GB2312"/>
          <w:sz w:val="32"/>
          <w:szCs w:val="32"/>
        </w:rPr>
        <w:t>共办理行政处罚案件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无行政复议、行政诉讼败诉案件。</w:t>
      </w:r>
      <w:r>
        <w:rPr>
          <w:rFonts w:hint="eastAsia" w:ascii="仿宋_GB2312" w:hAnsi="仿宋_GB2312" w:eastAsia="仿宋_GB2312" w:cs="仿宋_GB2312"/>
          <w:kern w:val="2"/>
          <w:sz w:val="32"/>
          <w:szCs w:val="32"/>
          <w:lang w:val="en-US" w:eastAsia="zh-CN" w:bidi="ar-SA"/>
        </w:rPr>
        <w:t>执法过程中</w:t>
      </w:r>
      <w:r>
        <w:rPr>
          <w:rFonts w:hint="eastAsia" w:ascii="仿宋_GB2312" w:hAnsi="仿宋_GB2312" w:eastAsia="仿宋_GB2312" w:cs="仿宋_GB2312"/>
          <w:sz w:val="32"/>
          <w:szCs w:val="32"/>
          <w:lang w:val="en-US" w:eastAsia="zh-CN"/>
        </w:rPr>
        <w:t>推行柔性执法，对情节轻微、及时纠正且未造成危害后果的违规行为，以批评教育、指导整改为主，彰显执法温度。</w:t>
      </w:r>
    </w:p>
    <w:p w14:paraId="5D4BFE0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bidi="ar"/>
        </w:rPr>
        <w:t>（五）以法治惠民为导向，提升文化领域法治建设水平</w:t>
      </w:r>
    </w:p>
    <w:p w14:paraId="0B6A98F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一是畅通群众投诉举报渠道。</w:t>
      </w:r>
      <w:r>
        <w:rPr>
          <w:rFonts w:hint="eastAsia" w:ascii="仿宋_GB2312" w:hAnsi="仿宋_GB2312" w:eastAsia="仿宋_GB2312" w:cs="仿宋_GB2312"/>
          <w:b w:val="0"/>
          <w:bCs w:val="0"/>
          <w:color w:val="000000"/>
          <w:spacing w:val="0"/>
          <w:sz w:val="32"/>
          <w:szCs w:val="32"/>
          <w:lang w:val="en-US" w:eastAsia="zh-CN"/>
        </w:rPr>
        <w:t>结合文体旅行业特点，在执法检查和日常监管中，及时排查化解经营者与消费者之间的服务纠纷、合同纠纷等。规范举报受理、调查、反馈流程，确保群众诉求得到及时回应。</w:t>
      </w:r>
      <w:r>
        <w:rPr>
          <w:rFonts w:hint="eastAsia" w:ascii="仿宋_GB2312" w:hAnsi="仿宋_GB2312" w:eastAsia="仿宋_GB2312" w:cs="仿宋_GB2312"/>
          <w:b/>
          <w:bCs/>
          <w:color w:val="000000"/>
          <w:spacing w:val="0"/>
          <w:sz w:val="32"/>
          <w:szCs w:val="32"/>
          <w:lang w:val="en-US" w:eastAsia="zh-CN"/>
        </w:rPr>
        <w:t>二是</w:t>
      </w:r>
      <w:r>
        <w:rPr>
          <w:rFonts w:hint="eastAsia" w:ascii="仿宋_GB2312" w:hAnsi="仿宋_GB2312" w:eastAsia="仿宋_GB2312" w:cs="仿宋_GB2312"/>
          <w:b/>
          <w:bCs/>
          <w:color w:val="000000"/>
          <w:kern w:val="2"/>
          <w:sz w:val="32"/>
          <w:szCs w:val="32"/>
          <w:lang w:val="en-US" w:eastAsia="zh-CN" w:bidi="ar-SA"/>
        </w:rPr>
        <w:t>线上+线下立体普法勤宣传。</w:t>
      </w:r>
      <w:r>
        <w:rPr>
          <w:rFonts w:hint="eastAsia" w:ascii="仿宋_GB2312" w:hAnsi="仿宋_GB2312" w:eastAsia="仿宋_GB2312" w:cs="仿宋_GB2312"/>
          <w:color w:val="000000"/>
          <w:kern w:val="2"/>
          <w:sz w:val="32"/>
          <w:szCs w:val="32"/>
          <w:lang w:val="en-US" w:eastAsia="zh-CN" w:bidi="ar-SA"/>
        </w:rPr>
        <w:t>在“泉港文体旅游”微公号上定期宣传“文旅执法”知识，发布“以案释法”典型案例宣传视频10期、旅游消费提示5篇；线下严格落实“谁执法谁普法”责任制，通过发放宣传资料、上门普法、企业微信群等渠道，整合文旅行业法规、反诈、禁毒、未成保护等普法宣传内容，累计推送各类普法信息1000余条。</w:t>
      </w:r>
      <w:r>
        <w:rPr>
          <w:rFonts w:hint="eastAsia" w:ascii="仿宋_GB2312" w:hAnsi="仿宋_GB2312" w:eastAsia="仿宋_GB2312" w:cs="仿宋_GB2312"/>
          <w:b/>
          <w:bCs/>
          <w:color w:val="000000"/>
          <w:kern w:val="2"/>
          <w:sz w:val="32"/>
          <w:szCs w:val="32"/>
          <w:lang w:val="en-US" w:eastAsia="zh-CN" w:bidi="ar-SA"/>
        </w:rPr>
        <w:t>三是推动法治文化建设。</w:t>
      </w:r>
      <w:r>
        <w:rPr>
          <w:rFonts w:hint="eastAsia" w:ascii="仿宋_GB2312" w:hAnsi="仿宋_GB2312" w:eastAsia="仿宋_GB2312" w:cs="仿宋_GB2312"/>
          <w:color w:val="000000"/>
          <w:kern w:val="2"/>
          <w:sz w:val="32"/>
          <w:szCs w:val="32"/>
          <w:lang w:val="en-US" w:eastAsia="zh-CN" w:bidi="ar-SA"/>
        </w:rPr>
        <w:t>将法治文化融入公共文化服务，依托区图书馆、文化馆、博物馆、乡镇综合文化站等阵地，在“四季村晚”、“圭峰之春”文艺联欢、美食嘉年华、音乐舞蹈展演、沙格龙舟赛等百余场活动中，始终坚持正确导向，弘扬社会主义核心价值观、社会主义法治观念，严防不良思潮渗透。加强对出版物市场、网络文化内容的监管，确保意识形态阵地安全可控，让群众在潜移默化中接受法治教育。</w:t>
      </w:r>
    </w:p>
    <w:p w14:paraId="50D600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二、存在的问题与不足</w:t>
      </w:r>
    </w:p>
    <w:p w14:paraId="544828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在法治政府建设推进过程中，尽管取得一定成效，但仍存在短板弱项。</w:t>
      </w:r>
      <w:r>
        <w:rPr>
          <w:rFonts w:hint="eastAsia" w:ascii="仿宋_GB2312" w:hAnsi="仿宋_GB2312" w:eastAsia="仿宋_GB2312" w:cs="仿宋_GB2312"/>
          <w:b/>
          <w:bCs/>
          <w:color w:val="000000"/>
          <w:kern w:val="2"/>
          <w:sz w:val="32"/>
          <w:szCs w:val="32"/>
          <w:lang w:val="en-US" w:eastAsia="zh-CN" w:bidi="ar-SA"/>
        </w:rPr>
        <w:t>一是执法队伍专业能力有待提升。</w:t>
      </w:r>
      <w:r>
        <w:rPr>
          <w:rFonts w:hint="eastAsia" w:ascii="仿宋_GB2312" w:hAnsi="仿宋_GB2312" w:eastAsia="仿宋_GB2312" w:cs="仿宋_GB2312"/>
          <w:color w:val="000000"/>
          <w:kern w:val="2"/>
          <w:sz w:val="32"/>
          <w:szCs w:val="32"/>
          <w:lang w:val="en-US" w:eastAsia="zh-CN" w:bidi="ar-SA"/>
        </w:rPr>
        <w:t>部分执法人员法治理论学习深度不足，新业态执法等专业培训缺乏，执法实践能力与行业发展需求存在差距。</w:t>
      </w:r>
      <w:r>
        <w:rPr>
          <w:rFonts w:hint="eastAsia" w:ascii="仿宋_GB2312" w:hAnsi="仿宋_GB2312" w:eastAsia="仿宋_GB2312" w:cs="仿宋_GB2312"/>
          <w:b/>
          <w:bCs/>
          <w:color w:val="000000"/>
          <w:kern w:val="2"/>
          <w:sz w:val="32"/>
          <w:szCs w:val="32"/>
          <w:lang w:val="en-US" w:eastAsia="zh-CN" w:bidi="ar-SA"/>
        </w:rPr>
        <w:t>二是执法力量配置不足。</w:t>
      </w:r>
      <w:r>
        <w:rPr>
          <w:rFonts w:hint="eastAsia" w:ascii="仿宋_GB2312" w:hAnsi="仿宋_GB2312" w:eastAsia="仿宋_GB2312" w:cs="仿宋_GB2312"/>
          <w:color w:val="000000"/>
          <w:kern w:val="2"/>
          <w:sz w:val="32"/>
          <w:szCs w:val="32"/>
          <w:lang w:val="en-US" w:eastAsia="zh-CN" w:bidi="ar-SA"/>
        </w:rPr>
        <w:t>全局专职执法人员仅3名且无执法辅助人员，面对广覆盖的监管领域和繁重的执法任务，难以实现全方位、常态化监管，影响执法质效提升。</w:t>
      </w:r>
      <w:r>
        <w:rPr>
          <w:rFonts w:hint="eastAsia" w:ascii="仿宋_GB2312" w:hAnsi="仿宋_GB2312" w:eastAsia="仿宋_GB2312" w:cs="仿宋_GB2312"/>
          <w:b/>
          <w:bCs/>
          <w:color w:val="000000"/>
          <w:kern w:val="2"/>
          <w:sz w:val="32"/>
          <w:szCs w:val="32"/>
          <w:lang w:val="en-US" w:eastAsia="zh-CN" w:bidi="ar-SA"/>
        </w:rPr>
        <w:t>三是数字执法效能有待释放。</w:t>
      </w:r>
      <w:r>
        <w:rPr>
          <w:rFonts w:hint="eastAsia" w:ascii="仿宋_GB2312" w:hAnsi="仿宋_GB2312" w:eastAsia="仿宋_GB2312" w:cs="仿宋_GB2312"/>
          <w:color w:val="000000"/>
          <w:kern w:val="2"/>
          <w:sz w:val="32"/>
          <w:szCs w:val="32"/>
          <w:lang w:val="en-US" w:eastAsia="zh-CN" w:bidi="ar-SA"/>
        </w:rPr>
        <w:t>“闽执法”平台处于应用初期，部分人员操作熟练度不够，偶尔出现技术性问题，制约流程线上化推进效率。</w:t>
      </w:r>
    </w:p>
    <w:p w14:paraId="0AD251C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三、2026年工作计划</w:t>
      </w:r>
    </w:p>
    <w:p w14:paraId="673842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2026年，我局将坚持以习近平新时代中国特色社会主义思想为指导，</w:t>
      </w:r>
      <w:r>
        <w:rPr>
          <w:rFonts w:hint="default" w:ascii="Times New Roman" w:hAnsi="Times New Roman" w:eastAsia="仿宋_GB2312" w:cs="Times New Roman"/>
          <w:color w:val="auto"/>
          <w:spacing w:val="0"/>
          <w:sz w:val="32"/>
          <w:szCs w:val="32"/>
          <w:u w:val="none"/>
          <w:lang w:val="en-US" w:eastAsia="zh-CN"/>
        </w:rPr>
        <w:t>深入学习贯彻党的二十大和二十届二中、三中、四中全会和习近平总书记在福建考察时的重要讲话精神</w:t>
      </w:r>
      <w:r>
        <w:rPr>
          <w:rFonts w:hint="eastAsia" w:ascii="仿宋_GB2312" w:hAnsi="仿宋_GB2312" w:eastAsia="仿宋_GB2312" w:cs="仿宋_GB2312"/>
          <w:color w:val="000000"/>
          <w:kern w:val="2"/>
          <w:sz w:val="32"/>
          <w:szCs w:val="32"/>
          <w:lang w:val="en-US" w:eastAsia="zh-CN" w:bidi="ar-SA"/>
        </w:rPr>
        <w:t>，践行习近平法治思想，严格落实中央及省、市、区关于法治政府建设的决策部署，重点抓好三方面工作。</w:t>
      </w:r>
      <w:r>
        <w:rPr>
          <w:rFonts w:hint="eastAsia" w:ascii="仿宋_GB2312" w:hAnsi="仿宋_GB2312" w:eastAsia="仿宋_GB2312" w:cs="仿宋_GB2312"/>
          <w:b/>
          <w:bCs/>
          <w:color w:val="000000"/>
          <w:kern w:val="2"/>
          <w:sz w:val="32"/>
          <w:szCs w:val="32"/>
          <w:lang w:val="en-US" w:eastAsia="zh-CN" w:bidi="ar-SA"/>
        </w:rPr>
        <w:t>一是深化法治能力建设。</w:t>
      </w:r>
      <w:r>
        <w:rPr>
          <w:rFonts w:hint="eastAsia" w:ascii="仿宋_GB2312" w:hAnsi="仿宋_GB2312" w:eastAsia="仿宋_GB2312" w:cs="仿宋_GB2312"/>
          <w:color w:val="000000"/>
          <w:kern w:val="2"/>
          <w:sz w:val="32"/>
          <w:szCs w:val="32"/>
          <w:lang w:val="en-US" w:eastAsia="zh-CN" w:bidi="ar-SA"/>
        </w:rPr>
        <w:t>持续加强习近平法治思想学习，常态化开展法律法规学习培训，不断提升干部职工的法治素养和依法履职能力。</w:t>
      </w:r>
      <w:r>
        <w:rPr>
          <w:rFonts w:hint="eastAsia" w:ascii="仿宋_GB2312" w:hAnsi="仿宋_GB2312" w:eastAsia="仿宋_GB2312" w:cs="仿宋_GB2312"/>
          <w:b/>
          <w:bCs/>
          <w:color w:val="000000"/>
          <w:kern w:val="2"/>
          <w:sz w:val="32"/>
          <w:szCs w:val="32"/>
          <w:lang w:val="en-US" w:eastAsia="zh-CN" w:bidi="ar-SA"/>
        </w:rPr>
        <w:t>二是强化执法监管效能。</w:t>
      </w:r>
      <w:r>
        <w:rPr>
          <w:rFonts w:hint="eastAsia" w:ascii="仿宋_GB2312" w:hAnsi="仿宋_GB2312" w:eastAsia="仿宋_GB2312" w:cs="仿宋_GB2312"/>
          <w:color w:val="000000"/>
          <w:kern w:val="2"/>
          <w:sz w:val="32"/>
          <w:szCs w:val="32"/>
          <w:lang w:val="en-US" w:eastAsia="zh-CN" w:bidi="ar-SA"/>
        </w:rPr>
        <w:t>巩固专项整治成果，开展整改“回头看”防止问题反弹，探索市场风险预警和快速反应机制，推动整治成果转化为常态化监管制度，优化“综合查一次”流程，减轻企业负担。</w:t>
      </w:r>
      <w:r>
        <w:rPr>
          <w:rFonts w:hint="eastAsia" w:ascii="仿宋_GB2312" w:hAnsi="仿宋_GB2312" w:eastAsia="仿宋_GB2312" w:cs="仿宋_GB2312"/>
          <w:b/>
          <w:bCs/>
          <w:color w:val="000000"/>
          <w:kern w:val="2"/>
          <w:sz w:val="32"/>
          <w:szCs w:val="32"/>
          <w:lang w:val="en-US" w:eastAsia="zh-CN" w:bidi="ar-SA"/>
        </w:rPr>
        <w:t>三是创新普法宣传方式。</w:t>
      </w:r>
      <w:r>
        <w:rPr>
          <w:rFonts w:hint="eastAsia" w:ascii="仿宋_GB2312" w:hAnsi="仿宋_GB2312" w:eastAsia="仿宋_GB2312" w:cs="仿宋_GB2312"/>
          <w:color w:val="000000"/>
          <w:kern w:val="2"/>
          <w:sz w:val="32"/>
          <w:szCs w:val="32"/>
          <w:lang w:val="en-US" w:eastAsia="zh-CN" w:bidi="ar-SA"/>
        </w:rPr>
        <w:t>丰富普法内容和形式，加大新媒体普法力度，开展精准化、个性化普法宣传，提升普法宣传的针对性和实效性，为推动全区文体旅游事业高质量发展提供坚实的法治保障。</w:t>
      </w:r>
    </w:p>
    <w:p w14:paraId="36BC0F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p>
    <w:sectPr>
      <w:footerReference r:id="rId3" w:type="default"/>
      <w:pgSz w:w="11906" w:h="16838"/>
      <w:pgMar w:top="1871"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69C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8B0C9">
                          <w:pPr>
                            <w:pStyle w:val="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98B0C9">
                    <w:pPr>
                      <w:pStyle w:val="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22AA1"/>
    <w:rsid w:val="4DF45A08"/>
    <w:rsid w:val="57923FC3"/>
    <w:rsid w:val="5CDF22F0"/>
    <w:rsid w:val="5D91088B"/>
    <w:rsid w:val="73635C2E"/>
    <w:rsid w:val="767A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2964</Words>
  <Characters>3018</Characters>
  <Lines>0</Lines>
  <Paragraphs>0</Paragraphs>
  <TotalTime>1</TotalTime>
  <ScaleCrop>false</ScaleCrop>
  <LinksUpToDate>false</LinksUpToDate>
  <CharactersWithSpaces>3019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2025-12-02T02:42:00Z</dcterms:created>
  <dc:creator>Administrator</dc:creator>
  <cp:lastModifiedBy>·</cp:lastModifiedBy>
  <dcterms:modified xsi:type="dcterms:W3CDTF">2025-12-08T02:05:17Z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eyJoZGlkIjoiNzI4MjU4OTkwMDM0NDQwMGE1MjVlNDE3ODkxNDdkNTEiLCJ1c2VySWQiOiI2NTUwMjI0MjUifQ==</vt:lpwstr>
  </property>
  <property fmtid="{D5CDD505-2E9C-101B-9397-08002B2CF9AE}" pid="4" name="ICV">
    <vt:lpwstr>9F04368AA66E4B0785995C143094CEC9_13</vt:lpwstr>
  </property>
</Properties>
</file>