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070E1">
      <w:pPr>
        <w:pStyle w:val="16"/>
        <w:spacing w:before="0" w:beforeAutospacing="0" w:after="0" w:afterAutospacing="0" w:line="600" w:lineRule="exact"/>
        <w:jc w:val="center"/>
        <w:rPr>
          <w:rStyle w:val="13"/>
          <w:rFonts w:ascii="宋体" w:hAnsi="宋体"/>
          <w:b/>
          <w:sz w:val="44"/>
          <w:szCs w:val="44"/>
        </w:rPr>
      </w:pPr>
      <w:r>
        <w:rPr>
          <w:rStyle w:val="13"/>
          <w:rFonts w:hint="eastAsia" w:ascii="宋体" w:hAnsi="宋体"/>
          <w:b/>
          <w:sz w:val="44"/>
          <w:szCs w:val="44"/>
        </w:rPr>
        <w:t>泉港区科学技术局</w:t>
      </w:r>
      <w:r>
        <w:rPr>
          <w:rStyle w:val="13"/>
          <w:rFonts w:ascii="宋体" w:hAnsi="宋体"/>
          <w:b/>
          <w:sz w:val="44"/>
          <w:szCs w:val="44"/>
        </w:rPr>
        <w:t>202</w:t>
      </w:r>
      <w:r>
        <w:rPr>
          <w:rStyle w:val="13"/>
          <w:rFonts w:hint="eastAsia" w:ascii="宋体" w:hAnsi="宋体"/>
          <w:b/>
          <w:sz w:val="44"/>
          <w:szCs w:val="44"/>
        </w:rPr>
        <w:t>4年度政府信息公开</w:t>
      </w:r>
    </w:p>
    <w:p w14:paraId="26A9D3D0">
      <w:pPr>
        <w:pStyle w:val="16"/>
        <w:spacing w:before="0" w:beforeAutospacing="0" w:after="0" w:afterAutospacing="0" w:line="600" w:lineRule="exact"/>
        <w:jc w:val="center"/>
        <w:rPr>
          <w:rStyle w:val="13"/>
          <w:rFonts w:ascii="宋体"/>
          <w:b/>
          <w:color w:val="FF0000"/>
          <w:sz w:val="44"/>
          <w:szCs w:val="44"/>
        </w:rPr>
      </w:pPr>
      <w:r>
        <w:rPr>
          <w:rStyle w:val="13"/>
          <w:rFonts w:hint="eastAsia" w:ascii="宋体" w:hAnsi="宋体"/>
          <w:b/>
          <w:sz w:val="44"/>
          <w:szCs w:val="44"/>
        </w:rPr>
        <w:t>工作年度报告</w:t>
      </w:r>
    </w:p>
    <w:p w14:paraId="0E5B0A9A">
      <w:pPr>
        <w:pStyle w:val="16"/>
        <w:spacing w:before="0" w:beforeAutospacing="0" w:after="0" w:afterAutospacing="0" w:line="600" w:lineRule="exact"/>
        <w:ind w:firstLine="420"/>
        <w:jc w:val="both"/>
        <w:rPr>
          <w:rStyle w:val="13"/>
          <w:rFonts w:ascii="黑体" w:hAnsi="宋体" w:eastAsia="黑体"/>
          <w:color w:val="FF0000"/>
          <w:sz w:val="32"/>
          <w:szCs w:val="32"/>
        </w:rPr>
      </w:pPr>
    </w:p>
    <w:p w14:paraId="4280C526">
      <w:pPr>
        <w:spacing w:line="600" w:lineRule="exact"/>
        <w:ind w:firstLine="480" w:firstLineChars="150"/>
        <w:rPr>
          <w:rStyle w:val="13"/>
          <w:rFonts w:hint="eastAsia" w:ascii="仿宋_GB2312" w:hAnsi="宋体" w:eastAsia="仿宋_GB2312"/>
          <w:sz w:val="32"/>
          <w:szCs w:val="32"/>
        </w:rPr>
      </w:pPr>
    </w:p>
    <w:p w14:paraId="092E7639">
      <w:pPr>
        <w:pStyle w:val="16"/>
        <w:spacing w:before="0" w:beforeAutospacing="0" w:after="0" w:afterAutospacing="0" w:line="600" w:lineRule="exact"/>
        <w:ind w:firstLine="640" w:firstLineChars="200"/>
        <w:jc w:val="both"/>
        <w:rPr>
          <w:rStyle w:val="13"/>
          <w:rFonts w:hint="eastAsia" w:ascii="仿宋_GB2312" w:hAnsi="宋体" w:eastAsia="仿宋_GB2312"/>
          <w:sz w:val="32"/>
          <w:szCs w:val="32"/>
        </w:rPr>
      </w:pPr>
      <w:r>
        <w:rPr>
          <w:rStyle w:val="13"/>
          <w:rFonts w:hint="eastAsia" w:ascii="仿宋_GB2312" w:hAnsi="宋体" w:eastAsia="仿宋_GB2312"/>
          <w:sz w:val="32"/>
          <w:szCs w:val="32"/>
        </w:rPr>
        <w:t>本报告系根据《中华人民共和国政府信息公开条例》（以下简称条例）《国务院办公厅政府信息与政务公开办公室关于政府信息公开工作年度报告有关事项的通知》以及《福建省政府信息公开办法》规定，总结泉港区</w:t>
      </w:r>
      <w:r>
        <w:rPr>
          <w:rStyle w:val="13"/>
          <w:rFonts w:hint="eastAsia" w:ascii="仿宋_GB2312" w:hAnsi="宋体" w:eastAsia="仿宋_GB2312"/>
          <w:sz w:val="32"/>
          <w:szCs w:val="32"/>
          <w:lang w:eastAsia="zh-CN"/>
        </w:rPr>
        <w:t>科技</w:t>
      </w:r>
      <w:r>
        <w:rPr>
          <w:rStyle w:val="13"/>
          <w:rFonts w:hint="eastAsia" w:ascii="仿宋_GB2312" w:hAnsi="宋体" w:eastAsia="仿宋_GB2312"/>
          <w:sz w:val="32"/>
          <w:szCs w:val="32"/>
        </w:rPr>
        <w:t xml:space="preserve">局2024年政府信息公开工作情况编制而成。所列政府信息公开数据统计期限自2024年1月1日至2024年12月31日。本报告全文在泉港区人民政府网站（http://www.qg.gov.cn）“政府信息公开年报”专栏公布，欢迎查阅。如对本报告有疑问，可与泉港区科学技术局综合股联系(地址:泉港区山腰街道中心工业区汾阳街109号2号楼3楼314室，邮编:362801，电话:0595-87989815，电子邮箱: </w:t>
      </w:r>
      <w:r>
        <w:rPr>
          <w:rStyle w:val="13"/>
          <w:rFonts w:hint="eastAsia" w:ascii="仿宋_GB2312" w:hAnsi="宋体" w:eastAsia="仿宋_GB2312"/>
          <w:sz w:val="32"/>
          <w:szCs w:val="32"/>
        </w:rPr>
        <w:fldChar w:fldCharType="begin"/>
      </w:r>
      <w:r>
        <w:rPr>
          <w:rStyle w:val="13"/>
          <w:rFonts w:hint="eastAsia" w:ascii="仿宋_GB2312" w:hAnsi="宋体" w:eastAsia="仿宋_GB2312"/>
          <w:sz w:val="32"/>
          <w:szCs w:val="32"/>
        </w:rPr>
        <w:instrText xml:space="preserve"> HYPERLINK "mailto:qgqkjj@163.com)。" </w:instrText>
      </w:r>
      <w:r>
        <w:rPr>
          <w:rStyle w:val="13"/>
          <w:rFonts w:hint="eastAsia" w:ascii="仿宋_GB2312" w:hAnsi="宋体" w:eastAsia="仿宋_GB2312"/>
          <w:sz w:val="32"/>
          <w:szCs w:val="32"/>
        </w:rPr>
        <w:fldChar w:fldCharType="separate"/>
      </w:r>
      <w:r>
        <w:rPr>
          <w:rStyle w:val="13"/>
          <w:rFonts w:hint="eastAsia" w:ascii="仿宋_GB2312" w:hAnsi="宋体" w:eastAsia="仿宋_GB2312"/>
          <w:sz w:val="32"/>
          <w:szCs w:val="32"/>
        </w:rPr>
        <w:t>qgqkjj@163.com)。</w:t>
      </w:r>
      <w:r>
        <w:rPr>
          <w:rStyle w:val="13"/>
          <w:rFonts w:hint="eastAsia" w:ascii="仿宋_GB2312" w:hAnsi="宋体" w:eastAsia="仿宋_GB2312"/>
          <w:sz w:val="32"/>
          <w:szCs w:val="32"/>
        </w:rPr>
        <w:fldChar w:fldCharType="end"/>
      </w:r>
    </w:p>
    <w:p w14:paraId="1DB6121B">
      <w:pPr>
        <w:pStyle w:val="16"/>
        <w:spacing w:before="0" w:beforeAutospacing="0" w:after="0" w:afterAutospacing="0" w:line="600" w:lineRule="exact"/>
        <w:ind w:firstLine="640" w:firstLineChars="200"/>
        <w:rPr>
          <w:rStyle w:val="13"/>
          <w:rFonts w:ascii="黑体" w:hAnsi="黑体" w:eastAsia="黑体"/>
          <w:sz w:val="32"/>
          <w:szCs w:val="32"/>
        </w:rPr>
      </w:pPr>
      <w:r>
        <w:rPr>
          <w:rStyle w:val="13"/>
          <w:rFonts w:hint="eastAsia" w:ascii="黑体" w:hAnsi="黑体" w:eastAsia="黑体"/>
          <w:sz w:val="32"/>
          <w:szCs w:val="32"/>
        </w:rPr>
        <w:t>一、总体情况</w:t>
      </w:r>
    </w:p>
    <w:p w14:paraId="043AC56C">
      <w:pPr>
        <w:pStyle w:val="16"/>
        <w:spacing w:before="0" w:beforeAutospacing="0" w:after="0" w:afterAutospacing="0" w:line="600" w:lineRule="exact"/>
        <w:ind w:firstLine="640" w:firstLineChars="200"/>
        <w:rPr>
          <w:rStyle w:val="13"/>
          <w:rFonts w:hint="eastAsia" w:ascii="仿宋_GB2312" w:hAnsi="宋体" w:eastAsia="仿宋_GB2312"/>
          <w:sz w:val="32"/>
          <w:szCs w:val="32"/>
        </w:rPr>
      </w:pPr>
      <w:r>
        <w:rPr>
          <w:rStyle w:val="13"/>
          <w:rFonts w:hint="eastAsia" w:ascii="仿宋_GB2312" w:hAnsi="宋体" w:eastAsia="仿宋_GB2312"/>
          <w:sz w:val="32"/>
          <w:szCs w:val="32"/>
        </w:rPr>
        <w:t>2024年，泉港区</w:t>
      </w:r>
      <w:r>
        <w:rPr>
          <w:rStyle w:val="13"/>
          <w:rFonts w:hint="eastAsia" w:ascii="仿宋_GB2312" w:hAnsi="宋体" w:eastAsia="仿宋_GB2312"/>
          <w:sz w:val="32"/>
          <w:szCs w:val="32"/>
          <w:lang w:eastAsia="zh-CN"/>
        </w:rPr>
        <w:t>科技</w:t>
      </w:r>
      <w:r>
        <w:rPr>
          <w:rStyle w:val="13"/>
          <w:rFonts w:hint="eastAsia" w:ascii="仿宋_GB2312" w:hAnsi="宋体" w:eastAsia="仿宋_GB2312"/>
          <w:sz w:val="32"/>
          <w:szCs w:val="32"/>
        </w:rPr>
        <w:t>局坚持以习近平新时代中国特色社会主义思想为指导，全面贯彻落实党的二十大、二十届二中、三中全会精神，落实《条例》要求，以“公开为常态、不公开为例外”为原则，按照区政府的统一部署，深化重点领域信息公开，加强政策文件发布解读，推进政府信息公开工作取得实效。</w:t>
      </w:r>
    </w:p>
    <w:p w14:paraId="118E31A1">
      <w:pPr>
        <w:pStyle w:val="16"/>
        <w:spacing w:before="0" w:beforeAutospacing="0" w:after="0" w:afterAutospacing="0" w:line="600" w:lineRule="exact"/>
        <w:ind w:firstLine="643" w:firstLineChars="200"/>
        <w:rPr>
          <w:rStyle w:val="13"/>
          <w:rFonts w:ascii="楷体_GB2312" w:hAnsi="宋体" w:eastAsia="楷体_GB2312"/>
          <w:b/>
          <w:sz w:val="32"/>
          <w:szCs w:val="32"/>
        </w:rPr>
      </w:pPr>
      <w:r>
        <w:rPr>
          <w:rStyle w:val="13"/>
          <w:rFonts w:hint="eastAsia" w:ascii="楷体_GB2312" w:hAnsi="宋体" w:eastAsia="楷体_GB2312"/>
          <w:b/>
          <w:sz w:val="32"/>
          <w:szCs w:val="32"/>
        </w:rPr>
        <w:t>（一）主动公开情况</w:t>
      </w:r>
    </w:p>
    <w:p w14:paraId="0EA65A00">
      <w:pPr>
        <w:pStyle w:val="16"/>
        <w:spacing w:before="0" w:beforeAutospacing="0" w:after="0" w:afterAutospacing="0" w:line="600" w:lineRule="exact"/>
        <w:ind w:firstLine="640" w:firstLineChars="200"/>
        <w:rPr>
          <w:rStyle w:val="13"/>
          <w:rFonts w:hint="default" w:ascii="仿宋_GB2312" w:hAnsi="宋体" w:eastAsia="仿宋_GB2312"/>
          <w:sz w:val="32"/>
          <w:szCs w:val="32"/>
          <w:lang w:val="en-US" w:eastAsia="zh-CN"/>
        </w:rPr>
      </w:pPr>
      <w:r>
        <w:rPr>
          <w:rStyle w:val="13"/>
          <w:rFonts w:ascii="仿宋_GB2312" w:hAnsi="宋体" w:eastAsia="仿宋_GB2312"/>
          <w:sz w:val="32"/>
          <w:szCs w:val="32"/>
        </w:rPr>
        <w:t>202</w:t>
      </w:r>
      <w:r>
        <w:rPr>
          <w:rStyle w:val="13"/>
          <w:rFonts w:hint="eastAsia" w:ascii="仿宋_GB2312" w:hAnsi="宋体" w:eastAsia="仿宋_GB2312"/>
          <w:sz w:val="32"/>
          <w:szCs w:val="32"/>
        </w:rPr>
        <w:t>4年度科学技术局共制作政府信息总数10条，主动公开政府信息总数4条。</w:t>
      </w:r>
      <w:r>
        <w:rPr>
          <w:rStyle w:val="13"/>
          <w:rFonts w:hint="eastAsia" w:ascii="仿宋_GB2312" w:hAnsi="宋体" w:eastAsia="仿宋_GB2312"/>
          <w:sz w:val="32"/>
          <w:szCs w:val="32"/>
          <w:lang w:eastAsia="zh-CN"/>
        </w:rPr>
        <w:t>其他应主动公开的政府信息</w:t>
      </w:r>
      <w:r>
        <w:rPr>
          <w:rStyle w:val="13"/>
          <w:rFonts w:hint="eastAsia" w:ascii="仿宋_GB2312" w:hAnsi="宋体" w:eastAsia="仿宋_GB2312"/>
          <w:sz w:val="32"/>
          <w:szCs w:val="32"/>
          <w:lang w:val="en-US" w:eastAsia="zh-CN"/>
        </w:rPr>
        <w:t>6条。</w:t>
      </w:r>
    </w:p>
    <w:p w14:paraId="072023EC">
      <w:pPr>
        <w:pStyle w:val="16"/>
        <w:spacing w:before="0" w:beforeAutospacing="0" w:after="0" w:afterAutospacing="0" w:line="600" w:lineRule="exact"/>
        <w:ind w:firstLine="643" w:firstLineChars="200"/>
        <w:rPr>
          <w:rStyle w:val="13"/>
          <w:rFonts w:ascii="楷体_GB2312" w:hAnsi="宋体" w:eastAsia="楷体_GB2312"/>
          <w:b/>
          <w:sz w:val="32"/>
          <w:szCs w:val="32"/>
        </w:rPr>
      </w:pPr>
      <w:r>
        <w:rPr>
          <w:rStyle w:val="13"/>
          <w:rFonts w:ascii="楷体_GB2312" w:hAnsi="宋体" w:eastAsia="楷体_GB2312"/>
          <w:b/>
          <w:sz w:val="32"/>
          <w:szCs w:val="32"/>
        </w:rPr>
        <w:t>(</w:t>
      </w:r>
      <w:r>
        <w:rPr>
          <w:rStyle w:val="13"/>
          <w:rFonts w:hint="eastAsia" w:ascii="楷体_GB2312" w:hAnsi="宋体" w:eastAsia="楷体_GB2312"/>
          <w:b/>
          <w:sz w:val="32"/>
          <w:szCs w:val="32"/>
        </w:rPr>
        <w:t>二</w:t>
      </w:r>
      <w:r>
        <w:rPr>
          <w:rStyle w:val="13"/>
          <w:rFonts w:ascii="楷体_GB2312" w:hAnsi="宋体" w:eastAsia="楷体_GB2312"/>
          <w:b/>
          <w:sz w:val="32"/>
          <w:szCs w:val="32"/>
        </w:rPr>
        <w:t>)</w:t>
      </w:r>
      <w:r>
        <w:rPr>
          <w:rStyle w:val="13"/>
          <w:rFonts w:hint="eastAsia" w:ascii="楷体_GB2312" w:hAnsi="宋体" w:eastAsia="楷体_GB2312"/>
          <w:b/>
          <w:sz w:val="32"/>
          <w:szCs w:val="32"/>
        </w:rPr>
        <w:t>依申请公开情况</w:t>
      </w:r>
    </w:p>
    <w:p w14:paraId="34001971">
      <w:pPr>
        <w:pStyle w:val="16"/>
        <w:spacing w:before="0" w:beforeAutospacing="0" w:after="0" w:afterAutospacing="0" w:line="600" w:lineRule="exact"/>
        <w:ind w:firstLine="420"/>
        <w:rPr>
          <w:rStyle w:val="13"/>
          <w:rFonts w:ascii="仿宋_GB2312" w:hAnsi="宋体" w:eastAsia="仿宋_GB2312"/>
          <w:sz w:val="32"/>
          <w:szCs w:val="32"/>
        </w:rPr>
      </w:pPr>
      <w:r>
        <w:rPr>
          <w:rStyle w:val="13"/>
          <w:rFonts w:ascii="仿宋_GB2312" w:hAnsi="宋体" w:eastAsia="仿宋_GB2312"/>
          <w:sz w:val="32"/>
          <w:szCs w:val="32"/>
        </w:rPr>
        <w:t>202</w:t>
      </w:r>
      <w:r>
        <w:rPr>
          <w:rStyle w:val="13"/>
          <w:rFonts w:hint="eastAsia" w:ascii="仿宋_GB2312" w:hAnsi="宋体" w:eastAsia="仿宋_GB2312"/>
          <w:sz w:val="32"/>
          <w:szCs w:val="32"/>
        </w:rPr>
        <w:t>4年度，共受理政府信息公开申请</w:t>
      </w:r>
      <w:r>
        <w:rPr>
          <w:rStyle w:val="13"/>
          <w:rFonts w:ascii="仿宋_GB2312" w:hAnsi="宋体" w:eastAsia="仿宋_GB2312"/>
          <w:sz w:val="32"/>
          <w:szCs w:val="32"/>
        </w:rPr>
        <w:t>0</w:t>
      </w:r>
      <w:r>
        <w:rPr>
          <w:rStyle w:val="13"/>
          <w:rFonts w:hint="eastAsia" w:ascii="仿宋_GB2312" w:hAnsi="宋体" w:eastAsia="仿宋_GB2312"/>
          <w:sz w:val="32"/>
          <w:szCs w:val="32"/>
        </w:rPr>
        <w:t>件。因政府信息公开引起的行政复议案件</w:t>
      </w:r>
      <w:r>
        <w:rPr>
          <w:rStyle w:val="13"/>
          <w:rFonts w:ascii="仿宋_GB2312" w:hAnsi="宋体" w:eastAsia="仿宋_GB2312"/>
          <w:sz w:val="32"/>
          <w:szCs w:val="32"/>
        </w:rPr>
        <w:t>0</w:t>
      </w:r>
      <w:r>
        <w:rPr>
          <w:rStyle w:val="13"/>
          <w:rFonts w:hint="eastAsia" w:ascii="仿宋_GB2312" w:hAnsi="宋体" w:eastAsia="仿宋_GB2312"/>
          <w:sz w:val="32"/>
          <w:szCs w:val="32"/>
        </w:rPr>
        <w:t>起</w:t>
      </w:r>
    </w:p>
    <w:p w14:paraId="13958F8D">
      <w:pPr>
        <w:pStyle w:val="16"/>
        <w:spacing w:before="0" w:beforeAutospacing="0" w:after="0" w:afterAutospacing="0" w:line="600" w:lineRule="exact"/>
        <w:ind w:firstLine="643" w:firstLineChars="200"/>
        <w:rPr>
          <w:rStyle w:val="13"/>
          <w:rFonts w:ascii="楷体_GB2312" w:hAnsi="宋体" w:eastAsia="楷体_GB2312"/>
          <w:b/>
          <w:sz w:val="32"/>
          <w:szCs w:val="32"/>
        </w:rPr>
      </w:pPr>
      <w:r>
        <w:rPr>
          <w:rStyle w:val="13"/>
          <w:rFonts w:ascii="楷体_GB2312" w:hAnsi="宋体" w:eastAsia="楷体_GB2312"/>
          <w:b/>
          <w:sz w:val="32"/>
          <w:szCs w:val="32"/>
        </w:rPr>
        <w:t>(</w:t>
      </w:r>
      <w:r>
        <w:rPr>
          <w:rStyle w:val="13"/>
          <w:rFonts w:hint="eastAsia" w:ascii="楷体_GB2312" w:hAnsi="宋体" w:eastAsia="楷体_GB2312"/>
          <w:b/>
          <w:sz w:val="32"/>
          <w:szCs w:val="32"/>
        </w:rPr>
        <w:t>三</w:t>
      </w:r>
      <w:r>
        <w:rPr>
          <w:rStyle w:val="13"/>
          <w:rFonts w:ascii="楷体_GB2312" w:hAnsi="宋体" w:eastAsia="楷体_GB2312"/>
          <w:b/>
          <w:sz w:val="32"/>
          <w:szCs w:val="32"/>
        </w:rPr>
        <w:t>)</w:t>
      </w:r>
      <w:r>
        <w:rPr>
          <w:rStyle w:val="13"/>
          <w:rFonts w:hint="eastAsia" w:ascii="楷体_GB2312" w:hAnsi="宋体" w:eastAsia="楷体_GB2312"/>
          <w:b/>
          <w:sz w:val="32"/>
          <w:szCs w:val="32"/>
        </w:rPr>
        <w:t>政府信息管理情况</w:t>
      </w:r>
    </w:p>
    <w:p w14:paraId="68AC001D">
      <w:pPr>
        <w:spacing w:line="600" w:lineRule="exact"/>
        <w:ind w:firstLine="640" w:firstLineChars="200"/>
        <w:rPr>
          <w:rStyle w:val="13"/>
          <w:rFonts w:ascii="仿宋_GB2312" w:hAnsi="宋体" w:eastAsia="仿宋_GB2312"/>
          <w:kern w:val="0"/>
          <w:sz w:val="32"/>
          <w:szCs w:val="32"/>
        </w:rPr>
      </w:pPr>
      <w:r>
        <w:rPr>
          <w:rStyle w:val="13"/>
          <w:rFonts w:hint="eastAsia" w:ascii="仿宋_GB2312" w:hAnsi="宋体" w:eastAsia="仿宋_GB2312"/>
          <w:kern w:val="0"/>
          <w:sz w:val="32"/>
          <w:szCs w:val="32"/>
        </w:rPr>
        <w:t>局党组、领导对政府信息公开工作高度重视，把工作列入重要议事日程。由局综合股牵头，组织各股室依据国家和省、市、区有关法律、法规，对行政执法事项和工作指南进行全面梳理，确定可以公开的文件，及时在网站上公开；在政府信息公开网页中及时公布公开目录、指南、规章制度以及公开目录编码；在网站建立链接，根据日常文件信息是否公开性质，及时在网上更新、发布可以公开的文件信息，方便群众查阅，同时群众也可直接向我局咨询</w:t>
      </w:r>
      <w:r>
        <w:rPr>
          <w:rStyle w:val="13"/>
          <w:rFonts w:hint="eastAsia" w:ascii="仿宋_GB2312" w:hAnsi="宋体" w:eastAsia="仿宋_GB2312"/>
          <w:b w:val="0"/>
          <w:bCs w:val="0"/>
          <w:kern w:val="0"/>
          <w:sz w:val="32"/>
          <w:szCs w:val="32"/>
        </w:rPr>
        <w:t>。</w:t>
      </w:r>
      <w:r>
        <w:rPr>
          <w:rStyle w:val="13"/>
          <w:rFonts w:hint="eastAsia" w:ascii="仿宋_GB2312" w:hAnsi="宋体" w:eastAsia="仿宋_GB2312" w:cs="宋体"/>
          <w:b w:val="0"/>
          <w:bCs w:val="0"/>
          <w:kern w:val="0"/>
          <w:sz w:val="32"/>
          <w:szCs w:val="32"/>
        </w:rPr>
        <w:t>同时，</w:t>
      </w:r>
      <w:r>
        <w:rPr>
          <w:rStyle w:val="13"/>
          <w:rFonts w:hint="eastAsia" w:ascii="仿宋_GB2312" w:hAnsi="宋体" w:eastAsia="仿宋_GB2312"/>
          <w:kern w:val="0"/>
          <w:sz w:val="32"/>
          <w:szCs w:val="32"/>
        </w:rPr>
        <w:t>结合科技工作实际，我局组织人员健全完善《泉港区科技局政府信息公开指南》和《泉港区科技局政府信息公开目录》，将属于主动公开范围的政府信息主动向社会公开，并做到及时更新；为提高信息公开的效果，让更多的群众掌握我局信息公开事项，了解我局的工作动态，在门户网站及时发布科技重点工作动态、科技奖励等重要信息。</w:t>
      </w:r>
    </w:p>
    <w:p w14:paraId="035BEDC4">
      <w:pPr>
        <w:spacing w:line="600" w:lineRule="exact"/>
        <w:ind w:firstLine="643" w:firstLineChars="200"/>
        <w:rPr>
          <w:rStyle w:val="13"/>
          <w:rFonts w:ascii="楷体_GB2312" w:hAnsi="宋体" w:eastAsia="楷体_GB2312"/>
          <w:b/>
          <w:kern w:val="0"/>
          <w:sz w:val="32"/>
          <w:szCs w:val="32"/>
        </w:rPr>
      </w:pPr>
      <w:r>
        <w:rPr>
          <w:rStyle w:val="13"/>
          <w:rFonts w:hint="eastAsia" w:ascii="楷体_GB2312" w:hAnsi="宋体" w:eastAsia="楷体_GB2312"/>
          <w:b/>
          <w:kern w:val="0"/>
          <w:sz w:val="32"/>
          <w:szCs w:val="32"/>
        </w:rPr>
        <w:t>（四）平台建设情况</w:t>
      </w:r>
    </w:p>
    <w:p w14:paraId="36AE0F71">
      <w:pPr>
        <w:spacing w:line="600" w:lineRule="exact"/>
        <w:ind w:firstLine="640" w:firstLineChars="200"/>
        <w:rPr>
          <w:rFonts w:hint="eastAsia" w:ascii="仿宋_GB2312" w:hAnsi="宋体" w:eastAsia="仿宋_GB2312" w:cs="仿宋_GB2312"/>
          <w:i w:val="0"/>
          <w:iCs w:val="0"/>
          <w:caps w:val="0"/>
          <w:color w:val="333333"/>
          <w:spacing w:val="0"/>
          <w:sz w:val="32"/>
          <w:szCs w:val="32"/>
          <w:shd w:val="clear" w:fill="FFFFFF"/>
        </w:rPr>
      </w:pPr>
      <w:r>
        <w:rPr>
          <w:rFonts w:ascii="仿宋_GB2312" w:hAnsi="宋体" w:eastAsia="仿宋_GB2312" w:cs="仿宋_GB2312"/>
          <w:i w:val="0"/>
          <w:iCs w:val="0"/>
          <w:caps w:val="0"/>
          <w:color w:val="333333"/>
          <w:spacing w:val="0"/>
          <w:sz w:val="32"/>
          <w:szCs w:val="32"/>
          <w:shd w:val="clear" w:fill="FFFFFF"/>
        </w:rPr>
        <w:t>泉港区</w:t>
      </w:r>
      <w:r>
        <w:rPr>
          <w:rFonts w:hint="eastAsia" w:ascii="仿宋_GB2312" w:hAnsi="宋体" w:eastAsia="仿宋_GB2312" w:cs="仿宋_GB2312"/>
          <w:i w:val="0"/>
          <w:iCs w:val="0"/>
          <w:caps w:val="0"/>
          <w:color w:val="333333"/>
          <w:spacing w:val="0"/>
          <w:sz w:val="32"/>
          <w:szCs w:val="32"/>
          <w:shd w:val="clear" w:fill="FFFFFF"/>
          <w:lang w:eastAsia="zh-CN"/>
        </w:rPr>
        <w:t>科技</w:t>
      </w:r>
      <w:r>
        <w:rPr>
          <w:rFonts w:ascii="仿宋_GB2312" w:hAnsi="宋体" w:eastAsia="仿宋_GB2312" w:cs="仿宋_GB2312"/>
          <w:i w:val="0"/>
          <w:iCs w:val="0"/>
          <w:caps w:val="0"/>
          <w:color w:val="333333"/>
          <w:spacing w:val="0"/>
          <w:sz w:val="32"/>
          <w:szCs w:val="32"/>
          <w:shd w:val="clear" w:fill="FFFFFF"/>
        </w:rPr>
        <w:t>局政府信息公开栏共</w:t>
      </w:r>
      <w:r>
        <w:rPr>
          <w:rFonts w:hint="eastAsia" w:ascii="仿宋_GB2312" w:hAnsi="宋体" w:eastAsia="仿宋_GB2312" w:cs="仿宋_GB2312"/>
          <w:i w:val="0"/>
          <w:iCs w:val="0"/>
          <w:caps w:val="0"/>
          <w:color w:val="333333"/>
          <w:spacing w:val="0"/>
          <w:sz w:val="32"/>
          <w:szCs w:val="32"/>
          <w:shd w:val="clear" w:fill="FFFFFF"/>
        </w:rPr>
        <w:t>10个栏目</w:t>
      </w:r>
      <w:r>
        <w:rPr>
          <w:rFonts w:ascii="仿宋_GB2312" w:hAnsi="宋体" w:eastAsia="仿宋_GB2312" w:cs="仿宋_GB2312"/>
          <w:i w:val="0"/>
          <w:iCs w:val="0"/>
          <w:caps w:val="0"/>
          <w:color w:val="333333"/>
          <w:spacing w:val="0"/>
          <w:sz w:val="32"/>
          <w:szCs w:val="32"/>
          <w:shd w:val="clear" w:fill="FFFFFF"/>
        </w:rPr>
        <w:t>，依托泉港区人民政府网站（</w:t>
      </w:r>
      <w:r>
        <w:rPr>
          <w:rFonts w:hint="eastAsia" w:ascii="仿宋_GB2312" w:hAnsi="宋体" w:eastAsia="仿宋_GB2312" w:cs="仿宋_GB2312"/>
          <w:i w:val="0"/>
          <w:iCs w:val="0"/>
          <w:caps w:val="0"/>
          <w:color w:val="333333"/>
          <w:spacing w:val="0"/>
          <w:sz w:val="32"/>
          <w:szCs w:val="32"/>
          <w:shd w:val="clear" w:fill="FFFFFF"/>
        </w:rPr>
        <w:t>http://www.qg.gov.cn）开设。</w:t>
      </w:r>
    </w:p>
    <w:p w14:paraId="094FFE53">
      <w:pPr>
        <w:spacing w:line="600" w:lineRule="exact"/>
        <w:ind w:firstLine="643" w:firstLineChars="200"/>
        <w:rPr>
          <w:rStyle w:val="13"/>
          <w:rFonts w:ascii="仿宋_GB2312" w:hAnsi="宋体" w:eastAsia="仿宋_GB2312"/>
          <w:kern w:val="0"/>
          <w:sz w:val="32"/>
          <w:szCs w:val="32"/>
        </w:rPr>
      </w:pPr>
      <w:r>
        <w:rPr>
          <w:rStyle w:val="13"/>
          <w:rFonts w:hint="eastAsia" w:ascii="楷体_GB2312" w:hAnsi="宋体" w:eastAsia="楷体_GB2312"/>
          <w:b/>
          <w:kern w:val="0"/>
          <w:sz w:val="32"/>
          <w:szCs w:val="32"/>
        </w:rPr>
        <w:t>（五）监督保障情况</w:t>
      </w:r>
      <w:r>
        <w:rPr>
          <w:rStyle w:val="13"/>
          <w:rFonts w:ascii="仿宋_GB2312" w:hAnsi="宋体" w:eastAsia="仿宋_GB2312"/>
          <w:kern w:val="0"/>
          <w:sz w:val="32"/>
          <w:szCs w:val="32"/>
        </w:rPr>
        <w:t xml:space="preserve"> </w:t>
      </w:r>
    </w:p>
    <w:p w14:paraId="284A32A2">
      <w:pPr>
        <w:spacing w:line="600" w:lineRule="exact"/>
        <w:ind w:firstLine="640" w:firstLineChars="200"/>
        <w:rPr>
          <w:rFonts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lang w:val="en-US" w:eastAsia="zh-CN"/>
        </w:rPr>
        <w:t>定期组织人员学习《条例》、《办法》等与政务公开工作相关的法律法规，按要求参加区里组织的政务公开工作培训。</w:t>
      </w:r>
    </w:p>
    <w:p w14:paraId="5AEA5153">
      <w:pPr>
        <w:spacing w:line="600" w:lineRule="exact"/>
        <w:ind w:firstLine="640" w:firstLineChars="200"/>
        <w:rPr>
          <w:rFonts w:hint="eastAsia" w:ascii="仿宋_GB2312" w:hAnsi="宋体" w:eastAsia="仿宋_GB2312" w:cs="仿宋_GB2312"/>
          <w:i w:val="0"/>
          <w:iCs w:val="0"/>
          <w:caps w:val="0"/>
          <w:color w:val="333333"/>
          <w:spacing w:val="0"/>
          <w:sz w:val="32"/>
          <w:szCs w:val="32"/>
          <w:shd w:val="clear" w:fill="FFFFFF"/>
        </w:rPr>
      </w:pPr>
      <w:r>
        <w:rPr>
          <w:rFonts w:hint="eastAsia" w:ascii="仿宋_GB2312" w:hAnsi="宋体" w:eastAsia="仿宋_GB2312" w:cs="仿宋_GB2312"/>
          <w:i w:val="0"/>
          <w:iCs w:val="0"/>
          <w:caps w:val="0"/>
          <w:color w:val="333333"/>
          <w:spacing w:val="0"/>
          <w:sz w:val="32"/>
          <w:szCs w:val="32"/>
          <w:shd w:val="clear" w:fill="FFFFFF"/>
          <w:lang w:val="en-US" w:eastAsia="zh-CN"/>
        </w:rPr>
        <w:t>对区信息公开办和第三方平台通报的问题对标对表，及时整改反馈。</w:t>
      </w:r>
    </w:p>
    <w:p w14:paraId="1AAA5500">
      <w:pPr>
        <w:spacing w:line="600" w:lineRule="exact"/>
        <w:ind w:firstLine="640" w:firstLineChars="200"/>
        <w:rPr>
          <w:rStyle w:val="13"/>
          <w:rFonts w:ascii="黑体" w:hAnsi="黑体" w:eastAsia="黑体"/>
          <w:sz w:val="32"/>
          <w:szCs w:val="32"/>
        </w:rPr>
      </w:pPr>
      <w:r>
        <w:rPr>
          <w:rFonts w:hint="eastAsia" w:ascii="仿宋_GB2312" w:hAnsi="宋体" w:eastAsia="仿宋_GB2312" w:cs="仿宋_GB2312"/>
          <w:i w:val="0"/>
          <w:iCs w:val="0"/>
          <w:caps w:val="0"/>
          <w:color w:val="333333"/>
          <w:spacing w:val="0"/>
          <w:sz w:val="32"/>
          <w:szCs w:val="32"/>
          <w:shd w:val="clear" w:fill="FFFFFF"/>
          <w:lang w:val="en-US" w:eastAsia="zh-CN"/>
        </w:rPr>
        <w:t>2024年未发生政府信息公开工作责任追究情况。</w:t>
      </w:r>
      <w:bookmarkStart w:id="0" w:name="_GoBack"/>
      <w:bookmarkEnd w:id="0"/>
    </w:p>
    <w:p w14:paraId="676D81A7">
      <w:pPr>
        <w:pStyle w:val="5"/>
        <w:spacing w:before="0" w:beforeAutospacing="0" w:after="0" w:afterAutospacing="0"/>
        <w:ind w:firstLine="640" w:firstLineChars="200"/>
        <w:jc w:val="both"/>
        <w:rPr>
          <w:rFonts w:ascii="黑体" w:hAnsi="黑体" w:eastAsia="黑体" w:cs="黑体"/>
          <w:color w:val="000000"/>
        </w:rPr>
      </w:pPr>
      <w:r>
        <w:rPr>
          <w:rStyle w:val="13"/>
          <w:rFonts w:hint="eastAsia" w:ascii="黑体" w:hAnsi="黑体" w:eastAsia="黑体"/>
          <w:sz w:val="32"/>
          <w:szCs w:val="32"/>
        </w:rPr>
        <w:t>二、主动公开政府信息情况</w:t>
      </w:r>
    </w:p>
    <w:tbl>
      <w:tblPr>
        <w:tblStyle w:val="6"/>
        <w:tblW w:w="9740" w:type="dxa"/>
        <w:jc w:val="center"/>
        <w:tblLayout w:type="autofit"/>
        <w:tblCellMar>
          <w:top w:w="15" w:type="dxa"/>
          <w:left w:w="15" w:type="dxa"/>
          <w:bottom w:w="15" w:type="dxa"/>
          <w:right w:w="15" w:type="dxa"/>
        </w:tblCellMar>
      </w:tblPr>
      <w:tblGrid>
        <w:gridCol w:w="2435"/>
        <w:gridCol w:w="2435"/>
        <w:gridCol w:w="2435"/>
        <w:gridCol w:w="2435"/>
      </w:tblGrid>
      <w:tr w14:paraId="5D7A790C">
        <w:tblPrEx>
          <w:tblCellMar>
            <w:top w:w="15" w:type="dxa"/>
            <w:left w:w="15" w:type="dxa"/>
            <w:bottom w:w="15" w:type="dxa"/>
            <w:right w:w="15" w:type="dxa"/>
          </w:tblCellMar>
        </w:tblPrEx>
        <w:trPr>
          <w:trHeight w:val="866"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7834360">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第二十条第（一）项</w:t>
            </w:r>
          </w:p>
        </w:tc>
      </w:tr>
      <w:tr w14:paraId="68447694">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4FD94513">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C8B5409">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本年制发件数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D506657">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A0C3093">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现行有效件数</w:t>
            </w:r>
          </w:p>
        </w:tc>
      </w:tr>
      <w:tr w14:paraId="46BD2115">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1560E3F0">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3B5408E">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3BA1F8">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5641911">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r>
      <w:tr w14:paraId="0DC20B9D">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7E69826">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7570DD6">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A39DEDC">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C2A829F">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r>
      <w:tr w14:paraId="2151F5EA">
        <w:tblPrEx>
          <w:tblCellMar>
            <w:top w:w="15" w:type="dxa"/>
            <w:left w:w="15" w:type="dxa"/>
            <w:bottom w:w="15" w:type="dxa"/>
            <w:right w:w="15" w:type="dxa"/>
          </w:tblCellMar>
        </w:tblPrEx>
        <w:trPr>
          <w:trHeight w:val="817"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F700C09">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第二十条第（五）项</w:t>
            </w:r>
          </w:p>
        </w:tc>
      </w:tr>
      <w:tr w14:paraId="2E31D506">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479526D">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9A33CA8">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本年处理决定数量</w:t>
            </w:r>
          </w:p>
        </w:tc>
      </w:tr>
      <w:tr w14:paraId="6A76F86F">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3557BCB0">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CA6934E">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r>
      <w:tr w14:paraId="5282D902">
        <w:tblPrEx>
          <w:tblCellMar>
            <w:top w:w="15" w:type="dxa"/>
            <w:left w:w="15" w:type="dxa"/>
            <w:bottom w:w="15" w:type="dxa"/>
            <w:right w:w="15" w:type="dxa"/>
          </w:tblCellMar>
        </w:tblPrEx>
        <w:trPr>
          <w:trHeight w:val="803"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26F1B3E">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第二十条第（六）项</w:t>
            </w:r>
          </w:p>
        </w:tc>
      </w:tr>
      <w:tr w14:paraId="179CA05A">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4AD81311">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316DE0B">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本年处理决定数量</w:t>
            </w:r>
          </w:p>
        </w:tc>
      </w:tr>
      <w:tr w14:paraId="0EF5961B">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24769FBD">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FB28ED">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r>
      <w:tr w14:paraId="2AB90A93">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03B8730">
            <w:pPr>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50D4E00">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0</w:t>
            </w:r>
          </w:p>
        </w:tc>
      </w:tr>
      <w:tr w14:paraId="34100C56">
        <w:tblPrEx>
          <w:tblCellMar>
            <w:top w:w="15" w:type="dxa"/>
            <w:left w:w="15" w:type="dxa"/>
            <w:bottom w:w="15" w:type="dxa"/>
            <w:right w:w="15" w:type="dxa"/>
          </w:tblCellMar>
        </w:tblPrEx>
        <w:trPr>
          <w:trHeight w:val="776"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724EA30">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第二十条第（八）项</w:t>
            </w:r>
          </w:p>
        </w:tc>
      </w:tr>
      <w:tr w14:paraId="25A266C6">
        <w:tblPrEx>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7D38B788">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7C3739B7">
            <w:pPr>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本年收费金额（单位：万元）</w:t>
            </w:r>
          </w:p>
        </w:tc>
      </w:tr>
      <w:tr w14:paraId="1E750D47">
        <w:tblPrEx>
          <w:tblCellMar>
            <w:top w:w="15" w:type="dxa"/>
            <w:left w:w="15" w:type="dxa"/>
            <w:bottom w:w="15" w:type="dxa"/>
            <w:right w:w="15" w:type="dxa"/>
          </w:tblCellMar>
        </w:tblPrEx>
        <w:trPr>
          <w:trHeight w:val="483"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B9EA03B">
            <w:pPr>
              <w:jc w:val="left"/>
              <w:rPr>
                <w:color w:val="000000"/>
              </w:rPr>
            </w:pPr>
            <w:r>
              <w:rPr>
                <w:rFonts w:hint="eastAsia" w:ascii="仿宋_GB2312" w:hAnsi="仿宋_GB2312" w:eastAsia="仿宋_GB2312" w:cs="仿宋_GB2312"/>
                <w:color w:val="000000"/>
                <w:kern w:val="0"/>
                <w:sz w:val="28"/>
                <w:szCs w:val="28"/>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4E1F94EB">
            <w:pPr>
              <w:jc w:val="center"/>
              <w:rPr>
                <w:rFonts w:ascii="宋体"/>
                <w:color w:val="000000"/>
                <w:sz w:val="24"/>
              </w:rPr>
            </w:pPr>
            <w:r>
              <w:rPr>
                <w:rFonts w:hint="eastAsia" w:ascii="宋体"/>
                <w:color w:val="000000"/>
                <w:sz w:val="24"/>
              </w:rPr>
              <w:t>0</w:t>
            </w:r>
          </w:p>
        </w:tc>
      </w:tr>
    </w:tbl>
    <w:p w14:paraId="26595A35">
      <w:pPr>
        <w:pStyle w:val="5"/>
        <w:spacing w:before="0" w:beforeAutospacing="0" w:after="0" w:afterAutospacing="0"/>
        <w:ind w:firstLine="420"/>
        <w:jc w:val="both"/>
        <w:rPr>
          <w:rFonts w:ascii="宋体" w:hAnsi="宋体" w:cs="宋体"/>
          <w:b/>
          <w:bCs/>
          <w:color w:val="000000"/>
        </w:rPr>
      </w:pPr>
    </w:p>
    <w:p w14:paraId="4B01BFBF">
      <w:pPr>
        <w:pStyle w:val="5"/>
        <w:spacing w:before="0" w:beforeAutospacing="0" w:after="0" w:afterAutospacing="0"/>
        <w:ind w:firstLine="640" w:firstLineChars="200"/>
        <w:jc w:val="both"/>
        <w:rPr>
          <w:rStyle w:val="13"/>
          <w:rFonts w:ascii="黑体" w:hAnsi="黑体" w:eastAsia="黑体"/>
          <w:sz w:val="32"/>
          <w:szCs w:val="32"/>
        </w:rPr>
      </w:pPr>
    </w:p>
    <w:p w14:paraId="54BB9296">
      <w:pPr>
        <w:pStyle w:val="5"/>
        <w:spacing w:before="0" w:beforeAutospacing="0" w:after="0" w:afterAutospacing="0"/>
        <w:ind w:firstLine="640" w:firstLineChars="200"/>
        <w:jc w:val="both"/>
        <w:rPr>
          <w:rStyle w:val="13"/>
          <w:rFonts w:ascii="黑体" w:hAnsi="黑体" w:eastAsia="黑体"/>
          <w:sz w:val="32"/>
          <w:szCs w:val="32"/>
        </w:rPr>
      </w:pPr>
    </w:p>
    <w:p w14:paraId="306FFD02">
      <w:pPr>
        <w:pStyle w:val="5"/>
        <w:spacing w:before="0" w:beforeAutospacing="0" w:after="0" w:afterAutospacing="0"/>
        <w:ind w:firstLine="640" w:firstLineChars="200"/>
        <w:jc w:val="both"/>
        <w:rPr>
          <w:rStyle w:val="13"/>
          <w:rFonts w:ascii="黑体" w:hAnsi="黑体" w:eastAsia="黑体"/>
          <w:sz w:val="32"/>
          <w:szCs w:val="32"/>
        </w:rPr>
      </w:pPr>
    </w:p>
    <w:p w14:paraId="07AB9572">
      <w:pPr>
        <w:pStyle w:val="5"/>
        <w:spacing w:before="0" w:beforeAutospacing="0" w:after="0" w:afterAutospacing="0"/>
        <w:ind w:firstLine="640" w:firstLineChars="200"/>
        <w:jc w:val="both"/>
        <w:rPr>
          <w:rStyle w:val="13"/>
          <w:rFonts w:ascii="黑体" w:hAnsi="黑体" w:eastAsia="黑体"/>
          <w:sz w:val="32"/>
          <w:szCs w:val="32"/>
        </w:rPr>
      </w:pPr>
      <w:r>
        <w:rPr>
          <w:rStyle w:val="13"/>
          <w:rFonts w:hint="eastAsia" w:ascii="黑体" w:hAnsi="黑体" w:eastAsia="黑体"/>
          <w:sz w:val="32"/>
          <w:szCs w:val="32"/>
        </w:rPr>
        <w:t>三、收到和处理政府信息公开申请情况</w:t>
      </w:r>
    </w:p>
    <w:tbl>
      <w:tblPr>
        <w:tblStyle w:val="6"/>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288E8D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28064FCE">
            <w:pPr>
              <w:jc w:val="left"/>
              <w:rPr>
                <w:color w:val="000000"/>
              </w:rPr>
            </w:pPr>
            <w:r>
              <w:rPr>
                <w:rFonts w:hint="eastAsia" w:ascii="楷体" w:hAnsi="楷体" w:eastAsia="楷体" w:cs="楷体"/>
                <w:color w:val="000000"/>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D60E6F0">
            <w:pPr>
              <w:jc w:val="center"/>
              <w:rPr>
                <w:color w:val="000000"/>
              </w:rPr>
            </w:pPr>
            <w:r>
              <w:rPr>
                <w:rFonts w:hint="eastAsia" w:ascii="宋体" w:hAnsi="宋体" w:cs="宋体"/>
                <w:color w:val="000000"/>
                <w:kern w:val="0"/>
                <w:sz w:val="20"/>
                <w:szCs w:val="20"/>
              </w:rPr>
              <w:t>申请人情况</w:t>
            </w:r>
          </w:p>
        </w:tc>
      </w:tr>
      <w:tr w14:paraId="17D076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466170C4">
            <w:pPr>
              <w:rPr>
                <w:rFonts w:ascii="宋体"/>
                <w:color w:val="000000"/>
                <w:sz w:val="24"/>
              </w:rPr>
            </w:pPr>
          </w:p>
        </w:tc>
        <w:tc>
          <w:tcPr>
            <w:tcW w:w="688"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F2FF657">
            <w:pPr>
              <w:jc w:val="center"/>
              <w:rPr>
                <w:color w:val="000000"/>
              </w:rPr>
            </w:pPr>
            <w:r>
              <w:rPr>
                <w:rFonts w:hint="eastAsia" w:ascii="宋体" w:hAnsi="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948C69A">
            <w:pPr>
              <w:jc w:val="center"/>
              <w:rPr>
                <w:color w:val="000000"/>
              </w:rPr>
            </w:pPr>
            <w:r>
              <w:rPr>
                <w:rFonts w:hint="eastAsia" w:ascii="宋体" w:hAnsi="宋体" w:cs="宋体"/>
                <w:color w:val="000000"/>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9CBBBE8">
            <w:pPr>
              <w:jc w:val="center"/>
              <w:rPr>
                <w:color w:val="000000"/>
              </w:rPr>
            </w:pPr>
            <w:r>
              <w:rPr>
                <w:rFonts w:hint="eastAsia" w:ascii="宋体" w:hAnsi="宋体" w:cs="宋体"/>
                <w:color w:val="000000"/>
                <w:kern w:val="0"/>
                <w:sz w:val="20"/>
                <w:szCs w:val="20"/>
              </w:rPr>
              <w:t>总计</w:t>
            </w:r>
          </w:p>
        </w:tc>
      </w:tr>
      <w:tr w14:paraId="1C1DDD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2E9E9952">
            <w:pPr>
              <w:rPr>
                <w:rFonts w:ascii="宋体"/>
                <w:color w:val="000000"/>
                <w:sz w:val="24"/>
              </w:rPr>
            </w:pPr>
          </w:p>
        </w:tc>
        <w:tc>
          <w:tcPr>
            <w:tcW w:w="688" w:type="dxa"/>
            <w:vMerge w:val="continue"/>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793E624">
            <w:pPr>
              <w:rPr>
                <w:rFonts w:ascii="宋体"/>
                <w:color w:val="000000"/>
                <w:sz w:val="24"/>
              </w:rPr>
            </w:pP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E4F0A8D">
            <w:pPr>
              <w:jc w:val="center"/>
              <w:rPr>
                <w:color w:val="000000"/>
              </w:rPr>
            </w:pPr>
            <w:r>
              <w:rPr>
                <w:rFonts w:hint="eastAsia" w:ascii="宋体" w:hAnsi="宋体" w:cs="宋体"/>
                <w:color w:val="000000"/>
                <w:kern w:val="0"/>
                <w:sz w:val="20"/>
                <w:szCs w:val="20"/>
              </w:rPr>
              <w:t>商业</w:t>
            </w:r>
          </w:p>
          <w:p w14:paraId="6C9471EF">
            <w:pPr>
              <w:jc w:val="center"/>
              <w:rPr>
                <w:color w:val="000000"/>
              </w:rPr>
            </w:pPr>
            <w:r>
              <w:rPr>
                <w:rFonts w:hint="eastAsia" w:ascii="宋体" w:hAnsi="宋体" w:cs="宋体"/>
                <w:color w:val="000000"/>
                <w:kern w:val="0"/>
                <w:sz w:val="20"/>
                <w:szCs w:val="20"/>
              </w:rPr>
              <w:t>企业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11087C2">
            <w:pPr>
              <w:jc w:val="center"/>
              <w:rPr>
                <w:color w:val="000000"/>
              </w:rPr>
            </w:pPr>
            <w:r>
              <w:rPr>
                <w:rFonts w:hint="eastAsia" w:ascii="宋体" w:hAnsi="宋体" w:cs="宋体"/>
                <w:color w:val="000000"/>
                <w:kern w:val="0"/>
                <w:sz w:val="20"/>
                <w:szCs w:val="20"/>
              </w:rPr>
              <w:t>科研</w:t>
            </w:r>
          </w:p>
          <w:p w14:paraId="0A1BC716">
            <w:pPr>
              <w:jc w:val="center"/>
              <w:rPr>
                <w:color w:val="000000"/>
              </w:rPr>
            </w:pPr>
            <w:r>
              <w:rPr>
                <w:rFonts w:hint="eastAsia" w:ascii="宋体" w:hAnsi="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66CEB6B">
            <w:pPr>
              <w:jc w:val="center"/>
              <w:rPr>
                <w:color w:val="000000"/>
              </w:rPr>
            </w:pPr>
            <w:r>
              <w:rPr>
                <w:rFonts w:hint="eastAsia" w:ascii="宋体" w:hAnsi="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7FFF14A">
            <w:pPr>
              <w:jc w:val="center"/>
              <w:rPr>
                <w:color w:val="000000"/>
              </w:rPr>
            </w:pPr>
            <w:r>
              <w:rPr>
                <w:rFonts w:hint="eastAsia" w:ascii="宋体" w:hAnsi="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BD36C43">
            <w:pPr>
              <w:jc w:val="center"/>
              <w:rPr>
                <w:color w:val="000000"/>
              </w:rPr>
            </w:pPr>
            <w:r>
              <w:rPr>
                <w:rFonts w:hint="eastAsia" w:ascii="宋体" w:hAnsi="宋体" w:cs="宋体"/>
                <w:color w:val="000000"/>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495DAA7B">
            <w:pPr>
              <w:rPr>
                <w:rFonts w:ascii="宋体"/>
                <w:color w:val="000000"/>
                <w:sz w:val="24"/>
              </w:rPr>
            </w:pPr>
          </w:p>
        </w:tc>
      </w:tr>
      <w:tr w14:paraId="198367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10E69930">
            <w:pPr>
              <w:jc w:val="left"/>
              <w:rPr>
                <w:color w:val="000000"/>
              </w:rPr>
            </w:pPr>
            <w:r>
              <w:rPr>
                <w:rFonts w:hint="eastAsia" w:ascii="宋体" w:hAnsi="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F6110D9">
            <w:pPr>
              <w:jc w:val="center"/>
              <w:rPr>
                <w:rFonts w:hint="eastAsia" w:eastAsia="宋体"/>
                <w:color w:val="000000"/>
                <w:lang w:val="en-US" w:eastAsia="zh-CN"/>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D1B1170">
            <w:pPr>
              <w:jc w:val="center"/>
              <w:rPr>
                <w:color w:val="000000"/>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C9C15F3">
            <w:pPr>
              <w:jc w:val="center"/>
              <w:rPr>
                <w:color w:val="000000"/>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37B6EBF">
            <w:pPr>
              <w:jc w:val="center"/>
              <w:rPr>
                <w:color w:val="000000"/>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C2338AF">
            <w:pPr>
              <w:jc w:val="center"/>
              <w:rPr>
                <w:color w:val="000000"/>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4F35202">
            <w:pPr>
              <w:jc w:val="center"/>
              <w:rPr>
                <w:color w:val="000000"/>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716D9A2">
            <w:pPr>
              <w:jc w:val="center"/>
              <w:rPr>
                <w:color w:val="000000"/>
              </w:rPr>
            </w:pPr>
            <w:r>
              <w:rPr>
                <w:rFonts w:hint="eastAsia" w:cs="Calibri"/>
                <w:color w:val="000000"/>
                <w:kern w:val="0"/>
                <w:sz w:val="20"/>
                <w:szCs w:val="20"/>
              </w:rPr>
              <w:t>0</w:t>
            </w:r>
          </w:p>
        </w:tc>
      </w:tr>
      <w:tr w14:paraId="36F172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70882B3">
            <w:pPr>
              <w:jc w:val="left"/>
              <w:rPr>
                <w:color w:val="000000"/>
              </w:rPr>
            </w:pPr>
            <w:r>
              <w:rPr>
                <w:rFonts w:hint="eastAsia" w:ascii="宋体" w:hAnsi="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7778A75">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2955BFC">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1398F3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800D76">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232E40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3BA59DB">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2CED4D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664D8A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70265153">
            <w:pPr>
              <w:jc w:val="left"/>
              <w:rPr>
                <w:color w:val="000000"/>
              </w:rPr>
            </w:pPr>
            <w:r>
              <w:rPr>
                <w:rFonts w:hint="eastAsia" w:ascii="宋体" w:hAnsi="宋体" w:cs="宋体"/>
                <w:color w:val="000000"/>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DFCAB2">
            <w:pPr>
              <w:jc w:val="left"/>
              <w:rPr>
                <w:color w:val="000000"/>
              </w:rPr>
            </w:pPr>
            <w:r>
              <w:rPr>
                <w:rFonts w:hint="eastAsia" w:ascii="宋体" w:hAnsi="宋体" w:cs="宋体"/>
                <w:color w:val="000000"/>
                <w:kern w:val="0"/>
                <w:sz w:val="20"/>
                <w:szCs w:val="20"/>
              </w:rPr>
              <w:t>（一）予以公开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DB5379D">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BEA9162">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BBD4F1D">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455F3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E146A8F">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ECC69E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E5D054E">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1FD279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90CF949">
            <w:pPr>
              <w:rPr>
                <w:rFonts w:ascii="宋体"/>
                <w:color w:val="000000"/>
                <w:sz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27FC6DD">
            <w:pPr>
              <w:jc w:val="left"/>
              <w:rPr>
                <w:color w:val="000000"/>
              </w:rPr>
            </w:pPr>
            <w:r>
              <w:rPr>
                <w:rFonts w:hint="eastAsia" w:ascii="宋体" w:hAnsi="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C292927">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1B5D83C">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FE1D257">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59391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23C80B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4A554C7">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0069A4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5BFBAB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00A4B09">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7CD5854">
            <w:pPr>
              <w:jc w:val="left"/>
              <w:rPr>
                <w:color w:val="000000"/>
              </w:rPr>
            </w:pPr>
            <w:r>
              <w:rPr>
                <w:rFonts w:hint="eastAsia" w:ascii="宋体" w:hAnsi="宋体" w:cs="宋体"/>
                <w:color w:val="000000"/>
                <w:kern w:val="0"/>
                <w:sz w:val="20"/>
                <w:szCs w:val="20"/>
              </w:rPr>
              <w:t>（三）不予公开</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E7C251D">
            <w:pPr>
              <w:jc w:val="left"/>
              <w:rPr>
                <w:color w:val="000000"/>
              </w:rPr>
            </w:pPr>
            <w:r>
              <w:rPr>
                <w:rFonts w:hint="eastAsia" w:ascii="宋体" w:hAnsi="宋体" w:cs="宋体"/>
                <w:color w:val="000000"/>
                <w:kern w:val="0"/>
                <w:sz w:val="20"/>
                <w:szCs w:val="20"/>
              </w:rPr>
              <w:t>1.属于国家秘密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9366B10">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5C3E865">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97432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FA264D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19355F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74C58B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26374F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731611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4A6D90D">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D5D3EC2">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71CF6B9">
            <w:pPr>
              <w:jc w:val="left"/>
              <w:rPr>
                <w:color w:val="000000"/>
              </w:rPr>
            </w:pPr>
            <w:r>
              <w:rPr>
                <w:rFonts w:hint="eastAsia" w:ascii="宋体" w:hAnsi="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BC02F64">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C398BC6">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704678F">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6664AAF">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8CB205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CA80A0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C7DD72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34EDEA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7D69960A">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7034B05">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D223A05">
            <w:pPr>
              <w:jc w:val="left"/>
              <w:rPr>
                <w:color w:val="000000"/>
              </w:rPr>
            </w:pPr>
            <w:r>
              <w:rPr>
                <w:rFonts w:hint="eastAsia" w:ascii="宋体" w:hAnsi="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EA2CE74">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A394F59">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F67E0BE">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5D6FE1B">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D399C26">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F4BEE9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994797A">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14AE29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52439138">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2B5D626F">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EF102A2">
            <w:pPr>
              <w:jc w:val="left"/>
              <w:rPr>
                <w:color w:val="000000"/>
              </w:rPr>
            </w:pPr>
            <w:r>
              <w:rPr>
                <w:rFonts w:hint="eastAsia" w:ascii="宋体" w:hAnsi="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36B4DBD">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23192B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2679A1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278E0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8C2CA4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8AEF98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FBA03CC">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56095A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7ACF4A9C">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27A6D13">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847F5F7">
            <w:pPr>
              <w:jc w:val="left"/>
              <w:rPr>
                <w:color w:val="000000"/>
              </w:rPr>
            </w:pPr>
            <w:r>
              <w:rPr>
                <w:rFonts w:hint="eastAsia" w:ascii="宋体" w:hAnsi="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F6F16E8">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E57D23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2EF6C4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DB3BCC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527C6D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F48ED9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455666">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0281B6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915CB1D">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E0436A5">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26CB09EE">
            <w:pPr>
              <w:jc w:val="left"/>
              <w:rPr>
                <w:color w:val="000000"/>
              </w:rPr>
            </w:pPr>
            <w:r>
              <w:rPr>
                <w:rFonts w:hint="eastAsia" w:ascii="宋体" w:hAnsi="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A6436C0">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B060112">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C495CD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C33F64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6BBC8A0">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AEDF7B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7322E51">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6BD58C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20326DEE">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C09A0DE">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C1BB84F">
            <w:pPr>
              <w:jc w:val="left"/>
              <w:rPr>
                <w:color w:val="000000"/>
              </w:rPr>
            </w:pPr>
            <w:r>
              <w:rPr>
                <w:rFonts w:hint="eastAsia" w:ascii="宋体" w:hAnsi="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CEE4A72">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028574E">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0C09BA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A82000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38093D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F5D24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310E5B7">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1C1FE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5530956E">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38B97D7">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7F6EB12">
            <w:pPr>
              <w:jc w:val="left"/>
              <w:rPr>
                <w:color w:val="000000"/>
              </w:rPr>
            </w:pPr>
            <w:r>
              <w:rPr>
                <w:rFonts w:hint="eastAsia" w:ascii="宋体" w:hAnsi="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B74267A">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79DAE77">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52CB0CB">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9AAA1C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8C3BA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520491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9A24B91">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730A3F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7277E9A">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9F83C5E">
            <w:pPr>
              <w:jc w:val="left"/>
              <w:rPr>
                <w:color w:val="000000"/>
              </w:rPr>
            </w:pPr>
            <w:r>
              <w:rPr>
                <w:rFonts w:hint="eastAsia" w:ascii="宋体" w:hAnsi="宋体" w:cs="宋体"/>
                <w:color w:val="000000"/>
                <w:kern w:val="0"/>
                <w:sz w:val="20"/>
                <w:szCs w:val="20"/>
              </w:rPr>
              <w:t>（四）无法提供</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D2A77EA">
            <w:pPr>
              <w:jc w:val="left"/>
              <w:rPr>
                <w:color w:val="000000"/>
              </w:rPr>
            </w:pPr>
            <w:r>
              <w:rPr>
                <w:rFonts w:hint="eastAsia" w:ascii="宋体" w:hAnsi="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A6FCD6E">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BC0BCBF">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C7C2EAD">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DF938D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FCA915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215FF0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0D01295">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68A399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E165A33">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72FC35B">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6D29A5FE">
            <w:pPr>
              <w:jc w:val="left"/>
              <w:rPr>
                <w:color w:val="000000"/>
              </w:rPr>
            </w:pPr>
            <w:r>
              <w:rPr>
                <w:rFonts w:hint="eastAsia" w:ascii="宋体" w:hAnsi="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130775D">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66273F">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A1214D0">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479F91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4B0A24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2A0DFD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70EC691">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0C337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137E336">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21D60317">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5ECAA24F">
            <w:pPr>
              <w:jc w:val="left"/>
              <w:rPr>
                <w:color w:val="000000"/>
              </w:rPr>
            </w:pPr>
            <w:r>
              <w:rPr>
                <w:rFonts w:hint="eastAsia" w:ascii="宋体" w:hAnsi="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DC39ECF">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A36693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9141916">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2D9753D">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F1CBD7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C290B6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005AA1F">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00A86D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1ADCEBFE">
            <w:pPr>
              <w:rPr>
                <w:rFonts w:ascii="宋体"/>
                <w:color w:val="000000"/>
                <w:sz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373EFDE">
            <w:pPr>
              <w:jc w:val="left"/>
              <w:rPr>
                <w:color w:val="000000"/>
              </w:rPr>
            </w:pPr>
            <w:r>
              <w:rPr>
                <w:rFonts w:hint="eastAsia" w:ascii="宋体" w:hAnsi="宋体" w:cs="宋体"/>
                <w:color w:val="000000"/>
                <w:kern w:val="0"/>
                <w:sz w:val="20"/>
                <w:szCs w:val="20"/>
              </w:rPr>
              <w:t>（五）不予处理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9E661D1">
            <w:pPr>
              <w:jc w:val="left"/>
              <w:rPr>
                <w:color w:val="000000"/>
              </w:rPr>
            </w:pPr>
            <w:r>
              <w:rPr>
                <w:rFonts w:hint="eastAsia" w:ascii="宋体" w:hAnsi="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F39E6B8">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346A343">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4238E4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55F5BED">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25C8ED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0DDEF48">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6CFFEDB">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4FEF42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7A0A3D88">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225EA7C">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139DC64E">
            <w:pPr>
              <w:jc w:val="left"/>
              <w:rPr>
                <w:color w:val="000000"/>
              </w:rPr>
            </w:pPr>
            <w:r>
              <w:rPr>
                <w:rFonts w:hint="eastAsia" w:ascii="宋体" w:hAnsi="宋体" w:cs="宋体"/>
                <w:color w:val="000000"/>
                <w:kern w:val="0"/>
                <w:sz w:val="20"/>
                <w:szCs w:val="20"/>
              </w:rPr>
              <w:t>2.重复申请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743C8F8">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1B17127">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CEFFF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3B86096">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E06202E">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F3E533E">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960A8E2">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06D27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1CF39A3">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88E1163">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4DC15A2A">
            <w:pPr>
              <w:jc w:val="left"/>
              <w:rPr>
                <w:color w:val="000000"/>
              </w:rPr>
            </w:pPr>
            <w:r>
              <w:rPr>
                <w:rFonts w:hint="eastAsia" w:ascii="宋体" w:hAnsi="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5B1BE9">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4788DD2">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A1CFA3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E44A33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8F5FB9">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84A520D">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CD07F56">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59CBCD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D06D347">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4C52AB78">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tcPr>
          <w:p w14:paraId="7AE990DF">
            <w:pPr>
              <w:jc w:val="left"/>
              <w:rPr>
                <w:color w:val="000000"/>
              </w:rPr>
            </w:pPr>
            <w:r>
              <w:rPr>
                <w:rFonts w:hint="eastAsia" w:ascii="宋体" w:hAnsi="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8A3927D">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1AE29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B121D9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A0C205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4A7C72F">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F5BBB7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F2D90F0">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2A4DEB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526DB716">
            <w:pPr>
              <w:rPr>
                <w:rFonts w:ascii="宋体"/>
                <w:color w:val="000000"/>
                <w:sz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45566C56">
            <w:pPr>
              <w:rPr>
                <w:rFonts w:ascii="宋体"/>
                <w:color w:val="000000"/>
                <w:sz w:val="24"/>
              </w:rPr>
            </w:pPr>
          </w:p>
        </w:tc>
        <w:tc>
          <w:tcPr>
            <w:tcW w:w="3220"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87FB5AB">
            <w:pPr>
              <w:rPr>
                <w:color w:val="000000"/>
              </w:rPr>
            </w:pPr>
            <w:r>
              <w:rPr>
                <w:rFonts w:hint="eastAsia" w:ascii="宋体" w:hAnsi="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07E6F3F">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25A1B505">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1984934">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9AF16F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F30173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654CBB15">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169F492">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39D44D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544860E">
            <w:pPr>
              <w:rPr>
                <w:rFonts w:ascii="宋体"/>
                <w:color w:val="000000"/>
                <w:sz w:val="24"/>
              </w:rPr>
            </w:pPr>
          </w:p>
        </w:tc>
        <w:tc>
          <w:tcPr>
            <w:tcW w:w="943" w:type="dxa"/>
            <w:vMerge w:val="restart"/>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46456FE">
            <w:pPr>
              <w:jc w:val="left"/>
              <w:rPr>
                <w:color w:val="000000"/>
              </w:rPr>
            </w:pPr>
            <w:r>
              <w:rPr>
                <w:rFonts w:hint="eastAsia" w:ascii="宋体" w:hAnsi="宋体" w:cs="宋体"/>
                <w:color w:val="000000"/>
                <w:kern w:val="0"/>
                <w:sz w:val="20"/>
                <w:szCs w:val="20"/>
              </w:rPr>
              <w:t>（六）其他处理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79FB73F">
            <w:pPr>
              <w:rPr>
                <w:color w:val="000000"/>
              </w:rPr>
            </w:pPr>
            <w:r>
              <w:rPr>
                <w:rFonts w:hint="eastAsia" w:ascii="宋体" w:hAnsi="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4C9A853">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8393C47">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D970C7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F41EA1">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506690">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2959A2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121F6D0">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64254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64E7EE0">
            <w:pPr>
              <w:rPr>
                <w:rFonts w:ascii="宋体"/>
                <w:color w:val="000000"/>
                <w:sz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685B2D29">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56C61A9">
            <w:pPr>
              <w:rPr>
                <w:color w:val="000000"/>
              </w:rPr>
            </w:pPr>
            <w:r>
              <w:rPr>
                <w:rFonts w:hint="eastAsia" w:ascii="宋体" w:hAnsi="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99A743B">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AF6AF2B">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39092DF">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5DC9EB">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C9BE27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983F0CB">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15ABE5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09D32D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2B81F8C1">
            <w:pPr>
              <w:rPr>
                <w:rFonts w:ascii="宋体"/>
                <w:color w:val="000000"/>
                <w:sz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2AADB852">
            <w:pPr>
              <w:rPr>
                <w:rFonts w:ascii="宋体"/>
                <w:color w:val="000000"/>
                <w:sz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D16141">
            <w:pPr>
              <w:jc w:val="left"/>
              <w:rPr>
                <w:color w:val="000000"/>
              </w:rPr>
            </w:pPr>
            <w:r>
              <w:rPr>
                <w:rFonts w:hint="eastAsia" w:ascii="宋体" w:hAnsi="宋体" w:cs="宋体"/>
                <w:color w:val="000000"/>
                <w:kern w:val="0"/>
                <w:sz w:val="20"/>
                <w:szCs w:val="20"/>
              </w:rPr>
              <w:t>3.其他</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5F8661A">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611AAA3">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D97EB12">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9585A4A">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87B6CF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9F7D5B0">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D82C1D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2FC088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A26B7DE">
            <w:pPr>
              <w:rPr>
                <w:rFonts w:ascii="宋体"/>
                <w:color w:val="000000"/>
                <w:sz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A1305DA">
            <w:pPr>
              <w:jc w:val="left"/>
              <w:rPr>
                <w:color w:val="000000"/>
              </w:rPr>
            </w:pPr>
            <w:r>
              <w:rPr>
                <w:rFonts w:hint="eastAsia" w:ascii="宋体" w:hAnsi="宋体" w:cs="宋体"/>
                <w:color w:val="000000"/>
                <w:kern w:val="0"/>
                <w:sz w:val="20"/>
                <w:szCs w:val="20"/>
              </w:rPr>
              <w:t>（七）总计</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ABF50EB">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E07C2F4">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EB746D6">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6086DA0">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C8F612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FB9225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3EFC85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r w14:paraId="7E14F8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4731377C">
            <w:pPr>
              <w:jc w:val="left"/>
              <w:rPr>
                <w:color w:val="000000"/>
              </w:rPr>
            </w:pPr>
            <w:r>
              <w:rPr>
                <w:rFonts w:hint="eastAsia" w:ascii="宋体" w:hAnsi="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505483">
            <w:pPr>
              <w:jc w:val="center"/>
              <w:rPr>
                <w:rFonts w:hint="eastAsia" w:ascii="Calibri" w:hAnsi="Calibri" w:eastAsia="宋体" w:cs="Times New Roman"/>
                <w:color w:val="000000"/>
                <w:kern w:val="2"/>
                <w:sz w:val="21"/>
                <w:szCs w:val="24"/>
                <w:lang w:val="en-US" w:eastAsia="zh-CN" w:bidi="ar-SA"/>
              </w:rPr>
            </w:pPr>
            <w:r>
              <w:rPr>
                <w:rFonts w:cs="Calibri"/>
                <w:color w:val="000000"/>
                <w:kern w:val="0"/>
                <w:sz w:val="20"/>
                <w:szCs w:val="20"/>
              </w:rPr>
              <w:t> </w:t>
            </w:r>
            <w:r>
              <w:rPr>
                <w:rFonts w:hint="eastAsia"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137C26D">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lang w:val="en-US" w:eastAsia="zh-CN"/>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47538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r>
              <w:rPr>
                <w:rFonts w:cs="Calibri"/>
                <w:color w:val="000000"/>
                <w:kern w:val="0"/>
                <w:sz w:val="20"/>
                <w:szCs w:val="20"/>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C7345CC">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7D81E07">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166D823">
            <w:pPr>
              <w:jc w:val="center"/>
              <w:rPr>
                <w:rFonts w:ascii="Calibri" w:hAnsi="Calibri" w:eastAsia="宋体" w:cs="Times New Roman"/>
                <w:color w:val="000000"/>
                <w:kern w:val="2"/>
                <w:sz w:val="21"/>
                <w:szCs w:val="24"/>
                <w:lang w:val="en-US" w:eastAsia="zh-CN" w:bidi="ar-SA"/>
              </w:rPr>
            </w:pPr>
            <w:r>
              <w:rPr>
                <w:rFonts w:hint="default" w:cs="Calibri"/>
                <w:color w:val="000000"/>
                <w:kern w:val="0"/>
                <w:sz w:val="20"/>
                <w:szCs w:val="20"/>
                <w:lang w:val="en-US"/>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BE54998">
            <w:pPr>
              <w:jc w:val="center"/>
              <w:rPr>
                <w:rFonts w:ascii="Calibri" w:hAnsi="Calibri" w:eastAsia="宋体" w:cs="Times New Roman"/>
                <w:color w:val="000000"/>
                <w:kern w:val="2"/>
                <w:sz w:val="21"/>
                <w:szCs w:val="24"/>
                <w:lang w:val="en-US" w:eastAsia="zh-CN" w:bidi="ar-SA"/>
              </w:rPr>
            </w:pPr>
            <w:r>
              <w:rPr>
                <w:rFonts w:hint="eastAsia" w:cs="Calibri"/>
                <w:color w:val="000000"/>
                <w:kern w:val="0"/>
                <w:sz w:val="20"/>
                <w:szCs w:val="20"/>
              </w:rPr>
              <w:t>0</w:t>
            </w:r>
          </w:p>
        </w:tc>
      </w:tr>
    </w:tbl>
    <w:p w14:paraId="0C9C7AA7">
      <w:pPr>
        <w:pStyle w:val="5"/>
        <w:spacing w:before="0" w:beforeAutospacing="0" w:after="0" w:afterAutospacing="0"/>
        <w:ind w:firstLine="640" w:firstLineChars="200"/>
        <w:jc w:val="both"/>
        <w:rPr>
          <w:rStyle w:val="13"/>
          <w:rFonts w:ascii="黑体" w:hAnsi="黑体" w:eastAsia="黑体"/>
          <w:sz w:val="32"/>
          <w:szCs w:val="32"/>
        </w:rPr>
      </w:pPr>
      <w:r>
        <w:rPr>
          <w:rStyle w:val="13"/>
          <w:rFonts w:hint="eastAsia" w:ascii="黑体" w:hAnsi="黑体" w:eastAsia="黑体"/>
          <w:sz w:val="32"/>
          <w:szCs w:val="32"/>
        </w:rPr>
        <w:t>四、政府信息公开行政复议、行政诉讼情况</w:t>
      </w:r>
    </w:p>
    <w:tbl>
      <w:tblPr>
        <w:tblStyle w:val="6"/>
        <w:tblW w:w="103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8"/>
        <w:gridCol w:w="791"/>
        <w:gridCol w:w="750"/>
        <w:gridCol w:w="722"/>
        <w:gridCol w:w="464"/>
        <w:gridCol w:w="750"/>
        <w:gridCol w:w="723"/>
        <w:gridCol w:w="709"/>
        <w:gridCol w:w="791"/>
        <w:gridCol w:w="491"/>
        <w:gridCol w:w="709"/>
        <w:gridCol w:w="736"/>
        <w:gridCol w:w="736"/>
        <w:gridCol w:w="805"/>
        <w:gridCol w:w="511"/>
      </w:tblGrid>
      <w:tr w14:paraId="14A9CA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0" w:hRule="atLeast"/>
          <w:jc w:val="center"/>
        </w:trPr>
        <w:tc>
          <w:tcPr>
            <w:tcW w:w="3345"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AE6AAEE">
            <w:pPr>
              <w:jc w:val="center"/>
              <w:rPr>
                <w:color w:val="000000"/>
              </w:rPr>
            </w:pPr>
            <w:r>
              <w:rPr>
                <w:rFonts w:hint="eastAsia" w:ascii="宋体" w:hAnsi="宋体" w:cs="宋体"/>
                <w:color w:val="000000"/>
                <w:kern w:val="0"/>
                <w:sz w:val="20"/>
                <w:szCs w:val="20"/>
              </w:rPr>
              <w:t>行政复议</w:t>
            </w:r>
          </w:p>
        </w:tc>
        <w:tc>
          <w:tcPr>
            <w:tcW w:w="6961" w:type="dxa"/>
            <w:gridSpan w:val="10"/>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B082097">
            <w:pPr>
              <w:jc w:val="center"/>
              <w:rPr>
                <w:color w:val="000000"/>
              </w:rPr>
            </w:pPr>
            <w:r>
              <w:rPr>
                <w:rFonts w:hint="eastAsia" w:ascii="宋体" w:hAnsi="宋体" w:cs="宋体"/>
                <w:color w:val="000000"/>
                <w:kern w:val="0"/>
                <w:sz w:val="20"/>
                <w:szCs w:val="20"/>
              </w:rPr>
              <w:t>行政诉讼</w:t>
            </w:r>
          </w:p>
        </w:tc>
      </w:tr>
      <w:tr w14:paraId="11D0F5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4AB84EB">
            <w:pPr>
              <w:jc w:val="center"/>
              <w:rPr>
                <w:color w:val="000000"/>
              </w:rPr>
            </w:pPr>
            <w:r>
              <w:rPr>
                <w:rFonts w:hint="eastAsia" w:ascii="宋体" w:hAnsi="宋体" w:cs="宋体"/>
                <w:color w:val="000000"/>
                <w:kern w:val="0"/>
                <w:sz w:val="20"/>
                <w:szCs w:val="20"/>
              </w:rPr>
              <w:t>结果维持</w:t>
            </w:r>
          </w:p>
        </w:tc>
        <w:tc>
          <w:tcPr>
            <w:tcW w:w="791"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CB49C59">
            <w:pPr>
              <w:jc w:val="center"/>
              <w:rPr>
                <w:rFonts w:ascii="宋体" w:hAnsi="宋体" w:cs="宋体"/>
                <w:color w:val="000000"/>
                <w:kern w:val="0"/>
                <w:sz w:val="20"/>
                <w:szCs w:val="20"/>
              </w:rPr>
            </w:pPr>
            <w:r>
              <w:rPr>
                <w:rFonts w:hint="eastAsia" w:ascii="宋体" w:hAnsi="宋体" w:cs="宋体"/>
                <w:color w:val="000000"/>
                <w:kern w:val="0"/>
                <w:sz w:val="20"/>
                <w:szCs w:val="20"/>
              </w:rPr>
              <w:t>结果</w:t>
            </w:r>
          </w:p>
          <w:p w14:paraId="5866C9DC">
            <w:pPr>
              <w:jc w:val="center"/>
              <w:rPr>
                <w:color w:val="000000"/>
              </w:rPr>
            </w:pPr>
            <w:r>
              <w:rPr>
                <w:rFonts w:hint="eastAsia" w:ascii="宋体" w:hAnsi="宋体" w:cs="宋体"/>
                <w:color w:val="000000"/>
                <w:kern w:val="0"/>
                <w:sz w:val="20"/>
                <w:szCs w:val="20"/>
              </w:rPr>
              <w:t>纠正</w:t>
            </w:r>
          </w:p>
        </w:tc>
        <w:tc>
          <w:tcPr>
            <w:tcW w:w="750"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EC55D8F">
            <w:pPr>
              <w:jc w:val="center"/>
              <w:rPr>
                <w:rFonts w:ascii="宋体" w:hAnsi="宋体" w:cs="宋体"/>
                <w:color w:val="000000"/>
                <w:kern w:val="0"/>
                <w:sz w:val="20"/>
                <w:szCs w:val="20"/>
              </w:rPr>
            </w:pPr>
            <w:r>
              <w:rPr>
                <w:rFonts w:hint="eastAsia" w:ascii="宋体" w:hAnsi="宋体" w:cs="宋体"/>
                <w:color w:val="000000"/>
                <w:kern w:val="0"/>
                <w:sz w:val="20"/>
                <w:szCs w:val="20"/>
              </w:rPr>
              <w:t>其他</w:t>
            </w:r>
          </w:p>
          <w:p w14:paraId="6ECE0A25">
            <w:pPr>
              <w:jc w:val="center"/>
              <w:rPr>
                <w:color w:val="000000"/>
              </w:rPr>
            </w:pPr>
            <w:r>
              <w:rPr>
                <w:rFonts w:hint="eastAsia" w:ascii="宋体" w:hAnsi="宋体" w:cs="宋体"/>
                <w:color w:val="000000"/>
                <w:kern w:val="0"/>
                <w:sz w:val="20"/>
                <w:szCs w:val="20"/>
              </w:rPr>
              <w:t>结果</w:t>
            </w:r>
          </w:p>
        </w:tc>
        <w:tc>
          <w:tcPr>
            <w:tcW w:w="722"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A6E260C">
            <w:pPr>
              <w:jc w:val="center"/>
              <w:rPr>
                <w:rFonts w:ascii="宋体" w:hAnsi="宋体" w:cs="宋体"/>
                <w:color w:val="000000"/>
                <w:kern w:val="0"/>
                <w:sz w:val="20"/>
                <w:szCs w:val="20"/>
              </w:rPr>
            </w:pPr>
            <w:r>
              <w:rPr>
                <w:rFonts w:hint="eastAsia" w:ascii="宋体" w:hAnsi="宋体" w:cs="宋体"/>
                <w:color w:val="000000"/>
                <w:kern w:val="0"/>
                <w:sz w:val="20"/>
                <w:szCs w:val="20"/>
              </w:rPr>
              <w:t>尚未</w:t>
            </w:r>
          </w:p>
          <w:p w14:paraId="03286EA3">
            <w:pPr>
              <w:jc w:val="center"/>
              <w:rPr>
                <w:color w:val="000000"/>
              </w:rPr>
            </w:pPr>
            <w:r>
              <w:rPr>
                <w:rFonts w:hint="eastAsia" w:ascii="宋体" w:hAnsi="宋体" w:cs="宋体"/>
                <w:color w:val="000000"/>
                <w:kern w:val="0"/>
                <w:sz w:val="20"/>
                <w:szCs w:val="20"/>
              </w:rPr>
              <w:t>审结</w:t>
            </w:r>
          </w:p>
        </w:tc>
        <w:tc>
          <w:tcPr>
            <w:tcW w:w="464"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C7E4A4F">
            <w:pPr>
              <w:jc w:val="center"/>
              <w:rPr>
                <w:color w:val="000000"/>
              </w:rPr>
            </w:pPr>
            <w:r>
              <w:rPr>
                <w:rFonts w:hint="eastAsia" w:ascii="宋体" w:hAnsi="宋体" w:cs="宋体"/>
                <w:color w:val="000000"/>
                <w:kern w:val="0"/>
                <w:sz w:val="20"/>
                <w:szCs w:val="20"/>
              </w:rPr>
              <w:t>总计</w:t>
            </w:r>
          </w:p>
        </w:tc>
        <w:tc>
          <w:tcPr>
            <w:tcW w:w="3464"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CFD07D7">
            <w:pPr>
              <w:jc w:val="center"/>
              <w:rPr>
                <w:color w:val="000000"/>
              </w:rPr>
            </w:pPr>
            <w:r>
              <w:rPr>
                <w:rFonts w:hint="eastAsia" w:ascii="宋体" w:hAnsi="宋体" w:cs="宋体"/>
                <w:color w:val="000000"/>
                <w:kern w:val="0"/>
                <w:sz w:val="20"/>
                <w:szCs w:val="20"/>
              </w:rPr>
              <w:t>未经复议直接起诉</w:t>
            </w:r>
          </w:p>
        </w:tc>
        <w:tc>
          <w:tcPr>
            <w:tcW w:w="3497"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AE4D442">
            <w:pPr>
              <w:jc w:val="center"/>
              <w:rPr>
                <w:color w:val="000000"/>
              </w:rPr>
            </w:pPr>
            <w:r>
              <w:rPr>
                <w:rFonts w:hint="eastAsia" w:ascii="宋体" w:hAnsi="宋体" w:cs="宋体"/>
                <w:color w:val="000000"/>
                <w:kern w:val="0"/>
                <w:sz w:val="20"/>
                <w:szCs w:val="20"/>
              </w:rPr>
              <w:t>复议后起诉</w:t>
            </w:r>
          </w:p>
        </w:tc>
      </w:tr>
      <w:tr w14:paraId="6002F7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8"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07FA690">
            <w:pPr>
              <w:rPr>
                <w:rFonts w:ascii="宋体"/>
                <w:color w:val="000000"/>
                <w:sz w:val="24"/>
              </w:rPr>
            </w:pPr>
          </w:p>
        </w:tc>
        <w:tc>
          <w:tcPr>
            <w:tcW w:w="791"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74A103B">
            <w:pPr>
              <w:rPr>
                <w:rFonts w:ascii="宋体"/>
                <w:color w:val="000000"/>
                <w:sz w:val="24"/>
              </w:rPr>
            </w:pPr>
          </w:p>
        </w:tc>
        <w:tc>
          <w:tcPr>
            <w:tcW w:w="750"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B83641E">
            <w:pPr>
              <w:rPr>
                <w:rFonts w:ascii="宋体"/>
                <w:color w:val="000000"/>
                <w:sz w:val="24"/>
              </w:rPr>
            </w:pPr>
          </w:p>
        </w:tc>
        <w:tc>
          <w:tcPr>
            <w:tcW w:w="722"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44B5600">
            <w:pPr>
              <w:rPr>
                <w:rFonts w:ascii="宋体"/>
                <w:color w:val="000000"/>
                <w:sz w:val="24"/>
              </w:rPr>
            </w:pPr>
          </w:p>
        </w:tc>
        <w:tc>
          <w:tcPr>
            <w:tcW w:w="464"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ABD798B">
            <w:pPr>
              <w:rPr>
                <w:rFonts w:ascii="宋体"/>
                <w:color w:val="000000"/>
                <w:sz w:val="24"/>
              </w:rPr>
            </w:pPr>
          </w:p>
        </w:tc>
        <w:tc>
          <w:tcPr>
            <w:tcW w:w="7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AF47994">
            <w:pPr>
              <w:jc w:val="center"/>
              <w:rPr>
                <w:rFonts w:ascii="宋体" w:hAnsi="宋体" w:cs="宋体"/>
                <w:color w:val="000000"/>
                <w:kern w:val="0"/>
                <w:sz w:val="20"/>
                <w:szCs w:val="20"/>
              </w:rPr>
            </w:pPr>
            <w:r>
              <w:rPr>
                <w:rFonts w:hint="eastAsia" w:ascii="宋体" w:hAnsi="宋体" w:cs="宋体"/>
                <w:color w:val="000000"/>
                <w:kern w:val="0"/>
                <w:sz w:val="20"/>
                <w:szCs w:val="20"/>
              </w:rPr>
              <w:t>结果</w:t>
            </w:r>
          </w:p>
          <w:p w14:paraId="586AB295">
            <w:pPr>
              <w:jc w:val="center"/>
              <w:rPr>
                <w:color w:val="000000"/>
              </w:rPr>
            </w:pPr>
            <w:r>
              <w:rPr>
                <w:rFonts w:hint="eastAsia" w:ascii="宋体" w:hAnsi="宋体" w:cs="宋体"/>
                <w:color w:val="000000"/>
                <w:kern w:val="0"/>
                <w:sz w:val="20"/>
                <w:szCs w:val="20"/>
              </w:rPr>
              <w:t>维持</w:t>
            </w:r>
          </w:p>
        </w:tc>
        <w:tc>
          <w:tcPr>
            <w:tcW w:w="72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05C070A">
            <w:pPr>
              <w:jc w:val="center"/>
              <w:rPr>
                <w:rFonts w:ascii="宋体" w:hAnsi="宋体" w:cs="宋体"/>
                <w:color w:val="000000"/>
                <w:kern w:val="0"/>
                <w:sz w:val="20"/>
                <w:szCs w:val="20"/>
              </w:rPr>
            </w:pPr>
            <w:r>
              <w:rPr>
                <w:rFonts w:hint="eastAsia" w:ascii="宋体" w:hAnsi="宋体" w:cs="宋体"/>
                <w:color w:val="000000"/>
                <w:kern w:val="0"/>
                <w:sz w:val="20"/>
                <w:szCs w:val="20"/>
              </w:rPr>
              <w:t>结果</w:t>
            </w:r>
          </w:p>
          <w:p w14:paraId="3B562AB1">
            <w:pPr>
              <w:jc w:val="center"/>
              <w:rPr>
                <w:color w:val="000000"/>
              </w:rPr>
            </w:pPr>
            <w:r>
              <w:rPr>
                <w:rFonts w:hint="eastAsia" w:ascii="宋体" w:hAnsi="宋体" w:cs="宋体"/>
                <w:color w:val="000000"/>
                <w:kern w:val="0"/>
                <w:sz w:val="20"/>
                <w:szCs w:val="20"/>
              </w:rPr>
              <w:t>纠正</w:t>
            </w:r>
          </w:p>
        </w:tc>
        <w:tc>
          <w:tcPr>
            <w:tcW w:w="709"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DBC585D">
            <w:pPr>
              <w:jc w:val="center"/>
              <w:rPr>
                <w:rFonts w:ascii="宋体" w:hAnsi="宋体" w:cs="宋体"/>
                <w:color w:val="000000"/>
                <w:kern w:val="0"/>
                <w:sz w:val="20"/>
                <w:szCs w:val="20"/>
              </w:rPr>
            </w:pPr>
            <w:r>
              <w:rPr>
                <w:rFonts w:hint="eastAsia" w:ascii="宋体" w:hAnsi="宋体" w:cs="宋体"/>
                <w:color w:val="000000"/>
                <w:kern w:val="0"/>
                <w:sz w:val="20"/>
                <w:szCs w:val="20"/>
              </w:rPr>
              <w:t>其他</w:t>
            </w:r>
          </w:p>
          <w:p w14:paraId="3220FD00">
            <w:pPr>
              <w:jc w:val="center"/>
              <w:rPr>
                <w:color w:val="000000"/>
              </w:rPr>
            </w:pPr>
            <w:r>
              <w:rPr>
                <w:rFonts w:hint="eastAsia" w:ascii="宋体" w:hAnsi="宋体" w:cs="宋体"/>
                <w:color w:val="000000"/>
                <w:kern w:val="0"/>
                <w:sz w:val="20"/>
                <w:szCs w:val="20"/>
              </w:rPr>
              <w:t>结果</w:t>
            </w:r>
          </w:p>
        </w:tc>
        <w:tc>
          <w:tcPr>
            <w:tcW w:w="791"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DEFAD68">
            <w:pPr>
              <w:jc w:val="center"/>
              <w:rPr>
                <w:rFonts w:ascii="宋体" w:hAnsi="宋体" w:cs="宋体"/>
                <w:color w:val="000000"/>
                <w:kern w:val="0"/>
                <w:sz w:val="20"/>
                <w:szCs w:val="20"/>
              </w:rPr>
            </w:pPr>
            <w:r>
              <w:rPr>
                <w:rFonts w:hint="eastAsia" w:ascii="宋体" w:hAnsi="宋体" w:cs="宋体"/>
                <w:color w:val="000000"/>
                <w:kern w:val="0"/>
                <w:sz w:val="20"/>
                <w:szCs w:val="20"/>
              </w:rPr>
              <w:t>尚未</w:t>
            </w:r>
          </w:p>
          <w:p w14:paraId="0E2A6457">
            <w:pPr>
              <w:jc w:val="center"/>
              <w:rPr>
                <w:color w:val="000000"/>
              </w:rPr>
            </w:pPr>
            <w:r>
              <w:rPr>
                <w:rFonts w:hint="eastAsia" w:ascii="宋体" w:hAnsi="宋体" w:cs="宋体"/>
                <w:color w:val="000000"/>
                <w:kern w:val="0"/>
                <w:sz w:val="20"/>
                <w:szCs w:val="20"/>
              </w:rPr>
              <w:t>审结</w:t>
            </w:r>
          </w:p>
        </w:tc>
        <w:tc>
          <w:tcPr>
            <w:tcW w:w="491"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7BFF4C6">
            <w:pPr>
              <w:jc w:val="center"/>
              <w:rPr>
                <w:color w:val="000000"/>
              </w:rPr>
            </w:pPr>
            <w:r>
              <w:rPr>
                <w:rFonts w:hint="eastAsia" w:ascii="宋体" w:hAnsi="宋体" w:cs="宋体"/>
                <w:color w:val="000000"/>
                <w:kern w:val="0"/>
                <w:sz w:val="20"/>
                <w:szCs w:val="20"/>
              </w:rPr>
              <w:t>总计</w:t>
            </w:r>
          </w:p>
        </w:tc>
        <w:tc>
          <w:tcPr>
            <w:tcW w:w="709"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16E1854">
            <w:pPr>
              <w:jc w:val="center"/>
              <w:rPr>
                <w:rFonts w:ascii="宋体" w:hAnsi="宋体" w:cs="宋体"/>
                <w:color w:val="000000"/>
                <w:kern w:val="0"/>
                <w:sz w:val="20"/>
                <w:szCs w:val="20"/>
              </w:rPr>
            </w:pPr>
            <w:r>
              <w:rPr>
                <w:rFonts w:hint="eastAsia" w:ascii="宋体" w:hAnsi="宋体" w:cs="宋体"/>
                <w:color w:val="000000"/>
                <w:kern w:val="0"/>
                <w:sz w:val="20"/>
                <w:szCs w:val="20"/>
              </w:rPr>
              <w:t>结果</w:t>
            </w:r>
          </w:p>
          <w:p w14:paraId="04FF116B">
            <w:pPr>
              <w:jc w:val="center"/>
              <w:rPr>
                <w:color w:val="000000"/>
              </w:rPr>
            </w:pPr>
            <w:r>
              <w:rPr>
                <w:rFonts w:hint="eastAsia" w:ascii="宋体" w:hAnsi="宋体" w:cs="宋体"/>
                <w:color w:val="000000"/>
                <w:kern w:val="0"/>
                <w:sz w:val="20"/>
                <w:szCs w:val="20"/>
              </w:rPr>
              <w:t>维持</w:t>
            </w:r>
          </w:p>
        </w:tc>
        <w:tc>
          <w:tcPr>
            <w:tcW w:w="73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AC27938">
            <w:pPr>
              <w:jc w:val="center"/>
              <w:rPr>
                <w:rFonts w:ascii="宋体" w:hAnsi="宋体" w:cs="宋体"/>
                <w:color w:val="000000"/>
                <w:kern w:val="0"/>
                <w:sz w:val="20"/>
                <w:szCs w:val="20"/>
              </w:rPr>
            </w:pPr>
            <w:r>
              <w:rPr>
                <w:rFonts w:hint="eastAsia" w:ascii="宋体" w:hAnsi="宋体" w:cs="宋体"/>
                <w:color w:val="000000"/>
                <w:kern w:val="0"/>
                <w:sz w:val="20"/>
                <w:szCs w:val="20"/>
              </w:rPr>
              <w:t>结果</w:t>
            </w:r>
          </w:p>
          <w:p w14:paraId="745CC5B4">
            <w:pPr>
              <w:jc w:val="center"/>
              <w:rPr>
                <w:color w:val="000000"/>
              </w:rPr>
            </w:pPr>
            <w:r>
              <w:rPr>
                <w:rFonts w:hint="eastAsia" w:ascii="宋体" w:hAnsi="宋体" w:cs="宋体"/>
                <w:color w:val="000000"/>
                <w:kern w:val="0"/>
                <w:sz w:val="20"/>
                <w:szCs w:val="20"/>
              </w:rPr>
              <w:t>纠正</w:t>
            </w:r>
          </w:p>
        </w:tc>
        <w:tc>
          <w:tcPr>
            <w:tcW w:w="73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C93BDD9">
            <w:pPr>
              <w:jc w:val="center"/>
              <w:rPr>
                <w:rFonts w:ascii="宋体" w:hAnsi="宋体" w:cs="宋体"/>
                <w:color w:val="000000"/>
                <w:kern w:val="0"/>
                <w:sz w:val="20"/>
                <w:szCs w:val="20"/>
              </w:rPr>
            </w:pPr>
            <w:r>
              <w:rPr>
                <w:rFonts w:hint="eastAsia" w:ascii="宋体" w:hAnsi="宋体" w:cs="宋体"/>
                <w:color w:val="000000"/>
                <w:kern w:val="0"/>
                <w:sz w:val="20"/>
                <w:szCs w:val="20"/>
              </w:rPr>
              <w:t>其他</w:t>
            </w:r>
          </w:p>
          <w:p w14:paraId="12BFE8B1">
            <w:pPr>
              <w:jc w:val="center"/>
              <w:rPr>
                <w:color w:val="000000"/>
              </w:rPr>
            </w:pPr>
            <w:r>
              <w:rPr>
                <w:rFonts w:hint="eastAsia" w:ascii="宋体" w:hAnsi="宋体" w:cs="宋体"/>
                <w:color w:val="000000"/>
                <w:kern w:val="0"/>
                <w:sz w:val="20"/>
                <w:szCs w:val="20"/>
              </w:rPr>
              <w:t>结果</w:t>
            </w:r>
          </w:p>
        </w:tc>
        <w:tc>
          <w:tcPr>
            <w:tcW w:w="805"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7A64664">
            <w:pPr>
              <w:jc w:val="center"/>
              <w:rPr>
                <w:rFonts w:ascii="宋体" w:hAnsi="宋体" w:cs="宋体"/>
                <w:color w:val="000000"/>
                <w:kern w:val="0"/>
                <w:sz w:val="20"/>
                <w:szCs w:val="20"/>
              </w:rPr>
            </w:pPr>
            <w:r>
              <w:rPr>
                <w:rFonts w:hint="eastAsia" w:ascii="宋体" w:hAnsi="宋体" w:cs="宋体"/>
                <w:color w:val="000000"/>
                <w:kern w:val="0"/>
                <w:sz w:val="20"/>
                <w:szCs w:val="20"/>
              </w:rPr>
              <w:t>尚未</w:t>
            </w:r>
          </w:p>
          <w:p w14:paraId="310AE77D">
            <w:pPr>
              <w:jc w:val="center"/>
              <w:rPr>
                <w:color w:val="000000"/>
              </w:rPr>
            </w:pPr>
            <w:r>
              <w:rPr>
                <w:rFonts w:hint="eastAsia" w:ascii="宋体" w:hAnsi="宋体" w:cs="宋体"/>
                <w:color w:val="000000"/>
                <w:kern w:val="0"/>
                <w:sz w:val="20"/>
                <w:szCs w:val="20"/>
              </w:rPr>
              <w:t>审结</w:t>
            </w:r>
          </w:p>
        </w:tc>
        <w:tc>
          <w:tcPr>
            <w:tcW w:w="511"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0019F81">
            <w:pPr>
              <w:jc w:val="center"/>
              <w:rPr>
                <w:color w:val="000000"/>
              </w:rPr>
            </w:pPr>
            <w:r>
              <w:rPr>
                <w:rFonts w:hint="eastAsia" w:ascii="宋体" w:hAnsi="宋体" w:cs="宋体"/>
                <w:color w:val="000000"/>
                <w:kern w:val="0"/>
                <w:sz w:val="20"/>
                <w:szCs w:val="20"/>
              </w:rPr>
              <w:t>总计</w:t>
            </w:r>
          </w:p>
        </w:tc>
      </w:tr>
      <w:tr w14:paraId="6BE343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18"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20DA3A1">
            <w:pPr>
              <w:jc w:val="center"/>
              <w:rPr>
                <w:color w:val="000000"/>
              </w:rPr>
            </w:pPr>
            <w:r>
              <w:rPr>
                <w:rFonts w:hint="eastAsia" w:ascii="黑体" w:hAnsi="宋体" w:eastAsia="黑体" w:cs="黑体"/>
                <w:color w:val="000000"/>
                <w:kern w:val="0"/>
                <w:sz w:val="20"/>
                <w:szCs w:val="20"/>
              </w:rPr>
              <w:t>0</w:t>
            </w:r>
          </w:p>
        </w:tc>
        <w:tc>
          <w:tcPr>
            <w:tcW w:w="791"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35F5DC8">
            <w:pPr>
              <w:jc w:val="center"/>
              <w:rPr>
                <w:color w:val="000000"/>
              </w:rPr>
            </w:pPr>
            <w:r>
              <w:rPr>
                <w:rFonts w:hint="eastAsia" w:ascii="黑体" w:hAnsi="宋体" w:eastAsia="黑体" w:cs="黑体"/>
                <w:color w:val="000000"/>
                <w:kern w:val="0"/>
                <w:sz w:val="20"/>
                <w:szCs w:val="20"/>
              </w:rPr>
              <w:t>0</w:t>
            </w:r>
          </w:p>
        </w:tc>
        <w:tc>
          <w:tcPr>
            <w:tcW w:w="7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C091D4B">
            <w:pPr>
              <w:jc w:val="center"/>
              <w:rPr>
                <w:color w:val="000000"/>
              </w:rPr>
            </w:pPr>
            <w:r>
              <w:rPr>
                <w:rFonts w:hint="eastAsia" w:ascii="黑体" w:hAnsi="宋体" w:eastAsia="黑体" w:cs="黑体"/>
                <w:color w:val="000000"/>
                <w:kern w:val="0"/>
                <w:sz w:val="20"/>
                <w:szCs w:val="20"/>
              </w:rPr>
              <w:t>0</w:t>
            </w:r>
          </w:p>
        </w:tc>
        <w:tc>
          <w:tcPr>
            <w:tcW w:w="722"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CD747B8">
            <w:pPr>
              <w:jc w:val="center"/>
              <w:rPr>
                <w:color w:val="000000"/>
              </w:rPr>
            </w:pPr>
            <w:r>
              <w:rPr>
                <w:rFonts w:hint="eastAsia" w:ascii="黑体" w:hAnsi="宋体" w:eastAsia="黑体" w:cs="黑体"/>
                <w:color w:val="000000"/>
                <w:kern w:val="0"/>
                <w:sz w:val="20"/>
                <w:szCs w:val="20"/>
              </w:rPr>
              <w:t>0</w:t>
            </w:r>
          </w:p>
        </w:tc>
        <w:tc>
          <w:tcPr>
            <w:tcW w:w="464"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6145A61">
            <w:pPr>
              <w:jc w:val="center"/>
              <w:rPr>
                <w:color w:val="000000"/>
              </w:rPr>
            </w:pPr>
            <w:r>
              <w:rPr>
                <w:rFonts w:hint="eastAsia" w:ascii="黑体" w:hAnsi="宋体" w:eastAsia="黑体" w:cs="黑体"/>
                <w:color w:val="000000"/>
                <w:kern w:val="0"/>
                <w:sz w:val="20"/>
                <w:szCs w:val="20"/>
              </w:rPr>
              <w:t>0</w:t>
            </w:r>
          </w:p>
        </w:tc>
        <w:tc>
          <w:tcPr>
            <w:tcW w:w="750"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1065531">
            <w:pPr>
              <w:jc w:val="center"/>
              <w:rPr>
                <w:color w:val="000000"/>
              </w:rPr>
            </w:pPr>
            <w:r>
              <w:rPr>
                <w:rFonts w:hint="eastAsia" w:ascii="黑体" w:hAnsi="宋体" w:eastAsia="黑体" w:cs="黑体"/>
                <w:color w:val="000000"/>
                <w:kern w:val="0"/>
                <w:sz w:val="20"/>
                <w:szCs w:val="20"/>
              </w:rPr>
              <w:t>0</w:t>
            </w:r>
          </w:p>
        </w:tc>
        <w:tc>
          <w:tcPr>
            <w:tcW w:w="723"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A6582E7">
            <w:pPr>
              <w:jc w:val="center"/>
              <w:rPr>
                <w:color w:val="000000"/>
              </w:rPr>
            </w:pPr>
            <w:r>
              <w:rPr>
                <w:rFonts w:hint="eastAsia" w:ascii="黑体" w:hAnsi="宋体" w:eastAsia="黑体" w:cs="黑体"/>
                <w:color w:val="000000"/>
                <w:kern w:val="0"/>
                <w:sz w:val="20"/>
                <w:szCs w:val="20"/>
              </w:rPr>
              <w:t>0</w:t>
            </w:r>
          </w:p>
        </w:tc>
        <w:tc>
          <w:tcPr>
            <w:tcW w:w="70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EEC0A02">
            <w:pPr>
              <w:jc w:val="center"/>
              <w:rPr>
                <w:color w:val="000000"/>
              </w:rPr>
            </w:pPr>
            <w:r>
              <w:rPr>
                <w:rFonts w:hint="eastAsia" w:ascii="黑体" w:hAnsi="宋体" w:eastAsia="黑体" w:cs="黑体"/>
                <w:color w:val="000000"/>
                <w:kern w:val="0"/>
                <w:sz w:val="20"/>
                <w:szCs w:val="20"/>
              </w:rPr>
              <w:t>0</w:t>
            </w:r>
          </w:p>
        </w:tc>
        <w:tc>
          <w:tcPr>
            <w:tcW w:w="791"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23D03DE">
            <w:pPr>
              <w:jc w:val="center"/>
              <w:rPr>
                <w:color w:val="000000"/>
              </w:rPr>
            </w:pPr>
            <w:r>
              <w:rPr>
                <w:rFonts w:hint="eastAsia" w:ascii="黑体" w:hAnsi="宋体" w:eastAsia="黑体" w:cs="黑体"/>
                <w:color w:val="000000"/>
                <w:kern w:val="0"/>
                <w:sz w:val="20"/>
                <w:szCs w:val="20"/>
              </w:rPr>
              <w:t>0</w:t>
            </w:r>
          </w:p>
        </w:tc>
        <w:tc>
          <w:tcPr>
            <w:tcW w:w="491"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213BE96">
            <w:pPr>
              <w:jc w:val="center"/>
              <w:rPr>
                <w:color w:val="000000"/>
              </w:rPr>
            </w:pPr>
            <w:r>
              <w:rPr>
                <w:rFonts w:hint="eastAsia" w:ascii="黑体" w:hAnsi="宋体" w:eastAsia="黑体" w:cs="黑体"/>
                <w:color w:val="000000"/>
                <w:kern w:val="0"/>
                <w:sz w:val="20"/>
                <w:szCs w:val="20"/>
              </w:rPr>
              <w:t>0</w:t>
            </w:r>
          </w:p>
        </w:tc>
        <w:tc>
          <w:tcPr>
            <w:tcW w:w="709"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07BEAC1">
            <w:pPr>
              <w:jc w:val="center"/>
              <w:rPr>
                <w:color w:val="000000"/>
              </w:rPr>
            </w:pPr>
            <w:r>
              <w:rPr>
                <w:rFonts w:hint="eastAsia" w:ascii="黑体" w:hAnsi="宋体" w:eastAsia="黑体" w:cs="黑体"/>
                <w:color w:val="000000"/>
                <w:kern w:val="0"/>
                <w:sz w:val="20"/>
                <w:szCs w:val="20"/>
              </w:rPr>
              <w:t>0</w:t>
            </w:r>
          </w:p>
        </w:tc>
        <w:tc>
          <w:tcPr>
            <w:tcW w:w="73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8A62745">
            <w:pPr>
              <w:jc w:val="center"/>
              <w:rPr>
                <w:color w:val="000000"/>
              </w:rPr>
            </w:pPr>
            <w:r>
              <w:rPr>
                <w:rFonts w:hint="eastAsia" w:ascii="黑体" w:hAnsi="宋体" w:eastAsia="黑体" w:cs="黑体"/>
                <w:color w:val="000000"/>
                <w:kern w:val="0"/>
                <w:sz w:val="20"/>
                <w:szCs w:val="20"/>
              </w:rPr>
              <w:t>0</w:t>
            </w:r>
          </w:p>
        </w:tc>
        <w:tc>
          <w:tcPr>
            <w:tcW w:w="73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F66E519">
            <w:pPr>
              <w:jc w:val="center"/>
              <w:rPr>
                <w:color w:val="000000"/>
              </w:rPr>
            </w:pPr>
            <w:r>
              <w:rPr>
                <w:rFonts w:hint="eastAsia" w:ascii="黑体" w:hAnsi="宋体" w:eastAsia="黑体" w:cs="黑体"/>
                <w:color w:val="000000"/>
                <w:kern w:val="0"/>
                <w:sz w:val="20"/>
                <w:szCs w:val="20"/>
              </w:rPr>
              <w:t>0</w:t>
            </w:r>
          </w:p>
        </w:tc>
        <w:tc>
          <w:tcPr>
            <w:tcW w:w="805"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85CA345">
            <w:pPr>
              <w:jc w:val="center"/>
              <w:rPr>
                <w:color w:val="000000"/>
              </w:rPr>
            </w:pPr>
            <w:r>
              <w:rPr>
                <w:rFonts w:hint="eastAsia" w:ascii="黑体" w:hAnsi="宋体" w:eastAsia="黑体" w:cs="黑体"/>
                <w:color w:val="000000"/>
                <w:kern w:val="0"/>
                <w:sz w:val="20"/>
                <w:szCs w:val="20"/>
              </w:rPr>
              <w:t>0</w:t>
            </w:r>
          </w:p>
        </w:tc>
        <w:tc>
          <w:tcPr>
            <w:tcW w:w="511"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B4395CC">
            <w:pPr>
              <w:jc w:val="center"/>
              <w:rPr>
                <w:rFonts w:ascii="宋体"/>
                <w:color w:val="000000"/>
                <w:sz w:val="24"/>
              </w:rPr>
            </w:pPr>
            <w:r>
              <w:rPr>
                <w:rFonts w:hint="eastAsia" w:ascii="宋体"/>
                <w:color w:val="000000"/>
                <w:sz w:val="24"/>
              </w:rPr>
              <w:t>0</w:t>
            </w:r>
          </w:p>
        </w:tc>
      </w:tr>
    </w:tbl>
    <w:p w14:paraId="7861F7F2">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Style w:val="13"/>
          <w:rFonts w:ascii="楷体_GB2312" w:hAnsi="宋体" w:eastAsia="楷体_GB2312"/>
          <w:b/>
          <w:kern w:val="0"/>
          <w:sz w:val="32"/>
          <w:szCs w:val="32"/>
        </w:rPr>
      </w:pPr>
      <w:r>
        <w:rPr>
          <w:rStyle w:val="13"/>
          <w:rFonts w:hint="eastAsia" w:ascii="黑体" w:hAnsi="黑体" w:eastAsia="黑体" w:cs="Times New Roman"/>
          <w:kern w:val="0"/>
          <w:sz w:val="32"/>
          <w:szCs w:val="32"/>
          <w:lang w:val="en-US" w:eastAsia="zh-CN" w:bidi="ar-SA"/>
        </w:rPr>
        <w:t>五、存在的主要问题</w:t>
      </w:r>
      <w:r>
        <w:rPr>
          <w:rStyle w:val="13"/>
          <w:rFonts w:hint="eastAsia" w:ascii="黑体" w:hAnsi="宋体" w:eastAsia="黑体"/>
          <w:sz w:val="32"/>
          <w:szCs w:val="32"/>
        </w:rPr>
        <w:t>及改进情况</w:t>
      </w:r>
      <w:r>
        <w:rPr>
          <w:rStyle w:val="13"/>
          <w:rFonts w:ascii="黑体" w:hAnsi="宋体" w:eastAsia="黑体"/>
          <w:sz w:val="32"/>
          <w:szCs w:val="32"/>
        </w:rPr>
        <w:t xml:space="preserve">  </w:t>
      </w:r>
    </w:p>
    <w:p w14:paraId="216B0C15">
      <w:pPr>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Style w:val="13"/>
          <w:rFonts w:ascii="楷体_GB2312" w:hAnsi="宋体" w:eastAsia="楷体_GB2312"/>
          <w:b/>
          <w:kern w:val="0"/>
          <w:sz w:val="32"/>
          <w:szCs w:val="32"/>
        </w:rPr>
      </w:pPr>
      <w:r>
        <w:rPr>
          <w:rStyle w:val="13"/>
          <w:rFonts w:hint="eastAsia" w:ascii="楷体_GB2312" w:hAnsi="宋体" w:eastAsia="楷体_GB2312"/>
          <w:b/>
          <w:kern w:val="0"/>
          <w:sz w:val="32"/>
          <w:szCs w:val="32"/>
        </w:rPr>
        <w:t>（一）工作中存在的主要问题和困难。</w:t>
      </w:r>
      <w:r>
        <w:rPr>
          <w:rStyle w:val="13"/>
          <w:rFonts w:hint="eastAsia" w:ascii="仿宋_GB2312" w:hAnsi="宋体" w:eastAsia="仿宋_GB2312"/>
          <w:kern w:val="0"/>
          <w:sz w:val="32"/>
          <w:szCs w:val="32"/>
        </w:rPr>
        <w:t>部分政府信息公开时效性不强，信息公开多为文字内容，方式较为单调，缺少丰富性和多样性。</w:t>
      </w:r>
    </w:p>
    <w:p w14:paraId="0922FECD">
      <w:pPr>
        <w:pStyle w:val="16"/>
        <w:spacing w:before="0" w:beforeAutospacing="0" w:after="0" w:afterAutospacing="0" w:line="580" w:lineRule="exact"/>
        <w:ind w:firstLine="643" w:firstLineChars="200"/>
        <w:jc w:val="both"/>
        <w:rPr>
          <w:rStyle w:val="13"/>
          <w:rFonts w:hint="eastAsia" w:ascii="仿宋_GB2312" w:hAnsi="宋体" w:eastAsia="仿宋_GB2312" w:cs="Times New Roman"/>
          <w:kern w:val="0"/>
          <w:sz w:val="32"/>
          <w:szCs w:val="32"/>
          <w:lang w:val="en-US" w:eastAsia="zh-CN" w:bidi="ar-SA"/>
        </w:rPr>
      </w:pPr>
      <w:r>
        <w:rPr>
          <w:rStyle w:val="13"/>
          <w:rFonts w:hint="eastAsia" w:ascii="楷体_GB2312" w:hAnsi="宋体" w:eastAsia="楷体_GB2312"/>
          <w:b/>
          <w:sz w:val="32"/>
          <w:szCs w:val="32"/>
        </w:rPr>
        <w:t>（二）解决办法和改进措施。</w:t>
      </w:r>
      <w:r>
        <w:rPr>
          <w:rStyle w:val="13"/>
          <w:rFonts w:hint="eastAsia" w:ascii="仿宋_GB2312" w:hAnsi="宋体" w:eastAsia="仿宋_GB2312" w:cs="Times New Roman"/>
          <w:kern w:val="0"/>
          <w:sz w:val="32"/>
          <w:szCs w:val="32"/>
          <w:lang w:val="en-US" w:eastAsia="zh-CN" w:bidi="ar-SA"/>
        </w:rPr>
        <w:t>一是优化信息公开制度，针对不同类型的信息内容，选用不同方式开展信息公开，确保信息的及时发布与更新。二是加大对经办人员的培训力度。提高专业素养和业务处理能力。</w:t>
      </w:r>
    </w:p>
    <w:p w14:paraId="1D15D98D">
      <w:pPr>
        <w:pStyle w:val="16"/>
        <w:spacing w:before="0" w:beforeAutospacing="0" w:after="0" w:afterAutospacing="0" w:line="580" w:lineRule="exact"/>
        <w:ind w:firstLine="640" w:firstLineChars="200"/>
        <w:jc w:val="both"/>
        <w:rPr>
          <w:rStyle w:val="13"/>
          <w:rFonts w:ascii="黑体" w:hAnsi="宋体" w:eastAsia="黑体"/>
          <w:sz w:val="32"/>
          <w:szCs w:val="32"/>
        </w:rPr>
      </w:pPr>
      <w:r>
        <w:rPr>
          <w:rStyle w:val="13"/>
          <w:rFonts w:hint="eastAsia" w:ascii="黑体" w:hAnsi="宋体" w:eastAsia="黑体"/>
          <w:sz w:val="32"/>
          <w:szCs w:val="32"/>
        </w:rPr>
        <w:t>六、其他需要报告的事项</w:t>
      </w:r>
    </w:p>
    <w:p w14:paraId="4D1C0312">
      <w:pPr>
        <w:spacing w:line="580" w:lineRule="exact"/>
        <w:ind w:firstLine="320" w:firstLineChars="100"/>
        <w:rPr>
          <w:rStyle w:val="13"/>
        </w:rPr>
      </w:pPr>
      <w:r>
        <w:rPr>
          <w:rStyle w:val="13"/>
          <w:rFonts w:hint="eastAsia" w:ascii="仿宋_GB2312" w:hAnsi="宋体" w:eastAsia="仿宋_GB2312" w:cs="Times New Roman"/>
          <w:kern w:val="0"/>
          <w:sz w:val="32"/>
          <w:szCs w:val="32"/>
          <w:lang w:val="en-US" w:eastAsia="zh-CN" w:bidi="ar-SA"/>
        </w:rPr>
        <w:t xml:space="preserve"> 2024年未收取信息处理费。 </w:t>
      </w:r>
      <w:r>
        <w:rPr>
          <w:rStyle w:val="13"/>
          <w:rFonts w:ascii="仿宋_GB2312" w:hAnsi="宋体" w:eastAsia="仿宋_GB2312"/>
          <w:kern w:val="0"/>
          <w:sz w:val="32"/>
          <w:szCs w:val="32"/>
        </w:rPr>
        <w:t xml:space="preserve">              </w:t>
      </w:r>
    </w:p>
    <w:sectPr>
      <w:footerReference r:id="rId3" w:type="default"/>
      <w:pgSz w:w="11906" w:h="16838"/>
      <w:pgMar w:top="2098" w:right="1304" w:bottom="1871" w:left="1587" w:header="851" w:footer="992"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0B54">
    <w:pPr>
      <w:pStyle w:val="3"/>
      <w:jc w:val="center"/>
      <w:rPr>
        <w:rStyle w:val="13"/>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960EE9">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- 7 -</w:t>
                          </w:r>
                          <w:r>
                            <w:rPr>
                              <w:rFonts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10960EE9">
                    <w:pPr>
                      <w:snapToGrid w:val="0"/>
                      <w:rPr>
                        <w:rFonts w:ascii="宋体" w:cs="宋体"/>
                        <w:sz w:val="28"/>
                        <w:szCs w:val="28"/>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- 7 -</w:t>
                    </w:r>
                    <w:r>
                      <w:rPr>
                        <w:rFonts w:ascii="宋体" w:hAnsi="宋体" w:cs="宋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bodyPr lIns="0" tIns="0" rIns="0" bIns="0" upright="1"/>
                  </wps:wsp>
                </a:graphicData>
              </a:graphic>
            </wp:anchor>
          </w:drawing>
        </mc:Choice>
        <mc:Fallback>
          <w:pict>
            <v:shape id="文本框 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WYuvtEAAAAFAQAADwAAAAAAAAABACAAAAAiAAAAZHJzL2Rvd25yZXYueG1sUEsBAhQAFAAAAAgA&#10;h07iQBLQX0+6AQAAdAMAAA4AAAAAAAAAAQAgAAAAIAEAAGRycy9lMm9Eb2MueG1sUEsFBgAAAAAG&#10;AAYAWQEAAEwFAAAAAA==&#10;">
              <v:fill on="f" focussize="0,0"/>
              <v:stroke on="f" weight="0.5pt"/>
              <v:imagedata o:title=""/>
              <o:lock v:ext="edit" aspectratio="f"/>
              <v:textbox inset="0mm,0mm,0mm,0mm"/>
            </v:shape>
          </w:pict>
        </mc:Fallback>
      </mc:AlternateContent>
    </w:r>
  </w:p>
  <w:p w14:paraId="5B37CF9C">
    <w:pPr>
      <w:rPr>
        <w:rStyle w:val="1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doNotUseMarginsForDrawingGridOrigin w:val="1"/>
  <w:drawingGridHorizontalOrigin w:val="1800"/>
  <w:drawingGridVerticalOrigin w:val="1440"/>
  <w:noPunctuationKerning w:val="1"/>
  <w:characterSpacingControl w:val="doNotCompress"/>
  <w:noLineBreaksAfter w:lang="zh-CN" w:val="$([{£¥·‘“〈《「『【〔〖〝﹙﹛﹝＄（．［｛￡￥"/>
  <w:noLineBreaksBefore w:lang="zh-CN" w:val="!%),.:;&gt;?]}¢¨°·ˇˉ―‖’”…‰′″›℃∶、。〃〉》」』】〕〗〞︶︺︾﹀﹄﹚﹜﹞！＂％＇），．：；？］｀｜｝～￠"/>
  <w:hdrShapeDefaults>
    <o:shapelayout v:ext="edit">
      <o:idmap v:ext="edit" data="3,4"/>
    </o:shapelayout>
  </w:hdrShapeDefaults>
  <w:compat>
    <w:balanceSingleByteDoubleByteWidth/>
    <w:doNotLeaveBackslashAlon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NWQ1M2Q4YWE2YTNhNDE3ODZhZGU3ZjVlZDcxMDIifQ=="/>
    <w:docVar w:name="KSO_WPS_MARK_KEY" w:val="ca4abe44-985c-49af-bb46-c9d845b10266"/>
  </w:docVars>
  <w:rsids>
    <w:rsidRoot w:val="00FC3A30"/>
    <w:rsid w:val="00086E86"/>
    <w:rsid w:val="000D4D62"/>
    <w:rsid w:val="00130ACA"/>
    <w:rsid w:val="001711B2"/>
    <w:rsid w:val="00264553"/>
    <w:rsid w:val="00375E87"/>
    <w:rsid w:val="003A6D1C"/>
    <w:rsid w:val="003B31DD"/>
    <w:rsid w:val="003F5853"/>
    <w:rsid w:val="00451419"/>
    <w:rsid w:val="004A10A4"/>
    <w:rsid w:val="005304D6"/>
    <w:rsid w:val="00553DC9"/>
    <w:rsid w:val="007157A7"/>
    <w:rsid w:val="00725BA3"/>
    <w:rsid w:val="00805855"/>
    <w:rsid w:val="008775F9"/>
    <w:rsid w:val="00896920"/>
    <w:rsid w:val="008A60C0"/>
    <w:rsid w:val="00917B95"/>
    <w:rsid w:val="009F622E"/>
    <w:rsid w:val="00AB483E"/>
    <w:rsid w:val="00B00740"/>
    <w:rsid w:val="00B045DE"/>
    <w:rsid w:val="00B609A6"/>
    <w:rsid w:val="00CA46CA"/>
    <w:rsid w:val="00D635EB"/>
    <w:rsid w:val="00D76BA5"/>
    <w:rsid w:val="00DB5A78"/>
    <w:rsid w:val="00E04028"/>
    <w:rsid w:val="00E05F40"/>
    <w:rsid w:val="00E26483"/>
    <w:rsid w:val="00E6654B"/>
    <w:rsid w:val="00F14B35"/>
    <w:rsid w:val="00F40E8A"/>
    <w:rsid w:val="00FC3A30"/>
    <w:rsid w:val="0309760D"/>
    <w:rsid w:val="09D7674B"/>
    <w:rsid w:val="144F537B"/>
    <w:rsid w:val="151C016D"/>
    <w:rsid w:val="231E11CE"/>
    <w:rsid w:val="2BFB1F59"/>
    <w:rsid w:val="30AB4D93"/>
    <w:rsid w:val="35D91BDF"/>
    <w:rsid w:val="3BA2020C"/>
    <w:rsid w:val="3CC31129"/>
    <w:rsid w:val="40906361"/>
    <w:rsid w:val="4E8B11FB"/>
    <w:rsid w:val="4FB541B4"/>
    <w:rsid w:val="51443AB0"/>
    <w:rsid w:val="5A59F5D9"/>
    <w:rsid w:val="5CF947BA"/>
    <w:rsid w:val="638E350F"/>
    <w:rsid w:val="688F73C0"/>
    <w:rsid w:val="72AA2931"/>
    <w:rsid w:val="CE57B20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rPr>
  </w:style>
  <w:style w:type="paragraph" w:styleId="4">
    <w:name w:val="header"/>
    <w:basedOn w:val="1"/>
    <w:link w:val="12"/>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character" w:styleId="8">
    <w:name w:val="page number"/>
    <w:basedOn w:val="7"/>
    <w:qFormat/>
    <w:uiPriority w:val="99"/>
    <w:rPr>
      <w:rFonts w:cs="Times New Roman"/>
    </w:rPr>
  </w:style>
  <w:style w:type="character" w:styleId="9">
    <w:name w:val="FollowedHyperlink"/>
    <w:basedOn w:val="7"/>
    <w:qFormat/>
    <w:uiPriority w:val="99"/>
    <w:rPr>
      <w:rFonts w:cs="Times New Roman"/>
      <w:color w:val="800080"/>
      <w:u w:val="single"/>
    </w:rPr>
  </w:style>
  <w:style w:type="character" w:styleId="10">
    <w:name w:val="Hyperlink"/>
    <w:basedOn w:val="7"/>
    <w:qFormat/>
    <w:uiPriority w:val="99"/>
    <w:rPr>
      <w:rFonts w:cs="Times New Roman"/>
      <w:color w:val="0000FF"/>
      <w:u w:val="single"/>
    </w:rPr>
  </w:style>
  <w:style w:type="character" w:customStyle="1" w:styleId="11">
    <w:name w:val="页脚 Char"/>
    <w:basedOn w:val="7"/>
    <w:link w:val="3"/>
    <w:semiHidden/>
    <w:qFormat/>
    <w:uiPriority w:val="99"/>
    <w:rPr>
      <w:rFonts w:ascii="Calibri" w:hAnsi="Calibri"/>
      <w:sz w:val="18"/>
      <w:szCs w:val="18"/>
    </w:rPr>
  </w:style>
  <w:style w:type="character" w:customStyle="1" w:styleId="12">
    <w:name w:val="页眉 Char"/>
    <w:basedOn w:val="7"/>
    <w:link w:val="4"/>
    <w:semiHidden/>
    <w:qFormat/>
    <w:uiPriority w:val="99"/>
    <w:rPr>
      <w:rFonts w:ascii="Calibri" w:hAnsi="Calibri"/>
      <w:sz w:val="18"/>
      <w:szCs w:val="18"/>
    </w:rPr>
  </w:style>
  <w:style w:type="character" w:customStyle="1" w:styleId="13">
    <w:name w:val="NormalCharacter"/>
    <w:semiHidden/>
    <w:qFormat/>
    <w:uiPriority w:val="99"/>
  </w:style>
  <w:style w:type="table" w:customStyle="1" w:styleId="14">
    <w:name w:val="TableNormal"/>
    <w:semiHidden/>
    <w:qFormat/>
    <w:uiPriority w:val="99"/>
    <w:tblPr>
      <w:tblCellMar>
        <w:top w:w="0" w:type="dxa"/>
        <w:left w:w="0" w:type="dxa"/>
        <w:bottom w:w="0" w:type="dxa"/>
        <w:right w:w="0" w:type="dxa"/>
      </w:tblCellMar>
    </w:tblPr>
  </w:style>
  <w:style w:type="paragraph" w:customStyle="1" w:styleId="15">
    <w:name w:val="UserStyle_0"/>
    <w:basedOn w:val="1"/>
    <w:qFormat/>
    <w:uiPriority w:val="99"/>
    <w:pPr>
      <w:spacing w:before="100" w:beforeAutospacing="1" w:after="100" w:afterAutospacing="1"/>
      <w:jc w:val="left"/>
    </w:pPr>
    <w:rPr>
      <w:rFonts w:ascii="宋体" w:hAnsi="宋体"/>
      <w:kern w:val="0"/>
      <w:sz w:val="24"/>
    </w:rPr>
  </w:style>
  <w:style w:type="paragraph" w:customStyle="1" w:styleId="16">
    <w:name w:val="HtmlNormal"/>
    <w:basedOn w:val="1"/>
    <w:qFormat/>
    <w:uiPriority w:val="99"/>
    <w:pPr>
      <w:spacing w:before="100" w:beforeAutospacing="1" w:after="100" w:afterAutospacing="1"/>
      <w:jc w:val="left"/>
    </w:pPr>
    <w:rPr>
      <w:kern w:val="0"/>
      <w:sz w:val="24"/>
    </w:rPr>
  </w:style>
  <w:style w:type="character" w:customStyle="1" w:styleId="17">
    <w:name w:val="批注框文本 Char"/>
    <w:basedOn w:val="7"/>
    <w:link w:val="2"/>
    <w:qFormat/>
    <w:locked/>
    <w:uiPriority w:val="99"/>
    <w:rPr>
      <w:rFonts w:ascii="Calibri" w:hAnsi="Calibri"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2155</Words>
  <Characters>2277</Characters>
  <Lines>23</Lines>
  <Paragraphs>6</Paragraphs>
  <TotalTime>9</TotalTime>
  <ScaleCrop>false</ScaleCrop>
  <LinksUpToDate>false</LinksUpToDate>
  <CharactersWithSpaces>2372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2019-12-09T16:18:00Z</dcterms:created>
  <dc:creator>Administrator</dc:creator>
  <cp:lastModifiedBy>WPS_1591263141</cp:lastModifiedBy>
  <cp:lastPrinted>2022-01-10T21:17:00Z</cp:lastPrinted>
  <dcterms:modified xsi:type="dcterms:W3CDTF">2025-12-29T03:10:38Z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28CA0920EC4B404394375B996E52FC17_13</vt:lpwstr>
  </property>
  <property fmtid="{D5CDD505-2E9C-101B-9397-08002B2CF9AE}" pid="4" name="KSOTemplateDocerSaveRecord">
    <vt:lpwstr>eyJoZGlkIjoiNzlhNGQ1MzhiMTg1ODQzNjUwYWJiY2Q5ZTI0YjQ4NGQiLCJ1c2VySWQiOiIxMDA2MzE5ODE3In0=</vt:lpwstr>
  </property>
</Properties>
</file>