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jc w:val="center"/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ind w:firstLine="480"/>
        <w:jc w:val="center"/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  <w:lang w:val="en-US" w:eastAsia="zh-CN"/>
        </w:rPr>
        <w:t>泉港生态环境局2019年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</w:rPr>
        <w:t>政府信息公开</w:t>
      </w:r>
    </w:p>
    <w:p>
      <w:pPr>
        <w:widowControl/>
        <w:ind w:firstLine="480"/>
        <w:jc w:val="center"/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</w:rPr>
        <w:t>工作年度报告</w:t>
      </w:r>
    </w:p>
    <w:p>
      <w:pPr>
        <w:widowControl/>
        <w:ind w:firstLine="640" w:firstLineChars="200"/>
        <w:jc w:val="both"/>
        <w:rPr>
          <w:rFonts w:hint="eastAsia" w:ascii="Times New Roman" w:hAnsi="Times New Roman" w:eastAsia="方正黑体简体" w:cs="Times New Roman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Cs/>
          <w:color w:val="000000"/>
          <w:kern w:val="0"/>
          <w:sz w:val="32"/>
          <w:szCs w:val="32"/>
          <w:lang w:val="en-US" w:eastAsia="zh-CN" w:bidi="ar-SA"/>
        </w:rPr>
        <w:t>一、总体情况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一年来，我局认真贯彻政府信息公开工作制度，认真履行政府信息公开工作职责，在基层环保战线上积极推进各项工作的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了应有的贡献。在生态环境信息公开方面，本局依法公开各项规章制度、国家环保政策，以及环境监督管理、环境监测数据等。对于政府信息管理、平台建设、监督保障方面，我局也进行了卓有成效的实践。特别是在石油化工工业环境污染信息处理方面，我局及时发布相关信息，解决了群众的后顾之忧，有效地化解厂群矛盾，督促企业及时排查隐患，确保正常生产。在污染源普查方面，我局在信息保障方面也做出了积极的努力，得到社会积极的响应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我局通过政府信息公开目录公开主动公开政府信息4条，通过泉港区政府网站政务公开栏目“环境保护”专栏，设置空气质量、水质环境、项目环评、污染源环境监管、重点企业环境、污染源普查等6个模块，共发布567条环境信息。</w:t>
      </w:r>
    </w:p>
    <w:p>
      <w:pPr>
        <w:pStyle w:val="6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  <w:t>二、主动公开政府信息情况</w:t>
      </w:r>
    </w:p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黑体简体" w:cs="Times New Roman"/>
          <w:b/>
          <w:bCs/>
          <w:color w:val="000000"/>
          <w:sz w:val="28"/>
          <w:szCs w:val="28"/>
        </w:rPr>
      </w:pPr>
    </w:p>
    <w:tbl>
      <w:tblPr>
        <w:tblStyle w:val="8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559"/>
        <w:gridCol w:w="174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本年新</w:t>
            </w: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制作数量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本年新</w:t>
            </w: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公开数量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对外公开总数量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规范性文件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ind w:firstLine="840" w:firstLineChars="30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增14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ind w:firstLine="840" w:firstLineChars="300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增10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本年增/减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第二十条第（九）项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采购总金额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政府集中采购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黑体简体" w:cs="Times New Roman"/>
          <w:b/>
          <w:bCs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  <w:t>三、收到和处理政府信息公开申请情况</w:t>
      </w:r>
    </w:p>
    <w:tbl>
      <w:tblPr>
        <w:tblStyle w:val="8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9"/>
        <w:gridCol w:w="1895"/>
        <w:gridCol w:w="560"/>
        <w:gridCol w:w="632"/>
        <w:gridCol w:w="632"/>
        <w:gridCol w:w="779"/>
        <w:gridCol w:w="779"/>
        <w:gridCol w:w="496"/>
        <w:gridCol w:w="4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374" w:type="dxa"/>
            <w:gridSpan w:val="7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3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自然人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法人或其他组织</w:t>
            </w:r>
          </w:p>
        </w:tc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148" w:type="dxa"/>
            <w:gridSpan w:val="3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商业企业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科研机构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社会公益组织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4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3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ind w:firstLine="560" w:firstLineChars="200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（一）予以公开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（三）不予公开</w:t>
            </w: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1.属于国家秘密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2.其他法律行政法规禁止公开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3.危及“三安全一稳定”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4.保护第三方合法权益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5.属于三类内部事务信息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7.属于行政执法案卷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8.属于行政查询事项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（四）无法提供</w:t>
            </w: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2.没有现成信息需要另行制作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3.补正后申请内容仍不明确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restart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（五）不予处理</w:t>
            </w: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（六）其他处理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（七）总计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3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四、结转下年度继续办理</w:t>
            </w:r>
          </w:p>
        </w:tc>
        <w:tc>
          <w:tcPr>
            <w:tcW w:w="560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仿宋简体" w:cs="Times New Roman"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仿宋简体" w:cs="Times New Roman"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仿宋简体" w:cs="Times New Roman"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仿宋简体" w:cs="Times New Roman"/>
          <w:color w:val="000000"/>
          <w:sz w:val="28"/>
          <w:szCs w:val="28"/>
        </w:rPr>
      </w:pPr>
    </w:p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  <w:t>四、政府信息公开行政复议、行政诉讼情况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pStyle w:val="6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568" w:type="dxa"/>
            <w:vMerge w:val="restart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复议后起诉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9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569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pStyle w:val="6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6"/>
        <w:spacing w:before="0" w:beforeAutospacing="0" w:after="0" w:afterAutospacing="0" w:line="580" w:lineRule="exact"/>
        <w:jc w:val="both"/>
        <w:rPr>
          <w:rFonts w:ascii="Times New Roman" w:hAnsi="Times New Roman" w:eastAsia="方正黑体简体" w:cs="Times New Roman"/>
          <w:b/>
          <w:bCs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  <w:t>五、存在的主要问题及改进情况</w:t>
      </w:r>
    </w:p>
    <w:p>
      <w:pPr>
        <w:pStyle w:val="6"/>
        <w:spacing w:before="0" w:beforeAutospacing="0" w:after="0" w:afterAutospacing="0" w:line="580" w:lineRule="exact"/>
        <w:ind w:firstLine="643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（一)存在的主要问题和困难：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 w:bidi="ar-SA"/>
        </w:rPr>
        <w:t>由于我局技术能力有限，未能确保信息采集完整并及时发布，对于群众关切的热点、难点问题，比如环境应急信息、环境监测数据的提供等方面，还需进一步改进工作的成效。</w:t>
      </w:r>
    </w:p>
    <w:p>
      <w:pPr>
        <w:pStyle w:val="6"/>
        <w:spacing w:before="0" w:beforeAutospacing="0" w:after="0" w:afterAutospacing="0"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（二)具体的解决办法和改进措施：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存在的问题和困难，下一步工作中，我局将进一步贯彻落实政府信息公开相关文件精神，严格按照有关要求，认真抓好组织实施。切实做好主动公开工作，及时更新、公布政府信息，对空气质量、水质环境、项目环评、污染源环境监管、重点企业环境、污染源普查等内容，主动按照法定的时限及时予以公开。</w:t>
      </w:r>
    </w:p>
    <w:p>
      <w:pPr>
        <w:pStyle w:val="6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color w:val="000000"/>
          <w:sz w:val="32"/>
          <w:szCs w:val="32"/>
        </w:rPr>
        <w:t>六、其他需要报告的事项</w:t>
      </w:r>
    </w:p>
    <w:p>
      <w:pPr>
        <w:widowControl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我局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暂时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没有其他需要报告的事项。</w:t>
      </w:r>
    </w:p>
    <w:p>
      <w:pPr>
        <w:widowControl/>
        <w:ind w:firstLine="480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ind w:firstLine="5203" w:firstLineChars="162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泉港生态环境局</w:t>
      </w:r>
    </w:p>
    <w:p>
      <w:pPr>
        <w:widowControl/>
        <w:ind w:firstLine="5203" w:firstLineChars="1626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2019年1月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4" w:right="1800" w:bottom="2041" w:left="1800" w:header="851" w:footer="709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50" w:firstLineChars="50"/>
      <w:jc w:val="right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13 -</w:t>
    </w:r>
    <w:r>
      <w:rPr>
        <w:rFonts w:ascii="宋体" w:hAnsi="宋体"/>
        <w:sz w:val="30"/>
        <w:szCs w:val="30"/>
      </w:rPr>
      <w:fldChar w:fldCharType="end"/>
    </w:r>
  </w:p>
  <w:p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600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14 -</w:t>
    </w:r>
    <w:r>
      <w:rPr>
        <w:rFonts w:ascii="宋体" w:hAnsi="宋体"/>
        <w:sz w:val="30"/>
        <w:szCs w:val="30"/>
      </w:rPr>
      <w:fldChar w:fldCharType="end"/>
    </w:r>
  </w:p>
  <w:p>
    <w:pPr>
      <w:pStyle w:val="3"/>
      <w:ind w:firstLine="280" w:firstLineChars="100"/>
      <w:rPr>
        <w:rFonts w:ascii="宋体" w:hAnsi="宋体" w:eastAsia="宋体"/>
        <w:sz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D8"/>
    <w:rsid w:val="000251E3"/>
    <w:rsid w:val="00032339"/>
    <w:rsid w:val="001D7978"/>
    <w:rsid w:val="0025353A"/>
    <w:rsid w:val="002D64BF"/>
    <w:rsid w:val="00303FF9"/>
    <w:rsid w:val="00312C57"/>
    <w:rsid w:val="00470CCC"/>
    <w:rsid w:val="004964EE"/>
    <w:rsid w:val="004E52E6"/>
    <w:rsid w:val="00595D66"/>
    <w:rsid w:val="005F6674"/>
    <w:rsid w:val="006064D8"/>
    <w:rsid w:val="006657B8"/>
    <w:rsid w:val="00732C8F"/>
    <w:rsid w:val="007516CB"/>
    <w:rsid w:val="007E610F"/>
    <w:rsid w:val="00864641"/>
    <w:rsid w:val="008D7A88"/>
    <w:rsid w:val="00924095"/>
    <w:rsid w:val="00977345"/>
    <w:rsid w:val="00A52C06"/>
    <w:rsid w:val="00A605DD"/>
    <w:rsid w:val="00A62523"/>
    <w:rsid w:val="00A74E20"/>
    <w:rsid w:val="00B63FE4"/>
    <w:rsid w:val="00B72CFF"/>
    <w:rsid w:val="00BA7BFB"/>
    <w:rsid w:val="00C768E4"/>
    <w:rsid w:val="00CD6B21"/>
    <w:rsid w:val="00D13639"/>
    <w:rsid w:val="00D3116D"/>
    <w:rsid w:val="00D657AD"/>
    <w:rsid w:val="00D9492D"/>
    <w:rsid w:val="00E849F9"/>
    <w:rsid w:val="00F2735A"/>
    <w:rsid w:val="00F62B8B"/>
    <w:rsid w:val="00FD2E23"/>
    <w:rsid w:val="00FE18D0"/>
    <w:rsid w:val="00FE4EF5"/>
    <w:rsid w:val="063D01CE"/>
    <w:rsid w:val="07320CF3"/>
    <w:rsid w:val="22422A85"/>
    <w:rsid w:val="2AC9265F"/>
    <w:rsid w:val="2D77EE66"/>
    <w:rsid w:val="43083430"/>
    <w:rsid w:val="5A8C2202"/>
    <w:rsid w:val="6CBC1D57"/>
    <w:rsid w:val="7A5670A6"/>
    <w:rsid w:val="7B7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uiPriority w:val="99"/>
    <w:rPr>
      <w:sz w:val="18"/>
      <w:szCs w:val="18"/>
    </w:rPr>
  </w:style>
  <w:style w:type="character" w:customStyle="1" w:styleId="13">
    <w:name w:val="副标题 Char"/>
    <w:basedOn w:val="9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867</Words>
  <Characters>4947</Characters>
  <Lines>41</Lines>
  <Paragraphs>11</Paragraphs>
  <TotalTime>13</TotalTime>
  <ScaleCrop>false</ScaleCrop>
  <LinksUpToDate>false</LinksUpToDate>
  <CharactersWithSpaces>5803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2019-11-29T10:56:00Z</dcterms:created>
  <dc:creator>pc</dc:creator>
  <cp:lastModifiedBy>郭郭</cp:lastModifiedBy>
  <cp:lastPrinted>2020-01-02T09:28:12Z</cp:lastPrinted>
  <dcterms:modified xsi:type="dcterms:W3CDTF">2020-01-02T09:30:20Z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