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5D472">
      <w:pPr>
        <w:pStyle w:val="4"/>
        <w:outlineLvl w:val="1"/>
        <w:rPr>
          <w:rFonts w:hint="eastAsia" w:ascii="黑体" w:hAnsi="黑体" w:eastAsia="黑体" w:cs="黑体"/>
          <w:szCs w:val="32"/>
          <w:lang w:eastAsia="zh-CN"/>
        </w:rPr>
      </w:pPr>
      <w:r>
        <w:rPr>
          <w:rFonts w:hint="eastAsia" w:ascii="黑体" w:hAnsi="黑体" w:eastAsia="黑体" w:cs="黑体"/>
          <w:szCs w:val="32"/>
        </w:rPr>
        <w:t>附件</w:t>
      </w:r>
      <w:r>
        <w:rPr>
          <w:rFonts w:hint="eastAsia" w:ascii="黑体" w:hAnsi="黑体" w:eastAsia="黑体" w:cs="黑体"/>
          <w:szCs w:val="32"/>
          <w:lang w:val="en-US" w:eastAsia="zh-CN"/>
        </w:rPr>
        <w:t>4</w:t>
      </w:r>
    </w:p>
    <w:p w14:paraId="6AD32C7D">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ascii="宋体" w:hAnsi="宋体"/>
          <w:b/>
          <w:bCs/>
          <w:kern w:val="2"/>
          <w:sz w:val="44"/>
        </w:rPr>
      </w:pPr>
      <w:bookmarkStart w:id="0" w:name="_GoBack"/>
      <w:r>
        <w:rPr>
          <w:rFonts w:ascii="宋体" w:hAnsi="宋体"/>
          <w:b/>
          <w:bCs/>
          <w:kern w:val="2"/>
          <w:sz w:val="44"/>
        </w:rPr>
        <w:t>地质灾害气象风险预警等级对应防灾措施一览表</w:t>
      </w:r>
      <w:bookmarkEnd w:id="0"/>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412"/>
        <w:gridCol w:w="1945"/>
        <w:gridCol w:w="4734"/>
        <w:gridCol w:w="2866"/>
        <w:gridCol w:w="2578"/>
      </w:tblGrid>
      <w:tr w14:paraId="1512C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73" w:type="dxa"/>
            <w:noWrap w:val="0"/>
            <w:vAlign w:val="center"/>
          </w:tcPr>
          <w:p w14:paraId="0DEC2B0C">
            <w:pPr>
              <w:widowControl w:val="0"/>
              <w:spacing w:line="340" w:lineRule="exact"/>
              <w:jc w:val="center"/>
              <w:rPr>
                <w:rFonts w:ascii="宋体" w:hAnsi="宋体"/>
                <w:b/>
                <w:bCs/>
                <w:kern w:val="2"/>
                <w:sz w:val="24"/>
                <w:szCs w:val="24"/>
              </w:rPr>
            </w:pPr>
            <w:r>
              <w:rPr>
                <w:rFonts w:ascii="宋体" w:hAnsi="宋体"/>
                <w:b/>
                <w:bCs/>
                <w:kern w:val="2"/>
                <w:sz w:val="24"/>
                <w:szCs w:val="24"/>
              </w:rPr>
              <w:t>级别</w:t>
            </w:r>
          </w:p>
        </w:tc>
        <w:tc>
          <w:tcPr>
            <w:tcW w:w="1412" w:type="dxa"/>
            <w:noWrap w:val="0"/>
            <w:vAlign w:val="center"/>
          </w:tcPr>
          <w:p w14:paraId="46B604B8">
            <w:pPr>
              <w:widowControl w:val="0"/>
              <w:spacing w:line="340" w:lineRule="exact"/>
              <w:jc w:val="center"/>
              <w:rPr>
                <w:rFonts w:ascii="宋体" w:hAnsi="宋体"/>
                <w:b/>
                <w:bCs/>
                <w:spacing w:val="-3"/>
                <w:kern w:val="2"/>
                <w:sz w:val="24"/>
                <w:szCs w:val="24"/>
              </w:rPr>
            </w:pPr>
            <w:r>
              <w:rPr>
                <w:rFonts w:ascii="宋体" w:hAnsi="宋体"/>
                <w:b/>
                <w:bCs/>
                <w:spacing w:val="-3"/>
                <w:kern w:val="2"/>
                <w:sz w:val="24"/>
                <w:szCs w:val="24"/>
              </w:rPr>
              <w:t>地质灾害</w:t>
            </w:r>
          </w:p>
          <w:p w14:paraId="3FB7D567">
            <w:pPr>
              <w:widowControl w:val="0"/>
              <w:spacing w:line="340" w:lineRule="exact"/>
              <w:jc w:val="center"/>
              <w:rPr>
                <w:rFonts w:ascii="宋体" w:hAnsi="宋体"/>
                <w:b/>
                <w:bCs/>
                <w:spacing w:val="-20"/>
                <w:kern w:val="2"/>
                <w:sz w:val="24"/>
                <w:szCs w:val="24"/>
              </w:rPr>
            </w:pPr>
            <w:r>
              <w:rPr>
                <w:rFonts w:ascii="宋体" w:hAnsi="宋体"/>
                <w:b/>
                <w:bCs/>
                <w:spacing w:val="-3"/>
                <w:kern w:val="2"/>
                <w:sz w:val="24"/>
                <w:szCs w:val="24"/>
              </w:rPr>
              <w:t>可能性描述</w:t>
            </w:r>
          </w:p>
        </w:tc>
        <w:tc>
          <w:tcPr>
            <w:tcW w:w="1945" w:type="dxa"/>
            <w:noWrap w:val="0"/>
            <w:vAlign w:val="center"/>
          </w:tcPr>
          <w:p w14:paraId="329BCFD8">
            <w:pPr>
              <w:widowControl w:val="0"/>
              <w:spacing w:line="340" w:lineRule="exact"/>
              <w:jc w:val="center"/>
              <w:rPr>
                <w:rFonts w:ascii="宋体" w:hAnsi="宋体"/>
                <w:b/>
                <w:bCs/>
                <w:kern w:val="2"/>
                <w:sz w:val="24"/>
                <w:szCs w:val="24"/>
              </w:rPr>
            </w:pPr>
            <w:r>
              <w:rPr>
                <w:rFonts w:ascii="宋体" w:hAnsi="宋体"/>
                <w:b/>
                <w:bCs/>
                <w:kern w:val="2"/>
                <w:sz w:val="24"/>
                <w:szCs w:val="24"/>
              </w:rPr>
              <w:t>值班要求</w:t>
            </w:r>
          </w:p>
        </w:tc>
        <w:tc>
          <w:tcPr>
            <w:tcW w:w="4734" w:type="dxa"/>
            <w:noWrap w:val="0"/>
            <w:vAlign w:val="center"/>
          </w:tcPr>
          <w:p w14:paraId="65CFA167">
            <w:pPr>
              <w:widowControl w:val="0"/>
              <w:spacing w:line="340" w:lineRule="exact"/>
              <w:jc w:val="center"/>
              <w:rPr>
                <w:rFonts w:ascii="宋体" w:hAnsi="宋体"/>
                <w:b/>
                <w:bCs/>
                <w:kern w:val="2"/>
                <w:sz w:val="24"/>
                <w:szCs w:val="24"/>
              </w:rPr>
            </w:pPr>
            <w:r>
              <w:rPr>
                <w:rFonts w:ascii="宋体" w:hAnsi="宋体"/>
                <w:b/>
                <w:bCs/>
                <w:kern w:val="2"/>
                <w:sz w:val="24"/>
                <w:szCs w:val="24"/>
              </w:rPr>
              <w:t>预案启动</w:t>
            </w:r>
          </w:p>
        </w:tc>
        <w:tc>
          <w:tcPr>
            <w:tcW w:w="2866" w:type="dxa"/>
            <w:noWrap w:val="0"/>
            <w:vAlign w:val="center"/>
          </w:tcPr>
          <w:p w14:paraId="27659B4A">
            <w:pPr>
              <w:widowControl w:val="0"/>
              <w:spacing w:line="340" w:lineRule="exact"/>
              <w:jc w:val="center"/>
              <w:rPr>
                <w:rFonts w:ascii="宋体" w:hAnsi="宋体"/>
                <w:b/>
                <w:bCs/>
                <w:kern w:val="2"/>
                <w:sz w:val="24"/>
                <w:szCs w:val="24"/>
              </w:rPr>
            </w:pPr>
            <w:r>
              <w:rPr>
                <w:rFonts w:ascii="宋体" w:hAnsi="宋体"/>
                <w:b/>
                <w:bCs/>
                <w:kern w:val="2"/>
                <w:sz w:val="24"/>
                <w:szCs w:val="24"/>
              </w:rPr>
              <w:t>转移对象</w:t>
            </w:r>
          </w:p>
        </w:tc>
        <w:tc>
          <w:tcPr>
            <w:tcW w:w="2578" w:type="dxa"/>
            <w:noWrap w:val="0"/>
            <w:vAlign w:val="center"/>
          </w:tcPr>
          <w:p w14:paraId="2CC654BC">
            <w:pPr>
              <w:widowControl w:val="0"/>
              <w:spacing w:line="340" w:lineRule="exact"/>
              <w:jc w:val="center"/>
              <w:rPr>
                <w:rFonts w:ascii="宋体" w:hAnsi="宋体"/>
                <w:b/>
                <w:bCs/>
                <w:kern w:val="2"/>
                <w:sz w:val="24"/>
                <w:szCs w:val="24"/>
              </w:rPr>
            </w:pPr>
            <w:r>
              <w:rPr>
                <w:rFonts w:ascii="宋体" w:hAnsi="宋体"/>
                <w:b/>
                <w:bCs/>
                <w:kern w:val="2"/>
                <w:sz w:val="24"/>
                <w:szCs w:val="24"/>
              </w:rPr>
              <w:t>巡查</w:t>
            </w:r>
          </w:p>
        </w:tc>
      </w:tr>
      <w:tr w14:paraId="3A4D4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73" w:type="dxa"/>
            <w:noWrap w:val="0"/>
            <w:vAlign w:val="center"/>
          </w:tcPr>
          <w:p w14:paraId="518A6FAF">
            <w:pPr>
              <w:widowControl w:val="0"/>
              <w:spacing w:line="340" w:lineRule="exact"/>
              <w:jc w:val="center"/>
              <w:rPr>
                <w:rFonts w:ascii="宋体" w:hAnsi="宋体"/>
                <w:kern w:val="2"/>
                <w:sz w:val="24"/>
                <w:szCs w:val="24"/>
              </w:rPr>
            </w:pPr>
            <w:r>
              <w:rPr>
                <w:rFonts w:ascii="宋体" w:hAnsi="宋体"/>
                <w:kern w:val="2"/>
                <w:sz w:val="24"/>
                <w:szCs w:val="24"/>
              </w:rPr>
              <w:t>一级</w:t>
            </w:r>
          </w:p>
        </w:tc>
        <w:tc>
          <w:tcPr>
            <w:tcW w:w="1412" w:type="dxa"/>
            <w:noWrap w:val="0"/>
            <w:vAlign w:val="center"/>
          </w:tcPr>
          <w:p w14:paraId="6F1951C4">
            <w:pPr>
              <w:widowControl w:val="0"/>
              <w:spacing w:line="340" w:lineRule="exact"/>
              <w:jc w:val="center"/>
              <w:rPr>
                <w:rFonts w:ascii="宋体" w:hAnsi="宋体"/>
                <w:kern w:val="2"/>
                <w:sz w:val="24"/>
                <w:szCs w:val="24"/>
              </w:rPr>
            </w:pPr>
            <w:r>
              <w:rPr>
                <w:rFonts w:ascii="宋体" w:hAnsi="宋体"/>
                <w:kern w:val="2"/>
                <w:sz w:val="24"/>
                <w:szCs w:val="24"/>
              </w:rPr>
              <w:t>发生地质灾害可能性很大</w:t>
            </w:r>
          </w:p>
        </w:tc>
        <w:tc>
          <w:tcPr>
            <w:tcW w:w="1945" w:type="dxa"/>
            <w:noWrap w:val="0"/>
            <w:vAlign w:val="center"/>
          </w:tcPr>
          <w:p w14:paraId="7DC626D8">
            <w:pPr>
              <w:widowControl w:val="0"/>
              <w:spacing w:line="340" w:lineRule="exact"/>
              <w:rPr>
                <w:rFonts w:ascii="宋体" w:hAnsi="宋体"/>
                <w:color w:val="000000"/>
                <w:kern w:val="2"/>
                <w:sz w:val="24"/>
                <w:szCs w:val="24"/>
              </w:rPr>
            </w:pPr>
            <w:r>
              <w:rPr>
                <w:rFonts w:ascii="宋体" w:hAnsi="宋体"/>
                <w:color w:val="000000"/>
                <w:kern w:val="2"/>
                <w:sz w:val="24"/>
                <w:szCs w:val="24"/>
              </w:rPr>
              <w:t>区政府、乡镇（街道）人民政府及有关部门24小时值班室值班，领导带班。</w:t>
            </w:r>
          </w:p>
        </w:tc>
        <w:tc>
          <w:tcPr>
            <w:tcW w:w="4734" w:type="dxa"/>
            <w:noWrap w:val="0"/>
            <w:vAlign w:val="center"/>
          </w:tcPr>
          <w:p w14:paraId="2BFF1170">
            <w:pPr>
              <w:widowControl w:val="0"/>
              <w:spacing w:line="340" w:lineRule="exact"/>
              <w:rPr>
                <w:rFonts w:ascii="宋体" w:hAnsi="宋体"/>
                <w:color w:val="000000"/>
                <w:kern w:val="2"/>
                <w:sz w:val="24"/>
                <w:szCs w:val="24"/>
              </w:rPr>
            </w:pPr>
            <w:r>
              <w:rPr>
                <w:rFonts w:ascii="宋体" w:hAnsi="宋体"/>
                <w:color w:val="000000"/>
                <w:kern w:val="2"/>
                <w:sz w:val="24"/>
                <w:szCs w:val="24"/>
              </w:rPr>
              <w:t>区政府应及时启动相应的应急预案和抢险救灾指挥系统，做好应急准备，派出应急小分队或者包村干部驻点指导防灾抗灾救灾工作。乡镇（街道）政府及时启动《村（居）汛期地质灾害防御群众转移预案》。</w:t>
            </w:r>
          </w:p>
        </w:tc>
        <w:tc>
          <w:tcPr>
            <w:tcW w:w="2866" w:type="dxa"/>
            <w:noWrap w:val="0"/>
            <w:vAlign w:val="center"/>
          </w:tcPr>
          <w:p w14:paraId="356819A2">
            <w:pPr>
              <w:widowControl w:val="0"/>
              <w:spacing w:line="340" w:lineRule="exact"/>
              <w:rPr>
                <w:rFonts w:ascii="宋体" w:hAnsi="宋体"/>
                <w:kern w:val="2"/>
                <w:sz w:val="24"/>
                <w:szCs w:val="24"/>
              </w:rPr>
            </w:pPr>
            <w:r>
              <w:rPr>
                <w:rFonts w:ascii="宋体" w:hAnsi="宋体"/>
                <w:color w:val="000000"/>
                <w:kern w:val="2"/>
                <w:sz w:val="24"/>
                <w:szCs w:val="24"/>
              </w:rPr>
              <w:t>乡（镇、街）、村（居）防灾负责人立即组织地质灾害隐患点、危险区、易发区域内的所有群众转移，其他群众根据雨情险情适时组织转移。</w:t>
            </w:r>
          </w:p>
        </w:tc>
        <w:tc>
          <w:tcPr>
            <w:tcW w:w="2578" w:type="dxa"/>
            <w:noWrap w:val="0"/>
            <w:vAlign w:val="center"/>
          </w:tcPr>
          <w:p w14:paraId="46565725">
            <w:pPr>
              <w:widowControl w:val="0"/>
              <w:spacing w:line="340" w:lineRule="exact"/>
              <w:rPr>
                <w:rFonts w:ascii="宋体" w:hAnsi="宋体"/>
                <w:kern w:val="2"/>
                <w:sz w:val="24"/>
                <w:szCs w:val="24"/>
              </w:rPr>
            </w:pPr>
            <w:r>
              <w:rPr>
                <w:rFonts w:ascii="宋体" w:hAnsi="宋体"/>
                <w:color w:val="000000"/>
                <w:kern w:val="2"/>
                <w:sz w:val="24"/>
                <w:szCs w:val="24"/>
              </w:rPr>
              <w:t>乡（镇、街）、村（居）防灾负责人组织对非地质灾害隐患点、危险区和易发区的监测巡查，</w:t>
            </w:r>
            <w:r>
              <w:rPr>
                <w:rFonts w:ascii="宋体" w:hAnsi="宋体"/>
                <w:kern w:val="2"/>
                <w:sz w:val="24"/>
                <w:szCs w:val="24"/>
              </w:rPr>
              <w:t>密切关注房屋周边山体、护坡的状况，如有异常，立即报告</w:t>
            </w:r>
            <w:r>
              <w:rPr>
                <w:rFonts w:ascii="宋体" w:hAnsi="宋体"/>
                <w:color w:val="000000"/>
                <w:kern w:val="2"/>
                <w:sz w:val="24"/>
                <w:szCs w:val="24"/>
              </w:rPr>
              <w:t>。</w:t>
            </w:r>
          </w:p>
        </w:tc>
      </w:tr>
      <w:tr w14:paraId="62A75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noWrap w:val="0"/>
            <w:vAlign w:val="center"/>
          </w:tcPr>
          <w:p w14:paraId="3A788AB1">
            <w:pPr>
              <w:widowControl w:val="0"/>
              <w:spacing w:line="340" w:lineRule="exact"/>
              <w:jc w:val="center"/>
              <w:rPr>
                <w:rFonts w:ascii="宋体" w:hAnsi="宋体"/>
                <w:kern w:val="2"/>
                <w:sz w:val="24"/>
                <w:szCs w:val="24"/>
              </w:rPr>
            </w:pPr>
            <w:r>
              <w:rPr>
                <w:rFonts w:ascii="宋体" w:hAnsi="宋体"/>
                <w:kern w:val="2"/>
                <w:sz w:val="24"/>
                <w:szCs w:val="24"/>
              </w:rPr>
              <w:t>二级</w:t>
            </w:r>
          </w:p>
        </w:tc>
        <w:tc>
          <w:tcPr>
            <w:tcW w:w="1412" w:type="dxa"/>
            <w:noWrap w:val="0"/>
            <w:vAlign w:val="center"/>
          </w:tcPr>
          <w:p w14:paraId="27E43197">
            <w:pPr>
              <w:widowControl w:val="0"/>
              <w:spacing w:line="340" w:lineRule="exact"/>
              <w:jc w:val="center"/>
              <w:rPr>
                <w:rFonts w:ascii="宋体" w:hAnsi="宋体"/>
                <w:kern w:val="2"/>
                <w:sz w:val="24"/>
                <w:szCs w:val="24"/>
              </w:rPr>
            </w:pPr>
            <w:r>
              <w:rPr>
                <w:rFonts w:ascii="宋体" w:hAnsi="宋体"/>
                <w:kern w:val="2"/>
                <w:sz w:val="24"/>
                <w:szCs w:val="24"/>
              </w:rPr>
              <w:t>发生地质灾害可能性大</w:t>
            </w:r>
          </w:p>
        </w:tc>
        <w:tc>
          <w:tcPr>
            <w:tcW w:w="1945" w:type="dxa"/>
            <w:noWrap w:val="0"/>
            <w:vAlign w:val="center"/>
          </w:tcPr>
          <w:p w14:paraId="09DA576B">
            <w:pPr>
              <w:widowControl w:val="0"/>
              <w:spacing w:line="340" w:lineRule="exact"/>
              <w:rPr>
                <w:rFonts w:ascii="宋体" w:hAnsi="宋体"/>
                <w:kern w:val="2"/>
                <w:sz w:val="24"/>
                <w:szCs w:val="24"/>
              </w:rPr>
            </w:pPr>
            <w:r>
              <w:rPr>
                <w:rFonts w:ascii="宋体" w:hAnsi="宋体"/>
                <w:color w:val="000000"/>
                <w:kern w:val="2"/>
                <w:sz w:val="24"/>
                <w:szCs w:val="24"/>
              </w:rPr>
              <w:t>区政府、乡镇（街道）人民政府及有关部门24小时值班室值班，做好抢险救灾准备。</w:t>
            </w:r>
          </w:p>
        </w:tc>
        <w:tc>
          <w:tcPr>
            <w:tcW w:w="4734" w:type="dxa"/>
            <w:noWrap w:val="0"/>
            <w:vAlign w:val="center"/>
          </w:tcPr>
          <w:p w14:paraId="7DF05717">
            <w:pPr>
              <w:widowControl w:val="0"/>
              <w:spacing w:line="340" w:lineRule="exact"/>
              <w:rPr>
                <w:rFonts w:ascii="宋体" w:hAnsi="宋体"/>
                <w:kern w:val="2"/>
                <w:sz w:val="24"/>
                <w:szCs w:val="24"/>
              </w:rPr>
            </w:pPr>
            <w:r>
              <w:rPr>
                <w:rFonts w:ascii="宋体" w:hAnsi="宋体"/>
                <w:color w:val="000000"/>
                <w:kern w:val="2"/>
                <w:sz w:val="24"/>
                <w:szCs w:val="24"/>
              </w:rPr>
              <w:t>区政府、乡镇(街道)人民政府根据险情及时启动相关的应急预案和《村（居）汛期地质灾害防御群众转移预案》。</w:t>
            </w:r>
          </w:p>
        </w:tc>
        <w:tc>
          <w:tcPr>
            <w:tcW w:w="2866" w:type="dxa"/>
            <w:noWrap w:val="0"/>
            <w:vAlign w:val="center"/>
          </w:tcPr>
          <w:p w14:paraId="22027E51">
            <w:pPr>
              <w:widowControl w:val="0"/>
              <w:spacing w:line="340" w:lineRule="exact"/>
              <w:rPr>
                <w:rFonts w:ascii="宋体" w:hAnsi="宋体"/>
                <w:kern w:val="2"/>
                <w:sz w:val="24"/>
                <w:szCs w:val="24"/>
              </w:rPr>
            </w:pPr>
            <w:r>
              <w:rPr>
                <w:rFonts w:ascii="宋体" w:hAnsi="宋体"/>
                <w:color w:val="000000"/>
                <w:kern w:val="2"/>
                <w:sz w:val="24"/>
                <w:szCs w:val="24"/>
              </w:rPr>
              <w:t>乡（镇、街）、村（居）防灾负责人组织危险性较大地质灾害隐患点和危险区内所有群众转移，易发区受威胁人员根据雨情险情适时组织转移。</w:t>
            </w:r>
          </w:p>
        </w:tc>
        <w:tc>
          <w:tcPr>
            <w:tcW w:w="2578" w:type="dxa"/>
            <w:noWrap w:val="0"/>
            <w:vAlign w:val="center"/>
          </w:tcPr>
          <w:p w14:paraId="6AFCCAAA">
            <w:pPr>
              <w:widowControl w:val="0"/>
              <w:spacing w:line="340" w:lineRule="exact"/>
              <w:rPr>
                <w:rFonts w:ascii="宋体" w:hAnsi="宋体"/>
                <w:kern w:val="2"/>
                <w:sz w:val="24"/>
                <w:szCs w:val="24"/>
              </w:rPr>
            </w:pPr>
            <w:r>
              <w:rPr>
                <w:rFonts w:ascii="宋体" w:hAnsi="宋体"/>
                <w:color w:val="000000"/>
                <w:kern w:val="2"/>
                <w:sz w:val="24"/>
                <w:szCs w:val="24"/>
              </w:rPr>
              <w:t>乡（镇、街）、村（居）防灾负责人组织对地质灾害隐患点、危险区和易发区加密监测巡查。</w:t>
            </w:r>
          </w:p>
        </w:tc>
      </w:tr>
      <w:tr w14:paraId="78E98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973" w:type="dxa"/>
            <w:noWrap w:val="0"/>
            <w:vAlign w:val="center"/>
          </w:tcPr>
          <w:p w14:paraId="048B7BE6">
            <w:pPr>
              <w:widowControl w:val="0"/>
              <w:spacing w:line="340" w:lineRule="exact"/>
              <w:jc w:val="center"/>
              <w:rPr>
                <w:rFonts w:ascii="宋体" w:hAnsi="宋体"/>
                <w:kern w:val="2"/>
                <w:sz w:val="24"/>
                <w:szCs w:val="24"/>
              </w:rPr>
            </w:pPr>
            <w:r>
              <w:rPr>
                <w:rFonts w:ascii="宋体" w:hAnsi="宋体"/>
                <w:kern w:val="2"/>
                <w:sz w:val="24"/>
                <w:szCs w:val="24"/>
              </w:rPr>
              <w:t>三级</w:t>
            </w:r>
          </w:p>
        </w:tc>
        <w:tc>
          <w:tcPr>
            <w:tcW w:w="1412" w:type="dxa"/>
            <w:noWrap w:val="0"/>
            <w:vAlign w:val="center"/>
          </w:tcPr>
          <w:p w14:paraId="6ECFBFFC">
            <w:pPr>
              <w:widowControl w:val="0"/>
              <w:spacing w:line="340" w:lineRule="exact"/>
              <w:jc w:val="center"/>
              <w:rPr>
                <w:rFonts w:ascii="宋体" w:hAnsi="宋体"/>
                <w:kern w:val="2"/>
                <w:sz w:val="24"/>
                <w:szCs w:val="24"/>
              </w:rPr>
            </w:pPr>
            <w:r>
              <w:rPr>
                <w:rFonts w:ascii="宋体" w:hAnsi="宋体"/>
                <w:kern w:val="2"/>
                <w:sz w:val="24"/>
                <w:szCs w:val="24"/>
              </w:rPr>
              <w:t>发生地质灾害可能性较大</w:t>
            </w:r>
          </w:p>
        </w:tc>
        <w:tc>
          <w:tcPr>
            <w:tcW w:w="1945" w:type="dxa"/>
            <w:noWrap w:val="0"/>
            <w:vAlign w:val="center"/>
          </w:tcPr>
          <w:p w14:paraId="4FC173D8">
            <w:pPr>
              <w:widowControl w:val="0"/>
              <w:spacing w:line="340" w:lineRule="exact"/>
              <w:rPr>
                <w:rFonts w:ascii="宋体" w:hAnsi="宋体"/>
                <w:kern w:val="2"/>
                <w:sz w:val="24"/>
                <w:szCs w:val="24"/>
              </w:rPr>
            </w:pPr>
            <w:r>
              <w:rPr>
                <w:rFonts w:ascii="宋体" w:hAnsi="宋体"/>
                <w:color w:val="000000"/>
                <w:kern w:val="2"/>
                <w:sz w:val="24"/>
                <w:szCs w:val="24"/>
              </w:rPr>
              <w:t>区政府、乡镇（街道）人民政府及有关部门根据雨情做好值班工作。</w:t>
            </w:r>
          </w:p>
        </w:tc>
        <w:tc>
          <w:tcPr>
            <w:tcW w:w="4734" w:type="dxa"/>
            <w:noWrap w:val="0"/>
            <w:vAlign w:val="center"/>
          </w:tcPr>
          <w:p w14:paraId="29E4802B">
            <w:pPr>
              <w:widowControl w:val="0"/>
              <w:spacing w:line="340" w:lineRule="exact"/>
              <w:rPr>
                <w:rFonts w:ascii="宋体" w:hAnsi="宋体"/>
                <w:kern w:val="2"/>
                <w:sz w:val="24"/>
                <w:szCs w:val="24"/>
              </w:rPr>
            </w:pPr>
            <w:r>
              <w:rPr>
                <w:rFonts w:ascii="宋体" w:hAnsi="宋体"/>
                <w:color w:val="000000"/>
                <w:kern w:val="2"/>
                <w:sz w:val="24"/>
                <w:szCs w:val="24"/>
              </w:rPr>
              <w:t>按年度地质灾害防治方案部署防灾工作。</w:t>
            </w:r>
          </w:p>
        </w:tc>
        <w:tc>
          <w:tcPr>
            <w:tcW w:w="2866" w:type="dxa"/>
            <w:noWrap w:val="0"/>
            <w:vAlign w:val="center"/>
          </w:tcPr>
          <w:p w14:paraId="1ABD44DE">
            <w:pPr>
              <w:widowControl w:val="0"/>
              <w:spacing w:line="340" w:lineRule="exact"/>
              <w:rPr>
                <w:rFonts w:ascii="宋体" w:hAnsi="宋体"/>
                <w:kern w:val="2"/>
                <w:sz w:val="24"/>
                <w:szCs w:val="24"/>
              </w:rPr>
            </w:pPr>
            <w:r>
              <w:rPr>
                <w:rFonts w:ascii="宋体" w:hAnsi="宋体"/>
                <w:color w:val="000000"/>
                <w:kern w:val="2"/>
                <w:sz w:val="24"/>
                <w:szCs w:val="24"/>
              </w:rPr>
              <w:t>根据险情及时组织受威胁群众转移到安全地带。</w:t>
            </w:r>
          </w:p>
        </w:tc>
        <w:tc>
          <w:tcPr>
            <w:tcW w:w="2578" w:type="dxa"/>
            <w:noWrap w:val="0"/>
            <w:vAlign w:val="center"/>
          </w:tcPr>
          <w:p w14:paraId="6994A114">
            <w:pPr>
              <w:widowControl w:val="0"/>
              <w:spacing w:line="340" w:lineRule="exact"/>
              <w:rPr>
                <w:rFonts w:ascii="宋体" w:hAnsi="宋体"/>
                <w:kern w:val="2"/>
                <w:sz w:val="24"/>
                <w:szCs w:val="24"/>
              </w:rPr>
            </w:pPr>
            <w:r>
              <w:rPr>
                <w:rFonts w:ascii="宋体" w:hAnsi="宋体"/>
                <w:color w:val="000000"/>
                <w:kern w:val="2"/>
                <w:sz w:val="24"/>
                <w:szCs w:val="24"/>
              </w:rPr>
              <w:t>乡（镇、街）、村（居）防灾负责人立即组织对地质灾害隐患点、危险区、易发区的监测巡查。</w:t>
            </w:r>
          </w:p>
        </w:tc>
      </w:tr>
    </w:tbl>
    <w:p w14:paraId="58A3F18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91EF8"/>
    <w:rsid w:val="14D91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2026-05-21T09:03:00Z</dcterms:created>
  <dc:creator>守逸</dc:creator>
  <cp:lastModifiedBy>守逸</cp:lastModifiedBy>
  <dcterms:modified xsi:type="dcterms:W3CDTF">2026-05-21T09:03:52Z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8C4F49188B1F4C22BED47C9F85398D11_11</vt:lpwstr>
  </property>
  <property fmtid="{D5CDD505-2E9C-101B-9397-08002B2CF9AE}" pid="4" name="KSOTemplateDocerSaveRecord">
    <vt:lpwstr>eyJoZGlkIjoiMjFiMWFlOTI5MjMzNDM1MmQ4YTY1NDA2ODE3ZmMyZWMiLCJ1c2VySWQiOiIyMjc4MTE0MjAifQ==</vt:lpwstr>
  </property>
</Properties>
</file>