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CellSpacing w:w="0" w:type="dxa"/>
        <w:tblInd w:w="15" w:type="dxa"/>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46"/>
        <w:gridCol w:w="3704"/>
        <w:gridCol w:w="1888"/>
        <w:gridCol w:w="1568"/>
      </w:tblGrid>
      <w:tr w14:paraId="52A639AC">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800" w:type="dxa"/>
            <w:tcBorders>
              <w:bottom w:val="single" w:color="DCDCDC" w:sz="6" w:space="0"/>
              <w:right w:val="single" w:color="DCDCDC" w:sz="6" w:space="0"/>
            </w:tcBorders>
            <w:shd w:val="clear" w:color="auto" w:fill="F9F8F8"/>
            <w:vAlign w:val="center"/>
          </w:tcPr>
          <w:p w14:paraId="3CA5FF60">
            <w:pPr>
              <w:keepNext w:val="0"/>
              <w:keepLines w:val="0"/>
              <w:widowControl/>
              <w:suppressLineNumbers w:val="0"/>
              <w:spacing w:before="0" w:beforeAutospacing="0" w:after="0" w:afterAutospacing="0" w:line="750" w:lineRule="atLeast"/>
              <w:ind w:left="0" w:right="0"/>
              <w:jc w:val="center"/>
              <w:rPr>
                <w:rFonts w:ascii="微软雅黑" w:hAnsi="微软雅黑" w:eastAsia="微软雅黑" w:cs="微软雅黑"/>
                <w:i w:val="0"/>
                <w:caps w:val="0"/>
                <w:color w:val="555555"/>
                <w:spacing w:val="0"/>
                <w:sz w:val="24"/>
                <w:szCs w:val="24"/>
              </w:rPr>
            </w:pPr>
            <w:bookmarkStart w:id="0" w:name="_GoBack"/>
            <w:bookmarkEnd w:id="0"/>
            <w:r>
              <w:rPr>
                <w:rFonts w:hint="default" w:ascii="微软雅黑" w:hAnsi="微软雅黑" w:eastAsia="微软雅黑" w:cs="微软雅黑"/>
                <w:i w:val="0"/>
                <w:caps w:val="0"/>
                <w:color w:val="555555"/>
                <w:spacing w:val="0"/>
                <w:kern w:val="0"/>
                <w:sz w:val="24"/>
                <w:szCs w:val="24"/>
                <w:lang w:val="en-US" w:eastAsia="zh-CN" w:bidi="ar"/>
              </w:rPr>
              <w:t>索 引 号</w:t>
            </w:r>
          </w:p>
        </w:tc>
        <w:tc>
          <w:tcPr>
            <w:tcW w:w="0" w:type="auto"/>
            <w:tcBorders>
              <w:bottom w:val="single" w:color="DCDCDC" w:sz="6" w:space="0"/>
              <w:right w:val="single" w:color="DCDCDC" w:sz="6" w:space="0"/>
            </w:tcBorders>
            <w:shd w:val="clear" w:color="auto" w:fill="FFFFFF"/>
            <w:tcMar>
              <w:left w:w="270" w:type="dxa"/>
              <w:right w:w="270" w:type="dxa"/>
            </w:tcMar>
            <w:vAlign w:val="center"/>
          </w:tcPr>
          <w:p w14:paraId="4F5A6998">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QZ00102-3000-2022-00115</w:t>
            </w:r>
          </w:p>
        </w:tc>
        <w:tc>
          <w:tcPr>
            <w:tcW w:w="1800" w:type="dxa"/>
            <w:tcBorders>
              <w:bottom w:val="single" w:color="DCDCDC" w:sz="6" w:space="0"/>
              <w:right w:val="single" w:color="DCDCDC" w:sz="6" w:space="0"/>
            </w:tcBorders>
            <w:shd w:val="clear" w:color="auto" w:fill="F9F8F8"/>
            <w:vAlign w:val="center"/>
          </w:tcPr>
          <w:p w14:paraId="044F3663">
            <w:pPr>
              <w:keepNext w:val="0"/>
              <w:keepLines w:val="0"/>
              <w:widowControl/>
              <w:suppressLineNumbers w:val="0"/>
              <w:spacing w:before="0" w:beforeAutospacing="0" w:after="0" w:afterAutospacing="0" w:line="750" w:lineRule="atLeast"/>
              <w:ind w:left="0" w:right="0"/>
              <w:jc w:val="center"/>
              <w:rPr>
                <w:rFonts w:hint="default" w:ascii="微软雅黑" w:hAnsi="微软雅黑" w:eastAsia="微软雅黑" w:cs="微软雅黑"/>
                <w:i w:val="0"/>
                <w:caps w:val="0"/>
                <w:color w:val="555555"/>
                <w:spacing w:val="0"/>
                <w:sz w:val="24"/>
                <w:szCs w:val="24"/>
              </w:rPr>
            </w:pPr>
            <w:r>
              <w:rPr>
                <w:rFonts w:hint="default" w:ascii="微软雅黑" w:hAnsi="微软雅黑" w:eastAsia="微软雅黑" w:cs="微软雅黑"/>
                <w:i w:val="0"/>
                <w:caps w:val="0"/>
                <w:color w:val="555555"/>
                <w:spacing w:val="0"/>
                <w:kern w:val="0"/>
                <w:sz w:val="24"/>
                <w:szCs w:val="24"/>
                <w:lang w:val="en-US" w:eastAsia="zh-CN" w:bidi="ar"/>
              </w:rPr>
              <w:t>主题分类</w:t>
            </w:r>
          </w:p>
        </w:tc>
        <w:tc>
          <w:tcPr>
            <w:tcW w:w="0" w:type="auto"/>
            <w:tcBorders>
              <w:bottom w:val="single" w:color="DCDCDC" w:sz="6" w:space="0"/>
              <w:right w:val="single" w:color="DCDCDC" w:sz="6" w:space="0"/>
            </w:tcBorders>
            <w:shd w:val="clear" w:color="auto" w:fill="FFFFFF"/>
            <w:tcMar>
              <w:left w:w="270" w:type="dxa"/>
              <w:right w:w="270" w:type="dxa"/>
            </w:tcMar>
            <w:vAlign w:val="center"/>
          </w:tcPr>
          <w:p w14:paraId="111A8453">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应主动公开的其他政府信息</w:t>
            </w:r>
          </w:p>
        </w:tc>
      </w:tr>
      <w:tr w14:paraId="357A7AF5">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800" w:type="dxa"/>
            <w:tcBorders>
              <w:bottom w:val="single" w:color="DCDCDC" w:sz="6" w:space="0"/>
              <w:right w:val="single" w:color="DCDCDC" w:sz="6" w:space="0"/>
            </w:tcBorders>
            <w:shd w:val="clear" w:color="auto" w:fill="F9F8F8"/>
            <w:vAlign w:val="center"/>
          </w:tcPr>
          <w:p w14:paraId="0A9A7E86">
            <w:pPr>
              <w:keepNext w:val="0"/>
              <w:keepLines w:val="0"/>
              <w:widowControl/>
              <w:suppressLineNumbers w:val="0"/>
              <w:spacing w:before="0" w:beforeAutospacing="0" w:after="0" w:afterAutospacing="0" w:line="750" w:lineRule="atLeast"/>
              <w:ind w:left="0" w:right="0"/>
              <w:jc w:val="center"/>
              <w:rPr>
                <w:rFonts w:hint="default" w:ascii="微软雅黑" w:hAnsi="微软雅黑" w:eastAsia="微软雅黑" w:cs="微软雅黑"/>
                <w:i w:val="0"/>
                <w:caps w:val="0"/>
                <w:color w:val="555555"/>
                <w:spacing w:val="0"/>
                <w:sz w:val="24"/>
                <w:szCs w:val="24"/>
              </w:rPr>
            </w:pPr>
            <w:r>
              <w:rPr>
                <w:rFonts w:hint="default" w:ascii="微软雅黑" w:hAnsi="微软雅黑" w:eastAsia="微软雅黑" w:cs="微软雅黑"/>
                <w:i w:val="0"/>
                <w:caps w:val="0"/>
                <w:color w:val="555555"/>
                <w:spacing w:val="0"/>
                <w:kern w:val="0"/>
                <w:sz w:val="24"/>
                <w:szCs w:val="24"/>
                <w:lang w:val="en-US" w:eastAsia="zh-CN" w:bidi="ar"/>
              </w:rPr>
              <w:t>发布机构</w:t>
            </w:r>
          </w:p>
        </w:tc>
        <w:tc>
          <w:tcPr>
            <w:tcW w:w="0" w:type="auto"/>
            <w:tcBorders>
              <w:bottom w:val="single" w:color="DCDCDC" w:sz="6" w:space="0"/>
              <w:right w:val="single" w:color="DCDCDC" w:sz="6" w:space="0"/>
            </w:tcBorders>
            <w:shd w:val="clear" w:color="auto" w:fill="FFFFFF"/>
            <w:tcMar>
              <w:left w:w="270" w:type="dxa"/>
              <w:right w:w="270" w:type="dxa"/>
            </w:tcMar>
            <w:vAlign w:val="center"/>
          </w:tcPr>
          <w:p w14:paraId="0F83F1FA">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泉州市发改委</w:t>
            </w:r>
          </w:p>
        </w:tc>
        <w:tc>
          <w:tcPr>
            <w:tcW w:w="1800" w:type="dxa"/>
            <w:tcBorders>
              <w:bottom w:val="single" w:color="DCDCDC" w:sz="6" w:space="0"/>
              <w:right w:val="single" w:color="DCDCDC" w:sz="6" w:space="0"/>
            </w:tcBorders>
            <w:shd w:val="clear" w:color="auto" w:fill="F9F8F8"/>
            <w:vAlign w:val="center"/>
          </w:tcPr>
          <w:p w14:paraId="27BEFF26">
            <w:pPr>
              <w:keepNext w:val="0"/>
              <w:keepLines w:val="0"/>
              <w:widowControl/>
              <w:suppressLineNumbers w:val="0"/>
              <w:spacing w:before="0" w:beforeAutospacing="0" w:after="0" w:afterAutospacing="0" w:line="750" w:lineRule="atLeast"/>
              <w:ind w:left="0" w:right="0"/>
              <w:jc w:val="center"/>
              <w:rPr>
                <w:rFonts w:hint="default" w:ascii="微软雅黑" w:hAnsi="微软雅黑" w:eastAsia="微软雅黑" w:cs="微软雅黑"/>
                <w:i w:val="0"/>
                <w:caps w:val="0"/>
                <w:color w:val="555555"/>
                <w:spacing w:val="0"/>
                <w:sz w:val="24"/>
                <w:szCs w:val="24"/>
              </w:rPr>
            </w:pPr>
            <w:r>
              <w:rPr>
                <w:rFonts w:hint="default" w:ascii="微软雅黑" w:hAnsi="微软雅黑" w:eastAsia="微软雅黑" w:cs="微软雅黑"/>
                <w:i w:val="0"/>
                <w:caps w:val="0"/>
                <w:color w:val="555555"/>
                <w:spacing w:val="0"/>
                <w:kern w:val="0"/>
                <w:sz w:val="24"/>
                <w:szCs w:val="24"/>
                <w:lang w:val="en-US" w:eastAsia="zh-CN" w:bidi="ar"/>
              </w:rPr>
              <w:t>文 号</w:t>
            </w:r>
          </w:p>
        </w:tc>
        <w:tc>
          <w:tcPr>
            <w:tcW w:w="0" w:type="auto"/>
            <w:tcBorders>
              <w:bottom w:val="single" w:color="DCDCDC" w:sz="6" w:space="0"/>
              <w:right w:val="single" w:color="DCDCDC" w:sz="6" w:space="0"/>
            </w:tcBorders>
            <w:shd w:val="clear" w:color="auto" w:fill="FFFFFF"/>
            <w:tcMar>
              <w:left w:w="270" w:type="dxa"/>
              <w:right w:w="270" w:type="dxa"/>
            </w:tcMar>
            <w:vAlign w:val="center"/>
          </w:tcPr>
          <w:p w14:paraId="488C9FF3">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泉发改函〔2022〕136号</w:t>
            </w:r>
          </w:p>
        </w:tc>
      </w:tr>
      <w:tr w14:paraId="646E4D6A">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800" w:type="dxa"/>
            <w:tcBorders>
              <w:bottom w:val="single" w:color="DCDCDC" w:sz="6" w:space="0"/>
              <w:right w:val="single" w:color="DCDCDC" w:sz="6" w:space="0"/>
            </w:tcBorders>
            <w:shd w:val="clear" w:color="auto" w:fill="F9F8F8"/>
            <w:vAlign w:val="center"/>
          </w:tcPr>
          <w:p w14:paraId="78967C70">
            <w:pPr>
              <w:keepNext w:val="0"/>
              <w:keepLines w:val="0"/>
              <w:widowControl/>
              <w:suppressLineNumbers w:val="0"/>
              <w:spacing w:before="0" w:beforeAutospacing="0" w:after="0" w:afterAutospacing="0" w:line="750" w:lineRule="atLeast"/>
              <w:ind w:left="0" w:right="0"/>
              <w:jc w:val="center"/>
              <w:rPr>
                <w:rFonts w:hint="default" w:ascii="微软雅黑" w:hAnsi="微软雅黑" w:eastAsia="微软雅黑" w:cs="微软雅黑"/>
                <w:i w:val="0"/>
                <w:caps w:val="0"/>
                <w:color w:val="555555"/>
                <w:spacing w:val="0"/>
                <w:sz w:val="24"/>
                <w:szCs w:val="24"/>
              </w:rPr>
            </w:pPr>
            <w:r>
              <w:rPr>
                <w:rFonts w:hint="default" w:ascii="微软雅黑" w:hAnsi="微软雅黑" w:eastAsia="微软雅黑" w:cs="微软雅黑"/>
                <w:i w:val="0"/>
                <w:caps w:val="0"/>
                <w:color w:val="555555"/>
                <w:spacing w:val="0"/>
                <w:kern w:val="0"/>
                <w:sz w:val="24"/>
                <w:szCs w:val="24"/>
                <w:lang w:val="en-US" w:eastAsia="zh-CN" w:bidi="ar"/>
              </w:rPr>
              <w:t>公文生成日期：</w:t>
            </w:r>
          </w:p>
        </w:tc>
        <w:tc>
          <w:tcPr>
            <w:tcW w:w="0" w:type="auto"/>
            <w:gridSpan w:val="3"/>
            <w:tcBorders>
              <w:bottom w:val="single" w:color="DCDCDC" w:sz="6" w:space="0"/>
              <w:right w:val="single" w:color="DCDCDC" w:sz="6" w:space="0"/>
            </w:tcBorders>
            <w:shd w:val="clear" w:color="auto" w:fill="FFFFFF"/>
            <w:tcMar>
              <w:left w:w="270" w:type="dxa"/>
              <w:right w:w="270" w:type="dxa"/>
            </w:tcMar>
            <w:vAlign w:val="center"/>
          </w:tcPr>
          <w:p w14:paraId="2E332C42">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2022-08-01</w:t>
            </w:r>
          </w:p>
        </w:tc>
      </w:tr>
      <w:tr w14:paraId="4B574FAB">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800" w:type="dxa"/>
            <w:tcBorders>
              <w:bottom w:val="single" w:color="DCDCDC" w:sz="6" w:space="0"/>
              <w:right w:val="single" w:color="DCDCDC" w:sz="6" w:space="0"/>
            </w:tcBorders>
            <w:shd w:val="clear" w:color="auto" w:fill="F9F8F8"/>
            <w:vAlign w:val="center"/>
          </w:tcPr>
          <w:p w14:paraId="45590A5B">
            <w:pPr>
              <w:keepNext w:val="0"/>
              <w:keepLines w:val="0"/>
              <w:widowControl/>
              <w:suppressLineNumbers w:val="0"/>
              <w:spacing w:before="0" w:beforeAutospacing="0" w:after="0" w:afterAutospacing="0" w:line="750" w:lineRule="atLeast"/>
              <w:ind w:left="0" w:right="0"/>
              <w:jc w:val="center"/>
              <w:rPr>
                <w:rFonts w:hint="default" w:ascii="微软雅黑" w:hAnsi="微软雅黑" w:eastAsia="微软雅黑" w:cs="微软雅黑"/>
                <w:i w:val="0"/>
                <w:caps w:val="0"/>
                <w:color w:val="555555"/>
                <w:spacing w:val="0"/>
                <w:sz w:val="24"/>
                <w:szCs w:val="24"/>
              </w:rPr>
            </w:pPr>
            <w:r>
              <w:rPr>
                <w:rFonts w:hint="default" w:ascii="微软雅黑" w:hAnsi="微软雅黑" w:eastAsia="微软雅黑" w:cs="微软雅黑"/>
                <w:i w:val="0"/>
                <w:caps w:val="0"/>
                <w:color w:val="555555"/>
                <w:spacing w:val="0"/>
                <w:kern w:val="0"/>
                <w:sz w:val="24"/>
                <w:szCs w:val="24"/>
                <w:lang w:val="en-US" w:eastAsia="zh-CN" w:bidi="ar"/>
              </w:rPr>
              <w:t>标 题：</w:t>
            </w:r>
          </w:p>
        </w:tc>
        <w:tc>
          <w:tcPr>
            <w:tcW w:w="0" w:type="auto"/>
            <w:gridSpan w:val="3"/>
            <w:tcBorders>
              <w:bottom w:val="single" w:color="DCDCDC" w:sz="6" w:space="0"/>
              <w:right w:val="single" w:color="DCDCDC" w:sz="6" w:space="0"/>
            </w:tcBorders>
            <w:shd w:val="clear" w:color="auto" w:fill="FFFFFF"/>
            <w:tcMar>
              <w:left w:w="270" w:type="dxa"/>
              <w:right w:w="270" w:type="dxa"/>
            </w:tcMar>
            <w:vAlign w:val="center"/>
          </w:tcPr>
          <w:p w14:paraId="7B4E6C70">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泉州市发展和改革委员会 泉州市财政局关于核定泉州医学高等专科学校等5所院校学生宿舍住宿费收费标准的函</w:t>
            </w:r>
          </w:p>
        </w:tc>
      </w:tr>
      <w:tr w14:paraId="43E10AC4">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1800" w:type="dxa"/>
            <w:tcBorders>
              <w:bottom w:val="single" w:color="DCDCDC" w:sz="6" w:space="0"/>
              <w:right w:val="single" w:color="DCDCDC" w:sz="6" w:space="0"/>
            </w:tcBorders>
            <w:shd w:val="clear" w:color="auto" w:fill="F9F8F8"/>
            <w:vAlign w:val="center"/>
          </w:tcPr>
          <w:p w14:paraId="4863CA3E">
            <w:pPr>
              <w:keepNext w:val="0"/>
              <w:keepLines w:val="0"/>
              <w:widowControl/>
              <w:suppressLineNumbers w:val="0"/>
              <w:spacing w:before="0" w:beforeAutospacing="0" w:after="0" w:afterAutospacing="0" w:line="750" w:lineRule="atLeast"/>
              <w:ind w:left="0" w:right="0"/>
              <w:jc w:val="center"/>
              <w:rPr>
                <w:rFonts w:hint="default" w:ascii="微软雅黑" w:hAnsi="微软雅黑" w:eastAsia="微软雅黑" w:cs="微软雅黑"/>
                <w:i w:val="0"/>
                <w:caps w:val="0"/>
                <w:color w:val="555555"/>
                <w:spacing w:val="0"/>
                <w:sz w:val="24"/>
                <w:szCs w:val="24"/>
              </w:rPr>
            </w:pPr>
            <w:r>
              <w:rPr>
                <w:rFonts w:hint="default" w:ascii="微软雅黑" w:hAnsi="微软雅黑" w:eastAsia="微软雅黑" w:cs="微软雅黑"/>
                <w:i w:val="0"/>
                <w:caps w:val="0"/>
                <w:color w:val="555555"/>
                <w:spacing w:val="0"/>
                <w:kern w:val="0"/>
                <w:sz w:val="24"/>
                <w:szCs w:val="24"/>
                <w:lang w:val="en-US" w:eastAsia="zh-CN" w:bidi="ar"/>
              </w:rPr>
              <w:t>内容概述：</w:t>
            </w:r>
          </w:p>
        </w:tc>
        <w:tc>
          <w:tcPr>
            <w:tcW w:w="0" w:type="auto"/>
            <w:gridSpan w:val="3"/>
            <w:tcBorders>
              <w:bottom w:val="single" w:color="DCDCDC" w:sz="6" w:space="0"/>
              <w:right w:val="single" w:color="DCDCDC" w:sz="6" w:space="0"/>
            </w:tcBorders>
            <w:shd w:val="clear" w:color="auto" w:fill="FFFFFF"/>
            <w:tcMar>
              <w:left w:w="270" w:type="dxa"/>
              <w:right w:w="270" w:type="dxa"/>
            </w:tcMar>
            <w:vAlign w:val="center"/>
          </w:tcPr>
          <w:p w14:paraId="1002856E">
            <w:pPr>
              <w:keepNext w:val="0"/>
              <w:keepLines w:val="0"/>
              <w:widowControl/>
              <w:suppressLineNumbers w:val="0"/>
              <w:spacing w:before="0" w:beforeAutospacing="0" w:after="0" w:afterAutospacing="0" w:line="750" w:lineRule="atLeast"/>
              <w:ind w:left="0" w:right="0"/>
              <w:jc w:val="left"/>
              <w:rPr>
                <w:rFonts w:hint="default" w:ascii="微软雅黑" w:hAnsi="微软雅黑" w:eastAsia="微软雅黑" w:cs="微软雅黑"/>
                <w:i w:val="0"/>
                <w:caps w:val="0"/>
                <w:color w:val="333333"/>
                <w:spacing w:val="0"/>
                <w:sz w:val="24"/>
                <w:szCs w:val="24"/>
              </w:rPr>
            </w:pPr>
            <w:r>
              <w:rPr>
                <w:rFonts w:hint="default" w:ascii="微软雅黑" w:hAnsi="微软雅黑" w:eastAsia="微软雅黑" w:cs="微软雅黑"/>
                <w:i w:val="0"/>
                <w:caps w:val="0"/>
                <w:color w:val="333333"/>
                <w:spacing w:val="0"/>
                <w:kern w:val="0"/>
                <w:sz w:val="24"/>
                <w:szCs w:val="24"/>
                <w:lang w:val="en-US" w:eastAsia="zh-CN" w:bidi="ar"/>
              </w:rPr>
              <w:t>泉州市发展和改革委员会 泉州市财政局关于核定泉州医学高等专科学校等5所院校学生宿舍住宿费收费标准的函</w:t>
            </w:r>
          </w:p>
        </w:tc>
      </w:tr>
    </w:tbl>
    <w:p w14:paraId="364FD6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750" w:lineRule="atLeast"/>
        <w:ind w:left="0" w:right="0" w:firstLine="0"/>
        <w:jc w:val="center"/>
        <w:rPr>
          <w:rFonts w:hint="default" w:ascii="微软雅黑" w:hAnsi="微软雅黑" w:eastAsia="微软雅黑" w:cs="微软雅黑"/>
          <w:b/>
          <w:i w:val="0"/>
          <w:caps w:val="0"/>
          <w:color w:val="DA251C"/>
          <w:spacing w:val="0"/>
          <w:sz w:val="48"/>
          <w:szCs w:val="48"/>
        </w:rPr>
      </w:pPr>
      <w:r>
        <w:rPr>
          <w:rFonts w:hint="default" w:ascii="微软雅黑" w:hAnsi="微软雅黑" w:eastAsia="微软雅黑" w:cs="微软雅黑"/>
          <w:b/>
          <w:i w:val="0"/>
          <w:caps w:val="0"/>
          <w:color w:val="DA251C"/>
          <w:spacing w:val="0"/>
          <w:kern w:val="0"/>
          <w:sz w:val="48"/>
          <w:szCs w:val="48"/>
          <w:shd w:val="clear" w:fill="FFFFFF"/>
          <w:lang w:val="en-US" w:eastAsia="zh-CN" w:bidi="ar"/>
        </w:rPr>
        <w:t>泉州市发展和改革委员会 泉州市财政局关于核定泉州医学高等专科学校等5所院校学生宿舍住宿费收费标准的函</w:t>
      </w:r>
    </w:p>
    <w:p w14:paraId="2D1A7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微软雅黑" w:hAnsi="微软雅黑" w:eastAsia="微软雅黑" w:cs="微软雅黑"/>
          <w:i w:val="0"/>
          <w:caps w:val="0"/>
          <w:color w:val="999999"/>
          <w:spacing w:val="0"/>
          <w:sz w:val="0"/>
          <w:szCs w:val="0"/>
        </w:rPr>
      </w:pPr>
      <w:r>
        <w:rPr>
          <w:rFonts w:hint="default" w:ascii="微软雅黑" w:hAnsi="微软雅黑" w:eastAsia="微软雅黑" w:cs="微软雅黑"/>
          <w:i w:val="0"/>
          <w:caps w:val="0"/>
          <w:color w:val="999999"/>
          <w:spacing w:val="0"/>
          <w:kern w:val="0"/>
          <w:sz w:val="24"/>
          <w:szCs w:val="24"/>
          <w:shd w:val="clear" w:fill="FFFFFF"/>
          <w:lang w:val="en-US" w:eastAsia="zh-CN" w:bidi="ar"/>
        </w:rPr>
        <w:t>发布时间：2022-08-01 09:58</w:t>
      </w:r>
      <w:r>
        <w:rPr>
          <w:rStyle w:val="4"/>
          <w:rFonts w:hint="default" w:ascii="微软雅黑" w:hAnsi="微软雅黑" w:eastAsia="微软雅黑" w:cs="微软雅黑"/>
          <w:i w:val="0"/>
          <w:caps w:val="0"/>
          <w:color w:val="999999"/>
          <w:spacing w:val="0"/>
          <w:kern w:val="0"/>
          <w:sz w:val="24"/>
          <w:szCs w:val="24"/>
          <w:shd w:val="clear" w:fill="FFFFFF"/>
          <w:lang w:val="en-US" w:eastAsia="zh-CN" w:bidi="ar"/>
        </w:rPr>
        <w:drawing>
          <wp:inline distT="0" distB="0" distL="114300" distR="114300">
            <wp:extent cx="9525" cy="15240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9525" cy="152400"/>
                    </a:xfrm>
                    <a:prstGeom prst="rect">
                      <a:avLst/>
                    </a:prstGeom>
                    <a:noFill/>
                    <a:ln w="9525">
                      <a:noFill/>
                    </a:ln>
                  </pic:spPr>
                </pic:pic>
              </a:graphicData>
            </a:graphic>
          </wp:inline>
        </w:drawing>
      </w:r>
      <w:r>
        <w:rPr>
          <w:rStyle w:val="4"/>
          <w:rFonts w:hint="default" w:ascii="微软雅黑" w:hAnsi="微软雅黑" w:eastAsia="微软雅黑" w:cs="微软雅黑"/>
          <w:i w:val="0"/>
          <w:caps w:val="0"/>
          <w:color w:val="999999"/>
          <w:spacing w:val="0"/>
          <w:kern w:val="0"/>
          <w:sz w:val="24"/>
          <w:szCs w:val="24"/>
          <w:shd w:val="clear" w:fill="FFFFFF"/>
          <w:lang w:val="en-US" w:eastAsia="zh-CN" w:bidi="ar"/>
        </w:rPr>
        <w:drawing>
          <wp:inline distT="0" distB="0" distL="114300" distR="114300">
            <wp:extent cx="9525" cy="152400"/>
            <wp:effectExtent l="0" t="0" r="952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9525" cy="152400"/>
                    </a:xfrm>
                    <a:prstGeom prst="rect">
                      <a:avLst/>
                    </a:prstGeom>
                    <a:noFill/>
                    <a:ln w="9525">
                      <a:noFill/>
                    </a:ln>
                  </pic:spPr>
                </pic:pic>
              </a:graphicData>
            </a:graphic>
          </wp:inline>
        </w:drawing>
      </w:r>
      <w:r>
        <w:rPr>
          <w:rFonts w:hint="default" w:ascii="微软雅黑" w:hAnsi="微软雅黑" w:eastAsia="微软雅黑" w:cs="微软雅黑"/>
          <w:i w:val="0"/>
          <w:caps w:val="0"/>
          <w:color w:val="999999"/>
          <w:spacing w:val="0"/>
          <w:kern w:val="0"/>
          <w:sz w:val="24"/>
          <w:szCs w:val="24"/>
          <w:shd w:val="clear" w:fill="FFFFFF"/>
          <w:lang w:val="en-US" w:eastAsia="zh-CN" w:bidi="ar"/>
        </w:rPr>
        <w:t>来源：泉州市发改委</w:t>
      </w:r>
    </w:p>
    <w:p w14:paraId="71AB85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微软雅黑" w:hAnsi="微软雅黑" w:eastAsia="微软雅黑" w:cs="微软雅黑"/>
          <w:i w:val="0"/>
          <w:caps w:val="0"/>
          <w:color w:val="999999"/>
          <w:spacing w:val="0"/>
          <w:sz w:val="24"/>
          <w:szCs w:val="24"/>
        </w:rPr>
      </w:pPr>
      <w:r>
        <w:rPr>
          <w:rFonts w:hint="default" w:ascii="微软雅黑" w:hAnsi="微软雅黑" w:eastAsia="微软雅黑" w:cs="微软雅黑"/>
          <w:i w:val="0"/>
          <w:caps w:val="0"/>
          <w:color w:val="999999"/>
          <w:spacing w:val="0"/>
          <w:kern w:val="0"/>
          <w:sz w:val="24"/>
          <w:szCs w:val="24"/>
          <w:shd w:val="clear" w:fill="FFFFFF"/>
          <w:lang w:val="en-US" w:eastAsia="zh-CN" w:bidi="ar"/>
        </w:rPr>
        <w:t> </w:t>
      </w:r>
    </w:p>
    <w:p w14:paraId="7085EA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微软雅黑" w:hAnsi="微软雅黑" w:eastAsia="微软雅黑" w:cs="微软雅黑"/>
          <w:i w:val="0"/>
          <w:caps w:val="0"/>
          <w:color w:val="999999"/>
          <w:spacing w:val="0"/>
          <w:sz w:val="0"/>
          <w:szCs w:val="0"/>
        </w:rPr>
      </w:pPr>
      <w:r>
        <w:rPr>
          <w:rFonts w:hint="default" w:ascii="微软雅黑" w:hAnsi="微软雅黑" w:eastAsia="微软雅黑" w:cs="微软雅黑"/>
          <w:i w:val="0"/>
          <w:caps w:val="0"/>
          <w:color w:val="999999"/>
          <w:spacing w:val="0"/>
          <w:kern w:val="0"/>
          <w:sz w:val="24"/>
          <w:szCs w:val="24"/>
          <w:bdr w:val="single" w:color="E2E2E2" w:sz="2" w:space="0"/>
          <w:shd w:val="clear" w:fill="FFFFFF"/>
          <w:lang w:val="en-US" w:eastAsia="zh-CN" w:bidi="ar"/>
        </w:rPr>
        <w:drawing>
          <wp:inline distT="0" distB="0" distL="114300" distR="114300">
            <wp:extent cx="190500" cy="1905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5"/>
                    <a:stretch>
                      <a:fillRect/>
                    </a:stretch>
                  </pic:blipFill>
                  <pic:spPr>
                    <a:xfrm>
                      <a:off x="0" y="0"/>
                      <a:ext cx="190500" cy="190500"/>
                    </a:xfrm>
                    <a:prstGeom prst="rect">
                      <a:avLst/>
                    </a:prstGeom>
                    <a:noFill/>
                    <a:ln w="9525">
                      <a:noFill/>
                    </a:ln>
                  </pic:spPr>
                </pic:pic>
              </a:graphicData>
            </a:graphic>
          </wp:inline>
        </w:drawing>
      </w:r>
      <w:r>
        <w:rPr>
          <w:rFonts w:hint="default" w:ascii="微软雅黑" w:hAnsi="微软雅黑" w:eastAsia="微软雅黑" w:cs="微软雅黑"/>
          <w:i w:val="0"/>
          <w:caps w:val="0"/>
          <w:color w:val="999999"/>
          <w:spacing w:val="0"/>
          <w:kern w:val="0"/>
          <w:sz w:val="24"/>
          <w:szCs w:val="24"/>
          <w:bdr w:val="single" w:color="E2E2E2" w:sz="2" w:space="0"/>
          <w:shd w:val="clear" w:fill="FFFFFF"/>
          <w:lang w:val="en-US" w:eastAsia="zh-CN" w:bidi="ar"/>
        </w:rPr>
        <w:drawing>
          <wp:inline distT="0" distB="0" distL="114300" distR="114300">
            <wp:extent cx="190500" cy="1905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6"/>
                    <a:stretch>
                      <a:fillRect/>
                    </a:stretch>
                  </pic:blipFill>
                  <pic:spPr>
                    <a:xfrm>
                      <a:off x="0" y="0"/>
                      <a:ext cx="190500" cy="190500"/>
                    </a:xfrm>
                    <a:prstGeom prst="rect">
                      <a:avLst/>
                    </a:prstGeom>
                    <a:noFill/>
                    <a:ln w="9525">
                      <a:noFill/>
                    </a:ln>
                  </pic:spPr>
                </pic:pic>
              </a:graphicData>
            </a:graphic>
          </wp:inline>
        </w:drawing>
      </w:r>
      <w:r>
        <w:rPr>
          <w:rFonts w:hint="default" w:ascii="微软雅黑" w:hAnsi="微软雅黑" w:eastAsia="微软雅黑" w:cs="微软雅黑"/>
          <w:i w:val="0"/>
          <w:caps w:val="0"/>
          <w:color w:val="999999"/>
          <w:spacing w:val="0"/>
          <w:kern w:val="0"/>
          <w:sz w:val="24"/>
          <w:szCs w:val="24"/>
          <w:bdr w:val="single" w:color="E2E2E2" w:sz="2" w:space="0"/>
          <w:shd w:val="clear" w:fill="FFFFFF"/>
          <w:lang w:val="en-US" w:eastAsia="zh-CN" w:bidi="ar"/>
        </w:rPr>
        <w:drawing>
          <wp:inline distT="0" distB="0" distL="114300" distR="114300">
            <wp:extent cx="190500" cy="1905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7"/>
                    <a:stretch>
                      <a:fillRect/>
                    </a:stretch>
                  </pic:blipFill>
                  <pic:spPr>
                    <a:xfrm>
                      <a:off x="0" y="0"/>
                      <a:ext cx="190500" cy="190500"/>
                    </a:xfrm>
                    <a:prstGeom prst="rect">
                      <a:avLst/>
                    </a:prstGeom>
                    <a:noFill/>
                    <a:ln w="9525">
                      <a:noFill/>
                    </a:ln>
                  </pic:spPr>
                </pic:pic>
              </a:graphicData>
            </a:graphic>
          </wp:inline>
        </w:drawing>
      </w:r>
      <w:r>
        <w:rPr>
          <w:rFonts w:hint="default" w:ascii="微软雅黑" w:hAnsi="微软雅黑" w:eastAsia="微软雅黑" w:cs="微软雅黑"/>
          <w:i w:val="0"/>
          <w:caps w:val="0"/>
          <w:color w:val="999999"/>
          <w:spacing w:val="0"/>
          <w:kern w:val="0"/>
          <w:sz w:val="24"/>
          <w:szCs w:val="24"/>
          <w:bdr w:val="single" w:color="E2E2E2" w:sz="2" w:space="0"/>
          <w:shd w:val="clear" w:fill="FFFFFF"/>
          <w:lang w:val="en-US" w:eastAsia="zh-CN" w:bidi="ar"/>
        </w:rPr>
        <w:drawing>
          <wp:inline distT="0" distB="0" distL="114300" distR="114300">
            <wp:extent cx="190500" cy="1905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8"/>
                    <a:stretch>
                      <a:fillRect/>
                    </a:stretch>
                  </pic:blipFill>
                  <pic:spPr>
                    <a:xfrm>
                      <a:off x="0" y="0"/>
                      <a:ext cx="190500" cy="190500"/>
                    </a:xfrm>
                    <a:prstGeom prst="rect">
                      <a:avLst/>
                    </a:prstGeom>
                    <a:noFill/>
                    <a:ln w="9525">
                      <a:noFill/>
                    </a:ln>
                  </pic:spPr>
                </pic:pic>
              </a:graphicData>
            </a:graphic>
          </wp:inline>
        </w:drawing>
      </w:r>
    </w:p>
    <w:p w14:paraId="6DA167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default" w:ascii="微软雅黑" w:hAnsi="微软雅黑" w:eastAsia="微软雅黑" w:cs="微软雅黑"/>
          <w:i w:val="0"/>
          <w:caps w:val="0"/>
          <w:color w:val="333333"/>
          <w:spacing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泉州市教育局：</w:t>
      </w:r>
    </w:p>
    <w:p w14:paraId="05BD75B5">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0"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你局《关于对泉州医学高等专科学校申请核定精诚公寓住宿费收费标准审核意见的函》（泉教财函〔2022〕10号）、《关于对泉州幼儿师范高等专科学校申请核定东海校区F幢学生公寓及永春校区培训中心学生公寓收费标准审核意见的函》（泉教财函〔2022〕11号）、《关于对泉州经贸职业技术学院申请核定9#学生宿舍楼收费标准审核意见的函》（泉教财函〔2022〕12号）、《关于对泉港区职业中专学校住宿费收费标准审核意见的函》（泉教财函〔2022〕13号）、《关于对泉州市财贸干校1号楼学生公寓住宿费收费标准审核意见的函》（泉教财函〔2022〕14号）收悉。根据《福建省高等学校和中等职业学校学生公寓收费管理暂行办法》（闽价费〔2012〕567号）等相关文件规定，结合泉州医学高等专科学校等5所院校学生宿舍现有设施及配套管理服务等情况，经研究，现就泉州医学高等专科学校等5所院校学生宿舍住宿费收费标准及有关事项函复如下：</w:t>
      </w:r>
    </w:p>
    <w:p w14:paraId="3CEE4A9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76"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一、泉州医学高等专科学校精诚学生公寓（4人间）住宿费收费标准为1300元/生.学年（含安装空调加收的费用100元）。</w:t>
      </w:r>
    </w:p>
    <w:p w14:paraId="4065E69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76"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二、泉州幼儿师范高等专科学校东海校区F幢学生公寓（8人间）住宿费收费标准为800元/生.学年（含安装空调加收的费用50元）；永春校区培训中心1至4层学生公寓（6人间）住宿费收费标准为800元/生.学年（含安装空调加收的费用70元）。</w:t>
      </w:r>
    </w:p>
    <w:p w14:paraId="4B9B7FF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76"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三、泉州经贸职业技术学院9#学生宿舍楼（6人间）住宿费收费标准为870元/生.学年（含安装空调加收的费用70元）。</w:t>
      </w:r>
    </w:p>
    <w:p w14:paraId="2752902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76"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四、泉港区职业中专学校学生宿舍楼三至七层学生宿舍（6人间）住宿费收费标准为500元/生.学年（含安装空调加收的费用）。</w:t>
      </w:r>
    </w:p>
    <w:p w14:paraId="253611C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76"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五、泉州市财贸干校1号楼二至六楼139间学生公寓（5-6人间）住宿费收费标准为870元/生.学年（含安装空调加收的费用70元）；1号楼房号226、326普通宿舍（10人间）住宿费收费标准为550元/生.学年（含安装空调加收的费用50元）。</w:t>
      </w:r>
    </w:p>
    <w:p w14:paraId="3C0EF96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76"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六、学校应严格执行《福建省高等学校和中等职业学校学生公寓收费管理暂行办法》（闽价费〔2012〕567号）和省物价局、省财政厅、省教育厅《关于我省公办学校学生宿舍安装空调有关问题的通知》（闽价费〔2012〕299号）的有关规定，做好收费公示工作，收费收入缴入财政专户，实行收支两条线管理。</w:t>
      </w:r>
    </w:p>
    <w:p w14:paraId="34E6816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620" w:lineRule="atLeast"/>
        <w:ind w:left="0" w:right="0" w:firstLine="640"/>
        <w:jc w:val="both"/>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七、本函自2022年秋季开学起执行。</w:t>
      </w:r>
    </w:p>
    <w:p w14:paraId="06FDB13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60" w:lineRule="atLeast"/>
        <w:ind w:left="0" w:right="0" w:firstLine="572"/>
        <w:jc w:val="right"/>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17"/>
          <w:kern w:val="0"/>
          <w:sz w:val="32"/>
          <w:szCs w:val="32"/>
          <w:shd w:val="clear" w:fill="FFFFFF"/>
          <w:lang w:val="en-US" w:eastAsia="zh-CN" w:bidi="ar"/>
        </w:rPr>
        <w:t>泉州市发展和改革委员会</w:t>
      </w:r>
    </w:p>
    <w:p w14:paraId="118C5E9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60" w:lineRule="atLeast"/>
        <w:ind w:left="0" w:right="0" w:firstLine="868"/>
        <w:jc w:val="right"/>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57"/>
          <w:kern w:val="0"/>
          <w:sz w:val="32"/>
          <w:szCs w:val="32"/>
          <w:shd w:val="clear" w:fill="FFFFFF"/>
          <w:lang w:val="en-US" w:eastAsia="zh-CN" w:bidi="ar"/>
        </w:rPr>
        <w:t>泉州市财政局</w:t>
      </w:r>
    </w:p>
    <w:p w14:paraId="768F63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560" w:lineRule="atLeast"/>
        <w:ind w:left="0" w:right="0" w:firstLine="0"/>
        <w:jc w:val="right"/>
        <w:rPr>
          <w:rFonts w:hint="eastAsia" w:ascii="宋体" w:hAnsi="宋体" w:eastAsia="宋体" w:cs="宋体"/>
          <w:i w:val="0"/>
          <w:sz w:val="21"/>
          <w:szCs w:val="21"/>
        </w:rPr>
      </w:pPr>
      <w:r>
        <w:rPr>
          <w:rFonts w:hint="default" w:ascii="微软雅黑" w:hAnsi="微软雅黑" w:eastAsia="微软雅黑" w:cs="微软雅黑"/>
          <w:i w:val="0"/>
          <w:caps w:val="0"/>
          <w:color w:val="333333"/>
          <w:spacing w:val="0"/>
          <w:kern w:val="0"/>
          <w:sz w:val="32"/>
          <w:szCs w:val="32"/>
          <w:shd w:val="clear" w:fill="FFFFFF"/>
          <w:lang w:val="en-US" w:eastAsia="zh-CN" w:bidi="ar"/>
        </w:rPr>
        <w:t>                                2022年8月1日</w:t>
      </w:r>
    </w:p>
    <w:p w14:paraId="22A213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FD0EA"/>
    <w:rsid w:val="BE37DC7B"/>
    <w:rsid w:val="E5FFD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2023-07-07T01:06:00Z</dcterms:created>
  <dc:creator>lenovo</dc:creator>
  <cp:lastModifiedBy>lenovo</cp:lastModifiedBy>
  <dcterms:modified xsi:type="dcterms:W3CDTF">2024-12-25T16:21:09Z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BB92316AF8CB228A75C06B67EE9E7048_43</vt:lpwstr>
  </property>
</Properties>
</file>