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400" w:type="dxa"/>
        <w:jc w:val="center"/>
        <w:tblBorders>
          <w:top w:val="single" w:sz="4" w:space="0" w:color="D9D9D9"/>
          <w:left w:val="single" w:sz="4" w:space="0" w:color="D9D9D9"/>
          <w:bottom w:val="single" w:sz="4" w:space="0" w:color="D9D9D9"/>
          <w:right w:val="single" w:sz="4" w:space="0" w:color="D9D9D9"/>
        </w:tblBorders>
        <w:tblCellMar>
          <w:left w:w="0" w:type="dxa"/>
          <w:right w:w="0" w:type="dxa"/>
        </w:tblCellMar>
        <w:tblLook w:val="04A0"/>
      </w:tblPr>
      <w:tblGrid>
        <w:gridCol w:w="14400"/>
      </w:tblGrid>
      <w:tr w:rsidR="00F534CF" w:rsidRPr="00F534CF" w:rsidTr="00F534CF">
        <w:trPr>
          <w:trHeight w:val="698"/>
          <w:jc w:val="center"/>
        </w:trPr>
        <w:tc>
          <w:tcPr>
            <w:tcW w:w="0" w:type="auto"/>
            <w:tcBorders>
              <w:bottom w:val="single" w:sz="4" w:space="0" w:color="D4D4D4"/>
            </w:tcBorders>
            <w:vAlign w:val="center"/>
            <w:hideMark/>
          </w:tcPr>
          <w:p w:rsidR="00F534CF" w:rsidRPr="00F534CF" w:rsidRDefault="00F534CF" w:rsidP="00F534CF">
            <w:pPr>
              <w:widowControl/>
              <w:spacing w:before="100" w:beforeAutospacing="1" w:after="100" w:afterAutospacing="1" w:line="626" w:lineRule="atLeast"/>
              <w:jc w:val="center"/>
              <w:outlineLvl w:val="1"/>
              <w:rPr>
                <w:rFonts w:ascii="宋体" w:eastAsia="宋体" w:hAnsi="宋体" w:cs="宋体"/>
                <w:b/>
                <w:bCs/>
                <w:color w:val="0064B1"/>
                <w:kern w:val="36"/>
                <w:sz w:val="30"/>
                <w:szCs w:val="30"/>
              </w:rPr>
            </w:pPr>
            <w:r w:rsidRPr="00F534CF">
              <w:rPr>
                <w:rFonts w:ascii="宋体" w:eastAsia="宋体" w:hAnsi="宋体" w:cs="宋体" w:hint="eastAsia"/>
                <w:b/>
                <w:bCs/>
                <w:color w:val="0064B1"/>
                <w:kern w:val="36"/>
                <w:sz w:val="30"/>
                <w:szCs w:val="30"/>
              </w:rPr>
              <w:t>闽价费[2014]347号关于进一步完善防空地下室易地建设费有关问题的通知</w:t>
            </w:r>
          </w:p>
        </w:tc>
      </w:tr>
      <w:tr w:rsidR="00F534CF" w:rsidRPr="00F534CF" w:rsidTr="00F534CF">
        <w:trPr>
          <w:jc w:val="center"/>
        </w:trPr>
        <w:tc>
          <w:tcPr>
            <w:tcW w:w="0" w:type="auto"/>
            <w:tcMar>
              <w:top w:w="200" w:type="dxa"/>
              <w:left w:w="275" w:type="dxa"/>
              <w:bottom w:w="200" w:type="dxa"/>
              <w:right w:w="275" w:type="dxa"/>
            </w:tcMar>
            <w:vAlign w:val="center"/>
            <w:hideMark/>
          </w:tcPr>
          <w:p w:rsidR="00F534CF" w:rsidRPr="00F534CF" w:rsidRDefault="00F534CF" w:rsidP="00F534CF">
            <w:pPr>
              <w:widowControl/>
              <w:jc w:val="left"/>
              <w:rPr>
                <w:rFonts w:ascii="仿宋_GB2312" w:eastAsia="仿宋_GB2312" w:hAnsi="宋体" w:cs="宋体" w:hint="eastAsia"/>
                <w:color w:val="3E3E3E"/>
                <w:kern w:val="0"/>
                <w:sz w:val="32"/>
                <w:szCs w:val="32"/>
              </w:rPr>
            </w:pPr>
            <w:r w:rsidRPr="00F534CF">
              <w:rPr>
                <w:rFonts w:ascii="仿宋_GB2312" w:eastAsia="仿宋_GB2312" w:hAnsi="宋体" w:cs="宋体" w:hint="eastAsia"/>
                <w:b/>
                <w:bCs/>
                <w:color w:val="3E3E3E"/>
                <w:kern w:val="0"/>
                <w:sz w:val="23"/>
              </w:rPr>
              <w:t xml:space="preserve">各设区市物价局、财政局、人防办，平潭综合实验区市场监督管理局、财政金融局、人防办： </w:t>
            </w:r>
            <w:r w:rsidRPr="00F534CF">
              <w:rPr>
                <w:rFonts w:ascii="仿宋_GB2312" w:eastAsia="仿宋_GB2312" w:hAnsi="宋体" w:cs="宋体" w:hint="eastAsia"/>
                <w:color w:val="3E3E3E"/>
                <w:kern w:val="0"/>
                <w:sz w:val="32"/>
                <w:szCs w:val="32"/>
              </w:rPr>
              <w:br/>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为促进我省人防建设与经济建设协调发展，减轻企业负担，根据《福建省人民防空条例》的相关规定，并结合当前我省人防建设工作实际，现就我省防空地下室易地建设费收费标准及有关事项通知如下： </w:t>
            </w:r>
            <w:r w:rsidRPr="00F534CF">
              <w:rPr>
                <w:rFonts w:ascii="仿宋_GB2312" w:eastAsia="仿宋_GB2312" w:hAnsi="宋体" w:cs="宋体" w:hint="eastAsia"/>
                <w:color w:val="3E3E3E"/>
                <w:kern w:val="0"/>
                <w:sz w:val="32"/>
                <w:szCs w:val="32"/>
              </w:rPr>
              <w:br/>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一、取消原防空地下室易地建设</w:t>
            </w:r>
            <w:proofErr w:type="gramStart"/>
            <w:r w:rsidRPr="00F534CF">
              <w:rPr>
                <w:rFonts w:ascii="仿宋_GB2312" w:eastAsia="仿宋_GB2312" w:hAnsi="宋体" w:cs="宋体" w:hint="eastAsia"/>
                <w:b/>
                <w:bCs/>
                <w:color w:val="3E3E3E"/>
                <w:kern w:val="0"/>
                <w:sz w:val="23"/>
              </w:rPr>
              <w:t>费按照</w:t>
            </w:r>
            <w:proofErr w:type="gramEnd"/>
            <w:r w:rsidRPr="00F534CF">
              <w:rPr>
                <w:rFonts w:ascii="仿宋_GB2312" w:eastAsia="仿宋_GB2312" w:hAnsi="宋体" w:cs="宋体" w:hint="eastAsia"/>
                <w:b/>
                <w:bCs/>
                <w:color w:val="3E3E3E"/>
                <w:kern w:val="0"/>
                <w:sz w:val="23"/>
              </w:rPr>
              <w:t>不同防护级别分别制定收费标准的做法，改为按照统一的收费标准执行；降低工业项目中民用建筑易地建设费收费标准。具体详见附件。</w:t>
            </w:r>
            <w:r w:rsidRPr="00F534CF">
              <w:rPr>
                <w:rFonts w:ascii="仿宋_GB2312" w:eastAsia="仿宋_GB2312" w:hAnsi="宋体" w:cs="宋体" w:hint="eastAsia"/>
                <w:color w:val="3E3E3E"/>
                <w:kern w:val="0"/>
                <w:sz w:val="32"/>
                <w:szCs w:val="32"/>
              </w:rPr>
              <w:t xml:space="preserve"> </w:t>
            </w:r>
          </w:p>
          <w:p w:rsidR="00F534CF" w:rsidRPr="00F534CF" w:rsidRDefault="00F534CF" w:rsidP="00F534CF">
            <w:pPr>
              <w:widowControl/>
              <w:spacing w:before="100" w:beforeAutospacing="1" w:after="125" w:line="301" w:lineRule="atLeast"/>
              <w:jc w:val="left"/>
              <w:rPr>
                <w:rFonts w:ascii="宋体" w:eastAsia="宋体" w:hAnsi="宋体" w:cs="宋体" w:hint="eastAsia"/>
                <w:color w:val="3E3E3E"/>
                <w:kern w:val="0"/>
                <w:sz w:val="18"/>
                <w:szCs w:val="18"/>
              </w:rPr>
            </w:pP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二、除国务院及国务院办公厅、国家发展改革委规定的减免项目外，任何组织和个人不得批准免交、减交或缓交防空地下室易地建设费。 </w:t>
            </w:r>
            <w:r w:rsidRPr="00F534CF">
              <w:rPr>
                <w:rFonts w:ascii="宋体" w:eastAsia="宋体" w:hAnsi="宋体" w:cs="宋体" w:hint="eastAsia"/>
                <w:color w:val="3E3E3E"/>
                <w:kern w:val="0"/>
                <w:sz w:val="18"/>
                <w:szCs w:val="18"/>
              </w:rPr>
              <w:br/>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三、凡属国家规定可减免收取防空地下室易地建设费的项目，由项目所在地人防主管部门批准。 </w:t>
            </w:r>
            <w:r w:rsidRPr="00F534CF">
              <w:rPr>
                <w:rFonts w:ascii="宋体" w:eastAsia="宋体" w:hAnsi="宋体" w:cs="宋体" w:hint="eastAsia"/>
                <w:color w:val="3E3E3E"/>
                <w:kern w:val="0"/>
                <w:sz w:val="18"/>
                <w:szCs w:val="18"/>
              </w:rPr>
              <w:br/>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四、防空地下室易地建设费应纳入人防经费预算，实行“收支两条线”管理，统筹安排并专项用于人防工程建设，不得用于平衡本级预算，不得挪用、借用或统筹调剂。 </w:t>
            </w:r>
            <w:r w:rsidRPr="00F534CF">
              <w:rPr>
                <w:rFonts w:ascii="宋体" w:eastAsia="宋体" w:hAnsi="宋体" w:cs="宋体" w:hint="eastAsia"/>
                <w:color w:val="3E3E3E"/>
                <w:kern w:val="0"/>
                <w:sz w:val="18"/>
                <w:szCs w:val="18"/>
              </w:rPr>
              <w:br/>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五、防空地下室易地建设费的使用应符合人防工程建设管理基本程序的要求，投资项目按国家规定的权限审批。工程项目经费需经本级财政部门预（结）算审核后方可列支。凡未纳入人防工程建设计划或未批准建设的项目，财政部门一律不得核销防空地下室易地建设费。 </w:t>
            </w:r>
            <w:r w:rsidRPr="00F534CF">
              <w:rPr>
                <w:rFonts w:ascii="宋体" w:eastAsia="宋体" w:hAnsi="宋体" w:cs="宋体" w:hint="eastAsia"/>
                <w:color w:val="3E3E3E"/>
                <w:kern w:val="0"/>
                <w:sz w:val="18"/>
                <w:szCs w:val="18"/>
              </w:rPr>
              <w:br/>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六、各级人防主管部门提取不超过当年收取防空地下室易地建设费总额的7%，用于人防工程建设前期费用和已建公用人防工程的日常维修、维护等方面支出。 </w:t>
            </w:r>
            <w:r w:rsidRPr="00F534CF">
              <w:rPr>
                <w:rFonts w:ascii="宋体" w:eastAsia="宋体" w:hAnsi="宋体" w:cs="宋体" w:hint="eastAsia"/>
                <w:color w:val="3E3E3E"/>
                <w:kern w:val="0"/>
                <w:sz w:val="18"/>
                <w:szCs w:val="18"/>
              </w:rPr>
              <w:br/>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七、各级人防主管部门应及时到当地价格主管部门办理《收费许可证》有关手续，向社会公示收费项目、收费标准、收费依据和价格监督电话12358，落实“阳光价费”的各项规定，收费使用省财政主管部门统一印制的收费票据，收费资金上缴国库，实行收支两条线管理。 </w:t>
            </w:r>
            <w:r w:rsidRPr="00F534CF">
              <w:rPr>
                <w:rFonts w:ascii="宋体" w:eastAsia="宋体" w:hAnsi="宋体" w:cs="宋体" w:hint="eastAsia"/>
                <w:color w:val="3E3E3E"/>
                <w:kern w:val="0"/>
                <w:sz w:val="18"/>
                <w:szCs w:val="18"/>
              </w:rPr>
              <w:br/>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八、各地人防主管部门应每年向省人防主管部门报送“防空地下室易地建设费收支情况表”，省人防主管部门应定期对市、县（区）人防主管部门的“结建”审批工作进行检查，对防空地下室易地建设费使用情况进行内部审计，加强对该项战备经费的监督检查。 </w:t>
            </w:r>
            <w:r w:rsidRPr="00F534CF">
              <w:rPr>
                <w:rFonts w:ascii="宋体" w:eastAsia="宋体" w:hAnsi="宋体" w:cs="宋体" w:hint="eastAsia"/>
                <w:color w:val="3E3E3E"/>
                <w:kern w:val="0"/>
                <w:sz w:val="18"/>
                <w:szCs w:val="18"/>
              </w:rPr>
              <w:br/>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九、本通知自2014年12月1日开始执行。以往凡与本通知精神不一致的防空地下室易地建设收费相关规定同时停止执行。 </w:t>
            </w:r>
          </w:p>
          <w:p w:rsidR="00F534CF" w:rsidRPr="00F534CF" w:rsidRDefault="00F534CF" w:rsidP="00F534CF">
            <w:pPr>
              <w:widowControl/>
              <w:spacing w:before="100" w:beforeAutospacing="1" w:after="125" w:line="301" w:lineRule="atLeast"/>
              <w:jc w:val="left"/>
              <w:rPr>
                <w:rFonts w:ascii="宋体" w:eastAsia="宋体" w:hAnsi="宋体" w:cs="宋体" w:hint="eastAsia"/>
                <w:color w:val="3E3E3E"/>
                <w:kern w:val="0"/>
                <w:sz w:val="18"/>
                <w:szCs w:val="18"/>
              </w:rPr>
            </w:pPr>
            <w:r w:rsidRPr="00F534CF">
              <w:rPr>
                <w:rFonts w:ascii="仿宋_GB2312" w:eastAsia="仿宋_GB2312" w:hAnsi="宋体" w:cs="宋体" w:hint="eastAsia"/>
                <w:b/>
                <w:bCs/>
                <w:color w:val="3E3E3E"/>
                <w:kern w:val="0"/>
                <w:sz w:val="23"/>
              </w:rPr>
              <w:t>     </w:t>
            </w:r>
            <w:r w:rsidRPr="00F534CF">
              <w:rPr>
                <w:rFonts w:ascii="宋体" w:eastAsia="宋体" w:hAnsi="宋体" w:cs="宋体" w:hint="eastAsia"/>
                <w:color w:val="3E3E3E"/>
                <w:kern w:val="0"/>
                <w:sz w:val="18"/>
                <w:szCs w:val="18"/>
              </w:rPr>
              <w:t xml:space="preserve"> </w:t>
            </w:r>
            <w:r w:rsidRPr="00F534CF">
              <w:rPr>
                <w:rFonts w:ascii="仿宋_GB2312" w:eastAsia="仿宋_GB2312" w:hAnsi="宋体" w:cs="宋体" w:hint="eastAsia"/>
                <w:b/>
                <w:bCs/>
                <w:color w:val="3E3E3E"/>
                <w:kern w:val="0"/>
                <w:sz w:val="23"/>
              </w:rPr>
              <w:t>附件：福建省防空地下室易地建设费收费标准</w:t>
            </w:r>
            <w:r w:rsidRPr="00F534CF">
              <w:rPr>
                <w:rFonts w:ascii="仿宋_GB2312" w:eastAsia="仿宋_GB2312" w:hAnsi="宋体" w:cs="宋体" w:hint="eastAsia"/>
                <w:b/>
                <w:bCs/>
                <w:color w:val="3E3E3E"/>
                <w:kern w:val="0"/>
                <w:sz w:val="23"/>
              </w:rPr>
              <w:t> </w:t>
            </w:r>
            <w:r w:rsidRPr="00F534CF">
              <w:rPr>
                <w:rFonts w:ascii="宋体" w:eastAsia="宋体" w:hAnsi="宋体" w:cs="宋体" w:hint="eastAsia"/>
                <w:color w:val="3E3E3E"/>
                <w:kern w:val="0"/>
                <w:sz w:val="18"/>
                <w:szCs w:val="18"/>
              </w:rPr>
              <w:t xml:space="preserve"> </w:t>
            </w:r>
          </w:p>
          <w:p w:rsidR="00F534CF" w:rsidRPr="00F534CF" w:rsidRDefault="00F534CF" w:rsidP="00F534CF">
            <w:pPr>
              <w:widowControl/>
              <w:jc w:val="left"/>
              <w:rPr>
                <w:rFonts w:ascii="宋体" w:eastAsia="宋体" w:hAnsi="宋体" w:cs="宋体" w:hint="eastAsia"/>
                <w:color w:val="3E3E3E"/>
                <w:kern w:val="0"/>
                <w:sz w:val="18"/>
                <w:szCs w:val="18"/>
              </w:rPr>
            </w:pPr>
            <w:r w:rsidRPr="00F534CF">
              <w:rPr>
                <w:rFonts w:ascii="仿宋_GB2312" w:eastAsia="仿宋_GB2312" w:hAnsi="宋体" w:cs="宋体" w:hint="eastAsia"/>
                <w:b/>
                <w:bCs/>
                <w:color w:val="3E3E3E"/>
                <w:kern w:val="0"/>
                <w:sz w:val="23"/>
              </w:rPr>
              <w:t>     </w:t>
            </w:r>
            <w:r w:rsidRPr="00F534CF">
              <w:rPr>
                <w:rFonts w:ascii="宋体" w:eastAsia="宋体" w:hAnsi="宋体" w:cs="宋体" w:hint="eastAsia"/>
                <w:color w:val="3E3E3E"/>
                <w:kern w:val="0"/>
                <w:sz w:val="18"/>
                <w:szCs w:val="18"/>
              </w:rPr>
              <w:br/>
            </w:r>
            <w:r w:rsidRPr="00F534CF">
              <w:rPr>
                <w:rFonts w:ascii="仿宋_GB2312" w:eastAsia="仿宋_GB2312" w:hAnsi="宋体" w:cs="宋体" w:hint="eastAsia"/>
                <w:b/>
                <w:bCs/>
                <w:color w:val="3E3E3E"/>
                <w:kern w:val="0"/>
                <w:sz w:val="23"/>
              </w:rPr>
              <w:t>          </w:t>
            </w:r>
            <w:r w:rsidRPr="00F534CF">
              <w:rPr>
                <w:rFonts w:ascii="宋体" w:eastAsia="宋体" w:hAnsi="宋体" w:cs="宋体" w:hint="eastAsia"/>
                <w:color w:val="3E3E3E"/>
                <w:kern w:val="0"/>
                <w:sz w:val="18"/>
                <w:szCs w:val="18"/>
              </w:rPr>
              <w:br/>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福建省物价局</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福建省财政厅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福建省人防办</w:t>
            </w:r>
            <w:r w:rsidRPr="00F534CF">
              <w:rPr>
                <w:rFonts w:ascii="仿宋_GB2312" w:eastAsia="仿宋_GB2312" w:hAnsi="宋体" w:cs="宋体" w:hint="eastAsia"/>
                <w:b/>
                <w:bCs/>
                <w:color w:val="3E3E3E"/>
                <w:kern w:val="0"/>
                <w:sz w:val="23"/>
              </w:rPr>
              <w:t> </w:t>
            </w:r>
            <w:r w:rsidRPr="00F534CF">
              <w:rPr>
                <w:rFonts w:ascii="宋体" w:eastAsia="宋体" w:hAnsi="宋体" w:cs="宋体" w:hint="eastAsia"/>
                <w:color w:val="3E3E3E"/>
                <w:kern w:val="0"/>
                <w:sz w:val="18"/>
                <w:szCs w:val="18"/>
              </w:rPr>
              <w:br/>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proofErr w:type="gramStart"/>
            <w:r w:rsidRPr="00F534CF">
              <w:rPr>
                <w:rFonts w:ascii="仿宋_GB2312" w:eastAsia="仿宋_GB2312" w:hAnsi="宋体" w:cs="宋体" w:hint="eastAsia"/>
                <w:b/>
                <w:bCs/>
                <w:color w:val="3E3E3E"/>
                <w:kern w:val="0"/>
                <w:sz w:val="23"/>
              </w:rPr>
              <w:t xml:space="preserve">　　　　　　　　　　　　　　　　　　　　　</w:t>
            </w:r>
            <w:proofErr w:type="gramEnd"/>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w:t>
            </w:r>
            <w:r w:rsidRPr="00F534CF">
              <w:rPr>
                <w:rFonts w:ascii="仿宋_GB2312" w:eastAsia="仿宋_GB2312" w:hAnsi="宋体" w:cs="宋体" w:hint="eastAsia"/>
                <w:b/>
                <w:bCs/>
                <w:color w:val="3E3E3E"/>
                <w:kern w:val="0"/>
                <w:sz w:val="23"/>
              </w:rPr>
              <w:t> </w:t>
            </w:r>
            <w:r w:rsidRPr="00F534CF">
              <w:rPr>
                <w:rFonts w:ascii="仿宋_GB2312" w:eastAsia="仿宋_GB2312" w:hAnsi="宋体" w:cs="宋体" w:hint="eastAsia"/>
                <w:b/>
                <w:bCs/>
                <w:color w:val="3E3E3E"/>
                <w:kern w:val="0"/>
                <w:sz w:val="23"/>
              </w:rPr>
              <w:t xml:space="preserve"> 2014年11月4日</w:t>
            </w:r>
            <w:r w:rsidRPr="00F534CF">
              <w:rPr>
                <w:rFonts w:ascii="宋体" w:eastAsia="宋体" w:hAnsi="宋体" w:cs="宋体" w:hint="eastAsia"/>
                <w:color w:val="3E3E3E"/>
                <w:kern w:val="0"/>
                <w:sz w:val="18"/>
                <w:szCs w:val="18"/>
              </w:rPr>
              <w:t xml:space="preserve"> </w:t>
            </w:r>
          </w:p>
          <w:p w:rsidR="00F534CF" w:rsidRPr="00F534CF" w:rsidRDefault="00F534CF" w:rsidP="00F534CF">
            <w:pPr>
              <w:widowControl/>
              <w:spacing w:before="100" w:beforeAutospacing="1" w:after="125" w:line="301" w:lineRule="atLeast"/>
              <w:jc w:val="left"/>
              <w:rPr>
                <w:rFonts w:ascii="宋体" w:eastAsia="宋体" w:hAnsi="宋体" w:cs="宋体" w:hint="eastAsia"/>
                <w:color w:val="3E3E3E"/>
                <w:kern w:val="0"/>
                <w:sz w:val="18"/>
                <w:szCs w:val="18"/>
              </w:rPr>
            </w:pPr>
            <w:r w:rsidRPr="00F534CF">
              <w:rPr>
                <w:rFonts w:ascii="仿宋_GB2312" w:eastAsia="仿宋_GB2312" w:hAnsi="宋体" w:cs="宋体" w:hint="eastAsia"/>
                <w:b/>
                <w:bCs/>
                <w:color w:val="3E3E3E"/>
                <w:kern w:val="0"/>
                <w:sz w:val="23"/>
              </w:rPr>
              <w:lastRenderedPageBreak/>
              <w:t> </w:t>
            </w:r>
            <w:r w:rsidRPr="00F534CF">
              <w:rPr>
                <w:rFonts w:ascii="宋体" w:eastAsia="宋体" w:hAnsi="宋体" w:cs="宋体" w:hint="eastAsia"/>
                <w:color w:val="3E3E3E"/>
                <w:kern w:val="0"/>
                <w:sz w:val="18"/>
                <w:szCs w:val="18"/>
              </w:rPr>
              <w:t xml:space="preserve"> </w:t>
            </w:r>
            <w:r w:rsidRPr="00F534CF">
              <w:rPr>
                <w:rFonts w:ascii="黑体" w:eastAsia="黑体" w:hAnsi="黑体" w:cs="宋体" w:hint="eastAsia"/>
                <w:b/>
                <w:bCs/>
                <w:color w:val="3E3E3E"/>
                <w:kern w:val="0"/>
                <w:sz w:val="30"/>
              </w:rPr>
              <w:t>附件</w:t>
            </w:r>
            <w:r w:rsidRPr="00F534CF">
              <w:rPr>
                <w:rFonts w:ascii="宋体" w:eastAsia="宋体" w:hAnsi="宋体" w:cs="宋体" w:hint="eastAsia"/>
                <w:color w:val="3E3E3E"/>
                <w:kern w:val="0"/>
                <w:sz w:val="18"/>
                <w:szCs w:val="18"/>
              </w:rPr>
              <w:t xml:space="preserve"> </w:t>
            </w:r>
            <w:r>
              <w:rPr>
                <w:rFonts w:ascii="宋体" w:eastAsia="宋体" w:hAnsi="宋体" w:cs="宋体" w:hint="eastAsia"/>
                <w:color w:val="3E3E3E"/>
                <w:kern w:val="0"/>
                <w:sz w:val="18"/>
                <w:szCs w:val="18"/>
              </w:rPr>
              <w:t xml:space="preserve">                           </w:t>
            </w:r>
            <w:r w:rsidRPr="00F534CF">
              <w:rPr>
                <w:rFonts w:ascii="仿宋_GB2312" w:eastAsia="仿宋_GB2312" w:hAnsi="宋体" w:cs="宋体" w:hint="eastAsia"/>
                <w:color w:val="3E3E3E"/>
                <w:kern w:val="0"/>
                <w:sz w:val="23"/>
                <w:szCs w:val="23"/>
              </w:rPr>
              <w:t> </w:t>
            </w:r>
            <w:r w:rsidRPr="00F534CF">
              <w:rPr>
                <w:rFonts w:ascii="黑体" w:eastAsia="黑体" w:hAnsi="黑体" w:cs="宋体" w:hint="eastAsia"/>
                <w:color w:val="3E3E3E"/>
                <w:kern w:val="0"/>
                <w:sz w:val="30"/>
                <w:szCs w:val="30"/>
              </w:rPr>
              <w:t>福建省防空地下室易地建设费收费标准</w:t>
            </w:r>
            <w:r w:rsidRPr="00F534CF">
              <w:rPr>
                <w:rFonts w:ascii="仿宋_GB2312" w:eastAsia="仿宋_GB2312" w:hAnsi="宋体" w:cs="宋体" w:hint="eastAsia"/>
                <w:color w:val="3E3E3E"/>
                <w:kern w:val="0"/>
                <w:sz w:val="23"/>
                <w:szCs w:val="23"/>
              </w:rPr>
              <w:t> </w:t>
            </w:r>
            <w:r w:rsidRPr="00F534CF">
              <w:rPr>
                <w:rFonts w:ascii="宋体" w:eastAsia="宋体" w:hAnsi="宋体" w:cs="宋体" w:hint="eastAsia"/>
                <w:color w:val="3E3E3E"/>
                <w:kern w:val="0"/>
                <w:sz w:val="18"/>
                <w:szCs w:val="18"/>
              </w:rPr>
              <w:t xml:space="preserve"> </w:t>
            </w:r>
          </w:p>
          <w:p w:rsidR="00F534CF" w:rsidRPr="00F534CF" w:rsidRDefault="00F534CF" w:rsidP="00F534CF">
            <w:pPr>
              <w:widowControl/>
              <w:jc w:val="left"/>
              <w:rPr>
                <w:rFonts w:ascii="宋体" w:eastAsia="宋体" w:hAnsi="宋体" w:cs="宋体" w:hint="eastAsia"/>
                <w:color w:val="3E3E3E"/>
                <w:kern w:val="0"/>
                <w:sz w:val="18"/>
                <w:szCs w:val="18"/>
              </w:rPr>
            </w:pPr>
            <w:r w:rsidRPr="00F534CF">
              <w:rPr>
                <w:rFonts w:ascii="仿宋_GB2312" w:eastAsia="仿宋_GB2312" w:hAnsi="宋体" w:cs="宋体" w:hint="eastAsia"/>
                <w:color w:val="3E3E3E"/>
                <w:kern w:val="0"/>
                <w:sz w:val="23"/>
                <w:szCs w:val="23"/>
              </w:rPr>
              <w:t>  </w:t>
            </w:r>
          </w:p>
          <w:tbl>
            <w:tblPr>
              <w:tblW w:w="13261" w:type="dxa"/>
              <w:tblCellMar>
                <w:left w:w="0" w:type="dxa"/>
                <w:right w:w="0" w:type="dxa"/>
              </w:tblCellMar>
              <w:tblLook w:val="04A0"/>
            </w:tblPr>
            <w:tblGrid>
              <w:gridCol w:w="829"/>
              <w:gridCol w:w="5628"/>
              <w:gridCol w:w="3402"/>
              <w:gridCol w:w="3402"/>
            </w:tblGrid>
            <w:tr w:rsidR="00F534CF" w:rsidRPr="00F534CF" w:rsidTr="00F534CF">
              <w:tc>
                <w:tcPr>
                  <w:tcW w:w="829"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新宋体" w:eastAsia="新宋体" w:hAnsi="新宋体" w:cs="宋体" w:hint="eastAsia"/>
                      <w:b/>
                      <w:bCs/>
                      <w:color w:val="3E3E3E"/>
                      <w:kern w:val="0"/>
                      <w:sz w:val="23"/>
                    </w:rPr>
                    <w:t>序号</w:t>
                  </w:r>
                  <w:r w:rsidRPr="00F534CF">
                    <w:rPr>
                      <w:rFonts w:ascii="宋体" w:eastAsia="宋体" w:hAnsi="宋体" w:cs="宋体" w:hint="eastAsia"/>
                      <w:color w:val="3E3E3E"/>
                      <w:kern w:val="0"/>
                      <w:sz w:val="15"/>
                      <w:szCs w:val="15"/>
                    </w:rPr>
                    <w:t xml:space="preserve"> </w:t>
                  </w:r>
                </w:p>
              </w:tc>
              <w:tc>
                <w:tcPr>
                  <w:tcW w:w="5628"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新宋体" w:eastAsia="新宋体" w:hAnsi="新宋体" w:cs="宋体" w:hint="eastAsia"/>
                      <w:b/>
                      <w:bCs/>
                      <w:color w:val="3E3E3E"/>
                      <w:kern w:val="0"/>
                      <w:sz w:val="23"/>
                    </w:rPr>
                    <w:t>      地     区</w:t>
                  </w:r>
                  <w:r w:rsidRPr="00F534CF">
                    <w:rPr>
                      <w:rFonts w:ascii="宋体" w:eastAsia="宋体" w:hAnsi="宋体" w:cs="宋体" w:hint="eastAsia"/>
                      <w:color w:val="3E3E3E"/>
                      <w:kern w:val="0"/>
                      <w:sz w:val="15"/>
                      <w:szCs w:val="15"/>
                    </w:rPr>
                    <w:t xml:space="preserve"> </w:t>
                  </w:r>
                </w:p>
              </w:tc>
              <w:tc>
                <w:tcPr>
                  <w:tcW w:w="3402"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新宋体" w:eastAsia="新宋体" w:hAnsi="新宋体" w:cs="宋体" w:hint="eastAsia"/>
                      <w:b/>
                      <w:bCs/>
                      <w:color w:val="3E3E3E"/>
                      <w:kern w:val="0"/>
                      <w:sz w:val="23"/>
                    </w:rPr>
                    <w:t>非工业项目的民用建筑易地建设费收费标准（元／平方米）</w:t>
                  </w:r>
                  <w:r w:rsidRPr="00F534CF">
                    <w:rPr>
                      <w:rFonts w:ascii="宋体" w:eastAsia="宋体" w:hAnsi="宋体" w:cs="宋体" w:hint="eastAsia"/>
                      <w:color w:val="3E3E3E"/>
                      <w:kern w:val="0"/>
                      <w:sz w:val="15"/>
                      <w:szCs w:val="15"/>
                    </w:rPr>
                    <w:t xml:space="preserve"> </w:t>
                  </w:r>
                </w:p>
              </w:tc>
              <w:tc>
                <w:tcPr>
                  <w:tcW w:w="3402" w:type="dxa"/>
                  <w:tcBorders>
                    <w:top w:val="single" w:sz="8" w:space="0" w:color="auto"/>
                    <w:left w:val="single" w:sz="8" w:space="0" w:color="auto"/>
                    <w:bottom w:val="single" w:sz="8" w:space="0" w:color="auto"/>
                    <w:right w:val="single" w:sz="8" w:space="0" w:color="auto"/>
                  </w:tcBorders>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新宋体" w:eastAsia="新宋体" w:hAnsi="新宋体" w:cs="宋体" w:hint="eastAsia"/>
                      <w:b/>
                      <w:bCs/>
                      <w:color w:val="3E3E3E"/>
                      <w:kern w:val="0"/>
                      <w:sz w:val="23"/>
                    </w:rPr>
                    <w:t>工业项目中民用建筑易地建设费收费标准（元／平方米）</w:t>
                  </w:r>
                  <w:r w:rsidRPr="00F534CF">
                    <w:rPr>
                      <w:rFonts w:ascii="宋体" w:eastAsia="宋体" w:hAnsi="宋体" w:cs="宋体" w:hint="eastAsia"/>
                      <w:color w:val="3E3E3E"/>
                      <w:kern w:val="0"/>
                      <w:sz w:val="15"/>
                      <w:szCs w:val="15"/>
                    </w:rPr>
                    <w:t xml:space="preserve"> </w:t>
                  </w:r>
                </w:p>
              </w:tc>
            </w:tr>
            <w:tr w:rsidR="00F534CF" w:rsidRPr="00F534CF" w:rsidTr="00F534CF">
              <w:tc>
                <w:tcPr>
                  <w:tcW w:w="829"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1</w:t>
                  </w:r>
                  <w:r w:rsidRPr="00F534CF">
                    <w:rPr>
                      <w:rFonts w:ascii="宋体" w:eastAsia="宋体" w:hAnsi="宋体" w:cs="宋体" w:hint="eastAsia"/>
                      <w:color w:val="3E3E3E"/>
                      <w:kern w:val="0"/>
                      <w:sz w:val="15"/>
                      <w:szCs w:val="15"/>
                    </w:rPr>
                    <w:t xml:space="preserve"> </w:t>
                  </w:r>
                </w:p>
              </w:tc>
              <w:tc>
                <w:tcPr>
                  <w:tcW w:w="5628"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福州市、厦门市</w:t>
                  </w:r>
                  <w:r w:rsidRPr="00F534CF">
                    <w:rPr>
                      <w:rFonts w:ascii="宋体" w:eastAsia="宋体" w:hAnsi="宋体" w:cs="宋体" w:hint="eastAsia"/>
                      <w:color w:val="3E3E3E"/>
                      <w:kern w:val="0"/>
                      <w:sz w:val="15"/>
                      <w:szCs w:val="15"/>
                    </w:rPr>
                    <w:t xml:space="preserve"> </w:t>
                  </w:r>
                </w:p>
              </w:tc>
              <w:tc>
                <w:tcPr>
                  <w:tcW w:w="3402"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1800</w:t>
                  </w:r>
                  <w:r w:rsidRPr="00F534CF">
                    <w:rPr>
                      <w:rFonts w:ascii="宋体" w:eastAsia="宋体" w:hAnsi="宋体" w:cs="宋体" w:hint="eastAsia"/>
                      <w:color w:val="3E3E3E"/>
                      <w:kern w:val="0"/>
                      <w:sz w:val="15"/>
                      <w:szCs w:val="15"/>
                    </w:rPr>
                    <w:t xml:space="preserve"> </w:t>
                  </w:r>
                </w:p>
              </w:tc>
              <w:tc>
                <w:tcPr>
                  <w:tcW w:w="3402"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900</w:t>
                  </w:r>
                  <w:r w:rsidRPr="00F534CF">
                    <w:rPr>
                      <w:rFonts w:ascii="宋体" w:eastAsia="宋体" w:hAnsi="宋体" w:cs="宋体" w:hint="eastAsia"/>
                      <w:color w:val="3E3E3E"/>
                      <w:kern w:val="0"/>
                      <w:sz w:val="15"/>
                      <w:szCs w:val="15"/>
                    </w:rPr>
                    <w:t xml:space="preserve"> </w:t>
                  </w:r>
                </w:p>
              </w:tc>
            </w:tr>
            <w:tr w:rsidR="00F534CF" w:rsidRPr="00F534CF" w:rsidTr="00F534CF">
              <w:tc>
                <w:tcPr>
                  <w:tcW w:w="829"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2</w:t>
                  </w:r>
                  <w:r w:rsidRPr="00F534CF">
                    <w:rPr>
                      <w:rFonts w:ascii="宋体" w:eastAsia="宋体" w:hAnsi="宋体" w:cs="宋体" w:hint="eastAsia"/>
                      <w:color w:val="3E3E3E"/>
                      <w:kern w:val="0"/>
                      <w:sz w:val="15"/>
                      <w:szCs w:val="15"/>
                    </w:rPr>
                    <w:t xml:space="preserve"> </w:t>
                  </w:r>
                </w:p>
              </w:tc>
              <w:tc>
                <w:tcPr>
                  <w:tcW w:w="5628"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漳州市、泉州市、莆田市</w:t>
                  </w:r>
                  <w:r w:rsidRPr="00F534CF">
                    <w:rPr>
                      <w:rFonts w:ascii="宋体" w:eastAsia="宋体" w:hAnsi="宋体" w:cs="宋体" w:hint="eastAsia"/>
                      <w:color w:val="3E3E3E"/>
                      <w:kern w:val="0"/>
                      <w:sz w:val="15"/>
                      <w:szCs w:val="15"/>
                    </w:rPr>
                    <w:t xml:space="preserve"> </w:t>
                  </w:r>
                </w:p>
              </w:tc>
              <w:tc>
                <w:tcPr>
                  <w:tcW w:w="3402"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1600</w:t>
                  </w:r>
                  <w:r w:rsidRPr="00F534CF">
                    <w:rPr>
                      <w:rFonts w:ascii="宋体" w:eastAsia="宋体" w:hAnsi="宋体" w:cs="宋体" w:hint="eastAsia"/>
                      <w:color w:val="3E3E3E"/>
                      <w:kern w:val="0"/>
                      <w:sz w:val="15"/>
                      <w:szCs w:val="15"/>
                    </w:rPr>
                    <w:t xml:space="preserve"> </w:t>
                  </w:r>
                </w:p>
              </w:tc>
              <w:tc>
                <w:tcPr>
                  <w:tcW w:w="3402"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800</w:t>
                  </w:r>
                  <w:r w:rsidRPr="00F534CF">
                    <w:rPr>
                      <w:rFonts w:ascii="宋体" w:eastAsia="宋体" w:hAnsi="宋体" w:cs="宋体" w:hint="eastAsia"/>
                      <w:color w:val="3E3E3E"/>
                      <w:kern w:val="0"/>
                      <w:sz w:val="15"/>
                      <w:szCs w:val="15"/>
                    </w:rPr>
                    <w:t xml:space="preserve"> </w:t>
                  </w:r>
                </w:p>
              </w:tc>
            </w:tr>
            <w:tr w:rsidR="00F534CF" w:rsidRPr="00F534CF" w:rsidTr="00F534CF">
              <w:tc>
                <w:tcPr>
                  <w:tcW w:w="829"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3</w:t>
                  </w:r>
                  <w:r w:rsidRPr="00F534CF">
                    <w:rPr>
                      <w:rFonts w:ascii="宋体" w:eastAsia="宋体" w:hAnsi="宋体" w:cs="宋体" w:hint="eastAsia"/>
                      <w:color w:val="3E3E3E"/>
                      <w:kern w:val="0"/>
                      <w:sz w:val="15"/>
                      <w:szCs w:val="15"/>
                    </w:rPr>
                    <w:t xml:space="preserve"> </w:t>
                  </w:r>
                </w:p>
              </w:tc>
              <w:tc>
                <w:tcPr>
                  <w:tcW w:w="5628"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三明市、南平市、龙岩市、宁德市、晋江市、石狮市、福清市、长乐市</w:t>
                  </w:r>
                  <w:r w:rsidRPr="00F534CF">
                    <w:rPr>
                      <w:rFonts w:ascii="宋体" w:eastAsia="宋体" w:hAnsi="宋体" w:cs="宋体" w:hint="eastAsia"/>
                      <w:color w:val="3E3E3E"/>
                      <w:kern w:val="0"/>
                      <w:sz w:val="15"/>
                      <w:szCs w:val="15"/>
                    </w:rPr>
                    <w:t xml:space="preserve"> </w:t>
                  </w:r>
                </w:p>
              </w:tc>
              <w:tc>
                <w:tcPr>
                  <w:tcW w:w="3402"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1400</w:t>
                  </w:r>
                  <w:r w:rsidRPr="00F534CF">
                    <w:rPr>
                      <w:rFonts w:ascii="宋体" w:eastAsia="宋体" w:hAnsi="宋体" w:cs="宋体" w:hint="eastAsia"/>
                      <w:color w:val="3E3E3E"/>
                      <w:kern w:val="0"/>
                      <w:sz w:val="15"/>
                      <w:szCs w:val="15"/>
                    </w:rPr>
                    <w:t xml:space="preserve"> </w:t>
                  </w:r>
                </w:p>
              </w:tc>
              <w:tc>
                <w:tcPr>
                  <w:tcW w:w="3402"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700</w:t>
                  </w:r>
                  <w:r w:rsidRPr="00F534CF">
                    <w:rPr>
                      <w:rFonts w:ascii="宋体" w:eastAsia="宋体" w:hAnsi="宋体" w:cs="宋体" w:hint="eastAsia"/>
                      <w:color w:val="3E3E3E"/>
                      <w:kern w:val="0"/>
                      <w:sz w:val="15"/>
                      <w:szCs w:val="15"/>
                    </w:rPr>
                    <w:t xml:space="preserve"> </w:t>
                  </w:r>
                </w:p>
              </w:tc>
            </w:tr>
            <w:tr w:rsidR="00F534CF" w:rsidRPr="00F534CF" w:rsidTr="00F534CF">
              <w:trPr>
                <w:trHeight w:val="1585"/>
              </w:trPr>
              <w:tc>
                <w:tcPr>
                  <w:tcW w:w="829"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4</w:t>
                  </w:r>
                  <w:r w:rsidRPr="00F534CF">
                    <w:rPr>
                      <w:rFonts w:ascii="宋体" w:eastAsia="宋体" w:hAnsi="宋体" w:cs="宋体" w:hint="eastAsia"/>
                      <w:color w:val="3E3E3E"/>
                      <w:kern w:val="0"/>
                      <w:sz w:val="15"/>
                      <w:szCs w:val="15"/>
                    </w:rPr>
                    <w:t xml:space="preserve"> </w:t>
                  </w:r>
                </w:p>
              </w:tc>
              <w:tc>
                <w:tcPr>
                  <w:tcW w:w="5628"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福州琅岐开发区、闽侯县、连江县、罗源县、泉州泉港区、惠安县、南安市、厦门同安区、龙海市、云霄县、东山县、漳浦县、诏安县、漳平市、永安市、沙县、邵武市、建阳市、建瓯市、武夷山市、福安市、福鼎市、莆田</w:t>
                  </w:r>
                  <w:proofErr w:type="gramStart"/>
                  <w:r w:rsidRPr="00F534CF">
                    <w:rPr>
                      <w:rFonts w:ascii="仿宋_GB2312" w:eastAsia="仿宋_GB2312" w:hAnsi="宋体" w:cs="宋体" w:hint="eastAsia"/>
                      <w:b/>
                      <w:bCs/>
                      <w:color w:val="3E3E3E"/>
                      <w:kern w:val="0"/>
                      <w:sz w:val="23"/>
                    </w:rPr>
                    <w:t>湄洲湾</w:t>
                  </w:r>
                  <w:proofErr w:type="gramEnd"/>
                  <w:r w:rsidRPr="00F534CF">
                    <w:rPr>
                      <w:rFonts w:ascii="仿宋_GB2312" w:eastAsia="仿宋_GB2312" w:hAnsi="宋体" w:cs="宋体" w:hint="eastAsia"/>
                      <w:b/>
                      <w:bCs/>
                      <w:color w:val="3E3E3E"/>
                      <w:kern w:val="0"/>
                      <w:sz w:val="23"/>
                    </w:rPr>
                    <w:t>北岸、</w:t>
                  </w:r>
                  <w:proofErr w:type="gramStart"/>
                  <w:r w:rsidRPr="00F534CF">
                    <w:rPr>
                      <w:rFonts w:ascii="仿宋_GB2312" w:eastAsia="仿宋_GB2312" w:hAnsi="宋体" w:cs="宋体" w:hint="eastAsia"/>
                      <w:b/>
                      <w:bCs/>
                      <w:color w:val="3E3E3E"/>
                      <w:kern w:val="0"/>
                      <w:sz w:val="23"/>
                    </w:rPr>
                    <w:t>秀屿区</w:t>
                  </w:r>
                  <w:proofErr w:type="gramEnd"/>
                  <w:r w:rsidRPr="00F534CF">
                    <w:rPr>
                      <w:rFonts w:ascii="宋体" w:eastAsia="宋体" w:hAnsi="宋体" w:cs="宋体" w:hint="eastAsia"/>
                      <w:color w:val="3E3E3E"/>
                      <w:kern w:val="0"/>
                      <w:sz w:val="15"/>
                      <w:szCs w:val="15"/>
                    </w:rPr>
                    <w:t xml:space="preserve"> </w:t>
                  </w:r>
                </w:p>
              </w:tc>
              <w:tc>
                <w:tcPr>
                  <w:tcW w:w="3402"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1200</w:t>
                  </w:r>
                  <w:r w:rsidRPr="00F534CF">
                    <w:rPr>
                      <w:rFonts w:ascii="宋体" w:eastAsia="宋体" w:hAnsi="宋体" w:cs="宋体" w:hint="eastAsia"/>
                      <w:color w:val="3E3E3E"/>
                      <w:kern w:val="0"/>
                      <w:sz w:val="15"/>
                      <w:szCs w:val="15"/>
                    </w:rPr>
                    <w:t xml:space="preserve"> </w:t>
                  </w:r>
                </w:p>
              </w:tc>
              <w:tc>
                <w:tcPr>
                  <w:tcW w:w="3402" w:type="dxa"/>
                  <w:tcBorders>
                    <w:top w:val="single" w:sz="8" w:space="0" w:color="auto"/>
                    <w:left w:val="single" w:sz="8" w:space="0" w:color="auto"/>
                    <w:bottom w:val="single" w:sz="8" w:space="0" w:color="auto"/>
                    <w:right w:val="single" w:sz="8"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600</w:t>
                  </w:r>
                  <w:r w:rsidRPr="00F534CF">
                    <w:rPr>
                      <w:rFonts w:ascii="宋体" w:eastAsia="宋体" w:hAnsi="宋体" w:cs="宋体" w:hint="eastAsia"/>
                      <w:color w:val="3E3E3E"/>
                      <w:kern w:val="0"/>
                      <w:sz w:val="15"/>
                      <w:szCs w:val="15"/>
                    </w:rPr>
                    <w:t xml:space="preserve"> </w:t>
                  </w:r>
                </w:p>
              </w:tc>
            </w:tr>
            <w:tr w:rsidR="00F534CF" w:rsidRPr="00F534CF" w:rsidTr="00F534CF">
              <w:tc>
                <w:tcPr>
                  <w:tcW w:w="829" w:type="dxa"/>
                  <w:tcBorders>
                    <w:top w:val="single" w:sz="12" w:space="0" w:color="auto"/>
                    <w:left w:val="single" w:sz="12" w:space="0" w:color="auto"/>
                    <w:bottom w:val="single" w:sz="12" w:space="0" w:color="auto"/>
                    <w:right w:val="single" w:sz="12"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5</w:t>
                  </w:r>
                  <w:r w:rsidRPr="00F534CF">
                    <w:rPr>
                      <w:rFonts w:ascii="宋体" w:eastAsia="宋体" w:hAnsi="宋体" w:cs="宋体" w:hint="eastAsia"/>
                      <w:color w:val="3E3E3E"/>
                      <w:kern w:val="0"/>
                      <w:sz w:val="15"/>
                      <w:szCs w:val="15"/>
                    </w:rPr>
                    <w:t xml:space="preserve"> </w:t>
                  </w:r>
                </w:p>
              </w:tc>
              <w:tc>
                <w:tcPr>
                  <w:tcW w:w="5628" w:type="dxa"/>
                  <w:tcBorders>
                    <w:top w:val="single" w:sz="12" w:space="0" w:color="auto"/>
                    <w:left w:val="single" w:sz="12" w:space="0" w:color="auto"/>
                    <w:bottom w:val="single" w:sz="12" w:space="0" w:color="auto"/>
                    <w:right w:val="single" w:sz="12"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闽清县、永泰县、平潭综合实验区、仙游县、安溪县、永春县、德化县、长泰县、华安县、南靖县、平和县、永定县、上杭县、连城县、武平县、长汀县、尤溪县、大田县、清流县、明溪县、将乐县、建宁县、泰宁县、宁化县、顺昌县、浦城县、光泽县、松溪县、政和县、古田县、霞浦县、屏南县、周宁县、寿宁县、柘荣县</w:t>
                  </w:r>
                  <w:r w:rsidRPr="00F534CF">
                    <w:rPr>
                      <w:rFonts w:ascii="宋体" w:eastAsia="宋体" w:hAnsi="宋体" w:cs="宋体" w:hint="eastAsia"/>
                      <w:color w:val="3E3E3E"/>
                      <w:kern w:val="0"/>
                      <w:sz w:val="15"/>
                      <w:szCs w:val="15"/>
                    </w:rPr>
                    <w:t xml:space="preserve"> </w:t>
                  </w:r>
                </w:p>
              </w:tc>
              <w:tc>
                <w:tcPr>
                  <w:tcW w:w="3402" w:type="dxa"/>
                  <w:tcBorders>
                    <w:top w:val="single" w:sz="12" w:space="0" w:color="auto"/>
                    <w:left w:val="single" w:sz="12" w:space="0" w:color="auto"/>
                    <w:bottom w:val="single" w:sz="12" w:space="0" w:color="auto"/>
                    <w:right w:val="single" w:sz="12"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1000</w:t>
                  </w:r>
                  <w:r w:rsidRPr="00F534CF">
                    <w:rPr>
                      <w:rFonts w:ascii="宋体" w:eastAsia="宋体" w:hAnsi="宋体" w:cs="宋体" w:hint="eastAsia"/>
                      <w:color w:val="3E3E3E"/>
                      <w:kern w:val="0"/>
                      <w:sz w:val="15"/>
                      <w:szCs w:val="15"/>
                    </w:rPr>
                    <w:t xml:space="preserve"> </w:t>
                  </w:r>
                </w:p>
              </w:tc>
              <w:tc>
                <w:tcPr>
                  <w:tcW w:w="3402" w:type="dxa"/>
                  <w:tcBorders>
                    <w:top w:val="single" w:sz="12" w:space="0" w:color="auto"/>
                    <w:left w:val="single" w:sz="12" w:space="0" w:color="auto"/>
                    <w:bottom w:val="single" w:sz="12" w:space="0" w:color="auto"/>
                    <w:right w:val="single" w:sz="12" w:space="0" w:color="auto"/>
                  </w:tcBorders>
                  <w:vAlign w:val="center"/>
                  <w:hideMark/>
                </w:tcPr>
                <w:p w:rsidR="00F534CF" w:rsidRPr="00F534CF" w:rsidRDefault="00F534CF" w:rsidP="00F534CF">
                  <w:pPr>
                    <w:widowControl/>
                    <w:spacing w:before="100" w:beforeAutospacing="1" w:after="125" w:line="301" w:lineRule="atLeast"/>
                    <w:jc w:val="left"/>
                    <w:rPr>
                      <w:rFonts w:ascii="宋体" w:eastAsia="宋体" w:hAnsi="宋体" w:cs="宋体"/>
                      <w:color w:val="3E3E3E"/>
                      <w:kern w:val="0"/>
                      <w:sz w:val="15"/>
                      <w:szCs w:val="15"/>
                    </w:rPr>
                  </w:pPr>
                  <w:r w:rsidRPr="00F534CF">
                    <w:rPr>
                      <w:rFonts w:ascii="仿宋_GB2312" w:eastAsia="仿宋_GB2312" w:hAnsi="宋体" w:cs="宋体" w:hint="eastAsia"/>
                      <w:b/>
                      <w:bCs/>
                      <w:color w:val="3E3E3E"/>
                      <w:kern w:val="0"/>
                      <w:sz w:val="23"/>
                    </w:rPr>
                    <w:t>500</w:t>
                  </w:r>
                  <w:r w:rsidRPr="00F534CF">
                    <w:rPr>
                      <w:rFonts w:ascii="宋体" w:eastAsia="宋体" w:hAnsi="宋体" w:cs="宋体" w:hint="eastAsia"/>
                      <w:color w:val="3E3E3E"/>
                      <w:kern w:val="0"/>
                      <w:sz w:val="15"/>
                      <w:szCs w:val="15"/>
                    </w:rPr>
                    <w:t xml:space="preserve"> </w:t>
                  </w:r>
                </w:p>
              </w:tc>
            </w:tr>
          </w:tbl>
          <w:p w:rsidR="00F534CF" w:rsidRPr="00F534CF" w:rsidRDefault="00F534CF" w:rsidP="00F534CF">
            <w:pPr>
              <w:widowControl/>
              <w:spacing w:before="100" w:beforeAutospacing="1" w:after="125" w:line="301" w:lineRule="atLeast"/>
              <w:jc w:val="left"/>
              <w:rPr>
                <w:rFonts w:ascii="宋体" w:eastAsia="宋体" w:hAnsi="宋体" w:cs="宋体" w:hint="eastAsia"/>
                <w:color w:val="3E3E3E"/>
                <w:kern w:val="0"/>
                <w:sz w:val="18"/>
                <w:szCs w:val="18"/>
              </w:rPr>
            </w:pPr>
            <w:r w:rsidRPr="00F534CF">
              <w:rPr>
                <w:rFonts w:ascii="仿宋_GB2312" w:eastAsia="仿宋_GB2312" w:hAnsi="宋体" w:cs="宋体" w:hint="eastAsia"/>
                <w:b/>
                <w:bCs/>
                <w:color w:val="3E3E3E"/>
                <w:kern w:val="0"/>
                <w:sz w:val="23"/>
              </w:rPr>
              <w:t>备注1：设区的</w:t>
            </w:r>
            <w:proofErr w:type="gramStart"/>
            <w:r w:rsidRPr="00F534CF">
              <w:rPr>
                <w:rFonts w:ascii="仿宋_GB2312" w:eastAsia="仿宋_GB2312" w:hAnsi="宋体" w:cs="宋体" w:hint="eastAsia"/>
                <w:b/>
                <w:bCs/>
                <w:color w:val="3E3E3E"/>
                <w:kern w:val="0"/>
                <w:sz w:val="23"/>
              </w:rPr>
              <w:t>市包括</w:t>
            </w:r>
            <w:proofErr w:type="gramEnd"/>
            <w:r w:rsidRPr="00F534CF">
              <w:rPr>
                <w:rFonts w:ascii="仿宋_GB2312" w:eastAsia="仿宋_GB2312" w:hAnsi="宋体" w:cs="宋体" w:hint="eastAsia"/>
                <w:b/>
                <w:bCs/>
                <w:color w:val="3E3E3E"/>
                <w:kern w:val="0"/>
                <w:sz w:val="23"/>
              </w:rPr>
              <w:t>各区和经济开发区，其他县（市）是指市、县所在的镇和经济开发区，还包括按规定程序确认的人防重点设防镇。</w:t>
            </w:r>
            <w:r w:rsidRPr="00F534CF">
              <w:rPr>
                <w:rFonts w:ascii="宋体" w:eastAsia="宋体" w:hAnsi="宋体" w:cs="宋体" w:hint="eastAsia"/>
                <w:color w:val="3E3E3E"/>
                <w:kern w:val="0"/>
                <w:sz w:val="18"/>
                <w:szCs w:val="18"/>
              </w:rPr>
              <w:t xml:space="preserve"> </w:t>
            </w:r>
          </w:p>
          <w:p w:rsidR="00F534CF" w:rsidRPr="00F534CF" w:rsidRDefault="00F534CF" w:rsidP="00F534CF">
            <w:pPr>
              <w:widowControl/>
              <w:spacing w:before="100" w:beforeAutospacing="1" w:after="125" w:line="301" w:lineRule="atLeast"/>
              <w:ind w:firstLine="480"/>
              <w:jc w:val="left"/>
              <w:textAlignment w:val="top"/>
              <w:rPr>
                <w:rFonts w:ascii="宋体" w:eastAsia="宋体" w:hAnsi="宋体" w:cs="宋体"/>
                <w:color w:val="3E3E3E"/>
                <w:kern w:val="0"/>
                <w:sz w:val="18"/>
                <w:szCs w:val="18"/>
              </w:rPr>
            </w:pPr>
            <w:r w:rsidRPr="00F534CF">
              <w:rPr>
                <w:rFonts w:ascii="仿宋_GB2312" w:eastAsia="仿宋_GB2312" w:hAnsi="宋体" w:cs="宋体" w:hint="eastAsia"/>
                <w:b/>
                <w:bCs/>
                <w:color w:val="3E3E3E"/>
                <w:kern w:val="0"/>
                <w:sz w:val="23"/>
              </w:rPr>
              <w:t>2：“ 工业项目中民用建筑”是指工业用地的建设项目中，除生产性建筑外（工业厂房和生产性配套设施）的所有非生产性建筑。</w:t>
            </w:r>
            <w:r w:rsidRPr="00F534CF">
              <w:rPr>
                <w:rFonts w:ascii="宋体" w:eastAsia="宋体" w:hAnsi="宋体" w:cs="宋体" w:hint="eastAsia"/>
                <w:color w:val="3E3E3E"/>
                <w:kern w:val="0"/>
                <w:sz w:val="18"/>
                <w:szCs w:val="18"/>
              </w:rPr>
              <w:t xml:space="preserve"> </w:t>
            </w:r>
          </w:p>
        </w:tc>
      </w:tr>
    </w:tbl>
    <w:p w:rsidR="00485F16" w:rsidRPr="00F534CF" w:rsidRDefault="00485F16"/>
    <w:sectPr w:rsidR="00485F16" w:rsidRPr="00F534CF" w:rsidSect="00F534CF">
      <w:pgSz w:w="16838" w:h="11906" w:orient="landscape"/>
      <w:pgMar w:top="851" w:right="1440" w:bottom="1021"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34CF"/>
    <w:rsid w:val="00485F16"/>
    <w:rsid w:val="00F534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F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34CF"/>
    <w:rPr>
      <w:strike w:val="0"/>
      <w:dstrike w:val="0"/>
      <w:color w:val="3E3E3E"/>
      <w:u w:val="none"/>
      <w:effect w:val="none"/>
    </w:rPr>
  </w:style>
  <w:style w:type="character" w:styleId="a4">
    <w:name w:val="Strong"/>
    <w:basedOn w:val="a0"/>
    <w:uiPriority w:val="22"/>
    <w:qFormat/>
    <w:rsid w:val="00F534CF"/>
    <w:rPr>
      <w:b/>
      <w:bCs/>
    </w:rPr>
  </w:style>
  <w:style w:type="paragraph" w:styleId="a5">
    <w:name w:val="Balloon Text"/>
    <w:basedOn w:val="a"/>
    <w:link w:val="Char"/>
    <w:uiPriority w:val="99"/>
    <w:semiHidden/>
    <w:unhideWhenUsed/>
    <w:rsid w:val="00F534CF"/>
    <w:rPr>
      <w:sz w:val="18"/>
      <w:szCs w:val="18"/>
    </w:rPr>
  </w:style>
  <w:style w:type="character" w:customStyle="1" w:styleId="Char">
    <w:name w:val="批注框文本 Char"/>
    <w:basedOn w:val="a0"/>
    <w:link w:val="a5"/>
    <w:uiPriority w:val="99"/>
    <w:semiHidden/>
    <w:rsid w:val="00F534CF"/>
    <w:rPr>
      <w:sz w:val="18"/>
      <w:szCs w:val="18"/>
    </w:rPr>
  </w:style>
</w:styles>
</file>

<file path=word/webSettings.xml><?xml version="1.0" encoding="utf-8"?>
<w:webSettings xmlns:r="http://schemas.openxmlformats.org/officeDocument/2006/relationships" xmlns:w="http://schemas.openxmlformats.org/wordprocessingml/2006/main">
  <w:divs>
    <w:div w:id="949750498">
      <w:bodyDiv w:val="1"/>
      <w:marLeft w:val="0"/>
      <w:marRight w:val="0"/>
      <w:marTop w:val="0"/>
      <w:marBottom w:val="0"/>
      <w:divBdr>
        <w:top w:val="none" w:sz="0" w:space="0" w:color="auto"/>
        <w:left w:val="none" w:sz="0" w:space="0" w:color="auto"/>
        <w:bottom w:val="none" w:sz="0" w:space="0" w:color="auto"/>
        <w:right w:val="none" w:sz="0" w:space="0" w:color="auto"/>
      </w:divBdr>
      <w:divsChild>
        <w:div w:id="1288896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262</Words>
  <Characters>1499</Characters>
  <Application>Microsoft Office Word</Application>
  <DocSecurity>0</DocSecurity>
  <Lines>12</Lines>
  <Paragraphs>3</Paragraphs>
  <ScaleCrop>false</ScaleCrop>
  <Company>Lenovo</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2015-06-04T00:41:00Z</dcterms:created>
  <dcterms:modified xsi:type="dcterms:W3CDTF">2015-06-04T00:46:00Z</dcterms:modified>
</cp:coreProperties>
</file>