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6E918">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黑体" w:hAnsi="黑体" w:eastAsia="黑体" w:cs="黑体"/>
          <w:b w:val="0"/>
          <w:bCs w:val="0"/>
          <w:spacing w:val="-14"/>
          <w:sz w:val="32"/>
          <w:szCs w:val="32"/>
          <w:lang w:eastAsia="zh-CN"/>
        </w:rPr>
      </w:pPr>
      <w:r>
        <w:rPr>
          <w:rFonts w:hint="eastAsia" w:ascii="黑体" w:hAnsi="黑体" w:eastAsia="黑体" w:cs="黑体"/>
          <w:b w:val="0"/>
          <w:bCs w:val="0"/>
          <w:spacing w:val="-14"/>
          <w:sz w:val="32"/>
          <w:szCs w:val="32"/>
          <w:lang w:eastAsia="zh-CN"/>
        </w:rPr>
        <w:t>附件</w:t>
      </w:r>
    </w:p>
    <w:p w14:paraId="26232258">
      <w:pPr>
        <w:pStyle w:val="3"/>
        <w:keepNext w:val="0"/>
        <w:keepLines w:val="0"/>
        <w:pageBreakBefore w:val="0"/>
        <w:widowControl w:val="0"/>
        <w:kinsoku/>
        <w:wordWrap/>
        <w:overflowPunct/>
        <w:topLinePunct w:val="0"/>
        <w:autoSpaceDE/>
        <w:autoSpaceDN/>
        <w:bidi w:val="0"/>
        <w:adjustRightInd/>
        <w:spacing w:line="580" w:lineRule="exact"/>
        <w:textAlignment w:val="auto"/>
        <w:rPr>
          <w:rFonts w:hint="eastAsia"/>
          <w:sz w:val="32"/>
          <w:szCs w:val="32"/>
          <w:lang w:eastAsia="zh-CN"/>
        </w:rPr>
      </w:pPr>
    </w:p>
    <w:p w14:paraId="0156018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pacing w:val="-14"/>
          <w:sz w:val="44"/>
          <w:szCs w:val="44"/>
        </w:rPr>
      </w:pPr>
      <w:r>
        <w:rPr>
          <w:rFonts w:hint="eastAsia" w:ascii="方正小标宋简体" w:hAnsi="方正小标宋简体" w:eastAsia="方正小标宋简体" w:cs="方正小标宋简体"/>
          <w:b w:val="0"/>
          <w:bCs w:val="0"/>
          <w:spacing w:val="-14"/>
          <w:sz w:val="44"/>
          <w:szCs w:val="44"/>
          <w:lang w:val="en-US" w:eastAsia="zh-CN"/>
        </w:rPr>
        <w:t>沈海高速泉港段“3·22”一般道路交通事故</w:t>
      </w:r>
      <w:r>
        <w:rPr>
          <w:rFonts w:hint="eastAsia" w:ascii="方正小标宋简体" w:hAnsi="方正小标宋简体" w:eastAsia="方正小标宋简体" w:cs="方正小标宋简体"/>
          <w:b w:val="0"/>
          <w:bCs w:val="0"/>
          <w:spacing w:val="-14"/>
          <w:sz w:val="44"/>
          <w:szCs w:val="44"/>
        </w:rPr>
        <w:t>责任追究和整改措施落实情况评估报告</w:t>
      </w:r>
    </w:p>
    <w:p w14:paraId="354894E0">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rPr>
      </w:pPr>
    </w:p>
    <w:p w14:paraId="0DE2D2B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2025年3月22日9时40分许，邓</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宋体" w:eastAsia="仿宋_GB2312" w:cs="宋体"/>
          <w:kern w:val="2"/>
          <w:sz w:val="32"/>
          <w:szCs w:val="32"/>
          <w:lang w:val="en-US" w:eastAsia="zh-CN" w:bidi="ar-SA"/>
        </w:rPr>
        <w:t>富驾驶粤BBP0834号轻型封闭式货车沿沈海高速厦门往福州方向行驶至2205公里700米（驿坂收费站匝道）处，追尾碰撞前方由李</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宋体" w:eastAsia="仿宋_GB2312" w:cs="宋体"/>
          <w:kern w:val="2"/>
          <w:sz w:val="32"/>
          <w:szCs w:val="32"/>
          <w:lang w:val="en-US" w:eastAsia="zh-CN" w:bidi="ar-SA"/>
        </w:rPr>
        <w:t>波驾驶的闽D6DQ63号轻型仓栅式货车，造成邓</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宋体" w:eastAsia="仿宋_GB2312" w:cs="宋体"/>
          <w:kern w:val="2"/>
          <w:sz w:val="32"/>
          <w:szCs w:val="32"/>
          <w:lang w:val="en-US" w:eastAsia="zh-CN" w:bidi="ar-SA"/>
        </w:rPr>
        <w:t>富受伤送医院抢救无效死亡及两车不同程度损坏的道路交通事故。</w:t>
      </w:r>
    </w:p>
    <w:p w14:paraId="61DADBE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根据《中华人民共和国安全生产法》规定要求及区政府批复，由泉港区安委办牵头组织成立沈海高速泉港段“3·22”一般道路交通事故评估组，对事故责任追究和整改防范措施落实情况进行评估。现将有关评估情况报告如下：</w:t>
      </w:r>
    </w:p>
    <w:p w14:paraId="7975206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总体意见</w:t>
      </w:r>
    </w:p>
    <w:p w14:paraId="3D4B07C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评估组按照有关法律法规规定，对照《沈海高速泉港段“3·22”一般道路交通事故调查报告》，通过采取查阅相关文件资料、走访相关单位等方式，对事故责任追究和整改防范措施落实等情况进行核实和评估。</w:t>
      </w:r>
    </w:p>
    <w:p w14:paraId="136C3CB4">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总体来看，评估组认为泉港区应急管理局、厦门市区交通运输局、福建省公安厅交通管理总队泉莆高速公路支队</w:t>
      </w:r>
      <w:r>
        <w:rPr>
          <w:rFonts w:hint="eastAsia" w:ascii="仿宋_GB2312" w:eastAsia="仿宋_GB2312" w:cs="仿宋_GB2312" w:hAnsiTheme="majorEastAsia"/>
          <w:snapToGrid w:val="0"/>
          <w:color w:val="000000"/>
          <w:w w:val="100"/>
          <w:kern w:val="0"/>
          <w:sz w:val="24"/>
          <w:szCs w:val="24"/>
          <w:lang w:val="zh-CN" w:eastAsia="zh-CN"/>
        </w:rPr>
        <w:t>、</w:t>
      </w:r>
      <w:r>
        <w:rPr>
          <w:rFonts w:hint="eastAsia" w:ascii="仿宋_GB2312" w:hAnsi="宋体" w:eastAsia="仿宋_GB2312" w:cs="宋体"/>
          <w:kern w:val="2"/>
          <w:sz w:val="32"/>
          <w:szCs w:val="32"/>
          <w:lang w:val="zh-CN" w:eastAsia="zh-CN" w:bidi="ar-SA"/>
        </w:rPr>
        <w:t>福建省泉州高速公路行政执法支队、福建泉厦高速公路管理有限公司</w:t>
      </w:r>
      <w:r>
        <w:rPr>
          <w:rFonts w:hint="eastAsia" w:ascii="仿宋_GB2312" w:hAnsi="宋体" w:eastAsia="仿宋_GB2312" w:cs="宋体"/>
          <w:kern w:val="2"/>
          <w:sz w:val="32"/>
          <w:szCs w:val="32"/>
          <w:lang w:val="en-US" w:eastAsia="zh-CN" w:bidi="ar-SA"/>
        </w:rPr>
        <w:t>均能认真对照《泉港区人民政府关于同意沈海高速泉港段“3·22”一般道路交通事故调查报告的批复》（泉港政综〔2025〕89号）中有关事故责任追究以及防范和整改措施建议的各项要求，立足各自职能职责，深刻吸取事故教训，落实各自问题整改，并取得明显工作成效。事故相关企业、责任人员责任追究和处罚已落实到位，事故相关材料档案已归档，事故相关材料已向泉州市安委会办公室备案，事故调查报告已于泉港区人民政府官网公开。同时，评估组也发现一些难点问题需持续推动解决，并提出相关工作建议。</w:t>
      </w:r>
    </w:p>
    <w:p w14:paraId="55E08148">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、事故责任追究落实情况</w:t>
      </w:r>
    </w:p>
    <w:p w14:paraId="7F50A31E">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（一）粤BBP0834轻型封闭式货车驾驶员邓*富追究责任执行情况</w:t>
      </w:r>
    </w:p>
    <w:p w14:paraId="7352578B">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处理建议：对事故的发生负有直接责任，因在本起事故中死亡，建议不予追究责任。</w:t>
      </w:r>
    </w:p>
    <w:p w14:paraId="6BB1BE96">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处理结果：因在本起事故中死亡，不予追究责任。</w:t>
      </w:r>
    </w:p>
    <w:p w14:paraId="51DD03FB">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（二）公职人员王</w:t>
      </w:r>
      <w:r>
        <w:rPr>
          <w:rFonts w:hint="eastAsia"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eastAsia="zh-CN"/>
        </w:rPr>
        <w:t>让责任追究落实情况</w:t>
      </w:r>
    </w:p>
    <w:p w14:paraId="758ADF79">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处理建议：由福建省公安厅交通管理总队泉莆高速公路支队一大队予以提醒谈话。</w:t>
      </w:r>
    </w:p>
    <w:p w14:paraId="0F71C3AA">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eastAsia="仿宋_GB2312"/>
          <w:sz w:val="32"/>
          <w:szCs w:val="32"/>
          <w:lang w:val="en-US" w:eastAsia="zh-CN"/>
        </w:rPr>
      </w:pPr>
      <w:r>
        <w:rPr>
          <w:rFonts w:hint="eastAsia" w:ascii="仿宋_GB2312" w:hAnsi="宋体" w:eastAsia="仿宋_GB2312" w:cs="宋体"/>
          <w:kern w:val="2"/>
          <w:sz w:val="32"/>
          <w:szCs w:val="32"/>
          <w:lang w:val="en-US" w:eastAsia="zh-CN" w:bidi="ar-SA"/>
        </w:rPr>
        <w:t>处理结果：2025年10月19日，福建省公安厅交通管理总队泉莆高速公路支队一大队对王</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宋体" w:eastAsia="仿宋_GB2312" w:cs="宋体"/>
          <w:kern w:val="2"/>
          <w:sz w:val="32"/>
          <w:szCs w:val="32"/>
          <w:lang w:val="en-US" w:eastAsia="zh-CN" w:bidi="ar-SA"/>
        </w:rPr>
        <w:t>让进行提醒谈话</w:t>
      </w:r>
      <w:r>
        <w:rPr>
          <w:rFonts w:hint="eastAsia" w:ascii="仿宋_GB2312" w:eastAsia="仿宋_GB2312"/>
          <w:sz w:val="32"/>
          <w:szCs w:val="32"/>
          <w:lang w:val="en-US" w:eastAsia="zh-CN"/>
        </w:rPr>
        <w:t>。</w:t>
      </w:r>
    </w:p>
    <w:p w14:paraId="1824E756">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（三）公职人员李</w:t>
      </w:r>
      <w:r>
        <w:rPr>
          <w:rFonts w:hint="eastAsia" w:ascii="楷体_GB2312" w:hAnsi="楷体_GB2312" w:eastAsia="楷体_GB2312" w:cs="楷体_GB2312"/>
          <w:b w:val="0"/>
          <w:bCs w:val="0"/>
          <w:kern w:val="2"/>
          <w:sz w:val="32"/>
          <w:szCs w:val="32"/>
          <w:lang w:val="en-US" w:eastAsia="zh-CN" w:bidi="ar-SA"/>
        </w:rPr>
        <w:t>*</w:t>
      </w:r>
      <w:r>
        <w:rPr>
          <w:rFonts w:hint="eastAsia" w:ascii="楷体_GB2312" w:hAnsi="楷体_GB2312" w:eastAsia="楷体_GB2312" w:cs="楷体_GB2312"/>
          <w:b w:val="0"/>
          <w:bCs w:val="0"/>
          <w:sz w:val="32"/>
          <w:szCs w:val="32"/>
          <w:lang w:val="en-US" w:eastAsia="zh-CN"/>
        </w:rPr>
        <w:t>霖责任追究落实情况</w:t>
      </w:r>
    </w:p>
    <w:p w14:paraId="437E219F">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处理建议：由福建省泉州高速公路行政执法支队予以提醒谈话。</w:t>
      </w:r>
    </w:p>
    <w:p w14:paraId="0E62055C">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bCs/>
          <w:sz w:val="32"/>
          <w:szCs w:val="32"/>
          <w:lang w:val="en-US" w:eastAsia="zh-CN"/>
        </w:rPr>
      </w:pPr>
      <w:r>
        <w:rPr>
          <w:rFonts w:hint="eastAsia" w:ascii="仿宋_GB2312" w:hAnsi="宋体" w:eastAsia="仿宋_GB2312" w:cs="宋体"/>
          <w:kern w:val="2"/>
          <w:sz w:val="32"/>
          <w:szCs w:val="32"/>
          <w:lang w:val="en-US" w:eastAsia="zh-CN" w:bidi="ar-SA"/>
        </w:rPr>
        <w:t>处理结果：2025年10月9日，福建省泉州高速公路行政执法支队对李</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宋体" w:eastAsia="仿宋_GB2312" w:cs="宋体"/>
          <w:kern w:val="2"/>
          <w:sz w:val="32"/>
          <w:szCs w:val="32"/>
          <w:lang w:val="en-US" w:eastAsia="zh-CN" w:bidi="ar-SA"/>
        </w:rPr>
        <w:t>霖进行提醒谈话</w:t>
      </w:r>
      <w:r>
        <w:rPr>
          <w:rFonts w:hint="eastAsia" w:ascii="仿宋_GB2312" w:eastAsia="仿宋_GB2312"/>
          <w:sz w:val="32"/>
          <w:szCs w:val="32"/>
          <w:lang w:val="en-US" w:eastAsia="zh-CN"/>
        </w:rPr>
        <w:t>。</w:t>
      </w:r>
    </w:p>
    <w:p w14:paraId="7CAF88A7">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（四）公职人员陈</w:t>
      </w:r>
      <w:r>
        <w:rPr>
          <w:rFonts w:hint="eastAsia" w:ascii="楷体_GB2312" w:hAnsi="楷体_GB2312" w:eastAsia="楷体_GB2312" w:cs="楷体_GB2312"/>
          <w:b w:val="0"/>
          <w:bCs w:val="0"/>
          <w:kern w:val="2"/>
          <w:sz w:val="32"/>
          <w:szCs w:val="32"/>
          <w:lang w:val="en-US" w:eastAsia="zh-CN" w:bidi="ar-SA"/>
        </w:rPr>
        <w:t>*</w:t>
      </w:r>
      <w:r>
        <w:rPr>
          <w:rFonts w:hint="eastAsia" w:ascii="楷体_GB2312" w:hAnsi="楷体_GB2312" w:eastAsia="楷体_GB2312" w:cs="楷体_GB2312"/>
          <w:b w:val="0"/>
          <w:bCs w:val="0"/>
          <w:sz w:val="32"/>
          <w:szCs w:val="32"/>
          <w:lang w:val="en-US" w:eastAsia="zh-CN"/>
        </w:rPr>
        <w:t>华责任追究落实情况</w:t>
      </w:r>
    </w:p>
    <w:p w14:paraId="4DFE6183">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处理建议：由福建泉厦高速公路管理有限公司予以提醒谈话。</w:t>
      </w:r>
    </w:p>
    <w:p w14:paraId="1A388009">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bCs/>
          <w:sz w:val="32"/>
          <w:szCs w:val="32"/>
          <w:lang w:val="en-US" w:eastAsia="zh-CN"/>
        </w:rPr>
      </w:pPr>
      <w:r>
        <w:rPr>
          <w:rFonts w:hint="eastAsia" w:ascii="仿宋_GB2312" w:hAnsi="宋体" w:eastAsia="仿宋_GB2312" w:cs="宋体"/>
          <w:kern w:val="2"/>
          <w:sz w:val="32"/>
          <w:szCs w:val="32"/>
          <w:lang w:val="en-US" w:eastAsia="zh-CN" w:bidi="ar-SA"/>
        </w:rPr>
        <w:t>处理结果：2025年9月8日，福建泉厦高速公路管理有限公司对陈</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宋体" w:eastAsia="仿宋_GB2312" w:cs="宋体"/>
          <w:kern w:val="2"/>
          <w:sz w:val="32"/>
          <w:szCs w:val="32"/>
          <w:lang w:val="en-US" w:eastAsia="zh-CN" w:bidi="ar-SA"/>
        </w:rPr>
        <w:t>华进行提醒谈话</w:t>
      </w:r>
      <w:r>
        <w:rPr>
          <w:rFonts w:hint="eastAsia" w:ascii="仿宋_GB2312" w:eastAsia="仿宋_GB2312"/>
          <w:sz w:val="32"/>
          <w:szCs w:val="32"/>
          <w:lang w:val="en-US" w:eastAsia="zh-CN"/>
        </w:rPr>
        <w:t>。</w:t>
      </w:r>
    </w:p>
    <w:p w14:paraId="6A9594C1">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（五）厦门多拉智能汽车有限公司责任追究落实情况</w:t>
      </w:r>
    </w:p>
    <w:p w14:paraId="3A76E114">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处理建议：由泉州市泉港区应急管理局依法对厦门多拉智能汽车有限公司予以行政处罚；由厦门市交通运输局对厦门多拉智能汽车有限公司的安全监管情况进一步调查处理。</w:t>
      </w:r>
    </w:p>
    <w:p w14:paraId="73D9934D">
      <w:pPr>
        <w:keepNext w:val="0"/>
        <w:keepLines w:val="0"/>
        <w:pageBreakBefore w:val="0"/>
        <w:widowControl w:val="0"/>
        <w:kinsoku/>
        <w:wordWrap/>
        <w:overflowPunct/>
        <w:topLinePunct w:val="0"/>
        <w:autoSpaceDE/>
        <w:autoSpaceDN/>
        <w:bidi w:val="0"/>
        <w:adjustRightInd/>
        <w:snapToGrid w:val="0"/>
        <w:spacing w:line="552" w:lineRule="exact"/>
        <w:ind w:firstLine="640" w:firstLineChars="200"/>
        <w:jc w:val="both"/>
        <w:textAlignment w:val="auto"/>
        <w:rPr>
          <w:rFonts w:hint="eastAsia" w:ascii="仿宋_GB2312" w:hAnsi="仿宋_GB2312" w:eastAsia="仿宋_GB2312" w:cs="仿宋_GB2312"/>
          <w:szCs w:val="32"/>
          <w:lang w:val="en-US" w:eastAsia="zh-CN"/>
        </w:rPr>
      </w:pPr>
      <w:r>
        <w:rPr>
          <w:rFonts w:hint="eastAsia" w:ascii="仿宋_GB2312" w:hAnsi="宋体" w:eastAsia="仿宋_GB2312" w:cs="宋体"/>
          <w:kern w:val="2"/>
          <w:sz w:val="32"/>
          <w:szCs w:val="32"/>
          <w:lang w:val="en-US" w:eastAsia="zh-CN" w:bidi="ar-SA"/>
        </w:rPr>
        <w:t>处理结果：泉港区应急管理局已于2025年11月13日对厦门多拉智能汽车有限公司作出处罚决定〔（泉港）应急罚〔2025〕7号〕。</w:t>
      </w:r>
      <w:r>
        <w:rPr>
          <w:rFonts w:hint="eastAsia" w:ascii="仿宋_GB2312" w:hAnsi="仿宋_GB2312" w:eastAsia="仿宋_GB2312" w:cs="仿宋_GB2312"/>
          <w:kern w:val="2"/>
          <w:sz w:val="32"/>
          <w:szCs w:val="32"/>
          <w:lang w:val="en-US" w:eastAsia="zh-CN" w:bidi="ar-SA"/>
        </w:rPr>
        <w:t>厦门多拉智能汽车有限公司超过承诺期限未投入营运车辆，集美区住建和交通局依法注销其道路运输经营许可证。</w:t>
      </w:r>
    </w:p>
    <w:p w14:paraId="24555C7F">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（六）厦门多拉智能汽车有限公司主要负责人张</w:t>
      </w:r>
      <w:r>
        <w:rPr>
          <w:rFonts w:hint="eastAsia" w:ascii="楷体_GB2312" w:hAnsi="楷体_GB2312" w:eastAsia="楷体_GB2312" w:cs="楷体_GB2312"/>
          <w:b w:val="0"/>
          <w:bCs w:val="0"/>
          <w:kern w:val="2"/>
          <w:sz w:val="32"/>
          <w:szCs w:val="32"/>
          <w:lang w:val="en-US" w:eastAsia="zh-CN" w:bidi="ar-SA"/>
        </w:rPr>
        <w:t>*</w:t>
      </w:r>
      <w:r>
        <w:rPr>
          <w:rFonts w:hint="eastAsia" w:ascii="楷体_GB2312" w:hAnsi="楷体_GB2312" w:eastAsia="楷体_GB2312" w:cs="楷体_GB2312"/>
          <w:b w:val="0"/>
          <w:bCs w:val="0"/>
          <w:sz w:val="32"/>
          <w:szCs w:val="32"/>
          <w:lang w:val="en-US" w:eastAsia="zh-CN"/>
        </w:rPr>
        <w:t>强责任追究落实情况</w:t>
      </w:r>
    </w:p>
    <w:p w14:paraId="48C623B3">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处理建议：由泉州市泉港区应急管理局依法予以行政处罚。</w:t>
      </w:r>
    </w:p>
    <w:p w14:paraId="1073C6E1">
      <w:pPr>
        <w:keepNext w:val="0"/>
        <w:keepLines w:val="0"/>
        <w:pageBreakBefore w:val="0"/>
        <w:widowControl w:val="0"/>
        <w:kinsoku/>
        <w:wordWrap/>
        <w:overflowPunct/>
        <w:topLinePunct w:val="0"/>
        <w:autoSpaceDE/>
        <w:autoSpaceDN/>
        <w:bidi w:val="0"/>
        <w:adjustRightInd/>
        <w:snapToGrid w:val="0"/>
        <w:spacing w:line="552" w:lineRule="exact"/>
        <w:ind w:firstLine="640" w:firstLineChars="200"/>
        <w:jc w:val="both"/>
        <w:textAlignment w:val="auto"/>
        <w:rPr>
          <w:rFonts w:hint="default" w:ascii="仿宋_GB2312"/>
          <w:szCs w:val="32"/>
          <w:lang w:val="en-US" w:eastAsia="zh-CN"/>
        </w:rPr>
      </w:pPr>
      <w:r>
        <w:rPr>
          <w:rFonts w:hint="eastAsia" w:ascii="仿宋_GB2312" w:hAnsi="宋体" w:eastAsia="仿宋_GB2312" w:cs="宋体"/>
          <w:kern w:val="2"/>
          <w:sz w:val="32"/>
          <w:szCs w:val="32"/>
          <w:lang w:val="en-US" w:eastAsia="zh-CN" w:bidi="ar-SA"/>
        </w:rPr>
        <w:t>处理结果：泉港区应急管理局已于2025年11月13日对张</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宋体" w:eastAsia="仿宋_GB2312" w:cs="宋体"/>
          <w:kern w:val="2"/>
          <w:sz w:val="32"/>
          <w:szCs w:val="32"/>
          <w:lang w:val="en-US" w:eastAsia="zh-CN" w:bidi="ar-SA"/>
        </w:rPr>
        <w:t>强作出处罚决定〔（泉港）应急罚〔2025〕8号〕。</w:t>
      </w:r>
    </w:p>
    <w:p w14:paraId="4C49C018">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（七）闽D6DQ63号轻型仓栅式货车驾驶员李</w:t>
      </w:r>
      <w:r>
        <w:rPr>
          <w:rFonts w:hint="eastAsia" w:ascii="楷体_GB2312" w:hAnsi="楷体_GB2312" w:eastAsia="楷体_GB2312" w:cs="楷体_GB2312"/>
          <w:b w:val="0"/>
          <w:bCs w:val="0"/>
          <w:kern w:val="2"/>
          <w:sz w:val="32"/>
          <w:szCs w:val="32"/>
          <w:lang w:val="en-US" w:eastAsia="zh-CN" w:bidi="ar-SA"/>
        </w:rPr>
        <w:t>*</w:t>
      </w:r>
      <w:r>
        <w:rPr>
          <w:rFonts w:hint="eastAsia" w:ascii="楷体_GB2312" w:hAnsi="楷体_GB2312" w:eastAsia="楷体_GB2312" w:cs="楷体_GB2312"/>
          <w:b w:val="0"/>
          <w:bCs w:val="0"/>
          <w:sz w:val="32"/>
          <w:szCs w:val="32"/>
          <w:lang w:val="en-US" w:eastAsia="zh-CN"/>
        </w:rPr>
        <w:t>波责任追究落实情况</w:t>
      </w:r>
    </w:p>
    <w:p w14:paraId="46E0D8B9">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处理建议：由福建省公安厅交通管理总队泉莆高速公路支队一大队依法依规予以处理。</w:t>
      </w:r>
    </w:p>
    <w:p w14:paraId="34E1FE98">
      <w:pPr>
        <w:keepNext w:val="0"/>
        <w:keepLines w:val="0"/>
        <w:pageBreakBefore w:val="0"/>
        <w:widowControl w:val="0"/>
        <w:kinsoku/>
        <w:wordWrap/>
        <w:overflowPunct/>
        <w:topLinePunct w:val="0"/>
        <w:autoSpaceDE/>
        <w:autoSpaceDN/>
        <w:bidi w:val="0"/>
        <w:adjustRightInd/>
        <w:snapToGrid w:val="0"/>
        <w:spacing w:line="552" w:lineRule="exact"/>
        <w:ind w:firstLine="640" w:firstLineChars="200"/>
        <w:jc w:val="both"/>
        <w:textAlignment w:val="auto"/>
        <w:rPr>
          <w:rFonts w:hint="default" w:ascii="黑体" w:hAnsi="黑体" w:eastAsia="黑体" w:cs="黑体"/>
          <w:sz w:val="32"/>
          <w:szCs w:val="32"/>
          <w:lang w:val="en-US" w:eastAsia="zh-CN"/>
        </w:rPr>
      </w:pPr>
      <w:r>
        <w:rPr>
          <w:rFonts w:hint="eastAsia" w:ascii="仿宋_GB2312" w:hAnsi="宋体" w:eastAsia="仿宋_GB2312" w:cs="宋体"/>
          <w:kern w:val="2"/>
          <w:sz w:val="32"/>
          <w:szCs w:val="32"/>
          <w:lang w:val="en-US" w:eastAsia="zh-CN" w:bidi="ar-SA"/>
        </w:rPr>
        <w:t>处理结果：福建省公安厅交警总队泉州高速公路支队一大队2025年4月29日对李</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宋体" w:eastAsia="仿宋_GB2312" w:cs="宋体"/>
          <w:kern w:val="2"/>
          <w:sz w:val="32"/>
          <w:szCs w:val="32"/>
          <w:lang w:val="en-US" w:eastAsia="zh-CN" w:bidi="ar-SA"/>
        </w:rPr>
        <w:t>波作出公安交通管理行政处罚决定书〔泉高公交行罚决字〔2025〕3533012400690191号〕。</w:t>
      </w:r>
    </w:p>
    <w:p w14:paraId="060E0922">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（八）福建省公安厅交通管理总队泉莆高速公路支队一大队驿坂中队责任追究落实情况</w:t>
      </w:r>
    </w:p>
    <w:p w14:paraId="02DBFA2F">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处理建议：向福建省公安厅交通管理总队泉莆高速公路支队一大队作出检讨。</w:t>
      </w:r>
    </w:p>
    <w:p w14:paraId="35FEAB95">
      <w:pPr>
        <w:keepNext w:val="0"/>
        <w:keepLines w:val="0"/>
        <w:pageBreakBefore w:val="0"/>
        <w:widowControl w:val="0"/>
        <w:kinsoku/>
        <w:wordWrap/>
        <w:overflowPunct/>
        <w:topLinePunct w:val="0"/>
        <w:autoSpaceDE/>
        <w:autoSpaceDN/>
        <w:bidi w:val="0"/>
        <w:adjustRightInd/>
        <w:snapToGrid w:val="0"/>
        <w:spacing w:line="552" w:lineRule="exact"/>
        <w:ind w:firstLine="640" w:firstLineChars="200"/>
        <w:jc w:val="both"/>
        <w:textAlignment w:val="auto"/>
        <w:rPr>
          <w:rFonts w:hint="default" w:ascii="黑体" w:hAnsi="黑体" w:eastAsia="黑体" w:cs="黑体"/>
          <w:sz w:val="32"/>
          <w:szCs w:val="32"/>
          <w:lang w:val="en-US" w:eastAsia="zh-CN"/>
        </w:rPr>
      </w:pPr>
      <w:r>
        <w:rPr>
          <w:rFonts w:hint="eastAsia" w:ascii="仿宋_GB2312" w:hAnsi="宋体" w:eastAsia="仿宋_GB2312" w:cs="宋体"/>
          <w:kern w:val="2"/>
          <w:sz w:val="32"/>
          <w:szCs w:val="32"/>
          <w:lang w:val="en-US" w:eastAsia="zh-CN" w:bidi="ar-SA"/>
        </w:rPr>
        <w:t>处理结果：该中队已于2025年10月17日向福建省公安厅交通管理总队泉莆高速公路支队一大队作出书面检讨。</w:t>
      </w:r>
    </w:p>
    <w:p w14:paraId="3A4CAAE9">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（九）福建省泉州高速公路行政执法支队三大队驿坂中队责任追究落实情况</w:t>
      </w:r>
    </w:p>
    <w:p w14:paraId="236EFF96">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处理建议：向福建省泉州高速公路行政执法支队三大队作出检讨。</w:t>
      </w:r>
    </w:p>
    <w:p w14:paraId="5783D082">
      <w:pPr>
        <w:keepNext w:val="0"/>
        <w:keepLines w:val="0"/>
        <w:pageBreakBefore w:val="0"/>
        <w:widowControl w:val="0"/>
        <w:kinsoku/>
        <w:wordWrap/>
        <w:overflowPunct/>
        <w:topLinePunct w:val="0"/>
        <w:autoSpaceDE/>
        <w:autoSpaceDN/>
        <w:bidi w:val="0"/>
        <w:adjustRightInd/>
        <w:snapToGrid w:val="0"/>
        <w:spacing w:line="552" w:lineRule="exact"/>
        <w:ind w:firstLine="640" w:firstLineChars="200"/>
        <w:jc w:val="both"/>
        <w:textAlignment w:val="auto"/>
        <w:rPr>
          <w:rFonts w:hint="default" w:ascii="黑体" w:hAnsi="黑体" w:eastAsia="黑体" w:cs="黑体"/>
          <w:sz w:val="32"/>
          <w:szCs w:val="32"/>
          <w:lang w:val="en-US" w:eastAsia="zh-CN"/>
        </w:rPr>
      </w:pPr>
      <w:r>
        <w:rPr>
          <w:rFonts w:hint="eastAsia" w:ascii="仿宋_GB2312" w:hAnsi="宋体" w:eastAsia="仿宋_GB2312" w:cs="宋体"/>
          <w:kern w:val="2"/>
          <w:sz w:val="32"/>
          <w:szCs w:val="32"/>
          <w:lang w:val="en-US" w:eastAsia="zh-CN" w:bidi="ar-SA"/>
        </w:rPr>
        <w:t>处理结果：该中队已于2025年9月29日在三大队办公会上由中队负责人作出检讨。</w:t>
      </w:r>
    </w:p>
    <w:p w14:paraId="51844527">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（十）福建泉厦高速公路管理有限公司泉州征管所责任追究落实情况</w:t>
      </w:r>
    </w:p>
    <w:p w14:paraId="2FF959AD">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处理建议：向福建泉厦高速公路管理有限公司作出检讨。</w:t>
      </w:r>
    </w:p>
    <w:p w14:paraId="2BC7552A">
      <w:pPr>
        <w:keepNext w:val="0"/>
        <w:keepLines w:val="0"/>
        <w:pageBreakBefore w:val="0"/>
        <w:widowControl w:val="0"/>
        <w:kinsoku/>
        <w:wordWrap/>
        <w:overflowPunct/>
        <w:topLinePunct w:val="0"/>
        <w:autoSpaceDE/>
        <w:autoSpaceDN/>
        <w:bidi w:val="0"/>
        <w:adjustRightInd/>
        <w:snapToGrid w:val="0"/>
        <w:spacing w:line="552" w:lineRule="exact"/>
        <w:ind w:firstLine="640" w:firstLineChars="200"/>
        <w:jc w:val="both"/>
        <w:textAlignment w:val="auto"/>
        <w:rPr>
          <w:rFonts w:hint="default" w:ascii="黑体" w:hAnsi="黑体" w:eastAsia="黑体" w:cs="黑体"/>
          <w:sz w:val="32"/>
          <w:szCs w:val="32"/>
          <w:lang w:val="en-US" w:eastAsia="zh-CN"/>
        </w:rPr>
      </w:pPr>
      <w:r>
        <w:rPr>
          <w:rFonts w:hint="eastAsia" w:ascii="仿宋_GB2312" w:hAnsi="宋体" w:eastAsia="仿宋_GB2312" w:cs="宋体"/>
          <w:kern w:val="2"/>
          <w:sz w:val="32"/>
          <w:szCs w:val="32"/>
          <w:lang w:val="en-US" w:eastAsia="zh-CN" w:bidi="ar-SA"/>
        </w:rPr>
        <w:t>处理结果：泉州征管所已于2025年9月10日向福建泉厦高速公路管理有限公司做事故防范改进报告。</w:t>
      </w:r>
    </w:p>
    <w:p w14:paraId="45C16E6E">
      <w:pPr>
        <w:keepNext w:val="0"/>
        <w:keepLines w:val="0"/>
        <w:pageBreakBefore w:val="0"/>
        <w:widowControl w:val="0"/>
        <w:kinsoku/>
        <w:wordWrap/>
        <w:overflowPunct/>
        <w:topLinePunct w:val="0"/>
        <w:autoSpaceDE/>
        <w:autoSpaceDN/>
        <w:bidi w:val="0"/>
        <w:adjustRightInd/>
        <w:snapToGrid w:val="0"/>
        <w:spacing w:line="552"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color w:val="000000"/>
          <w:kern w:val="0"/>
          <w:sz w:val="32"/>
          <w:szCs w:val="32"/>
          <w:lang w:eastAsia="zh-CN"/>
        </w:rPr>
        <w:t>事故整改措施落实情况</w:t>
      </w:r>
    </w:p>
    <w:p w14:paraId="4B559CD4">
      <w:pPr>
        <w:pStyle w:val="3"/>
        <w:keepNext w:val="0"/>
        <w:keepLines w:val="0"/>
        <w:pageBreakBefore w:val="0"/>
        <w:widowControl w:val="0"/>
        <w:kinsoku/>
        <w:wordWrap/>
        <w:overflowPunct/>
        <w:topLinePunct w:val="0"/>
        <w:autoSpaceDE/>
        <w:autoSpaceDN/>
        <w:bidi w:val="0"/>
        <w:adjustRightInd/>
        <w:snapToGrid w:val="0"/>
        <w:spacing w:line="552"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（一）驾驶员安全驾驶意识整改落实情况</w:t>
      </w:r>
    </w:p>
    <w:p w14:paraId="0E07AD02">
      <w:pPr>
        <w:pStyle w:val="3"/>
        <w:keepNext w:val="0"/>
        <w:keepLines w:val="0"/>
        <w:pageBreakBefore w:val="0"/>
        <w:widowControl w:val="0"/>
        <w:kinsoku/>
        <w:wordWrap/>
        <w:overflowPunct/>
        <w:topLinePunct w:val="0"/>
        <w:autoSpaceDE/>
        <w:autoSpaceDN/>
        <w:bidi w:val="0"/>
        <w:adjustRightInd/>
        <w:snapToGrid w:val="0"/>
        <w:spacing w:line="552"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厦门市交通运输局定期梳理其他部门抄告的企业违法违规信息，对超载超限、超速、疲劳驾驶以及高风险等存在较大安全隐患的企业进行警示约谈，要求企业提高安全意识，加强运输全过程管控，先后约谈相关企业92家次。福建省公安厅交通管理总队泉莆高速公路支队一大队持续抓好重点宣教工作，主动上门走访辖区内的重点客货运企业11家，向外地企业发函48份，累计教育重点车辆驾驶员300余人次，进一步强化驾驶员安全意识和职业责任感，督促驾驶员落实安全驾驶意识和遵守交通规则的自觉性。</w:t>
      </w:r>
    </w:p>
    <w:p w14:paraId="5B548A12">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80" w:lineRule="exact"/>
        <w:ind w:firstLine="640" w:firstLineChars="200"/>
        <w:textAlignment w:val="auto"/>
        <w:outlineLvl w:val="1"/>
        <w:rPr>
          <w:rFonts w:hint="eastAsia" w:ascii="楷体" w:hAnsi="楷体" w:eastAsia="楷体" w:cs="楷体"/>
          <w:kern w:val="2"/>
          <w:sz w:val="32"/>
          <w:szCs w:val="32"/>
          <w:lang w:val="en-US" w:eastAsia="zh-CN" w:bidi="ar-SA"/>
        </w:rPr>
      </w:pPr>
      <w:bookmarkStart w:id="0" w:name="_Toc26286"/>
      <w:r>
        <w:rPr>
          <w:rFonts w:hint="eastAsia" w:ascii="楷体" w:hAnsi="楷体" w:eastAsia="楷体" w:cs="楷体"/>
          <w:kern w:val="2"/>
          <w:sz w:val="32"/>
          <w:szCs w:val="32"/>
          <w:lang w:val="en-US" w:eastAsia="zh-CN" w:bidi="ar-SA"/>
        </w:rPr>
        <w:t>企业安全生产主体责任整改落实情况</w:t>
      </w:r>
      <w:bookmarkStart w:id="1" w:name="_Toc27341"/>
      <w:bookmarkStart w:id="2" w:name="_Toc30723"/>
      <w:bookmarkStart w:id="3" w:name="_Toc7474"/>
    </w:p>
    <w:p w14:paraId="6FA5770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firstLine="640" w:firstLineChars="200"/>
        <w:textAlignment w:val="auto"/>
        <w:outlineLvl w:val="1"/>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厦门多拉智能汽车有限公司通过强化底线思维，牢固树立红线意识，深刻吸取事故教训，举一反三，严格按照相关规定开展隐患排查，及时有效消除各类安全生产隐患，加强驾驶员的安全生产教育培训，确保企业安全生产主体责任落到实处。</w:t>
      </w:r>
      <w:bookmarkEnd w:id="0"/>
    </w:p>
    <w:bookmarkEnd w:id="1"/>
    <w:bookmarkEnd w:id="2"/>
    <w:bookmarkEnd w:id="3"/>
    <w:p w14:paraId="3E62972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outlineLvl w:val="2"/>
        <w:rPr>
          <w:rFonts w:hint="eastAsia" w:ascii="楷体" w:hAnsi="楷体" w:eastAsia="楷体" w:cs="楷体"/>
          <w:kern w:val="2"/>
          <w:sz w:val="32"/>
          <w:szCs w:val="32"/>
          <w:lang w:val="en-US" w:eastAsia="zh-CN" w:bidi="ar-SA"/>
        </w:rPr>
      </w:pPr>
      <w:bookmarkStart w:id="4" w:name="_Toc16872"/>
      <w:r>
        <w:rPr>
          <w:rFonts w:hint="eastAsia" w:ascii="楷体" w:hAnsi="楷体" w:eastAsia="楷体" w:cs="楷体"/>
          <w:kern w:val="2"/>
          <w:sz w:val="32"/>
          <w:szCs w:val="32"/>
          <w:lang w:val="en-US" w:eastAsia="zh-CN" w:bidi="ar-SA"/>
        </w:rPr>
        <w:t>（三）行业监督管理责任落实情况</w:t>
      </w:r>
    </w:p>
    <w:p w14:paraId="785B5BB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outlineLvl w:val="2"/>
        <w:rPr>
          <w:rFonts w:hint="eastAsia" w:ascii="仿宋_GB2312" w:hAnsi="宋体" w:eastAsia="仿宋_GB2312" w:cs="宋体"/>
          <w:kern w:val="2"/>
          <w:sz w:val="32"/>
          <w:szCs w:val="32"/>
          <w:lang w:val="en-US" w:eastAsia="zh-CN" w:bidi="ar-SA"/>
        </w:rPr>
      </w:pPr>
      <w:r>
        <w:rPr>
          <w:rFonts w:hint="eastAsia" w:ascii="楷体" w:hAnsi="楷体" w:eastAsia="楷体" w:cs="楷体"/>
          <w:kern w:val="2"/>
          <w:sz w:val="32"/>
          <w:szCs w:val="32"/>
          <w:lang w:val="en-US" w:eastAsia="zh-CN" w:bidi="ar-SA"/>
        </w:rPr>
        <w:t>1.</w:t>
      </w:r>
      <w:r>
        <w:rPr>
          <w:rFonts w:hint="eastAsia" w:ascii="仿宋_GB2312" w:hAnsi="宋体" w:eastAsia="仿宋_GB2312" w:cs="宋体"/>
          <w:kern w:val="2"/>
          <w:sz w:val="32"/>
          <w:szCs w:val="32"/>
          <w:lang w:val="en-US" w:eastAsia="zh-CN" w:bidi="ar-SA"/>
        </w:rPr>
        <w:t>厦门市交通运输结合工作实际，督促指导各区住建和交通局、市运输事业发展中心、市交通运输综合执法支队，以交通运输领域安全生产治本攻坚三年行动为主线，围绕强化源头监管、突出整治重点、紧盯动态监控、严格一线执法、深入教育宣贯等方面，“双随机”检查企业128家次，集中检查企业119家次，入企辅导481家次，发现问题均要求企业按期整改到位，着力强化货运执法检查工作质效，依法严肃查处道路货物运输违法违规行为，共查处货运违法行为218起，罚款金额33.4万余元，以严格执法倒逼运输企业落实主体责任。</w:t>
      </w:r>
      <w:bookmarkEnd w:id="4"/>
    </w:p>
    <w:p w14:paraId="28D0812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outlineLvl w:val="2"/>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福建省公安厅交通管理总队泉莆高速公路支队一大队结合违法查处对货车驾驶员进行面对面的安全教育，力求做到查处一起、教育一起，“3·22”事故发生以来共现场查处各类交通违法行为10247起，其中查处酒醉驾68起、疲劳驾驶153起、分心驾驶608起、超速1572起、未按规定使用安全带2748起，实现对各类重点违法行为的全面覆盖、综合整治，形成强大的震慑效应。</w:t>
      </w:r>
    </w:p>
    <w:p w14:paraId="4F19998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outlineLvl w:val="2"/>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福建省泉州高速公路行政执法支队三大队严格执行货车重量超限劝导，强化一线收费人员现场管控意识，强化联勤联动，对入口重量超限车辆一律登记备案，同步通过“超限劝返工作群”报告高速行政执法机构和高速交警等单位。</w:t>
      </w:r>
    </w:p>
    <w:p w14:paraId="20C9E0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微软雅黑" w:hAnsi="微软雅黑" w:eastAsia="黑体" w:cs="微软雅黑"/>
          <w:i w:val="0"/>
          <w:iCs w:val="0"/>
          <w:caps w:val="0"/>
          <w:color w:val="333333"/>
          <w:spacing w:val="0"/>
          <w:sz w:val="27"/>
          <w:szCs w:val="27"/>
          <w:lang w:eastAsia="zh-CN"/>
        </w:rPr>
      </w:pPr>
      <w:r>
        <w:rPr>
          <w:rFonts w:hint="eastAsia" w:ascii="黑体" w:hAnsi="宋体" w:eastAsia="黑体" w:cs="黑体"/>
          <w:i w:val="0"/>
          <w:iCs w:val="0"/>
          <w:caps w:val="0"/>
          <w:color w:val="111111"/>
          <w:spacing w:val="0"/>
          <w:sz w:val="32"/>
          <w:szCs w:val="32"/>
          <w:shd w:val="clear" w:color="auto" w:fill="FFFFFF"/>
        </w:rPr>
        <w:t>四、</w:t>
      </w:r>
      <w:r>
        <w:rPr>
          <w:rFonts w:hint="eastAsia" w:ascii="黑体" w:hAnsi="宋体" w:eastAsia="黑体" w:cs="黑体"/>
          <w:i w:val="0"/>
          <w:iCs w:val="0"/>
          <w:caps w:val="0"/>
          <w:color w:val="111111"/>
          <w:spacing w:val="0"/>
          <w:sz w:val="32"/>
          <w:szCs w:val="32"/>
          <w:shd w:val="clear" w:color="auto" w:fill="FFFFFF"/>
          <w:lang w:eastAsia="zh-CN"/>
        </w:rPr>
        <w:t>存在问题</w:t>
      </w:r>
    </w:p>
    <w:p w14:paraId="6126120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仿宋_GB2312" w:hAnsi="宋体" w:eastAsia="仿宋_GB2312" w:cs="宋体"/>
          <w:kern w:val="2"/>
          <w:sz w:val="32"/>
          <w:szCs w:val="32"/>
          <w:lang w:val="en-US" w:eastAsia="zh-CN" w:bidi="ar-SA"/>
        </w:rPr>
      </w:pPr>
      <w:r>
        <w:rPr>
          <w:rFonts w:hint="default" w:ascii="仿宋_GB2312" w:hAnsi="宋体" w:eastAsia="仿宋_GB2312" w:cs="宋体"/>
          <w:kern w:val="2"/>
          <w:sz w:val="32"/>
          <w:szCs w:val="32"/>
          <w:lang w:val="en-US" w:eastAsia="zh-CN" w:bidi="ar-SA"/>
        </w:rPr>
        <w:t>各部门基本上都能够履行监管职责，但在落实行业部门牵头、多部门协同配合的监管机制建设上还存在差距</w:t>
      </w:r>
      <w:r>
        <w:rPr>
          <w:rFonts w:hint="eastAsia" w:ascii="仿宋_GB2312" w:hAnsi="宋体" w:eastAsia="仿宋_GB2312" w:cs="宋体"/>
          <w:kern w:val="2"/>
          <w:sz w:val="32"/>
          <w:szCs w:val="32"/>
          <w:lang w:val="en-US" w:eastAsia="zh-CN" w:bidi="ar-SA"/>
        </w:rPr>
        <w:t>，</w:t>
      </w:r>
      <w:r>
        <w:rPr>
          <w:rFonts w:hint="default" w:ascii="仿宋_GB2312" w:hAnsi="宋体" w:eastAsia="仿宋_GB2312" w:cs="宋体"/>
          <w:kern w:val="2"/>
          <w:sz w:val="32"/>
          <w:szCs w:val="32"/>
          <w:lang w:val="en-US" w:eastAsia="zh-CN" w:bidi="ar-SA"/>
        </w:rPr>
        <w:t>在信息共享、联合执法等方面机制还不够顺畅，</w:t>
      </w:r>
      <w:r>
        <w:rPr>
          <w:rFonts w:hint="eastAsia" w:ascii="仿宋_GB2312" w:hAnsi="宋体" w:eastAsia="仿宋_GB2312" w:cs="宋体"/>
          <w:kern w:val="2"/>
          <w:sz w:val="32"/>
          <w:szCs w:val="32"/>
          <w:lang w:val="en-US" w:eastAsia="zh-CN" w:bidi="ar-SA"/>
        </w:rPr>
        <w:t>在</w:t>
      </w:r>
      <w:r>
        <w:rPr>
          <w:rFonts w:hint="default" w:ascii="仿宋_GB2312" w:hAnsi="宋体" w:eastAsia="仿宋_GB2312" w:cs="宋体"/>
          <w:kern w:val="2"/>
          <w:sz w:val="32"/>
          <w:szCs w:val="32"/>
          <w:lang w:val="en-US" w:eastAsia="zh-CN" w:bidi="ar-SA"/>
        </w:rPr>
        <w:t>行业部门牵头作用</w:t>
      </w:r>
      <w:r>
        <w:rPr>
          <w:rFonts w:hint="eastAsia" w:ascii="仿宋_GB2312" w:hAnsi="宋体" w:eastAsia="仿宋_GB2312" w:cs="宋体"/>
          <w:kern w:val="2"/>
          <w:sz w:val="32"/>
          <w:szCs w:val="32"/>
          <w:lang w:val="en-US" w:eastAsia="zh-CN" w:bidi="ar-SA"/>
        </w:rPr>
        <w:t>上</w:t>
      </w:r>
      <w:r>
        <w:rPr>
          <w:rFonts w:hint="default" w:ascii="仿宋_GB2312" w:hAnsi="宋体" w:eastAsia="仿宋_GB2312" w:cs="宋体"/>
          <w:kern w:val="2"/>
          <w:sz w:val="32"/>
          <w:szCs w:val="32"/>
          <w:lang w:val="en-US" w:eastAsia="zh-CN" w:bidi="ar-SA"/>
        </w:rPr>
        <w:t>发挥不够，监管合力还没有有效形成。</w:t>
      </w:r>
    </w:p>
    <w:p w14:paraId="6B6B0B4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仿宋_GB2312" w:hAnsi="宋体" w:eastAsia="仿宋_GB2312" w:cs="宋体"/>
          <w:kern w:val="2"/>
          <w:sz w:val="32"/>
          <w:szCs w:val="32"/>
          <w:lang w:val="en-US" w:eastAsia="zh-CN" w:bidi="ar-SA"/>
        </w:rPr>
      </w:pPr>
      <w:r>
        <w:rPr>
          <w:rFonts w:hint="eastAsia" w:ascii="黑体" w:hAnsi="宋体" w:eastAsia="黑体" w:cs="黑体"/>
          <w:i w:val="0"/>
          <w:iCs w:val="0"/>
          <w:caps w:val="0"/>
          <w:color w:val="111111"/>
          <w:spacing w:val="0"/>
          <w:sz w:val="32"/>
          <w:szCs w:val="32"/>
          <w:shd w:val="clear" w:color="auto" w:fill="FFFFFF"/>
          <w:lang w:eastAsia="zh-CN"/>
        </w:rPr>
        <w:t>五</w:t>
      </w:r>
      <w:r>
        <w:rPr>
          <w:rFonts w:hint="eastAsia" w:ascii="黑体" w:hAnsi="宋体" w:eastAsia="黑体" w:cs="黑体"/>
          <w:i w:val="0"/>
          <w:iCs w:val="0"/>
          <w:caps w:val="0"/>
          <w:color w:val="111111"/>
          <w:spacing w:val="0"/>
          <w:sz w:val="32"/>
          <w:szCs w:val="32"/>
          <w:shd w:val="clear" w:color="auto" w:fill="FFFFFF"/>
        </w:rPr>
        <w:t>、</w:t>
      </w:r>
      <w:r>
        <w:rPr>
          <w:rFonts w:hint="eastAsia" w:ascii="黑体" w:hAnsi="宋体" w:eastAsia="黑体" w:cs="黑体"/>
          <w:i w:val="0"/>
          <w:iCs w:val="0"/>
          <w:caps w:val="0"/>
          <w:color w:val="111111"/>
          <w:spacing w:val="0"/>
          <w:sz w:val="32"/>
          <w:szCs w:val="32"/>
          <w:shd w:val="clear" w:color="auto" w:fill="FFFFFF"/>
          <w:lang w:eastAsia="zh-CN"/>
        </w:rPr>
        <w:t>工作建议</w:t>
      </w:r>
    </w:p>
    <w:p w14:paraId="731E0551">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（一）持续强化统筹发展和安全的理念</w:t>
      </w:r>
    </w:p>
    <w:p w14:paraId="0669F46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深入贯彻落实习近平总书记关于安全生产的重要论述和批示指示要求，按照区委、</w:t>
      </w:r>
      <w:bookmarkStart w:id="5" w:name="_GoBack"/>
      <w:bookmarkEnd w:id="5"/>
      <w:r>
        <w:rPr>
          <w:rFonts w:hint="eastAsia" w:ascii="仿宋_GB2312" w:hAnsi="宋体" w:eastAsia="仿宋_GB2312" w:cs="宋体"/>
          <w:kern w:val="2"/>
          <w:sz w:val="32"/>
          <w:szCs w:val="32"/>
          <w:lang w:val="en-US" w:eastAsia="zh-CN" w:bidi="ar-SA"/>
        </w:rPr>
        <w:t xml:space="preserve">区政府的部署要求，进一步强化事故通报警示约谈等工作，深刻吸取国内外各类典型事故教训，以案为鉴，切实提高对安全生产工作的认识，进一步强化统筹发展和安全的理念，切实把维护人民生命财产安全放在第一位落到实处。 </w:t>
      </w:r>
    </w:p>
    <w:p w14:paraId="7A19815D">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（二）持续完善纵向贯通横向协同体系</w:t>
      </w:r>
    </w:p>
    <w:p w14:paraId="1BF8075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 xml:space="preserve">持续完善党政领导干部安全生产职责清单和年度任务清单； 建立明责确责工作机制，严格落实“三管三必须”“谁主管谁牵头、谁为主谁牵头、谁靠近谁牵头”原则，确定部门监管责任，并逐步建立由行业主管部门牵头、各部门协同配合的综合监管工作机制；要督促企业主要负责人严格落实法定职责，全面落实全员安全生产责任制。 </w:t>
      </w:r>
    </w:p>
    <w:p w14:paraId="4FB80A76">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（三）持续深入推进安全生产治本攻坚三年行动</w:t>
      </w:r>
    </w:p>
    <w:p w14:paraId="2BE59677">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 xml:space="preserve">按照国家、省、市、区部署要求，按照实施方案具体安排， </w:t>
      </w:r>
    </w:p>
    <w:p w14:paraId="07B9AE75">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 xml:space="preserve">坚持以人为本（企业主要负责人、从业人员、监管人员及专家安全素质能力提升）、本质安全（设备设施安全性可靠性水平提升），紧盯重大安全风险辨识管控、重大事故隐患动态清零、重大非法违法行为查处等突出问题，学好用好重大事故隐患判定标准，扎实开展风险分级管控和隐患排查治理双重预防机制建设，夯实安全生产基础，持续推动治本攻坚三年行动各项工作任务落实见效。 </w:t>
      </w:r>
    </w:p>
    <w:p w14:paraId="756086D7">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both"/>
        <w:textAlignment w:val="auto"/>
        <w:rPr>
          <w:rFonts w:hint="eastAsia" w:ascii="仿宋_GB2312" w:hAnsi="宋体" w:eastAsia="仿宋_GB2312" w:cs="宋体"/>
          <w:kern w:val="2"/>
          <w:sz w:val="32"/>
          <w:szCs w:val="32"/>
          <w:lang w:val="en-US" w:eastAsia="zh-CN" w:bidi="ar-SA"/>
        </w:rPr>
      </w:pPr>
    </w:p>
    <w:p w14:paraId="791A5ED2">
      <w:pPr>
        <w:rPr>
          <w:b/>
          <w:bCs/>
        </w:rPr>
      </w:pPr>
    </w:p>
    <w:p w14:paraId="441ACEAE">
      <w:pPr>
        <w:rPr>
          <w:b/>
          <w:bCs/>
        </w:rPr>
      </w:pPr>
    </w:p>
    <w:p w14:paraId="4AF50B18">
      <w:pPr>
        <w:rPr>
          <w:b/>
          <w:bCs/>
        </w:rPr>
      </w:pPr>
    </w:p>
    <w:p w14:paraId="3AF4D1BB">
      <w:pPr>
        <w:rPr>
          <w:rFonts w:hint="default" w:ascii="仿宋_GB2312" w:hAnsi="仿宋_GB2312" w:eastAsia="仿宋_GB2312" w:cs="仿宋_GB2312"/>
          <w:kern w:val="2"/>
          <w:sz w:val="32"/>
          <w:szCs w:val="32"/>
          <w:lang w:val="en-US" w:eastAsia="zh-CN" w:bidi="ar-SA"/>
        </w:rPr>
      </w:pPr>
    </w:p>
    <w:sectPr>
      <w:footerReference r:id="rId3" w:type="default"/>
      <w:pgSz w:w="11906" w:h="16838"/>
      <w:pgMar w:top="2098" w:right="1531" w:bottom="187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A5DBC">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-169545</wp:posOffset>
              </wp:positionV>
              <wp:extent cx="1034415" cy="23114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034415" cy="231140"/>
                      </a:xfrm>
                      <a:prstGeom prst="rect">
                        <a:avLst/>
                      </a:prstGeom>
                      <a:noFill/>
                      <a:ln>
                        <a:noFill/>
                      </a:ln>
                    </wps:spPr>
                    <wps:txbx>
                      <w:txbxContent>
                        <w:p w14:paraId="6CEFA891">
                          <w:pPr>
                            <w:pStyle w:val="4"/>
                            <w:ind w:firstLine="280" w:firstLine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lIns="0" tIns="0" rIns="0" bIns="0" upright="0"/>
                  </wps:wsp>
                </a:graphicData>
              </a:graphic>
            </wp:anchor>
          </w:drawing>
        </mc:Choice>
        <mc:Fallback>
          <w:pict>
            <v:shape id="文本框 1026" o:spid="_x0000_s1026" o:spt="202" type="#_x0000_t202" style="position:absolute;left:0pt;margin-top:-13.35pt;height:18.2pt;width:81.45pt;mso-position-horizontal:outside;mso-position-horizontal-relative:margin;z-index:251659264;mso-width-relative:page;mso-height-relative:page;" filled="f" stroked="f" coordsize="21600,21600" o:gfxdata="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Z5gv1QAAAAYBAAAPAAAAAAAAAAEAIAAAACIAAABkcnMvZG93bnJldi54bWxQSwEC&#10;FAAUAAAACACHTuJAL91i7L4BAAB1AwAADgAAAAAAAAABACAAAAAkAQAAZHJzL2Uyb0RvYy54bWxQ&#10;SwUGAAAAAAYABgBZAQAAVAUAAAAA&#10;">
              <v:fill on="f" focussize="0,0"/>
              <v:stroke on="f"/>
              <v:imagedata o:title=""/>
              <o:lock v:ext="edit" aspectratio="f"/>
              <v:textbox inset="0mm,0mm,0mm,0mm">
                <w:txbxContent>
                  <w:p w14:paraId="6CEFA891">
                    <w:pPr>
                      <w:pStyle w:val="4"/>
                      <w:ind w:firstLine="280" w:firstLine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7A9BEF4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39D54"/>
    <w:multiLevelType w:val="singleLevel"/>
    <w:tmpl w:val="F7F39D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MDhiZDA2Yjc2NGY3NTgxOTdhZDJlZGMxOTQ2OGQifQ=="/>
    <w:docVar w:name="KSO_WPS_MARK_KEY" w:val="134b47ab-faeb-4459-b360-6c832729b04c"/>
  </w:docVars>
  <w:rsids>
    <w:rsidRoot w:val="0084736F"/>
    <w:rsid w:val="000D46CA"/>
    <w:rsid w:val="000D4F20"/>
    <w:rsid w:val="00152DB4"/>
    <w:rsid w:val="001B47E7"/>
    <w:rsid w:val="001D6E16"/>
    <w:rsid w:val="001E4B63"/>
    <w:rsid w:val="002002C8"/>
    <w:rsid w:val="00201080"/>
    <w:rsid w:val="00220C46"/>
    <w:rsid w:val="00232ABD"/>
    <w:rsid w:val="0024675F"/>
    <w:rsid w:val="00251ABB"/>
    <w:rsid w:val="00253FFC"/>
    <w:rsid w:val="00255C22"/>
    <w:rsid w:val="00256B85"/>
    <w:rsid w:val="002A0B96"/>
    <w:rsid w:val="002A4C4C"/>
    <w:rsid w:val="002B39B9"/>
    <w:rsid w:val="002C0682"/>
    <w:rsid w:val="002E5FAC"/>
    <w:rsid w:val="00320A9D"/>
    <w:rsid w:val="003D7D83"/>
    <w:rsid w:val="00427F56"/>
    <w:rsid w:val="004F1ABF"/>
    <w:rsid w:val="004F49BA"/>
    <w:rsid w:val="005678E1"/>
    <w:rsid w:val="00581C66"/>
    <w:rsid w:val="0059030E"/>
    <w:rsid w:val="005B4E72"/>
    <w:rsid w:val="005E0AA6"/>
    <w:rsid w:val="005E7119"/>
    <w:rsid w:val="006A50B4"/>
    <w:rsid w:val="006C4FDC"/>
    <w:rsid w:val="00771C7C"/>
    <w:rsid w:val="007A6B58"/>
    <w:rsid w:val="007B09CF"/>
    <w:rsid w:val="007B5E9D"/>
    <w:rsid w:val="007D3DC3"/>
    <w:rsid w:val="007E4EA6"/>
    <w:rsid w:val="0084736F"/>
    <w:rsid w:val="00881702"/>
    <w:rsid w:val="008B6330"/>
    <w:rsid w:val="0092079D"/>
    <w:rsid w:val="00926A4F"/>
    <w:rsid w:val="0096419B"/>
    <w:rsid w:val="009920AC"/>
    <w:rsid w:val="009A12E6"/>
    <w:rsid w:val="009B59C1"/>
    <w:rsid w:val="009E7A7F"/>
    <w:rsid w:val="00AA7867"/>
    <w:rsid w:val="00AB289D"/>
    <w:rsid w:val="00AB4B1A"/>
    <w:rsid w:val="00B8490D"/>
    <w:rsid w:val="00BE48CE"/>
    <w:rsid w:val="00C20F8E"/>
    <w:rsid w:val="00C62B3B"/>
    <w:rsid w:val="00C71E23"/>
    <w:rsid w:val="00C77FF8"/>
    <w:rsid w:val="00C83896"/>
    <w:rsid w:val="00C8711F"/>
    <w:rsid w:val="00CD49C8"/>
    <w:rsid w:val="00CF15A9"/>
    <w:rsid w:val="00CF3752"/>
    <w:rsid w:val="00D265E4"/>
    <w:rsid w:val="00D3251E"/>
    <w:rsid w:val="00D560CE"/>
    <w:rsid w:val="00D93A0F"/>
    <w:rsid w:val="00D942A4"/>
    <w:rsid w:val="00DA3CFD"/>
    <w:rsid w:val="00DE19F6"/>
    <w:rsid w:val="00E1611D"/>
    <w:rsid w:val="00E36412"/>
    <w:rsid w:val="00E560CD"/>
    <w:rsid w:val="00E84814"/>
    <w:rsid w:val="00EA5B9B"/>
    <w:rsid w:val="00EF313F"/>
    <w:rsid w:val="00F3479A"/>
    <w:rsid w:val="00F35B9A"/>
    <w:rsid w:val="00F36A59"/>
    <w:rsid w:val="01C01EF0"/>
    <w:rsid w:val="01E70628"/>
    <w:rsid w:val="02B0310F"/>
    <w:rsid w:val="0385634A"/>
    <w:rsid w:val="03FB660C"/>
    <w:rsid w:val="04050B24"/>
    <w:rsid w:val="043F0BEF"/>
    <w:rsid w:val="044C330C"/>
    <w:rsid w:val="04AF7CE7"/>
    <w:rsid w:val="051C2CDE"/>
    <w:rsid w:val="057D4AFA"/>
    <w:rsid w:val="05AC51A6"/>
    <w:rsid w:val="05C869C2"/>
    <w:rsid w:val="062956B3"/>
    <w:rsid w:val="064331B5"/>
    <w:rsid w:val="06783F44"/>
    <w:rsid w:val="06846D8D"/>
    <w:rsid w:val="068C63E6"/>
    <w:rsid w:val="069A65B0"/>
    <w:rsid w:val="06A27008"/>
    <w:rsid w:val="083B791F"/>
    <w:rsid w:val="08E41D65"/>
    <w:rsid w:val="096128B0"/>
    <w:rsid w:val="09A64DEA"/>
    <w:rsid w:val="0A544CC8"/>
    <w:rsid w:val="0AC27E84"/>
    <w:rsid w:val="0B835865"/>
    <w:rsid w:val="0C2648A3"/>
    <w:rsid w:val="0C3E353A"/>
    <w:rsid w:val="0C3F4B2C"/>
    <w:rsid w:val="0CA05B8A"/>
    <w:rsid w:val="0D832182"/>
    <w:rsid w:val="0EDE1004"/>
    <w:rsid w:val="0F6779F9"/>
    <w:rsid w:val="0FCB77DB"/>
    <w:rsid w:val="0FD146C5"/>
    <w:rsid w:val="10563D68"/>
    <w:rsid w:val="107B458B"/>
    <w:rsid w:val="116A6B7F"/>
    <w:rsid w:val="13561AB1"/>
    <w:rsid w:val="137A77EF"/>
    <w:rsid w:val="14EB7FD7"/>
    <w:rsid w:val="15B64A89"/>
    <w:rsid w:val="173D7210"/>
    <w:rsid w:val="17451C21"/>
    <w:rsid w:val="17BD20FF"/>
    <w:rsid w:val="19762565"/>
    <w:rsid w:val="19C07C84"/>
    <w:rsid w:val="1A2D2334"/>
    <w:rsid w:val="1A4642A1"/>
    <w:rsid w:val="1AAB623F"/>
    <w:rsid w:val="1B1345A2"/>
    <w:rsid w:val="1BD00D7C"/>
    <w:rsid w:val="1C0A168B"/>
    <w:rsid w:val="1CC61A56"/>
    <w:rsid w:val="1D6E79F7"/>
    <w:rsid w:val="1DD71D39"/>
    <w:rsid w:val="1DFB128B"/>
    <w:rsid w:val="1E1914C8"/>
    <w:rsid w:val="1E892D3B"/>
    <w:rsid w:val="1E8A6C52"/>
    <w:rsid w:val="1F691492"/>
    <w:rsid w:val="1FBC2C9C"/>
    <w:rsid w:val="21933ED0"/>
    <w:rsid w:val="22396826"/>
    <w:rsid w:val="22617B2B"/>
    <w:rsid w:val="22C97B55"/>
    <w:rsid w:val="22F8223D"/>
    <w:rsid w:val="23957ACD"/>
    <w:rsid w:val="252655F0"/>
    <w:rsid w:val="26364C6D"/>
    <w:rsid w:val="266B541C"/>
    <w:rsid w:val="268975DE"/>
    <w:rsid w:val="26993D37"/>
    <w:rsid w:val="26DB7EAB"/>
    <w:rsid w:val="28DE1ED5"/>
    <w:rsid w:val="29332221"/>
    <w:rsid w:val="29F73AC0"/>
    <w:rsid w:val="2A4913B4"/>
    <w:rsid w:val="2A7A79DB"/>
    <w:rsid w:val="2BC730F4"/>
    <w:rsid w:val="2C4958B7"/>
    <w:rsid w:val="2E344E51"/>
    <w:rsid w:val="2EB77450"/>
    <w:rsid w:val="2FD8767E"/>
    <w:rsid w:val="2FF344B8"/>
    <w:rsid w:val="30395C43"/>
    <w:rsid w:val="312132A7"/>
    <w:rsid w:val="319A0963"/>
    <w:rsid w:val="31B534F5"/>
    <w:rsid w:val="334B0167"/>
    <w:rsid w:val="337C2A16"/>
    <w:rsid w:val="33CD6DCE"/>
    <w:rsid w:val="348C6C89"/>
    <w:rsid w:val="348D7AAF"/>
    <w:rsid w:val="35643762"/>
    <w:rsid w:val="36C00B7C"/>
    <w:rsid w:val="36FD3E6E"/>
    <w:rsid w:val="37316C71"/>
    <w:rsid w:val="377203B8"/>
    <w:rsid w:val="37732382"/>
    <w:rsid w:val="38001A82"/>
    <w:rsid w:val="38604E0B"/>
    <w:rsid w:val="388A7983"/>
    <w:rsid w:val="38C9302B"/>
    <w:rsid w:val="39013AE8"/>
    <w:rsid w:val="3991089E"/>
    <w:rsid w:val="3AF410E4"/>
    <w:rsid w:val="3B732951"/>
    <w:rsid w:val="3CC14CCE"/>
    <w:rsid w:val="3E135172"/>
    <w:rsid w:val="3E75253C"/>
    <w:rsid w:val="3EF94F1B"/>
    <w:rsid w:val="3F3348D1"/>
    <w:rsid w:val="3FC27B53"/>
    <w:rsid w:val="405A40DF"/>
    <w:rsid w:val="40C429B6"/>
    <w:rsid w:val="40C854ED"/>
    <w:rsid w:val="41270465"/>
    <w:rsid w:val="419158DF"/>
    <w:rsid w:val="41AB63B0"/>
    <w:rsid w:val="41CC35DD"/>
    <w:rsid w:val="429C09DF"/>
    <w:rsid w:val="429D6505"/>
    <w:rsid w:val="43324E9F"/>
    <w:rsid w:val="43486471"/>
    <w:rsid w:val="43C55D14"/>
    <w:rsid w:val="4614088C"/>
    <w:rsid w:val="47150D60"/>
    <w:rsid w:val="477C439A"/>
    <w:rsid w:val="47A83982"/>
    <w:rsid w:val="486C490F"/>
    <w:rsid w:val="48CD108C"/>
    <w:rsid w:val="48F833A3"/>
    <w:rsid w:val="48FA1FBB"/>
    <w:rsid w:val="497679FA"/>
    <w:rsid w:val="4987190B"/>
    <w:rsid w:val="4A8B5944"/>
    <w:rsid w:val="4D1473C4"/>
    <w:rsid w:val="4D38E076"/>
    <w:rsid w:val="4DFA0343"/>
    <w:rsid w:val="4E813FBD"/>
    <w:rsid w:val="4E9B5FEF"/>
    <w:rsid w:val="4F542C34"/>
    <w:rsid w:val="4F813436"/>
    <w:rsid w:val="50106568"/>
    <w:rsid w:val="50324731"/>
    <w:rsid w:val="509E1DC6"/>
    <w:rsid w:val="52291B63"/>
    <w:rsid w:val="52833673"/>
    <w:rsid w:val="53AC5D05"/>
    <w:rsid w:val="53B37937"/>
    <w:rsid w:val="5435330D"/>
    <w:rsid w:val="5550374F"/>
    <w:rsid w:val="55887D33"/>
    <w:rsid w:val="56644F18"/>
    <w:rsid w:val="57FA6D3D"/>
    <w:rsid w:val="57FFE6D4"/>
    <w:rsid w:val="58B53004"/>
    <w:rsid w:val="58CD4FF7"/>
    <w:rsid w:val="5964753E"/>
    <w:rsid w:val="5AFD5B25"/>
    <w:rsid w:val="5CF040E2"/>
    <w:rsid w:val="5E162F9C"/>
    <w:rsid w:val="5E3F3FDC"/>
    <w:rsid w:val="5FBA204D"/>
    <w:rsid w:val="5FBB029F"/>
    <w:rsid w:val="5FC075AC"/>
    <w:rsid w:val="60287DF6"/>
    <w:rsid w:val="60D55390"/>
    <w:rsid w:val="61016185"/>
    <w:rsid w:val="61D4389A"/>
    <w:rsid w:val="62061579"/>
    <w:rsid w:val="62353C0D"/>
    <w:rsid w:val="6247406C"/>
    <w:rsid w:val="62886432"/>
    <w:rsid w:val="629F7262"/>
    <w:rsid w:val="63ED2C6A"/>
    <w:rsid w:val="64163B08"/>
    <w:rsid w:val="642A53C1"/>
    <w:rsid w:val="64370110"/>
    <w:rsid w:val="64990483"/>
    <w:rsid w:val="64DB4238"/>
    <w:rsid w:val="659A0956"/>
    <w:rsid w:val="65AB4911"/>
    <w:rsid w:val="65C634F9"/>
    <w:rsid w:val="65F55B8D"/>
    <w:rsid w:val="663331E5"/>
    <w:rsid w:val="6635242D"/>
    <w:rsid w:val="664803B2"/>
    <w:rsid w:val="6649567B"/>
    <w:rsid w:val="677156E7"/>
    <w:rsid w:val="682637C7"/>
    <w:rsid w:val="687D3598"/>
    <w:rsid w:val="68C14734"/>
    <w:rsid w:val="68DD74D8"/>
    <w:rsid w:val="691463AB"/>
    <w:rsid w:val="696A6892"/>
    <w:rsid w:val="6A6D1DC7"/>
    <w:rsid w:val="6A9260A0"/>
    <w:rsid w:val="6A9C6F1F"/>
    <w:rsid w:val="6AAE27AE"/>
    <w:rsid w:val="6B735869"/>
    <w:rsid w:val="6C2B40AB"/>
    <w:rsid w:val="6C7D4B2E"/>
    <w:rsid w:val="6D4713C4"/>
    <w:rsid w:val="6D9170CE"/>
    <w:rsid w:val="6E3D6323"/>
    <w:rsid w:val="6EE92007"/>
    <w:rsid w:val="6F2614AD"/>
    <w:rsid w:val="6FE50A20"/>
    <w:rsid w:val="70774CC3"/>
    <w:rsid w:val="70DC03E9"/>
    <w:rsid w:val="71950224"/>
    <w:rsid w:val="726D7C03"/>
    <w:rsid w:val="72A90E0E"/>
    <w:rsid w:val="72DB610A"/>
    <w:rsid w:val="72E6342D"/>
    <w:rsid w:val="733750CB"/>
    <w:rsid w:val="74027491"/>
    <w:rsid w:val="77D52D44"/>
    <w:rsid w:val="7855070D"/>
    <w:rsid w:val="785E75C1"/>
    <w:rsid w:val="786F5C73"/>
    <w:rsid w:val="79167E9C"/>
    <w:rsid w:val="798D4602"/>
    <w:rsid w:val="79B55907"/>
    <w:rsid w:val="79B853F7"/>
    <w:rsid w:val="7AA722CC"/>
    <w:rsid w:val="7AD718AD"/>
    <w:rsid w:val="7AEA7832"/>
    <w:rsid w:val="7C1A606D"/>
    <w:rsid w:val="7C282F16"/>
    <w:rsid w:val="7C4B4301"/>
    <w:rsid w:val="7C6B49A3"/>
    <w:rsid w:val="7C7E0232"/>
    <w:rsid w:val="7CC04CEF"/>
    <w:rsid w:val="7CCF23A1"/>
    <w:rsid w:val="7D13195F"/>
    <w:rsid w:val="7D711B45"/>
    <w:rsid w:val="7DE5F993"/>
    <w:rsid w:val="7E5E47BF"/>
    <w:rsid w:val="7EF0118F"/>
    <w:rsid w:val="7F76FFEB"/>
    <w:rsid w:val="8EFCF396"/>
    <w:rsid w:val="B6575CB7"/>
    <w:rsid w:val="E4B5D067"/>
    <w:rsid w:val="EFECD247"/>
    <w:rsid w:val="F867502B"/>
    <w:rsid w:val="FF7DDEB7"/>
    <w:rsid w:val="FFB7EAA4"/>
    <w:rsid w:val="FFBC4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next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公1"/>
    <w:basedOn w:val="1"/>
    <w:next w:val="1"/>
    <w:qFormat/>
    <w:uiPriority w:val="0"/>
    <w:pPr>
      <w:ind w:firstLine="200" w:firstLineChars="200"/>
      <w:jc w:val="left"/>
    </w:pPr>
    <w:rPr>
      <w:rFonts w:eastAsia="仿宋_GB2312"/>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Char"/>
    <w:basedOn w:val="1"/>
    <w:qFormat/>
    <w:uiPriority w:val="0"/>
    <w:pPr>
      <w:tabs>
        <w:tab w:val="left" w:pos="1411"/>
      </w:tabs>
      <w:ind w:left="1411" w:hanging="720"/>
    </w:pPr>
    <w:rPr>
      <w:rFonts w:ascii="Times New Roman" w:hAnsi="Times New Roman" w:eastAsia="仿宋_GB2312" w:cs="Times New Roman"/>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4472</Words>
  <Characters>4633</Characters>
  <Lines>15</Lines>
  <Paragraphs>4</Paragraphs>
  <TotalTime>2</TotalTime>
  <ScaleCrop>false</ScaleCrop>
  <LinksUpToDate>false</LinksUpToDate>
  <CharactersWithSpaces>4678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2021-07-14T09:00:00Z</dcterms:created>
  <dc:creator>Hewlett-Packard Company</dc:creator>
  <cp:lastModifiedBy>admin123</cp:lastModifiedBy>
  <cp:lastPrinted>2026-04-25T08:16:00Z</cp:lastPrinted>
  <dcterms:modified xsi:type="dcterms:W3CDTF">2026-05-07T09:16:33Z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SaveFontToCloudKey">
    <vt:lpwstr>436453744_cloud</vt:lpwstr>
  </property>
  <property fmtid="{D5CDD505-2E9C-101B-9397-08002B2CF9AE}" pid="4" name="ICV">
    <vt:lpwstr>882B4E22B58526F26CEFEE68F9B31BB0_43</vt:lpwstr>
  </property>
  <property fmtid="{D5CDD505-2E9C-101B-9397-08002B2CF9AE}" pid="5" name="KSOTemplateDocerSaveRecord">
    <vt:lpwstr>eyJoZGlkIjoiMTgxMmMwNzY5NTAyMTU4MjNjMWJiMzNmOWFiNDQ0MTcifQ==</vt:lpwstr>
  </property>
</Properties>
</file>