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仿宋" w:eastAsia="方正小标宋简体" w:cs="方正小标宋简体"/>
          <w:sz w:val="44"/>
          <w:szCs w:val="44"/>
        </w:rPr>
        <w:t>2020年度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泉港区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代理记账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公司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台账</w:t>
      </w:r>
    </w:p>
    <w:tbl>
      <w:tblPr>
        <w:tblStyle w:val="4"/>
        <w:tblW w:w="13438" w:type="dxa"/>
        <w:tblInd w:w="-35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860"/>
        <w:gridCol w:w="3555"/>
        <w:gridCol w:w="35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468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860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代理记账机构名称</w:t>
            </w:r>
          </w:p>
        </w:tc>
        <w:tc>
          <w:tcPr>
            <w:tcW w:w="3555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代理记账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</w:rPr>
              <w:t>许可证书编号</w:t>
            </w:r>
          </w:p>
        </w:tc>
        <w:tc>
          <w:tcPr>
            <w:tcW w:w="3555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泉州市博熹财务咨询有限公司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DLJZ35050520180003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泉州中正方圆财务咨询有限公司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DLJZ35050520180002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泉州泉港卓林财务管理有限公司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DLJZ35050520170004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泉州壹胜佰财务咨询有限公司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DLJZ35050520170006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泉州市泉港国投代理记账服务有限公司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DLJZ35050520170007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泉州市泉港立信记账有限公司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DLJZ35050520170005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泉州市宏胜财务咨询有限公司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DLJZ35050520180001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2"/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泉州眺望智囊管理咨询有限公司</w:t>
            </w:r>
            <w:bookmarkEnd w:id="0"/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DLJZ35050520170002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泉州市正益管理咨询有限公司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5FAFA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9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000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1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泉州市泉港区立晟财务管理有限公司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5FAFA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DLJZ350505201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9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000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2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宏睿财务咨询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5FAFA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20200001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泉州市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双滔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财务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管理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微软雅黑" w:eastAsia="仿宋_GB2312" w:cs="仿宋_GB2312"/>
                <w:color w:val="000000"/>
                <w:kern w:val="2"/>
                <w:sz w:val="24"/>
                <w:szCs w:val="24"/>
                <w:shd w:val="clear" w:color="auto" w:fill="F5FAFA"/>
                <w:lang w:val="en-US" w:eastAsia="zh-CN" w:bidi="ar-SA"/>
              </w:rPr>
            </w:pPr>
            <w:bookmarkStart w:id="1" w:name="OLE_LINK1"/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200002</w:t>
            </w:r>
            <w:bookmarkEnd w:id="1"/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泉州市惠胜财务管理咨询有限公司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200003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泉州市鼎立财务管理有限公司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200004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福建省泉州星辉财务有限公司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200005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泉州市叁月财务咨询有限公司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  <w:t>DLJZ35050520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  <w:lang w:val="en-US" w:eastAsia="zh-CN"/>
              </w:rPr>
              <w:t>200006</w:t>
            </w:r>
          </w:p>
        </w:tc>
        <w:tc>
          <w:tcPr>
            <w:tcW w:w="35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  <w:shd w:val="clear" w:color="auto" w:fill="F5FAFA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 w:cs="仿宋_GB2312"/>
          <w:color w:val="000000"/>
          <w:kern w:val="0"/>
        </w:rPr>
      </w:pPr>
    </w:p>
    <w:p>
      <w:pPr>
        <w:widowControl/>
        <w:jc w:val="left"/>
        <w:rPr>
          <w:rFonts w:ascii="仿宋_GB2312" w:hAnsi="仿宋" w:eastAsia="仿宋_GB2312" w:cs="仿宋_GB2312"/>
          <w:color w:val="000000"/>
          <w:kern w:val="0"/>
        </w:rPr>
      </w:pPr>
      <w:r>
        <w:rPr>
          <w:rFonts w:ascii="仿宋_GB2312" w:hAnsi="仿宋" w:eastAsia="仿宋_GB2312" w:cs="仿宋_GB2312"/>
          <w:color w:val="000000"/>
          <w:kern w:val="0"/>
        </w:rPr>
        <w:t xml:space="preserve">               </w:t>
      </w:r>
    </w:p>
    <w:p>
      <w:pPr>
        <w:widowControl/>
        <w:jc w:val="left"/>
        <w:rPr>
          <w:rFonts w:ascii="仿宋_GB2312" w:hAnsi="仿宋" w:eastAsia="仿宋_GB2312" w:cs="仿宋_GB2312"/>
          <w:color w:val="000000"/>
          <w:kern w:val="0"/>
        </w:rPr>
      </w:pPr>
    </w:p>
    <w:sectPr>
      <w:pgSz w:w="16838" w:h="11906" w:orient="landscape"/>
      <w:pgMar w:top="141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93"/>
    <w:rsid w:val="00026DA9"/>
    <w:rsid w:val="000E3376"/>
    <w:rsid w:val="00162DCA"/>
    <w:rsid w:val="00195D7C"/>
    <w:rsid w:val="001A2906"/>
    <w:rsid w:val="001E206D"/>
    <w:rsid w:val="00293B89"/>
    <w:rsid w:val="00310F15"/>
    <w:rsid w:val="00312EEF"/>
    <w:rsid w:val="003306B9"/>
    <w:rsid w:val="003A0A2D"/>
    <w:rsid w:val="00442E26"/>
    <w:rsid w:val="00561A68"/>
    <w:rsid w:val="0056355E"/>
    <w:rsid w:val="006312CB"/>
    <w:rsid w:val="0064276B"/>
    <w:rsid w:val="006875B3"/>
    <w:rsid w:val="006D0E48"/>
    <w:rsid w:val="006D53C5"/>
    <w:rsid w:val="006D694A"/>
    <w:rsid w:val="007C1F07"/>
    <w:rsid w:val="007E6CF5"/>
    <w:rsid w:val="00814500"/>
    <w:rsid w:val="008550CF"/>
    <w:rsid w:val="008C47B7"/>
    <w:rsid w:val="008D402A"/>
    <w:rsid w:val="009C3266"/>
    <w:rsid w:val="009F2FAD"/>
    <w:rsid w:val="009F3A5A"/>
    <w:rsid w:val="00A32D3E"/>
    <w:rsid w:val="00A86EF7"/>
    <w:rsid w:val="00AD7107"/>
    <w:rsid w:val="00B11FA6"/>
    <w:rsid w:val="00B3396C"/>
    <w:rsid w:val="00B70206"/>
    <w:rsid w:val="00B804AC"/>
    <w:rsid w:val="00BA1B69"/>
    <w:rsid w:val="00BD1764"/>
    <w:rsid w:val="00C636E5"/>
    <w:rsid w:val="00D23368"/>
    <w:rsid w:val="00D40450"/>
    <w:rsid w:val="00D91393"/>
    <w:rsid w:val="00DA38FC"/>
    <w:rsid w:val="00E10C0A"/>
    <w:rsid w:val="00E877F9"/>
    <w:rsid w:val="00EC237E"/>
    <w:rsid w:val="00F80497"/>
    <w:rsid w:val="00FA65DD"/>
    <w:rsid w:val="00FE44BB"/>
    <w:rsid w:val="0297756F"/>
    <w:rsid w:val="0AC0720A"/>
    <w:rsid w:val="0C2E3F54"/>
    <w:rsid w:val="1C584E70"/>
    <w:rsid w:val="1D38488E"/>
    <w:rsid w:val="20EA4E65"/>
    <w:rsid w:val="218D1650"/>
    <w:rsid w:val="247237D9"/>
    <w:rsid w:val="2D2D181D"/>
    <w:rsid w:val="33DD4026"/>
    <w:rsid w:val="36362273"/>
    <w:rsid w:val="3CD32D44"/>
    <w:rsid w:val="40796278"/>
    <w:rsid w:val="45934FCD"/>
    <w:rsid w:val="467D25B8"/>
    <w:rsid w:val="48B13F5E"/>
    <w:rsid w:val="4D1D12C5"/>
    <w:rsid w:val="5146251B"/>
    <w:rsid w:val="53E678A7"/>
    <w:rsid w:val="54D353E0"/>
    <w:rsid w:val="54DA536A"/>
    <w:rsid w:val="57B17687"/>
    <w:rsid w:val="59104272"/>
    <w:rsid w:val="5C3A13C4"/>
    <w:rsid w:val="5E2175EE"/>
    <w:rsid w:val="5E3B3A43"/>
    <w:rsid w:val="62AB4B35"/>
    <w:rsid w:val="705A22BE"/>
    <w:rsid w:val="71CC1B79"/>
    <w:rsid w:val="7420189D"/>
    <w:rsid w:val="7C8059D8"/>
    <w:rsid w:val="7E8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156</Words>
  <Characters>894</Characters>
  <Lines>7</Lines>
  <Paragraphs>2</Paragraphs>
  <TotalTime>11</TotalTime>
  <ScaleCrop>false</ScaleCrop>
  <LinksUpToDate>false</LinksUpToDate>
  <CharactersWithSpaces>1048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2019-10-14T07:41:00Z</dcterms:created>
  <dc:creator>QCG001</dc:creator>
  <cp:lastModifiedBy>QCG001</cp:lastModifiedBy>
  <cp:lastPrinted>2020-11-15T02:03:00Z</cp:lastPrinted>
  <dcterms:modified xsi:type="dcterms:W3CDTF">2021-04-25T08:11:11Z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05E55F7BBD0340A0BC5D9B9B4FD8EDDB</vt:lpwstr>
  </property>
</Properties>
</file>