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6091C">
      <w:pPr>
        <w:autoSpaceDE w:val="0"/>
        <w:autoSpaceDN w:val="0"/>
        <w:adjustRightInd w:val="0"/>
        <w:ind w:left="0" w:leftChars="0" w:firstLine="0" w:firstLineChars="0"/>
        <w:jc w:val="left"/>
        <w:rPr>
          <w:rFonts w:hint="eastAsia" w:eastAsia="楷体"/>
          <w:b/>
          <w:bCs/>
          <w:color w:val="auto"/>
          <w:sz w:val="48"/>
          <w:szCs w:val="52"/>
          <w:highlight w:val="none"/>
          <w:lang w:val="zh-CN" w:eastAsia="zh-CN"/>
        </w:rPr>
      </w:pPr>
      <w:bookmarkStart w:id="74" w:name="_GoBack"/>
      <w:bookmarkEnd w:id="74"/>
      <w:r>
        <w:rPr>
          <w:rFonts w:hint="eastAsia" w:ascii="黑体" w:hAnsi="黑体" w:eastAsia="黑体" w:cs="黑体"/>
          <w:b w:val="0"/>
          <w:bCs w:val="0"/>
          <w:color w:val="auto"/>
          <w:sz w:val="32"/>
          <w:szCs w:val="32"/>
          <w:lang w:val="zh-CN" w:eastAsia="zh-CN"/>
        </w:rPr>
        <w:t>附件</w:t>
      </w:r>
      <w:r>
        <w:rPr>
          <w:rFonts w:hint="eastAsia" w:ascii="黑体" w:hAnsi="黑体" w:eastAsia="黑体" w:cs="黑体"/>
          <w:b w:val="0"/>
          <w:bCs w:val="0"/>
          <w:color w:val="auto"/>
          <w:sz w:val="32"/>
          <w:szCs w:val="32"/>
          <w:lang w:val="en-US" w:eastAsia="zh-CN"/>
        </w:rPr>
        <w:t>5</w:t>
      </w:r>
    </w:p>
    <w:p w14:paraId="125DEC71">
      <w:pPr>
        <w:autoSpaceDE w:val="0"/>
        <w:autoSpaceDN w:val="0"/>
        <w:adjustRightInd w:val="0"/>
        <w:jc w:val="center"/>
        <w:rPr>
          <w:rFonts w:eastAsia="楷体"/>
          <w:b/>
          <w:bCs/>
          <w:color w:val="auto"/>
          <w:sz w:val="48"/>
          <w:szCs w:val="52"/>
          <w:highlight w:val="none"/>
          <w:lang w:val="zh-CN"/>
        </w:rPr>
      </w:pPr>
    </w:p>
    <w:p w14:paraId="2E0C2C70">
      <w:pPr>
        <w:spacing w:line="360" w:lineRule="auto"/>
        <w:jc w:val="center"/>
        <w:rPr>
          <w:rFonts w:eastAsia="楷体"/>
          <w:b/>
          <w:color w:val="auto"/>
          <w:kern w:val="0"/>
          <w:sz w:val="52"/>
          <w:szCs w:val="52"/>
          <w:highlight w:val="none"/>
        </w:rPr>
      </w:pPr>
      <w:r>
        <w:rPr>
          <w:rFonts w:hint="eastAsia" w:eastAsia="楷体"/>
          <w:b/>
          <w:color w:val="auto"/>
          <w:kern w:val="0"/>
          <w:sz w:val="52"/>
          <w:szCs w:val="52"/>
          <w:highlight w:val="none"/>
          <w:lang w:eastAsia="zh-CN"/>
        </w:rPr>
        <w:t>前黄镇</w:t>
      </w:r>
      <w:r>
        <w:rPr>
          <w:rFonts w:eastAsia="楷体"/>
          <w:b/>
          <w:color w:val="auto"/>
          <w:kern w:val="0"/>
          <w:sz w:val="52"/>
          <w:szCs w:val="52"/>
          <w:highlight w:val="none"/>
        </w:rPr>
        <w:t>四清水库</w:t>
      </w:r>
    </w:p>
    <w:p w14:paraId="33A83DAE">
      <w:pPr>
        <w:jc w:val="center"/>
        <w:rPr>
          <w:rFonts w:eastAsia="楷体"/>
          <w:b/>
          <w:color w:val="auto"/>
          <w:sz w:val="52"/>
          <w:szCs w:val="52"/>
          <w:highlight w:val="none"/>
        </w:rPr>
      </w:pPr>
      <w:r>
        <w:rPr>
          <w:rFonts w:eastAsia="楷体"/>
          <w:b/>
          <w:color w:val="auto"/>
          <w:sz w:val="52"/>
          <w:szCs w:val="52"/>
          <w:highlight w:val="none"/>
        </w:rPr>
        <w:t>20</w:t>
      </w:r>
      <w:r>
        <w:rPr>
          <w:rFonts w:hint="eastAsia" w:eastAsia="楷体"/>
          <w:b/>
          <w:color w:val="auto"/>
          <w:sz w:val="52"/>
          <w:szCs w:val="52"/>
          <w:highlight w:val="none"/>
          <w:lang w:val="en-US" w:eastAsia="zh-CN"/>
        </w:rPr>
        <w:t>24</w:t>
      </w:r>
      <w:r>
        <w:rPr>
          <w:rFonts w:eastAsia="楷体"/>
          <w:b/>
          <w:color w:val="auto"/>
          <w:sz w:val="52"/>
          <w:szCs w:val="52"/>
          <w:highlight w:val="none"/>
        </w:rPr>
        <w:t>年汛期防洪调度运用计划</w:t>
      </w:r>
    </w:p>
    <w:p w14:paraId="5761F851">
      <w:pPr>
        <w:spacing w:line="360" w:lineRule="auto"/>
        <w:jc w:val="center"/>
        <w:rPr>
          <w:rFonts w:eastAsia="楷体"/>
          <w:b/>
          <w:color w:val="auto"/>
          <w:kern w:val="0"/>
          <w:sz w:val="44"/>
          <w:szCs w:val="44"/>
          <w:highlight w:val="none"/>
        </w:rPr>
      </w:pPr>
    </w:p>
    <w:p w14:paraId="09807E43">
      <w:pPr>
        <w:spacing w:line="360" w:lineRule="auto"/>
        <w:jc w:val="center"/>
        <w:rPr>
          <w:rFonts w:eastAsia="楷体"/>
          <w:b/>
          <w:color w:val="auto"/>
          <w:kern w:val="0"/>
          <w:sz w:val="52"/>
          <w:szCs w:val="52"/>
          <w:highlight w:val="none"/>
        </w:rPr>
      </w:pPr>
    </w:p>
    <w:p w14:paraId="00695EDA">
      <w:pPr>
        <w:spacing w:line="360" w:lineRule="auto"/>
        <w:jc w:val="center"/>
        <w:rPr>
          <w:rFonts w:eastAsia="楷体"/>
          <w:b/>
          <w:color w:val="auto"/>
          <w:kern w:val="0"/>
          <w:sz w:val="52"/>
          <w:szCs w:val="52"/>
          <w:highlight w:val="none"/>
        </w:rPr>
      </w:pPr>
    </w:p>
    <w:p w14:paraId="129780BE">
      <w:pPr>
        <w:spacing w:line="360" w:lineRule="auto"/>
        <w:jc w:val="center"/>
        <w:rPr>
          <w:rFonts w:eastAsia="楷体"/>
          <w:b/>
          <w:color w:val="auto"/>
          <w:kern w:val="0"/>
          <w:sz w:val="52"/>
          <w:szCs w:val="52"/>
          <w:highlight w:val="none"/>
        </w:rPr>
      </w:pPr>
    </w:p>
    <w:p w14:paraId="5FADF3EA">
      <w:pPr>
        <w:spacing w:line="360" w:lineRule="auto"/>
        <w:jc w:val="center"/>
        <w:rPr>
          <w:rFonts w:eastAsia="楷体"/>
          <w:b/>
          <w:color w:val="auto"/>
          <w:kern w:val="0"/>
          <w:sz w:val="52"/>
          <w:szCs w:val="52"/>
          <w:highlight w:val="none"/>
        </w:rPr>
      </w:pPr>
    </w:p>
    <w:p w14:paraId="558BE4B4">
      <w:pPr>
        <w:spacing w:line="360" w:lineRule="auto"/>
        <w:jc w:val="center"/>
        <w:rPr>
          <w:rFonts w:eastAsia="楷体"/>
          <w:b/>
          <w:color w:val="auto"/>
          <w:kern w:val="0"/>
          <w:sz w:val="52"/>
          <w:szCs w:val="52"/>
          <w:highlight w:val="none"/>
        </w:rPr>
      </w:pPr>
    </w:p>
    <w:p w14:paraId="2212A1C4">
      <w:pPr>
        <w:spacing w:line="360" w:lineRule="auto"/>
        <w:jc w:val="center"/>
        <w:rPr>
          <w:rFonts w:eastAsia="楷体"/>
          <w:b/>
          <w:color w:val="auto"/>
          <w:kern w:val="0"/>
          <w:sz w:val="52"/>
          <w:szCs w:val="52"/>
          <w:highlight w:val="none"/>
        </w:rPr>
      </w:pPr>
    </w:p>
    <w:p w14:paraId="618F4891">
      <w:pPr>
        <w:spacing w:line="360" w:lineRule="auto"/>
        <w:jc w:val="center"/>
        <w:rPr>
          <w:rFonts w:eastAsia="楷体"/>
          <w:b/>
          <w:color w:val="auto"/>
          <w:kern w:val="0"/>
          <w:sz w:val="52"/>
          <w:szCs w:val="52"/>
          <w:highlight w:val="none"/>
        </w:rPr>
      </w:pPr>
    </w:p>
    <w:p w14:paraId="2DF6E334">
      <w:pPr>
        <w:spacing w:line="360" w:lineRule="auto"/>
        <w:jc w:val="center"/>
        <w:rPr>
          <w:rFonts w:eastAsia="楷体"/>
          <w:b/>
          <w:color w:val="auto"/>
          <w:kern w:val="0"/>
          <w:sz w:val="52"/>
          <w:szCs w:val="52"/>
          <w:highlight w:val="none"/>
        </w:rPr>
      </w:pPr>
    </w:p>
    <w:p w14:paraId="237A9AC3">
      <w:pPr>
        <w:spacing w:line="360" w:lineRule="auto"/>
        <w:jc w:val="center"/>
        <w:rPr>
          <w:rFonts w:eastAsia="楷体"/>
          <w:b/>
          <w:color w:val="auto"/>
          <w:kern w:val="0"/>
          <w:sz w:val="52"/>
          <w:szCs w:val="52"/>
          <w:highlight w:val="none"/>
        </w:rPr>
      </w:pPr>
    </w:p>
    <w:p w14:paraId="1762DCF1">
      <w:pPr>
        <w:spacing w:line="360" w:lineRule="auto"/>
        <w:jc w:val="center"/>
        <w:rPr>
          <w:rFonts w:eastAsia="楷体"/>
          <w:b/>
          <w:color w:val="auto"/>
          <w:kern w:val="0"/>
          <w:sz w:val="52"/>
          <w:szCs w:val="52"/>
          <w:highlight w:val="none"/>
        </w:rPr>
      </w:pPr>
    </w:p>
    <w:p w14:paraId="5E5C8B80">
      <w:pPr>
        <w:spacing w:line="360" w:lineRule="auto"/>
        <w:jc w:val="center"/>
        <w:rPr>
          <w:rFonts w:eastAsia="楷体"/>
          <w:b/>
          <w:color w:val="auto"/>
          <w:kern w:val="0"/>
          <w:sz w:val="52"/>
          <w:szCs w:val="52"/>
          <w:highlight w:val="none"/>
        </w:rPr>
      </w:pPr>
    </w:p>
    <w:p w14:paraId="308A093F">
      <w:pPr>
        <w:spacing w:line="360" w:lineRule="auto"/>
        <w:jc w:val="center"/>
        <w:rPr>
          <w:rFonts w:eastAsia="楷体"/>
          <w:b/>
          <w:color w:val="auto"/>
          <w:kern w:val="0"/>
          <w:sz w:val="52"/>
          <w:szCs w:val="52"/>
          <w:highlight w:val="none"/>
        </w:rPr>
      </w:pPr>
    </w:p>
    <w:p w14:paraId="3C2304A7">
      <w:pPr>
        <w:ind w:firstLine="960"/>
        <w:jc w:val="center"/>
        <w:rPr>
          <w:rFonts w:eastAsia="楷体"/>
          <w:color w:val="auto"/>
          <w:sz w:val="48"/>
          <w:szCs w:val="48"/>
          <w:highlight w:val="none"/>
        </w:rPr>
      </w:pPr>
    </w:p>
    <w:p w14:paraId="1D04D0DF">
      <w:pPr>
        <w:spacing w:line="360" w:lineRule="auto"/>
        <w:jc w:val="center"/>
        <w:rPr>
          <w:rFonts w:hint="default" w:eastAsia="楷体"/>
          <w:b/>
          <w:color w:val="auto"/>
          <w:sz w:val="36"/>
          <w:szCs w:val="36"/>
          <w:highlight w:val="none"/>
          <w:lang w:val="en-US" w:eastAsia="zh-CN"/>
        </w:rPr>
      </w:pPr>
      <w:r>
        <w:rPr>
          <w:rFonts w:hint="eastAsia" w:eastAsia="楷体"/>
          <w:b/>
          <w:color w:val="auto"/>
          <w:sz w:val="36"/>
          <w:szCs w:val="36"/>
          <w:highlight w:val="none"/>
          <w:lang w:val="en-US" w:eastAsia="zh-CN"/>
        </w:rPr>
        <w:t>前黄镇人民政府</w:t>
      </w:r>
    </w:p>
    <w:p w14:paraId="06250B5A">
      <w:pPr>
        <w:spacing w:line="360" w:lineRule="auto"/>
        <w:jc w:val="center"/>
        <w:rPr>
          <w:rFonts w:eastAsia="楷体"/>
          <w:b/>
          <w:color w:val="auto"/>
          <w:sz w:val="36"/>
          <w:szCs w:val="36"/>
          <w:highlight w:val="none"/>
        </w:rPr>
      </w:pPr>
      <w:r>
        <w:rPr>
          <w:rFonts w:eastAsia="楷体"/>
          <w:b/>
          <w:color w:val="auto"/>
          <w:sz w:val="36"/>
          <w:szCs w:val="36"/>
          <w:highlight w:val="none"/>
        </w:rPr>
        <w:t>20</w:t>
      </w:r>
      <w:r>
        <w:rPr>
          <w:rFonts w:hint="eastAsia" w:eastAsia="楷体"/>
          <w:b/>
          <w:color w:val="auto"/>
          <w:sz w:val="36"/>
          <w:szCs w:val="36"/>
          <w:highlight w:val="none"/>
          <w:lang w:val="en-US" w:eastAsia="zh-CN"/>
        </w:rPr>
        <w:t>24</w:t>
      </w:r>
      <w:r>
        <w:rPr>
          <w:rFonts w:eastAsia="楷体"/>
          <w:b/>
          <w:color w:val="auto"/>
          <w:sz w:val="36"/>
          <w:szCs w:val="36"/>
          <w:highlight w:val="none"/>
        </w:rPr>
        <w:t>年</w:t>
      </w:r>
      <w:r>
        <w:rPr>
          <w:rFonts w:hint="eastAsia" w:eastAsia="楷体"/>
          <w:b/>
          <w:color w:val="auto"/>
          <w:sz w:val="36"/>
          <w:szCs w:val="36"/>
          <w:highlight w:val="none"/>
          <w:lang w:val="en-US" w:eastAsia="zh-CN"/>
        </w:rPr>
        <w:t>2</w:t>
      </w:r>
      <w:r>
        <w:rPr>
          <w:rFonts w:eastAsia="楷体"/>
          <w:b/>
          <w:color w:val="auto"/>
          <w:sz w:val="36"/>
          <w:szCs w:val="36"/>
          <w:highlight w:val="none"/>
        </w:rPr>
        <w:t>月</w:t>
      </w:r>
    </w:p>
    <w:p w14:paraId="792D0C4E">
      <w:pPr>
        <w:spacing w:line="360" w:lineRule="auto"/>
        <w:jc w:val="center"/>
        <w:rPr>
          <w:rFonts w:eastAsia="楷体"/>
          <w:b/>
          <w:color w:val="auto"/>
          <w:kern w:val="0"/>
          <w:sz w:val="32"/>
          <w:szCs w:val="32"/>
          <w:highlight w:val="none"/>
        </w:rPr>
        <w:sectPr>
          <w:footerReference r:id="rId3" w:type="default"/>
          <w:footerReference r:id="rId4" w:type="even"/>
          <w:pgSz w:w="11906" w:h="16838"/>
          <w:pgMar w:top="1440" w:right="1800" w:bottom="1440" w:left="1800" w:header="851" w:footer="992" w:gutter="0"/>
          <w:pgNumType w:fmt="numberInDash" w:start="228"/>
          <w:cols w:space="720" w:num="1"/>
          <w:docGrid w:type="lines" w:linePitch="312" w:charSpace="0"/>
        </w:sectPr>
      </w:pPr>
    </w:p>
    <w:p w14:paraId="2A72290C">
      <w:pPr>
        <w:jc w:val="center"/>
        <w:rPr>
          <w:rFonts w:eastAsia="楷体"/>
          <w:b/>
          <w:color w:val="auto"/>
          <w:kern w:val="0"/>
          <w:sz w:val="28"/>
          <w:szCs w:val="28"/>
          <w:highlight w:val="none"/>
        </w:rPr>
      </w:pPr>
      <w:r>
        <w:rPr>
          <w:rFonts w:eastAsia="楷体"/>
          <w:b/>
          <w:color w:val="auto"/>
          <w:kern w:val="0"/>
          <w:sz w:val="28"/>
          <w:szCs w:val="28"/>
          <w:highlight w:val="none"/>
        </w:rPr>
        <w:t>目  录</w:t>
      </w:r>
    </w:p>
    <w:p w14:paraId="46C58421">
      <w:pPr>
        <w:pStyle w:val="13"/>
        <w:tabs>
          <w:tab w:val="right" w:leader="dot" w:pos="8306"/>
          <w:tab w:val="clear" w:pos="8296"/>
        </w:tabs>
        <w:spacing w:line="520" w:lineRule="exact"/>
        <w:rPr>
          <w:rFonts w:ascii="Times New Roman" w:eastAsia="楷体"/>
          <w:color w:val="auto"/>
          <w:highlight w:val="none"/>
        </w:rPr>
      </w:pPr>
      <w:r>
        <w:rPr>
          <w:rFonts w:ascii="Times New Roman" w:eastAsia="楷体"/>
          <w:b w:val="0"/>
          <w:bCs/>
          <w:color w:val="auto"/>
          <w:kern w:val="0"/>
          <w:highlight w:val="none"/>
        </w:rPr>
        <w:fldChar w:fldCharType="begin"/>
      </w:r>
      <w:r>
        <w:rPr>
          <w:rFonts w:ascii="Times New Roman" w:eastAsia="楷体"/>
          <w:b w:val="0"/>
          <w:bCs/>
          <w:color w:val="auto"/>
          <w:kern w:val="0"/>
          <w:highlight w:val="none"/>
        </w:rPr>
        <w:instrText xml:space="preserve"> TOC \o "1-2" \h \z \u </w:instrText>
      </w:r>
      <w:r>
        <w:rPr>
          <w:rFonts w:ascii="Times New Roman" w:eastAsia="楷体"/>
          <w:b w:val="0"/>
          <w:bCs/>
          <w:color w:val="auto"/>
          <w:kern w:val="0"/>
          <w:highlight w:val="none"/>
        </w:rPr>
        <w:fldChar w:fldCharType="separate"/>
      </w:r>
      <w:r>
        <w:rPr>
          <w:color w:val="auto"/>
          <w:highlight w:val="none"/>
        </w:rPr>
        <w:fldChar w:fldCharType="begin"/>
      </w:r>
      <w:r>
        <w:rPr>
          <w:color w:val="auto"/>
          <w:highlight w:val="none"/>
        </w:rPr>
        <w:instrText xml:space="preserve"> HYPERLINK \l "_Toc11427" </w:instrText>
      </w:r>
      <w:r>
        <w:rPr>
          <w:color w:val="auto"/>
          <w:highlight w:val="none"/>
        </w:rPr>
        <w:fldChar w:fldCharType="separate"/>
      </w:r>
      <w:r>
        <w:rPr>
          <w:rFonts w:ascii="Times New Roman" w:eastAsia="楷体"/>
          <w:color w:val="auto"/>
          <w:kern w:val="0"/>
          <w:highlight w:val="none"/>
        </w:rPr>
        <w:t>1  水库基本情况</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_Toc11427 </w:instrText>
      </w:r>
      <w:r>
        <w:rPr>
          <w:rFonts w:ascii="Times New Roman" w:eastAsia="楷体"/>
          <w:color w:val="auto"/>
          <w:highlight w:val="none"/>
        </w:rPr>
        <w:fldChar w:fldCharType="separate"/>
      </w:r>
      <w:r>
        <w:rPr>
          <w:rFonts w:ascii="Times New Roman" w:eastAsia="楷体"/>
          <w:color w:val="auto"/>
          <w:highlight w:val="none"/>
        </w:rPr>
        <w:t>- 230 -</w:t>
      </w:r>
      <w:r>
        <w:rPr>
          <w:rFonts w:ascii="Times New Roman" w:eastAsia="楷体"/>
          <w:color w:val="auto"/>
          <w:highlight w:val="none"/>
        </w:rPr>
        <w:fldChar w:fldCharType="end"/>
      </w:r>
      <w:r>
        <w:rPr>
          <w:rFonts w:ascii="Times New Roman" w:eastAsia="楷体"/>
          <w:color w:val="auto"/>
          <w:highlight w:val="none"/>
        </w:rPr>
        <w:fldChar w:fldCharType="end"/>
      </w:r>
    </w:p>
    <w:p w14:paraId="7B1AAFEC">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"_Toc18976" </w:instrText>
      </w:r>
      <w:r>
        <w:rPr>
          <w:color w:val="auto"/>
          <w:highlight w:val="none"/>
        </w:rPr>
        <w:fldChar w:fldCharType="separate"/>
      </w:r>
      <w:r>
        <w:rPr>
          <w:rFonts w:eastAsia="楷体"/>
          <w:color w:val="auto"/>
          <w:kern w:val="0"/>
          <w:sz w:val="28"/>
          <w:szCs w:val="28"/>
          <w:highlight w:val="none"/>
        </w:rPr>
        <w:t>1.1 工程概况</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_Toc18976 </w:instrText>
      </w:r>
      <w:r>
        <w:rPr>
          <w:rFonts w:eastAsia="楷体"/>
          <w:color w:val="auto"/>
          <w:sz w:val="28"/>
          <w:szCs w:val="28"/>
          <w:highlight w:val="none"/>
        </w:rPr>
        <w:fldChar w:fldCharType="separate"/>
      </w:r>
      <w:r>
        <w:rPr>
          <w:rFonts w:eastAsia="楷体"/>
          <w:color w:val="auto"/>
          <w:sz w:val="28"/>
          <w:szCs w:val="28"/>
          <w:highlight w:val="none"/>
        </w:rPr>
        <w:t>- 231 -</w:t>
      </w:r>
      <w:r>
        <w:rPr>
          <w:rFonts w:eastAsia="楷体"/>
          <w:color w:val="auto"/>
          <w:sz w:val="28"/>
          <w:szCs w:val="28"/>
          <w:highlight w:val="none"/>
        </w:rPr>
        <w:fldChar w:fldCharType="end"/>
      </w:r>
      <w:r>
        <w:rPr>
          <w:rFonts w:eastAsia="楷体"/>
          <w:color w:val="auto"/>
          <w:sz w:val="28"/>
          <w:szCs w:val="28"/>
          <w:highlight w:val="none"/>
        </w:rPr>
        <w:fldChar w:fldCharType="end"/>
      </w:r>
    </w:p>
    <w:p w14:paraId="28F11C3D">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"_Toc13357" </w:instrText>
      </w:r>
      <w:r>
        <w:rPr>
          <w:color w:val="auto"/>
          <w:highlight w:val="none"/>
        </w:rPr>
        <w:fldChar w:fldCharType="separate"/>
      </w:r>
      <w:r>
        <w:rPr>
          <w:rFonts w:eastAsia="楷体"/>
          <w:color w:val="auto"/>
          <w:kern w:val="0"/>
          <w:sz w:val="28"/>
          <w:szCs w:val="28"/>
          <w:highlight w:val="none"/>
        </w:rPr>
        <w:t>1.2 水文气象</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_Toc13357 </w:instrText>
      </w:r>
      <w:r>
        <w:rPr>
          <w:rFonts w:eastAsia="楷体"/>
          <w:color w:val="auto"/>
          <w:sz w:val="28"/>
          <w:szCs w:val="28"/>
          <w:highlight w:val="none"/>
        </w:rPr>
        <w:fldChar w:fldCharType="separate"/>
      </w:r>
      <w:r>
        <w:rPr>
          <w:rFonts w:eastAsia="楷体"/>
          <w:color w:val="auto"/>
          <w:sz w:val="28"/>
          <w:szCs w:val="28"/>
          <w:highlight w:val="none"/>
        </w:rPr>
        <w:t>- 232 -</w:t>
      </w:r>
      <w:r>
        <w:rPr>
          <w:rFonts w:eastAsia="楷体"/>
          <w:color w:val="auto"/>
          <w:sz w:val="28"/>
          <w:szCs w:val="28"/>
          <w:highlight w:val="none"/>
        </w:rPr>
        <w:fldChar w:fldCharType="end"/>
      </w:r>
      <w:r>
        <w:rPr>
          <w:rFonts w:eastAsia="楷体"/>
          <w:color w:val="auto"/>
          <w:sz w:val="28"/>
          <w:szCs w:val="28"/>
          <w:highlight w:val="none"/>
        </w:rPr>
        <w:fldChar w:fldCharType="end"/>
      </w:r>
    </w:p>
    <w:p w14:paraId="1E6A45F9">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"_Toc2603" </w:instrText>
      </w:r>
      <w:r>
        <w:rPr>
          <w:color w:val="auto"/>
          <w:highlight w:val="none"/>
        </w:rPr>
        <w:fldChar w:fldCharType="separate"/>
      </w:r>
      <w:r>
        <w:rPr>
          <w:rFonts w:eastAsia="楷体"/>
          <w:color w:val="auto"/>
          <w:kern w:val="0"/>
          <w:sz w:val="28"/>
          <w:szCs w:val="28"/>
          <w:highlight w:val="none"/>
        </w:rPr>
        <w:t>1.3 流域特性</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_Toc2603 </w:instrText>
      </w:r>
      <w:r>
        <w:rPr>
          <w:rFonts w:eastAsia="楷体"/>
          <w:color w:val="auto"/>
          <w:sz w:val="28"/>
          <w:szCs w:val="28"/>
          <w:highlight w:val="none"/>
        </w:rPr>
        <w:fldChar w:fldCharType="separate"/>
      </w:r>
      <w:r>
        <w:rPr>
          <w:rFonts w:eastAsia="楷体"/>
          <w:color w:val="auto"/>
          <w:sz w:val="28"/>
          <w:szCs w:val="28"/>
          <w:highlight w:val="none"/>
        </w:rPr>
        <w:t>- 232 -</w:t>
      </w:r>
      <w:r>
        <w:rPr>
          <w:rFonts w:eastAsia="楷体"/>
          <w:color w:val="auto"/>
          <w:sz w:val="28"/>
          <w:szCs w:val="28"/>
          <w:highlight w:val="none"/>
        </w:rPr>
        <w:fldChar w:fldCharType="end"/>
      </w:r>
      <w:r>
        <w:rPr>
          <w:rFonts w:eastAsia="楷体"/>
          <w:color w:val="auto"/>
          <w:sz w:val="28"/>
          <w:szCs w:val="28"/>
          <w:highlight w:val="none"/>
        </w:rPr>
        <w:fldChar w:fldCharType="end"/>
      </w:r>
    </w:p>
    <w:p w14:paraId="4B7D1822">
      <w:pPr>
        <w:pStyle w:val="13"/>
        <w:tabs>
          <w:tab w:val="right" w:leader="dot" w:pos="8306"/>
          <w:tab w:val="clear" w:pos="8296"/>
        </w:tabs>
        <w:spacing w:line="520" w:lineRule="exact"/>
        <w:rPr>
          <w:rFonts w:ascii="Times New Roman" w:eastAsia="楷体"/>
          <w:color w:val="auto"/>
          <w:highlight w:val="none"/>
        </w:rPr>
      </w:pPr>
      <w:r>
        <w:rPr>
          <w:color w:val="auto"/>
          <w:highlight w:val="none"/>
        </w:rPr>
        <w:fldChar w:fldCharType="begin"/>
      </w:r>
      <w:r>
        <w:rPr>
          <w:color w:val="auto"/>
          <w:highlight w:val="none"/>
        </w:rPr>
        <w:instrText xml:space="preserve"> HYPERLINK \l "_Toc30894" </w:instrText>
      </w:r>
      <w:r>
        <w:rPr>
          <w:color w:val="auto"/>
          <w:highlight w:val="none"/>
        </w:rPr>
        <w:fldChar w:fldCharType="separate"/>
      </w:r>
      <w:r>
        <w:rPr>
          <w:rFonts w:ascii="Times New Roman" w:eastAsia="楷体"/>
          <w:color w:val="auto"/>
          <w:kern w:val="0"/>
          <w:highlight w:val="none"/>
        </w:rPr>
        <w:t>2  水库大坝安全运行状况</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_Toc30894 </w:instrText>
      </w:r>
      <w:r>
        <w:rPr>
          <w:rFonts w:ascii="Times New Roman" w:eastAsia="楷体"/>
          <w:color w:val="auto"/>
          <w:highlight w:val="none"/>
        </w:rPr>
        <w:fldChar w:fldCharType="separate"/>
      </w:r>
      <w:r>
        <w:rPr>
          <w:rFonts w:ascii="Times New Roman" w:eastAsia="楷体"/>
          <w:color w:val="auto"/>
          <w:highlight w:val="none"/>
        </w:rPr>
        <w:t>- 234 -</w:t>
      </w:r>
      <w:r>
        <w:rPr>
          <w:rFonts w:ascii="Times New Roman" w:eastAsia="楷体"/>
          <w:color w:val="auto"/>
          <w:highlight w:val="none"/>
        </w:rPr>
        <w:fldChar w:fldCharType="end"/>
      </w:r>
      <w:r>
        <w:rPr>
          <w:rFonts w:ascii="Times New Roman" w:eastAsia="楷体"/>
          <w:color w:val="auto"/>
          <w:highlight w:val="none"/>
        </w:rPr>
        <w:fldChar w:fldCharType="end"/>
      </w:r>
    </w:p>
    <w:p w14:paraId="4792847B">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"_Toc5344" </w:instrText>
      </w:r>
      <w:r>
        <w:rPr>
          <w:color w:val="auto"/>
          <w:highlight w:val="none"/>
        </w:rPr>
        <w:fldChar w:fldCharType="separate"/>
      </w:r>
      <w:r>
        <w:rPr>
          <w:rFonts w:eastAsia="楷体"/>
          <w:color w:val="auto"/>
          <w:kern w:val="0"/>
          <w:sz w:val="28"/>
          <w:szCs w:val="28"/>
          <w:highlight w:val="none"/>
        </w:rPr>
        <w:t>2.1 工程运行管理</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_Toc5344 </w:instrText>
      </w:r>
      <w:r>
        <w:rPr>
          <w:rFonts w:eastAsia="楷体"/>
          <w:color w:val="auto"/>
          <w:sz w:val="28"/>
          <w:szCs w:val="28"/>
          <w:highlight w:val="none"/>
        </w:rPr>
        <w:fldChar w:fldCharType="separate"/>
      </w:r>
      <w:r>
        <w:rPr>
          <w:rFonts w:eastAsia="楷体"/>
          <w:color w:val="auto"/>
          <w:sz w:val="28"/>
          <w:szCs w:val="28"/>
          <w:highlight w:val="none"/>
        </w:rPr>
        <w:t>- 234 -</w:t>
      </w:r>
      <w:r>
        <w:rPr>
          <w:rFonts w:eastAsia="楷体"/>
          <w:color w:val="auto"/>
          <w:sz w:val="28"/>
          <w:szCs w:val="28"/>
          <w:highlight w:val="none"/>
        </w:rPr>
        <w:fldChar w:fldCharType="end"/>
      </w:r>
      <w:r>
        <w:rPr>
          <w:rFonts w:eastAsia="楷体"/>
          <w:color w:val="auto"/>
          <w:sz w:val="28"/>
          <w:szCs w:val="28"/>
          <w:highlight w:val="none"/>
        </w:rPr>
        <w:fldChar w:fldCharType="end"/>
      </w:r>
    </w:p>
    <w:p w14:paraId="70F19312">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"_Toc7561" </w:instrText>
      </w:r>
      <w:r>
        <w:rPr>
          <w:color w:val="auto"/>
          <w:highlight w:val="none"/>
        </w:rPr>
        <w:fldChar w:fldCharType="separate"/>
      </w:r>
      <w:r>
        <w:rPr>
          <w:rFonts w:eastAsia="楷体"/>
          <w:color w:val="auto"/>
          <w:kern w:val="0"/>
          <w:sz w:val="28"/>
          <w:szCs w:val="28"/>
          <w:highlight w:val="none"/>
        </w:rPr>
        <w:t>2.2 工程安全状况分析评价</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_Toc7561 </w:instrText>
      </w:r>
      <w:r>
        <w:rPr>
          <w:rFonts w:eastAsia="楷体"/>
          <w:color w:val="auto"/>
          <w:sz w:val="28"/>
          <w:szCs w:val="28"/>
          <w:highlight w:val="none"/>
        </w:rPr>
        <w:fldChar w:fldCharType="separate"/>
      </w:r>
      <w:r>
        <w:rPr>
          <w:rFonts w:eastAsia="楷体"/>
          <w:color w:val="auto"/>
          <w:sz w:val="28"/>
          <w:szCs w:val="28"/>
          <w:highlight w:val="none"/>
        </w:rPr>
        <w:t>- 235 -</w:t>
      </w:r>
      <w:r>
        <w:rPr>
          <w:rFonts w:eastAsia="楷体"/>
          <w:color w:val="auto"/>
          <w:sz w:val="28"/>
          <w:szCs w:val="28"/>
          <w:highlight w:val="none"/>
        </w:rPr>
        <w:fldChar w:fldCharType="end"/>
      </w:r>
      <w:r>
        <w:rPr>
          <w:rFonts w:eastAsia="楷体"/>
          <w:color w:val="auto"/>
          <w:sz w:val="28"/>
          <w:szCs w:val="28"/>
          <w:highlight w:val="none"/>
        </w:rPr>
        <w:fldChar w:fldCharType="end"/>
      </w:r>
    </w:p>
    <w:p w14:paraId="0E55C1E5">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"_Toc28284" </w:instrText>
      </w:r>
      <w:r>
        <w:rPr>
          <w:color w:val="auto"/>
          <w:highlight w:val="none"/>
        </w:rPr>
        <w:fldChar w:fldCharType="separate"/>
      </w:r>
      <w:r>
        <w:rPr>
          <w:rFonts w:eastAsia="楷体"/>
          <w:color w:val="auto"/>
          <w:kern w:val="0"/>
          <w:sz w:val="28"/>
          <w:szCs w:val="28"/>
          <w:highlight w:val="none"/>
        </w:rPr>
        <w:t>2.3</w:t>
      </w:r>
      <w:r>
        <w:rPr>
          <w:rFonts w:eastAsia="楷体"/>
          <w:color w:val="auto"/>
          <w:sz w:val="28"/>
          <w:szCs w:val="28"/>
          <w:highlight w:val="none"/>
        </w:rPr>
        <w:t>水情工情测报系统及观测资料整理</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_Toc28284 </w:instrText>
      </w:r>
      <w:r>
        <w:rPr>
          <w:rFonts w:eastAsia="楷体"/>
          <w:color w:val="auto"/>
          <w:sz w:val="28"/>
          <w:szCs w:val="28"/>
          <w:highlight w:val="none"/>
        </w:rPr>
        <w:fldChar w:fldCharType="separate"/>
      </w:r>
      <w:r>
        <w:rPr>
          <w:rFonts w:eastAsia="楷体"/>
          <w:color w:val="auto"/>
          <w:sz w:val="28"/>
          <w:szCs w:val="28"/>
          <w:highlight w:val="none"/>
        </w:rPr>
        <w:t>- 238 -</w:t>
      </w:r>
      <w:r>
        <w:rPr>
          <w:rFonts w:eastAsia="楷体"/>
          <w:color w:val="auto"/>
          <w:sz w:val="28"/>
          <w:szCs w:val="28"/>
          <w:highlight w:val="none"/>
        </w:rPr>
        <w:fldChar w:fldCharType="end"/>
      </w:r>
      <w:r>
        <w:rPr>
          <w:rFonts w:eastAsia="楷体"/>
          <w:color w:val="auto"/>
          <w:sz w:val="28"/>
          <w:szCs w:val="28"/>
          <w:highlight w:val="none"/>
        </w:rPr>
        <w:fldChar w:fldCharType="end"/>
      </w:r>
    </w:p>
    <w:p w14:paraId="12256A4A">
      <w:pPr>
        <w:pStyle w:val="13"/>
        <w:tabs>
          <w:tab w:val="right" w:leader="dot" w:pos="8306"/>
          <w:tab w:val="clear" w:pos="8296"/>
        </w:tabs>
        <w:spacing w:line="520" w:lineRule="exact"/>
        <w:rPr>
          <w:rFonts w:ascii="Times New Roman" w:eastAsia="楷体"/>
          <w:color w:val="auto"/>
          <w:highlight w:val="none"/>
        </w:rPr>
      </w:pPr>
      <w:r>
        <w:rPr>
          <w:color w:val="auto"/>
          <w:highlight w:val="none"/>
        </w:rPr>
        <w:fldChar w:fldCharType="begin"/>
      </w:r>
      <w:r>
        <w:rPr>
          <w:color w:val="auto"/>
          <w:highlight w:val="none"/>
        </w:rPr>
        <w:instrText xml:space="preserve"> HYPERLINK \l "_Toc29389" </w:instrText>
      </w:r>
      <w:r>
        <w:rPr>
          <w:color w:val="auto"/>
          <w:highlight w:val="none"/>
        </w:rPr>
        <w:fldChar w:fldCharType="separate"/>
      </w:r>
      <w:r>
        <w:rPr>
          <w:rFonts w:ascii="Times New Roman" w:eastAsia="楷体"/>
          <w:color w:val="auto"/>
          <w:kern w:val="0"/>
          <w:highlight w:val="none"/>
        </w:rPr>
        <w:t>3  水库大坝防洪情况</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_Toc29389 </w:instrText>
      </w:r>
      <w:r>
        <w:rPr>
          <w:rFonts w:ascii="Times New Roman" w:eastAsia="楷体"/>
          <w:color w:val="auto"/>
          <w:highlight w:val="none"/>
        </w:rPr>
        <w:fldChar w:fldCharType="separate"/>
      </w:r>
      <w:r>
        <w:rPr>
          <w:rFonts w:ascii="Times New Roman" w:eastAsia="楷体"/>
          <w:color w:val="auto"/>
          <w:highlight w:val="none"/>
        </w:rPr>
        <w:t>- 239 -</w:t>
      </w:r>
      <w:r>
        <w:rPr>
          <w:rFonts w:ascii="Times New Roman" w:eastAsia="楷体"/>
          <w:color w:val="auto"/>
          <w:highlight w:val="none"/>
        </w:rPr>
        <w:fldChar w:fldCharType="end"/>
      </w:r>
      <w:r>
        <w:rPr>
          <w:rFonts w:ascii="Times New Roman" w:eastAsia="楷体"/>
          <w:color w:val="auto"/>
          <w:highlight w:val="none"/>
        </w:rPr>
        <w:fldChar w:fldCharType="end"/>
      </w:r>
    </w:p>
    <w:p w14:paraId="5E36822F">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"_Toc6287" </w:instrText>
      </w:r>
      <w:r>
        <w:rPr>
          <w:color w:val="auto"/>
          <w:highlight w:val="none"/>
        </w:rPr>
        <w:fldChar w:fldCharType="separate"/>
      </w:r>
      <w:r>
        <w:rPr>
          <w:rFonts w:eastAsia="楷体"/>
          <w:color w:val="auto"/>
          <w:kern w:val="0"/>
          <w:sz w:val="28"/>
          <w:szCs w:val="28"/>
          <w:highlight w:val="none"/>
        </w:rPr>
        <w:t>3.1 水库防洪标准</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_Toc6287 </w:instrText>
      </w:r>
      <w:r>
        <w:rPr>
          <w:rFonts w:eastAsia="楷体"/>
          <w:color w:val="auto"/>
          <w:sz w:val="28"/>
          <w:szCs w:val="28"/>
          <w:highlight w:val="none"/>
        </w:rPr>
        <w:fldChar w:fldCharType="separate"/>
      </w:r>
      <w:r>
        <w:rPr>
          <w:rFonts w:eastAsia="楷体"/>
          <w:color w:val="auto"/>
          <w:sz w:val="28"/>
          <w:szCs w:val="28"/>
          <w:highlight w:val="none"/>
        </w:rPr>
        <w:t>- 239 -</w:t>
      </w:r>
      <w:r>
        <w:rPr>
          <w:rFonts w:eastAsia="楷体"/>
          <w:color w:val="auto"/>
          <w:sz w:val="28"/>
          <w:szCs w:val="28"/>
          <w:highlight w:val="none"/>
        </w:rPr>
        <w:fldChar w:fldCharType="end"/>
      </w:r>
      <w:r>
        <w:rPr>
          <w:rFonts w:eastAsia="楷体"/>
          <w:color w:val="auto"/>
          <w:sz w:val="28"/>
          <w:szCs w:val="28"/>
          <w:highlight w:val="none"/>
        </w:rPr>
        <w:fldChar w:fldCharType="end"/>
      </w:r>
    </w:p>
    <w:p w14:paraId="552254E4">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"_Toc1684" </w:instrText>
      </w:r>
      <w:r>
        <w:rPr>
          <w:color w:val="auto"/>
          <w:highlight w:val="none"/>
        </w:rPr>
        <w:fldChar w:fldCharType="separate"/>
      </w:r>
      <w:r>
        <w:rPr>
          <w:rFonts w:eastAsia="楷体"/>
          <w:color w:val="auto"/>
          <w:kern w:val="0"/>
          <w:sz w:val="28"/>
          <w:szCs w:val="28"/>
          <w:highlight w:val="none"/>
        </w:rPr>
        <w:t>3.2 水库特征曲线</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_Toc1684 </w:instrText>
      </w:r>
      <w:r>
        <w:rPr>
          <w:rFonts w:eastAsia="楷体"/>
          <w:color w:val="auto"/>
          <w:sz w:val="28"/>
          <w:szCs w:val="28"/>
          <w:highlight w:val="none"/>
        </w:rPr>
        <w:fldChar w:fldCharType="separate"/>
      </w:r>
      <w:r>
        <w:rPr>
          <w:rFonts w:eastAsia="楷体"/>
          <w:color w:val="auto"/>
          <w:sz w:val="28"/>
          <w:szCs w:val="28"/>
          <w:highlight w:val="none"/>
        </w:rPr>
        <w:t>- 239 -</w:t>
      </w:r>
      <w:r>
        <w:rPr>
          <w:rFonts w:eastAsia="楷体"/>
          <w:color w:val="auto"/>
          <w:sz w:val="28"/>
          <w:szCs w:val="28"/>
          <w:highlight w:val="none"/>
        </w:rPr>
        <w:fldChar w:fldCharType="end"/>
      </w:r>
      <w:r>
        <w:rPr>
          <w:rFonts w:eastAsia="楷体"/>
          <w:color w:val="auto"/>
          <w:sz w:val="28"/>
          <w:szCs w:val="28"/>
          <w:highlight w:val="none"/>
        </w:rPr>
        <w:fldChar w:fldCharType="end"/>
      </w:r>
    </w:p>
    <w:p w14:paraId="1CA806E3">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"_Toc30807" </w:instrText>
      </w:r>
      <w:r>
        <w:rPr>
          <w:color w:val="auto"/>
          <w:highlight w:val="none"/>
        </w:rPr>
        <w:fldChar w:fldCharType="separate"/>
      </w:r>
      <w:r>
        <w:rPr>
          <w:rFonts w:eastAsia="楷体"/>
          <w:color w:val="auto"/>
          <w:kern w:val="0"/>
          <w:sz w:val="28"/>
          <w:szCs w:val="28"/>
          <w:highlight w:val="none"/>
        </w:rPr>
        <w:t>3.3 水库上、下游情况</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_Toc30807 </w:instrText>
      </w:r>
      <w:r>
        <w:rPr>
          <w:rFonts w:eastAsia="楷体"/>
          <w:color w:val="auto"/>
          <w:sz w:val="28"/>
          <w:szCs w:val="28"/>
          <w:highlight w:val="none"/>
        </w:rPr>
        <w:fldChar w:fldCharType="separate"/>
      </w:r>
      <w:r>
        <w:rPr>
          <w:rFonts w:eastAsia="楷体"/>
          <w:color w:val="auto"/>
          <w:sz w:val="28"/>
          <w:szCs w:val="28"/>
          <w:highlight w:val="none"/>
        </w:rPr>
        <w:t>- 241 -</w:t>
      </w:r>
      <w:r>
        <w:rPr>
          <w:rFonts w:eastAsia="楷体"/>
          <w:color w:val="auto"/>
          <w:sz w:val="28"/>
          <w:szCs w:val="28"/>
          <w:highlight w:val="none"/>
        </w:rPr>
        <w:fldChar w:fldCharType="end"/>
      </w:r>
      <w:r>
        <w:rPr>
          <w:rFonts w:eastAsia="楷体"/>
          <w:color w:val="auto"/>
          <w:sz w:val="28"/>
          <w:szCs w:val="28"/>
          <w:highlight w:val="none"/>
        </w:rPr>
        <w:fldChar w:fldCharType="end"/>
      </w:r>
    </w:p>
    <w:p w14:paraId="2708116E">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"_Toc8846" </w:instrText>
      </w:r>
      <w:r>
        <w:rPr>
          <w:color w:val="auto"/>
          <w:highlight w:val="none"/>
        </w:rPr>
        <w:fldChar w:fldCharType="separate"/>
      </w:r>
      <w:r>
        <w:rPr>
          <w:rFonts w:eastAsia="楷体"/>
          <w:color w:val="auto"/>
          <w:kern w:val="0"/>
          <w:sz w:val="28"/>
          <w:szCs w:val="28"/>
          <w:highlight w:val="none"/>
        </w:rPr>
        <w:t>3.4 上年度控制运用情况</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_Toc8846 </w:instrText>
      </w:r>
      <w:r>
        <w:rPr>
          <w:rFonts w:eastAsia="楷体"/>
          <w:color w:val="auto"/>
          <w:sz w:val="28"/>
          <w:szCs w:val="28"/>
          <w:highlight w:val="none"/>
        </w:rPr>
        <w:fldChar w:fldCharType="separate"/>
      </w:r>
      <w:r>
        <w:rPr>
          <w:rFonts w:eastAsia="楷体"/>
          <w:color w:val="auto"/>
          <w:sz w:val="28"/>
          <w:szCs w:val="28"/>
          <w:highlight w:val="none"/>
        </w:rPr>
        <w:t>- 241 -</w:t>
      </w:r>
      <w:r>
        <w:rPr>
          <w:rFonts w:eastAsia="楷体"/>
          <w:color w:val="auto"/>
          <w:sz w:val="28"/>
          <w:szCs w:val="28"/>
          <w:highlight w:val="none"/>
        </w:rPr>
        <w:fldChar w:fldCharType="end"/>
      </w:r>
      <w:r>
        <w:rPr>
          <w:rFonts w:eastAsia="楷体"/>
          <w:color w:val="auto"/>
          <w:sz w:val="28"/>
          <w:szCs w:val="28"/>
          <w:highlight w:val="none"/>
        </w:rPr>
        <w:fldChar w:fldCharType="end"/>
      </w:r>
    </w:p>
    <w:p w14:paraId="26DD1C38">
      <w:pPr>
        <w:pStyle w:val="13"/>
        <w:tabs>
          <w:tab w:val="right" w:leader="dot" w:pos="8306"/>
          <w:tab w:val="clear" w:pos="8296"/>
        </w:tabs>
        <w:spacing w:line="520" w:lineRule="exact"/>
        <w:rPr>
          <w:rFonts w:ascii="Times New Roman" w:eastAsia="楷体"/>
          <w:color w:val="auto"/>
          <w:highlight w:val="none"/>
        </w:rPr>
      </w:pPr>
      <w:r>
        <w:rPr>
          <w:color w:val="auto"/>
          <w:highlight w:val="none"/>
        </w:rPr>
        <w:fldChar w:fldCharType="begin"/>
      </w:r>
      <w:r>
        <w:rPr>
          <w:color w:val="auto"/>
          <w:highlight w:val="none"/>
        </w:rPr>
        <w:instrText xml:space="preserve"> HYPERLINK \l "_Toc19608" </w:instrText>
      </w:r>
      <w:r>
        <w:rPr>
          <w:color w:val="auto"/>
          <w:highlight w:val="none"/>
        </w:rPr>
        <w:fldChar w:fldCharType="separate"/>
      </w:r>
      <w:r>
        <w:rPr>
          <w:rFonts w:ascii="Times New Roman" w:eastAsia="楷体"/>
          <w:color w:val="auto"/>
          <w:kern w:val="0"/>
          <w:highlight w:val="none"/>
        </w:rPr>
        <w:t>4  洪水调度原则</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_Toc19608 </w:instrText>
      </w:r>
      <w:r>
        <w:rPr>
          <w:rFonts w:ascii="Times New Roman" w:eastAsia="楷体"/>
          <w:color w:val="auto"/>
          <w:highlight w:val="none"/>
        </w:rPr>
        <w:fldChar w:fldCharType="separate"/>
      </w:r>
      <w:r>
        <w:rPr>
          <w:rFonts w:ascii="Times New Roman" w:eastAsia="楷体"/>
          <w:color w:val="auto"/>
          <w:highlight w:val="none"/>
        </w:rPr>
        <w:t>- 242 -</w:t>
      </w:r>
      <w:r>
        <w:rPr>
          <w:rFonts w:ascii="Times New Roman" w:eastAsia="楷体"/>
          <w:color w:val="auto"/>
          <w:highlight w:val="none"/>
        </w:rPr>
        <w:fldChar w:fldCharType="end"/>
      </w:r>
      <w:r>
        <w:rPr>
          <w:rFonts w:ascii="Times New Roman" w:eastAsia="楷体"/>
          <w:color w:val="auto"/>
          <w:highlight w:val="none"/>
        </w:rPr>
        <w:fldChar w:fldCharType="end"/>
      </w:r>
    </w:p>
    <w:p w14:paraId="098B3C7F">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"_Toc7899" </w:instrText>
      </w:r>
      <w:r>
        <w:rPr>
          <w:color w:val="auto"/>
          <w:highlight w:val="none"/>
        </w:rPr>
        <w:fldChar w:fldCharType="separate"/>
      </w:r>
      <w:r>
        <w:rPr>
          <w:rFonts w:eastAsia="楷体"/>
          <w:color w:val="auto"/>
          <w:kern w:val="0"/>
          <w:sz w:val="28"/>
          <w:szCs w:val="28"/>
          <w:highlight w:val="none"/>
        </w:rPr>
        <w:t>4.1 汛期划分</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_Toc7899 </w:instrText>
      </w:r>
      <w:r>
        <w:rPr>
          <w:rFonts w:eastAsia="楷体"/>
          <w:color w:val="auto"/>
          <w:sz w:val="28"/>
          <w:szCs w:val="28"/>
          <w:highlight w:val="none"/>
        </w:rPr>
        <w:fldChar w:fldCharType="separate"/>
      </w:r>
      <w:r>
        <w:rPr>
          <w:rFonts w:eastAsia="楷体"/>
          <w:color w:val="auto"/>
          <w:sz w:val="28"/>
          <w:szCs w:val="28"/>
          <w:highlight w:val="none"/>
        </w:rPr>
        <w:t>- 242 -</w:t>
      </w:r>
      <w:r>
        <w:rPr>
          <w:rFonts w:eastAsia="楷体"/>
          <w:color w:val="auto"/>
          <w:sz w:val="28"/>
          <w:szCs w:val="28"/>
          <w:highlight w:val="none"/>
        </w:rPr>
        <w:fldChar w:fldCharType="end"/>
      </w:r>
      <w:r>
        <w:rPr>
          <w:rFonts w:eastAsia="楷体"/>
          <w:color w:val="auto"/>
          <w:sz w:val="28"/>
          <w:szCs w:val="28"/>
          <w:highlight w:val="none"/>
        </w:rPr>
        <w:fldChar w:fldCharType="end"/>
      </w:r>
    </w:p>
    <w:p w14:paraId="4A86ED5B">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"_Toc6049" </w:instrText>
      </w:r>
      <w:r>
        <w:rPr>
          <w:color w:val="auto"/>
          <w:highlight w:val="none"/>
        </w:rPr>
        <w:fldChar w:fldCharType="separate"/>
      </w:r>
      <w:r>
        <w:rPr>
          <w:rFonts w:eastAsia="楷体"/>
          <w:color w:val="auto"/>
          <w:kern w:val="0"/>
          <w:sz w:val="28"/>
          <w:szCs w:val="28"/>
          <w:highlight w:val="none"/>
        </w:rPr>
        <w:t>4.2 洪水调度原则</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_Toc6049 </w:instrText>
      </w:r>
      <w:r>
        <w:rPr>
          <w:rFonts w:eastAsia="楷体"/>
          <w:color w:val="auto"/>
          <w:sz w:val="28"/>
          <w:szCs w:val="28"/>
          <w:highlight w:val="none"/>
        </w:rPr>
        <w:fldChar w:fldCharType="separate"/>
      </w:r>
      <w:r>
        <w:rPr>
          <w:rFonts w:eastAsia="楷体"/>
          <w:color w:val="auto"/>
          <w:sz w:val="28"/>
          <w:szCs w:val="28"/>
          <w:highlight w:val="none"/>
        </w:rPr>
        <w:t>- 242 -</w:t>
      </w:r>
      <w:r>
        <w:rPr>
          <w:rFonts w:eastAsia="楷体"/>
          <w:color w:val="auto"/>
          <w:sz w:val="28"/>
          <w:szCs w:val="28"/>
          <w:highlight w:val="none"/>
        </w:rPr>
        <w:fldChar w:fldCharType="end"/>
      </w:r>
      <w:r>
        <w:rPr>
          <w:rFonts w:eastAsia="楷体"/>
          <w:color w:val="auto"/>
          <w:sz w:val="28"/>
          <w:szCs w:val="28"/>
          <w:highlight w:val="none"/>
        </w:rPr>
        <w:fldChar w:fldCharType="end"/>
      </w:r>
    </w:p>
    <w:p w14:paraId="348D2C9F">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"_Toc31889" </w:instrText>
      </w:r>
      <w:r>
        <w:rPr>
          <w:color w:val="auto"/>
          <w:highlight w:val="none"/>
        </w:rPr>
        <w:fldChar w:fldCharType="separate"/>
      </w:r>
      <w:r>
        <w:rPr>
          <w:rFonts w:eastAsia="楷体"/>
          <w:color w:val="auto"/>
          <w:kern w:val="0"/>
          <w:sz w:val="28"/>
          <w:szCs w:val="28"/>
          <w:highlight w:val="none"/>
        </w:rPr>
        <w:t>4.3 汛限水位确定</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_Toc31889 </w:instrText>
      </w:r>
      <w:r>
        <w:rPr>
          <w:rFonts w:eastAsia="楷体"/>
          <w:color w:val="auto"/>
          <w:sz w:val="28"/>
          <w:szCs w:val="28"/>
          <w:highlight w:val="none"/>
        </w:rPr>
        <w:fldChar w:fldCharType="separate"/>
      </w:r>
      <w:r>
        <w:rPr>
          <w:rFonts w:eastAsia="楷体"/>
          <w:color w:val="auto"/>
          <w:sz w:val="28"/>
          <w:szCs w:val="28"/>
          <w:highlight w:val="none"/>
        </w:rPr>
        <w:t>- 243 -</w:t>
      </w:r>
      <w:r>
        <w:rPr>
          <w:rFonts w:eastAsia="楷体"/>
          <w:color w:val="auto"/>
          <w:sz w:val="28"/>
          <w:szCs w:val="28"/>
          <w:highlight w:val="none"/>
        </w:rPr>
        <w:fldChar w:fldCharType="end"/>
      </w:r>
      <w:r>
        <w:rPr>
          <w:rFonts w:eastAsia="楷体"/>
          <w:color w:val="auto"/>
          <w:sz w:val="28"/>
          <w:szCs w:val="28"/>
          <w:highlight w:val="none"/>
        </w:rPr>
        <w:fldChar w:fldCharType="end"/>
      </w:r>
    </w:p>
    <w:p w14:paraId="05415341">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"_Toc17957" </w:instrText>
      </w:r>
      <w:r>
        <w:rPr>
          <w:color w:val="auto"/>
          <w:highlight w:val="none"/>
        </w:rPr>
        <w:fldChar w:fldCharType="separate"/>
      </w:r>
      <w:r>
        <w:rPr>
          <w:rFonts w:eastAsia="楷体"/>
          <w:color w:val="auto"/>
          <w:kern w:val="0"/>
          <w:sz w:val="28"/>
          <w:szCs w:val="28"/>
          <w:highlight w:val="none"/>
        </w:rPr>
        <w:t>4.4 汛期防洪调度方式</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_Toc17957 </w:instrText>
      </w:r>
      <w:r>
        <w:rPr>
          <w:rFonts w:eastAsia="楷体"/>
          <w:color w:val="auto"/>
          <w:sz w:val="28"/>
          <w:szCs w:val="28"/>
          <w:highlight w:val="none"/>
        </w:rPr>
        <w:fldChar w:fldCharType="separate"/>
      </w:r>
      <w:r>
        <w:rPr>
          <w:rFonts w:eastAsia="楷体"/>
          <w:color w:val="auto"/>
          <w:sz w:val="28"/>
          <w:szCs w:val="28"/>
          <w:highlight w:val="none"/>
        </w:rPr>
        <w:t>- 243 -</w:t>
      </w:r>
      <w:r>
        <w:rPr>
          <w:rFonts w:eastAsia="楷体"/>
          <w:color w:val="auto"/>
          <w:sz w:val="28"/>
          <w:szCs w:val="28"/>
          <w:highlight w:val="none"/>
        </w:rPr>
        <w:fldChar w:fldCharType="end"/>
      </w:r>
      <w:r>
        <w:rPr>
          <w:rFonts w:eastAsia="楷体"/>
          <w:color w:val="auto"/>
          <w:sz w:val="28"/>
          <w:szCs w:val="28"/>
          <w:highlight w:val="none"/>
        </w:rPr>
        <w:fldChar w:fldCharType="end"/>
      </w:r>
    </w:p>
    <w:p w14:paraId="18E278DB">
      <w:pPr>
        <w:pStyle w:val="14"/>
        <w:tabs>
          <w:tab w:val="right" w:leader="dot" w:pos="8306"/>
        </w:tabs>
        <w:spacing w:line="520" w:lineRule="exact"/>
        <w:rPr>
          <w:rFonts w:eastAsia="楷体"/>
          <w:color w:val="auto"/>
          <w:sz w:val="28"/>
          <w:szCs w:val="28"/>
          <w:highlight w:val="none"/>
        </w:rPr>
      </w:pPr>
      <w:r>
        <w:rPr>
          <w:color w:val="auto"/>
          <w:highlight w:val="none"/>
        </w:rPr>
        <w:fldChar w:fldCharType="begin"/>
      </w:r>
      <w:r>
        <w:rPr>
          <w:color w:val="auto"/>
          <w:highlight w:val="none"/>
        </w:rPr>
        <w:instrText xml:space="preserve"> HYPERLINK \l "_Toc3500" </w:instrText>
      </w:r>
      <w:r>
        <w:rPr>
          <w:color w:val="auto"/>
          <w:highlight w:val="none"/>
        </w:rPr>
        <w:fldChar w:fldCharType="separate"/>
      </w:r>
      <w:r>
        <w:rPr>
          <w:rFonts w:eastAsia="楷体"/>
          <w:color w:val="auto"/>
          <w:sz w:val="28"/>
          <w:szCs w:val="28"/>
          <w:highlight w:val="none"/>
        </w:rPr>
        <w:t>4.5汛期水库的管理工作</w:t>
      </w:r>
      <w:r>
        <w:rPr>
          <w:rFonts w:eastAsia="楷体"/>
          <w:color w:val="auto"/>
          <w:sz w:val="28"/>
          <w:szCs w:val="28"/>
          <w:highlight w:val="none"/>
        </w:rPr>
        <w:tab/>
      </w:r>
      <w:r>
        <w:rPr>
          <w:rFonts w:eastAsia="楷体"/>
          <w:color w:val="auto"/>
          <w:sz w:val="28"/>
          <w:szCs w:val="28"/>
          <w:highlight w:val="none"/>
        </w:rPr>
        <w:fldChar w:fldCharType="begin"/>
      </w:r>
      <w:r>
        <w:rPr>
          <w:rFonts w:eastAsia="楷体"/>
          <w:color w:val="auto"/>
          <w:sz w:val="28"/>
          <w:szCs w:val="28"/>
          <w:highlight w:val="none"/>
        </w:rPr>
        <w:instrText xml:space="preserve"> PAGEREF _Toc3500 </w:instrText>
      </w:r>
      <w:r>
        <w:rPr>
          <w:rFonts w:eastAsia="楷体"/>
          <w:color w:val="auto"/>
          <w:sz w:val="28"/>
          <w:szCs w:val="28"/>
          <w:highlight w:val="none"/>
        </w:rPr>
        <w:fldChar w:fldCharType="separate"/>
      </w:r>
      <w:r>
        <w:rPr>
          <w:rFonts w:eastAsia="楷体"/>
          <w:color w:val="auto"/>
          <w:sz w:val="28"/>
          <w:szCs w:val="28"/>
          <w:highlight w:val="none"/>
        </w:rPr>
        <w:t>- 247 -</w:t>
      </w:r>
      <w:r>
        <w:rPr>
          <w:rFonts w:eastAsia="楷体"/>
          <w:color w:val="auto"/>
          <w:sz w:val="28"/>
          <w:szCs w:val="28"/>
          <w:highlight w:val="none"/>
        </w:rPr>
        <w:fldChar w:fldCharType="end"/>
      </w:r>
      <w:r>
        <w:rPr>
          <w:rFonts w:eastAsia="楷体"/>
          <w:color w:val="auto"/>
          <w:sz w:val="28"/>
          <w:szCs w:val="28"/>
          <w:highlight w:val="none"/>
        </w:rPr>
        <w:fldChar w:fldCharType="end"/>
      </w:r>
    </w:p>
    <w:p w14:paraId="1441F88A">
      <w:pPr>
        <w:spacing w:line="520" w:lineRule="exact"/>
        <w:ind w:firstLine="137" w:firstLineChars="49"/>
        <w:rPr>
          <w:rFonts w:eastAsia="楷体"/>
          <w:b/>
          <w:color w:val="auto"/>
          <w:kern w:val="0"/>
          <w:sz w:val="28"/>
          <w:szCs w:val="28"/>
          <w:highlight w:val="none"/>
        </w:rPr>
        <w:sectPr>
          <w:pgSz w:w="11906" w:h="16838"/>
          <w:pgMar w:top="1440" w:right="1800" w:bottom="1440" w:left="1800" w:header="851" w:footer="992" w:gutter="0"/>
          <w:pgNumType w:fmt="numberInDash"/>
          <w:cols w:space="720" w:num="1"/>
          <w:docGrid w:type="lines" w:linePitch="312" w:charSpace="0"/>
        </w:sectPr>
      </w:pPr>
      <w:r>
        <w:rPr>
          <w:rFonts w:eastAsia="楷体"/>
          <w:bCs/>
          <w:color w:val="auto"/>
          <w:kern w:val="0"/>
          <w:sz w:val="28"/>
          <w:szCs w:val="28"/>
          <w:highlight w:val="none"/>
        </w:rPr>
        <w:fldChar w:fldCharType="end"/>
      </w:r>
    </w:p>
    <w:p w14:paraId="304CCD97">
      <w:pPr>
        <w:spacing w:line="520" w:lineRule="exact"/>
        <w:jc w:val="center"/>
        <w:rPr>
          <w:rFonts w:eastAsia="楷体"/>
          <w:b/>
          <w:color w:val="auto"/>
          <w:sz w:val="28"/>
          <w:szCs w:val="28"/>
          <w:highlight w:val="none"/>
        </w:rPr>
      </w:pPr>
      <w:r>
        <w:rPr>
          <w:rFonts w:eastAsia="楷体"/>
          <w:b/>
          <w:color w:val="auto"/>
          <w:sz w:val="28"/>
          <w:szCs w:val="28"/>
          <w:highlight w:val="none"/>
        </w:rPr>
        <w:t>四清水库工程特性表</w:t>
      </w:r>
    </w:p>
    <w:tbl>
      <w:tblPr>
        <w:tblStyle w:val="17"/>
        <w:tblW w:w="8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63"/>
        <w:gridCol w:w="344"/>
        <w:gridCol w:w="974"/>
        <w:gridCol w:w="1549"/>
        <w:gridCol w:w="809"/>
        <w:gridCol w:w="1772"/>
        <w:gridCol w:w="578"/>
        <w:gridCol w:w="409"/>
        <w:gridCol w:w="1320"/>
      </w:tblGrid>
      <w:tr w14:paraId="48D01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12" w:space="0"/>
              <w:left w:val="single" w:color="000000" w:sz="12" w:space="0"/>
              <w:bottom w:val="single" w:color="000000" w:sz="4" w:space="0"/>
              <w:right w:val="single" w:color="000000" w:sz="4" w:space="0"/>
            </w:tcBorders>
            <w:vAlign w:val="center"/>
          </w:tcPr>
          <w:p w14:paraId="07656F1D">
            <w:pPr>
              <w:widowControl/>
              <w:jc w:val="center"/>
              <w:textAlignment w:val="center"/>
              <w:rPr>
                <w:rFonts w:eastAsia="楷体"/>
                <w:color w:val="auto"/>
                <w:sz w:val="18"/>
                <w:szCs w:val="18"/>
                <w:highlight w:val="none"/>
              </w:rPr>
            </w:pPr>
            <w:bookmarkStart w:id="0" w:name="_Toc11427"/>
            <w:r>
              <w:rPr>
                <w:rFonts w:eastAsia="楷体"/>
                <w:color w:val="auto"/>
                <w:kern w:val="0"/>
                <w:sz w:val="18"/>
                <w:szCs w:val="18"/>
                <w:highlight w:val="none"/>
              </w:rPr>
              <w:t>水库名称</w:t>
            </w:r>
          </w:p>
        </w:tc>
        <w:tc>
          <w:tcPr>
            <w:tcW w:w="1549" w:type="dxa"/>
            <w:tcBorders>
              <w:top w:val="single" w:color="000000" w:sz="12" w:space="0"/>
              <w:left w:val="single" w:color="000000" w:sz="4" w:space="0"/>
              <w:bottom w:val="single" w:color="000000" w:sz="4" w:space="0"/>
              <w:right w:val="single" w:color="000000" w:sz="4" w:space="0"/>
            </w:tcBorders>
            <w:vAlign w:val="center"/>
          </w:tcPr>
          <w:p w14:paraId="16C751B2">
            <w:pPr>
              <w:widowControl/>
              <w:jc w:val="center"/>
              <w:textAlignment w:val="center"/>
              <w:rPr>
                <w:rFonts w:eastAsia="楷体"/>
                <w:color w:val="auto"/>
                <w:sz w:val="18"/>
                <w:szCs w:val="18"/>
                <w:highlight w:val="none"/>
              </w:rPr>
            </w:pPr>
            <w:r>
              <w:rPr>
                <w:rFonts w:eastAsia="楷体"/>
                <w:color w:val="auto"/>
                <w:kern w:val="0"/>
                <w:sz w:val="18"/>
                <w:szCs w:val="18"/>
                <w:highlight w:val="none"/>
              </w:rPr>
              <w:t>四清水库</w:t>
            </w:r>
          </w:p>
        </w:tc>
        <w:tc>
          <w:tcPr>
            <w:tcW w:w="3159" w:type="dxa"/>
            <w:gridSpan w:val="3"/>
            <w:tcBorders>
              <w:top w:val="single" w:color="000000" w:sz="12" w:space="0"/>
              <w:left w:val="single" w:color="000000" w:sz="4" w:space="0"/>
              <w:bottom w:val="single" w:color="000000" w:sz="4" w:space="0"/>
              <w:right w:val="single" w:color="000000" w:sz="4" w:space="0"/>
            </w:tcBorders>
            <w:vAlign w:val="center"/>
          </w:tcPr>
          <w:p w14:paraId="390ECDF8">
            <w:pPr>
              <w:widowControl/>
              <w:jc w:val="center"/>
              <w:textAlignment w:val="center"/>
              <w:rPr>
                <w:rFonts w:eastAsia="楷体"/>
                <w:color w:val="auto"/>
                <w:sz w:val="18"/>
                <w:szCs w:val="18"/>
                <w:highlight w:val="none"/>
              </w:rPr>
            </w:pPr>
            <w:r>
              <w:rPr>
                <w:rFonts w:eastAsia="楷体"/>
                <w:color w:val="auto"/>
                <w:kern w:val="0"/>
                <w:sz w:val="18"/>
                <w:szCs w:val="18"/>
                <w:highlight w:val="none"/>
              </w:rPr>
              <w:t>主管部门</w:t>
            </w:r>
          </w:p>
        </w:tc>
        <w:tc>
          <w:tcPr>
            <w:tcW w:w="1729" w:type="dxa"/>
            <w:gridSpan w:val="2"/>
            <w:tcBorders>
              <w:top w:val="single" w:color="000000" w:sz="12" w:space="0"/>
              <w:left w:val="single" w:color="000000" w:sz="4" w:space="0"/>
              <w:bottom w:val="single" w:color="000000" w:sz="4" w:space="0"/>
              <w:right w:val="single" w:color="000000" w:sz="12" w:space="0"/>
            </w:tcBorders>
            <w:vAlign w:val="center"/>
          </w:tcPr>
          <w:p w14:paraId="646BBCB0">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泉港</w:t>
            </w:r>
            <w:r>
              <w:rPr>
                <w:rFonts w:eastAsia="楷体"/>
                <w:color w:val="auto"/>
                <w:kern w:val="0"/>
                <w:sz w:val="18"/>
                <w:szCs w:val="18"/>
                <w:highlight w:val="none"/>
              </w:rPr>
              <w:t>区农水局</w:t>
            </w:r>
          </w:p>
        </w:tc>
      </w:tr>
      <w:tr w14:paraId="2D63B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4354627C">
            <w:pPr>
              <w:widowControl/>
              <w:jc w:val="center"/>
              <w:textAlignment w:val="center"/>
              <w:rPr>
                <w:rFonts w:eastAsia="楷体"/>
                <w:color w:val="auto"/>
                <w:sz w:val="18"/>
                <w:szCs w:val="18"/>
                <w:highlight w:val="none"/>
              </w:rPr>
            </w:pPr>
            <w:r>
              <w:rPr>
                <w:rFonts w:eastAsia="楷体"/>
                <w:color w:val="auto"/>
                <w:kern w:val="0"/>
                <w:sz w:val="18"/>
                <w:szCs w:val="18"/>
                <w:highlight w:val="none"/>
              </w:rPr>
              <w:t>管理机构名称</w:t>
            </w:r>
          </w:p>
        </w:tc>
        <w:tc>
          <w:tcPr>
            <w:tcW w:w="1549" w:type="dxa"/>
            <w:tcBorders>
              <w:top w:val="single" w:color="000000" w:sz="4" w:space="0"/>
              <w:left w:val="single" w:color="000000" w:sz="4" w:space="0"/>
              <w:bottom w:val="single" w:color="000000" w:sz="4" w:space="0"/>
              <w:right w:val="single" w:color="000000" w:sz="4" w:space="0"/>
            </w:tcBorders>
            <w:vAlign w:val="center"/>
          </w:tcPr>
          <w:p w14:paraId="74B9BEB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前黄镇人民政府</w:t>
            </w:r>
          </w:p>
        </w:tc>
        <w:tc>
          <w:tcPr>
            <w:tcW w:w="3159" w:type="dxa"/>
            <w:gridSpan w:val="3"/>
            <w:tcBorders>
              <w:top w:val="single" w:color="000000" w:sz="4" w:space="0"/>
              <w:left w:val="single" w:color="000000" w:sz="4" w:space="0"/>
              <w:bottom w:val="single" w:color="000000" w:sz="4" w:space="0"/>
              <w:right w:val="single" w:color="000000" w:sz="4" w:space="0"/>
            </w:tcBorders>
            <w:vAlign w:val="center"/>
          </w:tcPr>
          <w:p w14:paraId="3CA6AB3A">
            <w:pPr>
              <w:widowControl/>
              <w:jc w:val="center"/>
              <w:textAlignment w:val="center"/>
              <w:rPr>
                <w:rFonts w:eastAsia="楷体"/>
                <w:color w:val="auto"/>
                <w:sz w:val="18"/>
                <w:szCs w:val="18"/>
                <w:highlight w:val="none"/>
              </w:rPr>
            </w:pPr>
            <w:r>
              <w:rPr>
                <w:rFonts w:eastAsia="楷体"/>
                <w:color w:val="auto"/>
                <w:kern w:val="0"/>
                <w:sz w:val="18"/>
                <w:szCs w:val="18"/>
                <w:highlight w:val="none"/>
              </w:rPr>
              <w:t>所在地点</w:t>
            </w:r>
          </w:p>
        </w:tc>
        <w:tc>
          <w:tcPr>
            <w:tcW w:w="1729" w:type="dxa"/>
            <w:gridSpan w:val="2"/>
            <w:tcBorders>
              <w:top w:val="single" w:color="000000" w:sz="4" w:space="0"/>
              <w:left w:val="single" w:color="000000" w:sz="4" w:space="0"/>
              <w:bottom w:val="single" w:color="000000" w:sz="4" w:space="0"/>
              <w:right w:val="single" w:color="000000" w:sz="12" w:space="0"/>
            </w:tcBorders>
            <w:vAlign w:val="center"/>
          </w:tcPr>
          <w:p w14:paraId="0F6B3B50">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前黄镇坑内村</w:t>
            </w:r>
          </w:p>
        </w:tc>
      </w:tr>
      <w:tr w14:paraId="2F8C5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07" w:type="dxa"/>
            <w:gridSpan w:val="2"/>
            <w:tcBorders>
              <w:top w:val="single" w:color="000000" w:sz="4" w:space="0"/>
              <w:left w:val="single" w:color="000000" w:sz="12" w:space="0"/>
              <w:bottom w:val="single" w:color="000000" w:sz="4" w:space="0"/>
              <w:right w:val="single" w:color="000000" w:sz="4" w:space="0"/>
            </w:tcBorders>
            <w:vAlign w:val="center"/>
          </w:tcPr>
          <w:p w14:paraId="64997F04">
            <w:pPr>
              <w:widowControl/>
              <w:jc w:val="center"/>
              <w:textAlignment w:val="center"/>
              <w:rPr>
                <w:rFonts w:eastAsia="楷体"/>
                <w:color w:val="auto"/>
                <w:sz w:val="18"/>
                <w:szCs w:val="18"/>
                <w:highlight w:val="none"/>
              </w:rPr>
            </w:pPr>
            <w:r>
              <w:rPr>
                <w:rFonts w:eastAsia="楷体"/>
                <w:color w:val="auto"/>
                <w:kern w:val="0"/>
                <w:sz w:val="18"/>
                <w:szCs w:val="18"/>
                <w:highlight w:val="none"/>
              </w:rPr>
              <w:t>地理</w:t>
            </w:r>
          </w:p>
        </w:tc>
        <w:tc>
          <w:tcPr>
            <w:tcW w:w="974" w:type="dxa"/>
            <w:tcBorders>
              <w:top w:val="single" w:color="000000" w:sz="4" w:space="0"/>
              <w:left w:val="single" w:color="000000" w:sz="4" w:space="0"/>
              <w:bottom w:val="single" w:color="000000" w:sz="4" w:space="0"/>
              <w:right w:val="single" w:color="000000" w:sz="4" w:space="0"/>
            </w:tcBorders>
            <w:vAlign w:val="center"/>
          </w:tcPr>
          <w:p w14:paraId="49706E55">
            <w:pPr>
              <w:widowControl/>
              <w:jc w:val="center"/>
              <w:textAlignment w:val="center"/>
              <w:rPr>
                <w:rFonts w:eastAsia="楷体"/>
                <w:color w:val="auto"/>
                <w:sz w:val="18"/>
                <w:szCs w:val="18"/>
                <w:highlight w:val="none"/>
              </w:rPr>
            </w:pPr>
            <w:r>
              <w:rPr>
                <w:rFonts w:eastAsia="楷体"/>
                <w:color w:val="auto"/>
                <w:kern w:val="0"/>
                <w:sz w:val="18"/>
                <w:szCs w:val="18"/>
                <w:highlight w:val="none"/>
              </w:rPr>
              <w:t>东经</w:t>
            </w:r>
          </w:p>
        </w:tc>
        <w:tc>
          <w:tcPr>
            <w:tcW w:w="1549" w:type="dxa"/>
            <w:tcBorders>
              <w:top w:val="single" w:color="000000" w:sz="4" w:space="0"/>
              <w:left w:val="single" w:color="000000" w:sz="4" w:space="0"/>
              <w:bottom w:val="single" w:color="000000" w:sz="4" w:space="0"/>
              <w:right w:val="single" w:color="000000" w:sz="4" w:space="0"/>
            </w:tcBorders>
            <w:vAlign w:val="center"/>
          </w:tcPr>
          <w:p w14:paraId="173A5E2B">
            <w:pPr>
              <w:widowControl/>
              <w:jc w:val="center"/>
              <w:textAlignment w:val="center"/>
              <w:rPr>
                <w:rFonts w:eastAsia="楷体"/>
                <w:color w:val="auto"/>
                <w:sz w:val="18"/>
                <w:szCs w:val="18"/>
                <w:highlight w:val="none"/>
              </w:rPr>
            </w:pPr>
            <w:r>
              <w:rPr>
                <w:rFonts w:eastAsia="楷体"/>
                <w:color w:val="auto"/>
                <w:kern w:val="0"/>
                <w:sz w:val="18"/>
                <w:szCs w:val="18"/>
                <w:highlight w:val="none"/>
              </w:rPr>
              <w:t>118°</w:t>
            </w:r>
            <w:r>
              <w:rPr>
                <w:rFonts w:hint="eastAsia" w:eastAsia="楷体"/>
                <w:color w:val="auto"/>
                <w:kern w:val="0"/>
                <w:sz w:val="18"/>
                <w:szCs w:val="18"/>
                <w:highlight w:val="none"/>
              </w:rPr>
              <w:t>53</w:t>
            </w:r>
            <w:r>
              <w:rPr>
                <w:rFonts w:eastAsia="楷体"/>
                <w:color w:val="auto"/>
                <w:kern w:val="0"/>
                <w:sz w:val="18"/>
                <w:szCs w:val="18"/>
                <w:highlight w:val="none"/>
              </w:rPr>
              <w:t>′22″</w:t>
            </w:r>
          </w:p>
        </w:tc>
        <w:tc>
          <w:tcPr>
            <w:tcW w:w="809" w:type="dxa"/>
            <w:tcBorders>
              <w:top w:val="single" w:color="000000" w:sz="4" w:space="0"/>
              <w:left w:val="single" w:color="000000" w:sz="4" w:space="0"/>
              <w:bottom w:val="single" w:color="000000" w:sz="4" w:space="0"/>
              <w:right w:val="single" w:color="000000" w:sz="4" w:space="0"/>
            </w:tcBorders>
            <w:vAlign w:val="center"/>
          </w:tcPr>
          <w:p w14:paraId="2E5AD0E6">
            <w:pPr>
              <w:widowControl/>
              <w:jc w:val="center"/>
              <w:textAlignment w:val="center"/>
              <w:rPr>
                <w:rFonts w:eastAsia="楷体"/>
                <w:color w:val="auto"/>
                <w:sz w:val="18"/>
                <w:szCs w:val="18"/>
                <w:highlight w:val="none"/>
              </w:rPr>
            </w:pPr>
            <w:r>
              <w:rPr>
                <w:rFonts w:eastAsia="楷体"/>
                <w:color w:val="auto"/>
                <w:kern w:val="0"/>
                <w:sz w:val="18"/>
                <w:szCs w:val="18"/>
                <w:highlight w:val="none"/>
              </w:rPr>
              <w:t>开工日期</w:t>
            </w:r>
          </w:p>
        </w:tc>
        <w:tc>
          <w:tcPr>
            <w:tcW w:w="1772" w:type="dxa"/>
            <w:tcBorders>
              <w:top w:val="single" w:color="000000" w:sz="4" w:space="0"/>
              <w:left w:val="single" w:color="000000" w:sz="4" w:space="0"/>
              <w:bottom w:val="single" w:color="000000" w:sz="4" w:space="0"/>
              <w:right w:val="single" w:color="000000" w:sz="4" w:space="0"/>
            </w:tcBorders>
            <w:vAlign w:val="center"/>
          </w:tcPr>
          <w:p w14:paraId="6E940CF3">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1964</w:t>
            </w:r>
            <w:r>
              <w:rPr>
                <w:rFonts w:eastAsia="楷体"/>
                <w:color w:val="auto"/>
                <w:kern w:val="0"/>
                <w:sz w:val="18"/>
                <w:szCs w:val="18"/>
                <w:highlight w:val="none"/>
              </w:rPr>
              <w:t>年</w:t>
            </w:r>
            <w:r>
              <w:rPr>
                <w:rFonts w:hint="eastAsia" w:eastAsia="楷体"/>
                <w:color w:val="auto"/>
                <w:kern w:val="0"/>
                <w:sz w:val="18"/>
                <w:szCs w:val="18"/>
                <w:highlight w:val="none"/>
              </w:rPr>
              <w:t>2</w:t>
            </w:r>
            <w:r>
              <w:rPr>
                <w:rFonts w:eastAsia="楷体"/>
                <w:color w:val="auto"/>
                <w:kern w:val="0"/>
                <w:sz w:val="18"/>
                <w:szCs w:val="18"/>
                <w:highlight w:val="none"/>
              </w:rPr>
              <w:t>月</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14:paraId="6D70859A">
            <w:pPr>
              <w:widowControl/>
              <w:jc w:val="center"/>
              <w:textAlignment w:val="center"/>
              <w:rPr>
                <w:rFonts w:eastAsia="楷体"/>
                <w:color w:val="auto"/>
                <w:sz w:val="18"/>
                <w:szCs w:val="18"/>
                <w:highlight w:val="none"/>
              </w:rPr>
            </w:pPr>
            <w:r>
              <w:rPr>
                <w:rFonts w:eastAsia="楷体"/>
                <w:color w:val="auto"/>
                <w:kern w:val="0"/>
                <w:sz w:val="18"/>
                <w:szCs w:val="18"/>
                <w:highlight w:val="none"/>
              </w:rPr>
              <w:t>所在河流</w:t>
            </w:r>
          </w:p>
        </w:tc>
        <w:tc>
          <w:tcPr>
            <w:tcW w:w="1320" w:type="dxa"/>
            <w:tcBorders>
              <w:top w:val="single" w:color="000000" w:sz="4" w:space="0"/>
              <w:left w:val="single" w:color="000000" w:sz="4" w:space="0"/>
              <w:bottom w:val="single" w:color="000000" w:sz="4" w:space="0"/>
              <w:right w:val="single" w:color="000000" w:sz="12" w:space="0"/>
            </w:tcBorders>
            <w:vAlign w:val="center"/>
          </w:tcPr>
          <w:p w14:paraId="027CB98F">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坝头溪流域</w:t>
            </w:r>
          </w:p>
        </w:tc>
      </w:tr>
      <w:tr w14:paraId="6EC4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07" w:type="dxa"/>
            <w:gridSpan w:val="2"/>
            <w:tcBorders>
              <w:top w:val="single" w:color="000000" w:sz="4" w:space="0"/>
              <w:left w:val="single" w:color="000000" w:sz="12" w:space="0"/>
              <w:bottom w:val="single" w:color="000000" w:sz="4" w:space="0"/>
              <w:right w:val="single" w:color="000000" w:sz="4" w:space="0"/>
            </w:tcBorders>
            <w:vAlign w:val="center"/>
          </w:tcPr>
          <w:p w14:paraId="22D84517">
            <w:pPr>
              <w:widowControl/>
              <w:jc w:val="center"/>
              <w:textAlignment w:val="center"/>
              <w:rPr>
                <w:rFonts w:eastAsia="楷体"/>
                <w:color w:val="auto"/>
                <w:sz w:val="18"/>
                <w:szCs w:val="18"/>
                <w:highlight w:val="none"/>
              </w:rPr>
            </w:pPr>
            <w:r>
              <w:rPr>
                <w:rFonts w:eastAsia="楷体"/>
                <w:color w:val="auto"/>
                <w:kern w:val="0"/>
                <w:sz w:val="18"/>
                <w:szCs w:val="18"/>
                <w:highlight w:val="none"/>
              </w:rPr>
              <w:t>位置</w:t>
            </w:r>
          </w:p>
        </w:tc>
        <w:tc>
          <w:tcPr>
            <w:tcW w:w="974" w:type="dxa"/>
            <w:tcBorders>
              <w:top w:val="single" w:color="000000" w:sz="4" w:space="0"/>
              <w:left w:val="single" w:color="000000" w:sz="4" w:space="0"/>
              <w:bottom w:val="single" w:color="000000" w:sz="4" w:space="0"/>
              <w:right w:val="single" w:color="000000" w:sz="4" w:space="0"/>
            </w:tcBorders>
            <w:vAlign w:val="center"/>
          </w:tcPr>
          <w:p w14:paraId="74C5C169">
            <w:pPr>
              <w:widowControl/>
              <w:jc w:val="center"/>
              <w:textAlignment w:val="center"/>
              <w:rPr>
                <w:rFonts w:eastAsia="楷体"/>
                <w:color w:val="auto"/>
                <w:sz w:val="18"/>
                <w:szCs w:val="18"/>
                <w:highlight w:val="none"/>
              </w:rPr>
            </w:pPr>
            <w:r>
              <w:rPr>
                <w:rFonts w:eastAsia="楷体"/>
                <w:color w:val="auto"/>
                <w:kern w:val="0"/>
                <w:sz w:val="18"/>
                <w:szCs w:val="18"/>
                <w:highlight w:val="none"/>
              </w:rPr>
              <w:t>北纬</w:t>
            </w:r>
          </w:p>
        </w:tc>
        <w:tc>
          <w:tcPr>
            <w:tcW w:w="1549" w:type="dxa"/>
            <w:tcBorders>
              <w:top w:val="single" w:color="000000" w:sz="4" w:space="0"/>
              <w:left w:val="single" w:color="000000" w:sz="4" w:space="0"/>
              <w:bottom w:val="single" w:color="000000" w:sz="4" w:space="0"/>
              <w:right w:val="single" w:color="000000" w:sz="4" w:space="0"/>
            </w:tcBorders>
            <w:vAlign w:val="center"/>
          </w:tcPr>
          <w:p w14:paraId="7BB382CD">
            <w:pPr>
              <w:widowControl/>
              <w:jc w:val="center"/>
              <w:textAlignment w:val="center"/>
              <w:rPr>
                <w:rFonts w:eastAsia="楷体"/>
                <w:color w:val="auto"/>
                <w:sz w:val="18"/>
                <w:szCs w:val="18"/>
                <w:highlight w:val="none"/>
              </w:rPr>
            </w:pPr>
            <w:r>
              <w:rPr>
                <w:rFonts w:eastAsia="楷体"/>
                <w:color w:val="auto"/>
                <w:kern w:val="0"/>
                <w:sz w:val="18"/>
                <w:szCs w:val="18"/>
                <w:highlight w:val="none"/>
              </w:rPr>
              <w:t>25°</w:t>
            </w:r>
            <w:r>
              <w:rPr>
                <w:rFonts w:hint="eastAsia" w:eastAsia="楷体"/>
                <w:color w:val="auto"/>
                <w:kern w:val="0"/>
                <w:sz w:val="18"/>
                <w:szCs w:val="18"/>
                <w:highlight w:val="none"/>
              </w:rPr>
              <w:t>10</w:t>
            </w:r>
            <w:r>
              <w:rPr>
                <w:rFonts w:eastAsia="楷体"/>
                <w:color w:val="auto"/>
                <w:kern w:val="0"/>
                <w:sz w:val="18"/>
                <w:szCs w:val="18"/>
                <w:highlight w:val="none"/>
              </w:rPr>
              <w:t>′03″</w:t>
            </w:r>
          </w:p>
        </w:tc>
        <w:tc>
          <w:tcPr>
            <w:tcW w:w="809" w:type="dxa"/>
            <w:tcBorders>
              <w:top w:val="single" w:color="000000" w:sz="4" w:space="0"/>
              <w:left w:val="single" w:color="000000" w:sz="4" w:space="0"/>
              <w:bottom w:val="single" w:color="000000" w:sz="4" w:space="0"/>
              <w:right w:val="single" w:color="000000" w:sz="4" w:space="0"/>
            </w:tcBorders>
            <w:vAlign w:val="center"/>
          </w:tcPr>
          <w:p w14:paraId="0BF5F85B">
            <w:pPr>
              <w:widowControl/>
              <w:jc w:val="center"/>
              <w:textAlignment w:val="center"/>
              <w:rPr>
                <w:rFonts w:eastAsia="楷体"/>
                <w:color w:val="auto"/>
                <w:sz w:val="18"/>
                <w:szCs w:val="18"/>
                <w:highlight w:val="none"/>
              </w:rPr>
            </w:pPr>
            <w:r>
              <w:rPr>
                <w:rFonts w:eastAsia="楷体"/>
                <w:color w:val="auto"/>
                <w:kern w:val="0"/>
                <w:sz w:val="18"/>
                <w:szCs w:val="18"/>
                <w:highlight w:val="none"/>
              </w:rPr>
              <w:t>竣工日期</w:t>
            </w:r>
          </w:p>
        </w:tc>
        <w:tc>
          <w:tcPr>
            <w:tcW w:w="1772" w:type="dxa"/>
            <w:tcBorders>
              <w:top w:val="single" w:color="000000" w:sz="4" w:space="0"/>
              <w:left w:val="single" w:color="000000" w:sz="4" w:space="0"/>
              <w:bottom w:val="single" w:color="000000" w:sz="4" w:space="0"/>
              <w:right w:val="single" w:color="000000" w:sz="4" w:space="0"/>
            </w:tcBorders>
            <w:vAlign w:val="center"/>
          </w:tcPr>
          <w:p w14:paraId="2F778CD1">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1966</w:t>
            </w:r>
            <w:r>
              <w:rPr>
                <w:rFonts w:eastAsia="楷体"/>
                <w:color w:val="auto"/>
                <w:kern w:val="0"/>
                <w:sz w:val="18"/>
                <w:szCs w:val="18"/>
                <w:highlight w:val="none"/>
              </w:rPr>
              <w:t>年</w:t>
            </w:r>
            <w:r>
              <w:rPr>
                <w:rFonts w:hint="eastAsia" w:eastAsia="楷体"/>
                <w:color w:val="auto"/>
                <w:kern w:val="0"/>
                <w:sz w:val="18"/>
                <w:szCs w:val="18"/>
                <w:highlight w:val="none"/>
              </w:rPr>
              <w:t>8月</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14:paraId="06D7CF5A">
            <w:pPr>
              <w:widowControl/>
              <w:jc w:val="center"/>
              <w:textAlignment w:val="center"/>
              <w:rPr>
                <w:rFonts w:eastAsia="楷体"/>
                <w:color w:val="auto"/>
                <w:sz w:val="18"/>
                <w:szCs w:val="18"/>
                <w:highlight w:val="none"/>
              </w:rPr>
            </w:pPr>
            <w:r>
              <w:rPr>
                <w:rFonts w:eastAsia="楷体"/>
                <w:color w:val="auto"/>
                <w:kern w:val="0"/>
                <w:sz w:val="18"/>
                <w:szCs w:val="18"/>
                <w:highlight w:val="none"/>
              </w:rPr>
              <w:t>高程基准</w:t>
            </w:r>
          </w:p>
        </w:tc>
        <w:tc>
          <w:tcPr>
            <w:tcW w:w="1320" w:type="dxa"/>
            <w:tcBorders>
              <w:top w:val="single" w:color="000000" w:sz="4" w:space="0"/>
              <w:left w:val="single" w:color="000000" w:sz="4" w:space="0"/>
              <w:bottom w:val="single" w:color="000000" w:sz="4" w:space="0"/>
              <w:right w:val="single" w:color="000000" w:sz="12" w:space="0"/>
            </w:tcBorders>
            <w:vAlign w:val="center"/>
          </w:tcPr>
          <w:p w14:paraId="772E985F">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1985国家高程基准</w:t>
            </w:r>
          </w:p>
        </w:tc>
      </w:tr>
      <w:tr w14:paraId="19C8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4AE09766">
            <w:pPr>
              <w:widowControl/>
              <w:jc w:val="center"/>
              <w:textAlignment w:val="center"/>
              <w:rPr>
                <w:rFonts w:eastAsia="楷体"/>
                <w:color w:val="auto"/>
                <w:sz w:val="18"/>
                <w:szCs w:val="18"/>
                <w:highlight w:val="none"/>
              </w:rPr>
            </w:pPr>
            <w:r>
              <w:rPr>
                <w:rFonts w:eastAsia="楷体"/>
                <w:color w:val="auto"/>
                <w:kern w:val="0"/>
                <w:sz w:val="18"/>
                <w:szCs w:val="18"/>
                <w:highlight w:val="none"/>
              </w:rPr>
              <w:t>集雨面积(km</w:t>
            </w:r>
            <w:r>
              <w:rPr>
                <w:rStyle w:val="31"/>
                <w:rFonts w:hint="default" w:eastAsia="楷体"/>
                <w:color w:val="auto"/>
                <w:sz w:val="18"/>
                <w:szCs w:val="18"/>
                <w:highlight w:val="none"/>
              </w:rPr>
              <w:t>2</w:t>
            </w:r>
            <w:r>
              <w:rPr>
                <w:rStyle w:val="36"/>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5A6C9C8B">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0.47</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14:paraId="29865F1E">
            <w:pPr>
              <w:widowControl/>
              <w:jc w:val="center"/>
              <w:textAlignment w:val="center"/>
              <w:rPr>
                <w:rFonts w:eastAsia="楷体"/>
                <w:color w:val="auto"/>
                <w:sz w:val="18"/>
                <w:szCs w:val="18"/>
                <w:highlight w:val="none"/>
              </w:rPr>
            </w:pPr>
            <w:r>
              <w:rPr>
                <w:rFonts w:eastAsia="楷体"/>
                <w:color w:val="auto"/>
                <w:kern w:val="0"/>
                <w:sz w:val="18"/>
                <w:szCs w:val="18"/>
                <w:highlight w:val="none"/>
              </w:rPr>
              <w:t>主坝</w:t>
            </w:r>
          </w:p>
        </w:tc>
        <w:tc>
          <w:tcPr>
            <w:tcW w:w="1772" w:type="dxa"/>
            <w:tcBorders>
              <w:top w:val="single" w:color="000000" w:sz="4" w:space="0"/>
              <w:left w:val="single" w:color="000000" w:sz="4" w:space="0"/>
              <w:bottom w:val="single" w:color="000000" w:sz="4" w:space="0"/>
              <w:right w:val="single" w:color="000000" w:sz="4" w:space="0"/>
            </w:tcBorders>
            <w:vAlign w:val="center"/>
          </w:tcPr>
          <w:p w14:paraId="2DB63B34">
            <w:pPr>
              <w:widowControl/>
              <w:jc w:val="center"/>
              <w:textAlignment w:val="center"/>
              <w:rPr>
                <w:rFonts w:eastAsia="楷体"/>
                <w:color w:val="auto"/>
                <w:sz w:val="18"/>
                <w:szCs w:val="18"/>
                <w:highlight w:val="none"/>
              </w:rPr>
            </w:pPr>
            <w:r>
              <w:rPr>
                <w:rFonts w:eastAsia="楷体"/>
                <w:color w:val="auto"/>
                <w:kern w:val="0"/>
                <w:sz w:val="18"/>
                <w:szCs w:val="18"/>
                <w:highlight w:val="none"/>
              </w:rPr>
              <w:t>坝型</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2FAB59C6">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均质土坝</w:t>
            </w:r>
          </w:p>
        </w:tc>
      </w:tr>
      <w:tr w14:paraId="5127C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2F761D89">
            <w:pPr>
              <w:widowControl/>
              <w:jc w:val="center"/>
              <w:textAlignment w:val="center"/>
              <w:rPr>
                <w:rFonts w:eastAsia="楷体"/>
                <w:color w:val="auto"/>
                <w:sz w:val="18"/>
                <w:szCs w:val="18"/>
                <w:highlight w:val="none"/>
              </w:rPr>
            </w:pPr>
            <w:r>
              <w:rPr>
                <w:rFonts w:eastAsia="楷体"/>
                <w:color w:val="auto"/>
                <w:kern w:val="0"/>
                <w:sz w:val="18"/>
                <w:szCs w:val="18"/>
                <w:highlight w:val="none"/>
              </w:rPr>
              <w:t>河流比降(‰)</w:t>
            </w:r>
          </w:p>
        </w:tc>
        <w:tc>
          <w:tcPr>
            <w:tcW w:w="1549" w:type="dxa"/>
            <w:tcBorders>
              <w:top w:val="single" w:color="000000" w:sz="4" w:space="0"/>
              <w:left w:val="single" w:color="000000" w:sz="4" w:space="0"/>
              <w:bottom w:val="single" w:color="000000" w:sz="4" w:space="0"/>
              <w:right w:val="single" w:color="000000" w:sz="4" w:space="0"/>
            </w:tcBorders>
            <w:vAlign w:val="center"/>
          </w:tcPr>
          <w:p w14:paraId="04F4B98F">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39.89</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2FF39564">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70B68D9A">
            <w:pPr>
              <w:widowControl/>
              <w:jc w:val="center"/>
              <w:textAlignment w:val="center"/>
              <w:rPr>
                <w:rFonts w:eastAsia="楷体"/>
                <w:color w:val="auto"/>
                <w:sz w:val="18"/>
                <w:szCs w:val="18"/>
                <w:highlight w:val="none"/>
              </w:rPr>
            </w:pPr>
            <w:r>
              <w:rPr>
                <w:rFonts w:eastAsia="楷体"/>
                <w:color w:val="auto"/>
                <w:kern w:val="0"/>
                <w:sz w:val="18"/>
                <w:szCs w:val="18"/>
                <w:highlight w:val="none"/>
              </w:rPr>
              <w:t>坝顶高程(m)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6E7EBA45">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30.58</w:t>
            </w:r>
          </w:p>
        </w:tc>
      </w:tr>
      <w:tr w14:paraId="6BEE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6BC05CB2">
            <w:pPr>
              <w:widowControl/>
              <w:jc w:val="center"/>
              <w:textAlignment w:val="center"/>
              <w:rPr>
                <w:rFonts w:eastAsia="楷体"/>
                <w:color w:val="auto"/>
                <w:sz w:val="18"/>
                <w:szCs w:val="18"/>
                <w:highlight w:val="none"/>
              </w:rPr>
            </w:pPr>
            <w:r>
              <w:rPr>
                <w:rFonts w:eastAsia="楷体"/>
                <w:color w:val="auto"/>
                <w:kern w:val="0"/>
                <w:sz w:val="18"/>
                <w:szCs w:val="18"/>
                <w:highlight w:val="none"/>
              </w:rPr>
              <w:t>主河道长度(km)</w:t>
            </w:r>
          </w:p>
        </w:tc>
        <w:tc>
          <w:tcPr>
            <w:tcW w:w="1549" w:type="dxa"/>
            <w:tcBorders>
              <w:top w:val="single" w:color="000000" w:sz="4" w:space="0"/>
              <w:left w:val="single" w:color="000000" w:sz="4" w:space="0"/>
              <w:bottom w:val="single" w:color="000000" w:sz="4" w:space="0"/>
              <w:right w:val="single" w:color="000000" w:sz="4" w:space="0"/>
            </w:tcBorders>
            <w:vAlign w:val="center"/>
          </w:tcPr>
          <w:p w14:paraId="5E7292BD">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0.9</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4E4DC418">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227779D7">
            <w:pPr>
              <w:widowControl/>
              <w:jc w:val="center"/>
              <w:textAlignment w:val="center"/>
              <w:rPr>
                <w:rFonts w:eastAsia="楷体"/>
                <w:color w:val="auto"/>
                <w:sz w:val="18"/>
                <w:szCs w:val="18"/>
                <w:highlight w:val="none"/>
              </w:rPr>
            </w:pPr>
            <w:r>
              <w:rPr>
                <w:rFonts w:eastAsia="楷体"/>
                <w:color w:val="auto"/>
                <w:kern w:val="0"/>
                <w:sz w:val="18"/>
                <w:szCs w:val="18"/>
                <w:highlight w:val="none"/>
              </w:rPr>
              <w:t>墙顶高程(m)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7D99A37D">
            <w:pPr>
              <w:widowControl/>
              <w:jc w:val="center"/>
              <w:textAlignment w:val="center"/>
              <w:rPr>
                <w:rFonts w:eastAsia="楷体"/>
                <w:color w:val="auto"/>
                <w:sz w:val="18"/>
                <w:szCs w:val="18"/>
                <w:highlight w:val="none"/>
              </w:rPr>
            </w:pPr>
            <w:r>
              <w:rPr>
                <w:rFonts w:eastAsia="楷体"/>
                <w:color w:val="auto"/>
                <w:kern w:val="0"/>
                <w:sz w:val="18"/>
                <w:szCs w:val="18"/>
                <w:highlight w:val="none"/>
              </w:rPr>
              <w:t>/</w:t>
            </w:r>
          </w:p>
        </w:tc>
      </w:tr>
      <w:tr w14:paraId="6AD01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5A8C4D45">
            <w:pPr>
              <w:widowControl/>
              <w:jc w:val="center"/>
              <w:textAlignment w:val="center"/>
              <w:rPr>
                <w:rFonts w:eastAsia="楷体"/>
                <w:color w:val="auto"/>
                <w:sz w:val="18"/>
                <w:szCs w:val="18"/>
                <w:highlight w:val="none"/>
              </w:rPr>
            </w:pPr>
            <w:r>
              <w:rPr>
                <w:rFonts w:eastAsia="楷体"/>
                <w:color w:val="auto"/>
                <w:kern w:val="0"/>
                <w:sz w:val="18"/>
                <w:szCs w:val="18"/>
                <w:highlight w:val="none"/>
              </w:rPr>
              <w:t>多年平均降水量(mm)</w:t>
            </w:r>
          </w:p>
        </w:tc>
        <w:tc>
          <w:tcPr>
            <w:tcW w:w="1549" w:type="dxa"/>
            <w:tcBorders>
              <w:top w:val="single" w:color="000000" w:sz="4" w:space="0"/>
              <w:left w:val="single" w:color="000000" w:sz="4" w:space="0"/>
              <w:bottom w:val="single" w:color="000000" w:sz="4" w:space="0"/>
              <w:right w:val="single" w:color="000000" w:sz="4" w:space="0"/>
            </w:tcBorders>
            <w:vAlign w:val="center"/>
          </w:tcPr>
          <w:p w14:paraId="173740BB">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1350</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3878E63F">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5FAC1383">
            <w:pPr>
              <w:widowControl/>
              <w:jc w:val="center"/>
              <w:textAlignment w:val="center"/>
              <w:rPr>
                <w:rFonts w:eastAsia="楷体"/>
                <w:color w:val="auto"/>
                <w:sz w:val="18"/>
                <w:szCs w:val="18"/>
                <w:highlight w:val="none"/>
              </w:rPr>
            </w:pPr>
            <w:r>
              <w:rPr>
                <w:rFonts w:eastAsia="楷体"/>
                <w:color w:val="auto"/>
                <w:kern w:val="0"/>
                <w:sz w:val="18"/>
                <w:szCs w:val="18"/>
                <w:highlight w:val="none"/>
              </w:rPr>
              <w:t>最大坝高(m)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24073E92">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17.49</w:t>
            </w:r>
          </w:p>
        </w:tc>
      </w:tr>
      <w:tr w14:paraId="73112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3D02FD57">
            <w:pPr>
              <w:widowControl/>
              <w:jc w:val="center"/>
              <w:textAlignment w:val="center"/>
              <w:rPr>
                <w:rFonts w:eastAsia="楷体"/>
                <w:color w:val="auto"/>
                <w:sz w:val="18"/>
                <w:szCs w:val="18"/>
                <w:highlight w:val="none"/>
              </w:rPr>
            </w:pPr>
            <w:r>
              <w:rPr>
                <w:rFonts w:eastAsia="楷体"/>
                <w:color w:val="auto"/>
                <w:kern w:val="0"/>
                <w:sz w:val="18"/>
                <w:szCs w:val="18"/>
                <w:highlight w:val="none"/>
              </w:rPr>
              <w:t>多年平均径流量(万m</w:t>
            </w:r>
            <w:r>
              <w:rPr>
                <w:rStyle w:val="31"/>
                <w:rFonts w:hint="default" w:eastAsia="楷体"/>
                <w:color w:val="auto"/>
                <w:sz w:val="18"/>
                <w:szCs w:val="18"/>
                <w:highlight w:val="none"/>
              </w:rPr>
              <w:t>3</w:t>
            </w:r>
            <w:r>
              <w:rPr>
                <w:rStyle w:val="36"/>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455B9DF5">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38.07</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1DC49417">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5C031A99">
            <w:pPr>
              <w:widowControl/>
              <w:jc w:val="center"/>
              <w:textAlignment w:val="center"/>
              <w:rPr>
                <w:rFonts w:eastAsia="楷体"/>
                <w:color w:val="auto"/>
                <w:sz w:val="18"/>
                <w:szCs w:val="18"/>
                <w:highlight w:val="none"/>
              </w:rPr>
            </w:pPr>
            <w:r>
              <w:rPr>
                <w:rFonts w:eastAsia="楷体"/>
                <w:color w:val="auto"/>
                <w:kern w:val="0"/>
                <w:sz w:val="18"/>
                <w:szCs w:val="18"/>
                <w:highlight w:val="none"/>
              </w:rPr>
              <w:t>坝顶长度(m)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021459FE">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200</w:t>
            </w:r>
          </w:p>
        </w:tc>
      </w:tr>
      <w:tr w14:paraId="23449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58C11017">
            <w:pPr>
              <w:widowControl/>
              <w:jc w:val="center"/>
              <w:textAlignment w:val="center"/>
              <w:rPr>
                <w:rFonts w:eastAsia="楷体"/>
                <w:color w:val="auto"/>
                <w:sz w:val="18"/>
                <w:szCs w:val="18"/>
                <w:highlight w:val="none"/>
              </w:rPr>
            </w:pPr>
            <w:r>
              <w:rPr>
                <w:rFonts w:eastAsia="楷体"/>
                <w:color w:val="auto"/>
                <w:kern w:val="0"/>
                <w:sz w:val="18"/>
                <w:szCs w:val="18"/>
                <w:highlight w:val="none"/>
              </w:rPr>
              <w:t>正常蓄水位(m)</w:t>
            </w:r>
          </w:p>
        </w:tc>
        <w:tc>
          <w:tcPr>
            <w:tcW w:w="1549" w:type="dxa"/>
            <w:tcBorders>
              <w:top w:val="single" w:color="000000" w:sz="4" w:space="0"/>
              <w:left w:val="single" w:color="000000" w:sz="4" w:space="0"/>
              <w:bottom w:val="single" w:color="000000" w:sz="4" w:space="0"/>
              <w:right w:val="single" w:color="000000" w:sz="4" w:space="0"/>
            </w:tcBorders>
            <w:vAlign w:val="center"/>
          </w:tcPr>
          <w:p w14:paraId="54C36BEB">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28.04</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0CE972F4">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47B3ADE3">
            <w:pPr>
              <w:widowControl/>
              <w:jc w:val="center"/>
              <w:textAlignment w:val="center"/>
              <w:rPr>
                <w:rFonts w:eastAsia="楷体"/>
                <w:color w:val="auto"/>
                <w:sz w:val="18"/>
                <w:szCs w:val="18"/>
                <w:highlight w:val="none"/>
              </w:rPr>
            </w:pPr>
            <w:r>
              <w:rPr>
                <w:rFonts w:eastAsia="楷体"/>
                <w:color w:val="auto"/>
                <w:kern w:val="0"/>
                <w:sz w:val="18"/>
                <w:szCs w:val="18"/>
                <w:highlight w:val="none"/>
              </w:rPr>
              <w:t>坝顶宽度(m)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6C40029C">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4.0～9.0</w:t>
            </w:r>
          </w:p>
        </w:tc>
      </w:tr>
      <w:tr w14:paraId="167CF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6DF16017">
            <w:pPr>
              <w:widowControl/>
              <w:jc w:val="center"/>
              <w:textAlignment w:val="center"/>
              <w:rPr>
                <w:rFonts w:eastAsia="楷体"/>
                <w:color w:val="auto"/>
                <w:sz w:val="18"/>
                <w:szCs w:val="18"/>
                <w:highlight w:val="none"/>
              </w:rPr>
            </w:pPr>
            <w:r>
              <w:rPr>
                <w:rFonts w:eastAsia="楷体"/>
                <w:color w:val="auto"/>
                <w:kern w:val="0"/>
                <w:sz w:val="18"/>
                <w:szCs w:val="18"/>
                <w:highlight w:val="none"/>
              </w:rPr>
              <w:t>死水位(m)</w:t>
            </w:r>
          </w:p>
        </w:tc>
        <w:tc>
          <w:tcPr>
            <w:tcW w:w="1549" w:type="dxa"/>
            <w:tcBorders>
              <w:top w:val="single" w:color="000000" w:sz="4" w:space="0"/>
              <w:left w:val="single" w:color="000000" w:sz="4" w:space="0"/>
              <w:bottom w:val="single" w:color="000000" w:sz="4" w:space="0"/>
              <w:right w:val="single" w:color="000000" w:sz="4" w:space="0"/>
            </w:tcBorders>
            <w:vAlign w:val="center"/>
          </w:tcPr>
          <w:p w14:paraId="2CDEF03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21.70</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14:paraId="34514BC9">
            <w:pPr>
              <w:widowControl/>
              <w:jc w:val="center"/>
              <w:textAlignment w:val="center"/>
              <w:rPr>
                <w:rFonts w:eastAsia="楷体"/>
                <w:color w:val="auto"/>
                <w:sz w:val="18"/>
                <w:szCs w:val="18"/>
                <w:highlight w:val="none"/>
              </w:rPr>
            </w:pPr>
            <w:r>
              <w:rPr>
                <w:rFonts w:eastAsia="楷体"/>
                <w:color w:val="auto"/>
                <w:kern w:val="0"/>
                <w:sz w:val="18"/>
                <w:szCs w:val="18"/>
                <w:highlight w:val="none"/>
              </w:rPr>
              <w:t>副坝</w:t>
            </w:r>
          </w:p>
        </w:tc>
        <w:tc>
          <w:tcPr>
            <w:tcW w:w="1772" w:type="dxa"/>
            <w:tcBorders>
              <w:top w:val="single" w:color="000000" w:sz="4" w:space="0"/>
              <w:left w:val="single" w:color="000000" w:sz="4" w:space="0"/>
              <w:bottom w:val="single" w:color="000000" w:sz="4" w:space="0"/>
              <w:right w:val="single" w:color="000000" w:sz="4" w:space="0"/>
            </w:tcBorders>
            <w:vAlign w:val="center"/>
          </w:tcPr>
          <w:p w14:paraId="400B2773">
            <w:pPr>
              <w:widowControl/>
              <w:jc w:val="center"/>
              <w:textAlignment w:val="center"/>
              <w:rPr>
                <w:rFonts w:eastAsia="楷体"/>
                <w:color w:val="auto"/>
                <w:sz w:val="18"/>
                <w:szCs w:val="18"/>
                <w:highlight w:val="none"/>
              </w:rPr>
            </w:pPr>
            <w:r>
              <w:rPr>
                <w:rFonts w:eastAsia="楷体"/>
                <w:color w:val="auto"/>
                <w:kern w:val="0"/>
                <w:sz w:val="18"/>
                <w:szCs w:val="18"/>
                <w:highlight w:val="none"/>
              </w:rPr>
              <w:t>坝型</w:t>
            </w:r>
          </w:p>
        </w:tc>
        <w:tc>
          <w:tcPr>
            <w:tcW w:w="2307" w:type="dxa"/>
            <w:gridSpan w:val="3"/>
            <w:vMerge w:val="restart"/>
            <w:tcBorders>
              <w:top w:val="single" w:color="000000" w:sz="4" w:space="0"/>
              <w:left w:val="single" w:color="000000" w:sz="4" w:space="0"/>
              <w:bottom w:val="single" w:color="000000" w:sz="4" w:space="0"/>
              <w:right w:val="single" w:color="000000" w:sz="12" w:space="0"/>
            </w:tcBorders>
            <w:vAlign w:val="center"/>
          </w:tcPr>
          <w:p w14:paraId="632B355F">
            <w:pPr>
              <w:widowControl/>
              <w:jc w:val="center"/>
              <w:textAlignment w:val="center"/>
              <w:rPr>
                <w:rFonts w:eastAsia="楷体"/>
                <w:color w:val="auto"/>
                <w:sz w:val="18"/>
                <w:szCs w:val="18"/>
                <w:highlight w:val="none"/>
              </w:rPr>
            </w:pPr>
            <w:r>
              <w:rPr>
                <w:rFonts w:eastAsia="楷体"/>
                <w:color w:val="auto"/>
                <w:kern w:val="0"/>
                <w:sz w:val="18"/>
                <w:szCs w:val="18"/>
                <w:highlight w:val="none"/>
              </w:rPr>
              <w:t>无</w:t>
            </w:r>
          </w:p>
        </w:tc>
      </w:tr>
      <w:tr w14:paraId="3C353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27A8A8C8">
            <w:pPr>
              <w:widowControl/>
              <w:jc w:val="center"/>
              <w:textAlignment w:val="center"/>
              <w:rPr>
                <w:rFonts w:eastAsia="楷体"/>
                <w:color w:val="auto"/>
                <w:sz w:val="18"/>
                <w:szCs w:val="18"/>
                <w:highlight w:val="none"/>
              </w:rPr>
            </w:pPr>
            <w:r>
              <w:rPr>
                <w:rFonts w:eastAsia="楷体"/>
                <w:color w:val="auto"/>
                <w:kern w:val="0"/>
                <w:sz w:val="18"/>
                <w:szCs w:val="18"/>
                <w:highlight w:val="none"/>
              </w:rPr>
              <w:t>设计重现期(年)</w:t>
            </w:r>
          </w:p>
        </w:tc>
        <w:tc>
          <w:tcPr>
            <w:tcW w:w="1549" w:type="dxa"/>
            <w:tcBorders>
              <w:top w:val="single" w:color="000000" w:sz="4" w:space="0"/>
              <w:left w:val="single" w:color="000000" w:sz="4" w:space="0"/>
              <w:bottom w:val="single" w:color="000000" w:sz="4" w:space="0"/>
              <w:right w:val="single" w:color="000000" w:sz="4" w:space="0"/>
            </w:tcBorders>
            <w:vAlign w:val="center"/>
          </w:tcPr>
          <w:p w14:paraId="6A4BB663">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20</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2A0DB96A">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7F589FDA">
            <w:pPr>
              <w:widowControl/>
              <w:jc w:val="center"/>
              <w:textAlignment w:val="center"/>
              <w:rPr>
                <w:rFonts w:eastAsia="楷体"/>
                <w:color w:val="auto"/>
                <w:sz w:val="18"/>
                <w:szCs w:val="18"/>
                <w:highlight w:val="none"/>
              </w:rPr>
            </w:pPr>
            <w:r>
              <w:rPr>
                <w:rFonts w:eastAsia="楷体"/>
                <w:color w:val="auto"/>
                <w:kern w:val="0"/>
                <w:sz w:val="18"/>
                <w:szCs w:val="18"/>
                <w:highlight w:val="none"/>
              </w:rPr>
              <w:t>坝顶高程(m)</w:t>
            </w:r>
          </w:p>
        </w:tc>
        <w:tc>
          <w:tcPr>
            <w:tcW w:w="2307" w:type="dxa"/>
            <w:gridSpan w:val="3"/>
            <w:vMerge w:val="continue"/>
            <w:tcBorders>
              <w:top w:val="single" w:color="000000" w:sz="4" w:space="0"/>
              <w:left w:val="single" w:color="000000" w:sz="4" w:space="0"/>
              <w:bottom w:val="single" w:color="000000" w:sz="4" w:space="0"/>
              <w:right w:val="single" w:color="000000" w:sz="12" w:space="0"/>
            </w:tcBorders>
            <w:vAlign w:val="center"/>
          </w:tcPr>
          <w:p w14:paraId="122A5CB1">
            <w:pPr>
              <w:jc w:val="center"/>
              <w:rPr>
                <w:rFonts w:eastAsia="楷体"/>
                <w:color w:val="auto"/>
                <w:sz w:val="18"/>
                <w:szCs w:val="18"/>
                <w:highlight w:val="none"/>
              </w:rPr>
            </w:pPr>
          </w:p>
        </w:tc>
      </w:tr>
      <w:tr w14:paraId="3FA0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57719FDC">
            <w:pPr>
              <w:widowControl/>
              <w:jc w:val="center"/>
              <w:textAlignment w:val="center"/>
              <w:rPr>
                <w:rFonts w:eastAsia="楷体"/>
                <w:color w:val="auto"/>
                <w:sz w:val="18"/>
                <w:szCs w:val="18"/>
                <w:highlight w:val="none"/>
              </w:rPr>
            </w:pPr>
            <w:r>
              <w:rPr>
                <w:rFonts w:eastAsia="楷体"/>
                <w:color w:val="auto"/>
                <w:kern w:val="0"/>
                <w:sz w:val="18"/>
                <w:szCs w:val="18"/>
                <w:highlight w:val="none"/>
              </w:rPr>
              <w:t>校核重现期(年)</w:t>
            </w:r>
          </w:p>
        </w:tc>
        <w:tc>
          <w:tcPr>
            <w:tcW w:w="1549" w:type="dxa"/>
            <w:tcBorders>
              <w:top w:val="single" w:color="000000" w:sz="4" w:space="0"/>
              <w:left w:val="single" w:color="000000" w:sz="4" w:space="0"/>
              <w:bottom w:val="single" w:color="000000" w:sz="4" w:space="0"/>
              <w:right w:val="single" w:color="000000" w:sz="4" w:space="0"/>
            </w:tcBorders>
            <w:vAlign w:val="center"/>
          </w:tcPr>
          <w:p w14:paraId="40441DA2">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3</w:t>
            </w:r>
            <w:r>
              <w:rPr>
                <w:rFonts w:eastAsia="楷体"/>
                <w:color w:val="auto"/>
                <w:kern w:val="0"/>
                <w:sz w:val="18"/>
                <w:szCs w:val="18"/>
                <w:highlight w:val="none"/>
              </w:rPr>
              <w:t>00</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1500C45D">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085D70A8">
            <w:pPr>
              <w:widowControl/>
              <w:jc w:val="center"/>
              <w:textAlignment w:val="center"/>
              <w:rPr>
                <w:rFonts w:eastAsia="楷体"/>
                <w:color w:val="auto"/>
                <w:sz w:val="18"/>
                <w:szCs w:val="18"/>
                <w:highlight w:val="none"/>
              </w:rPr>
            </w:pPr>
            <w:r>
              <w:rPr>
                <w:rFonts w:eastAsia="楷体"/>
                <w:color w:val="auto"/>
                <w:kern w:val="0"/>
                <w:sz w:val="18"/>
                <w:szCs w:val="18"/>
                <w:highlight w:val="none"/>
              </w:rPr>
              <w:t>墙顶高程(m)</w:t>
            </w:r>
          </w:p>
        </w:tc>
        <w:tc>
          <w:tcPr>
            <w:tcW w:w="2307" w:type="dxa"/>
            <w:gridSpan w:val="3"/>
            <w:vMerge w:val="continue"/>
            <w:tcBorders>
              <w:top w:val="single" w:color="000000" w:sz="4" w:space="0"/>
              <w:left w:val="single" w:color="000000" w:sz="4" w:space="0"/>
              <w:bottom w:val="single" w:color="000000" w:sz="4" w:space="0"/>
              <w:right w:val="single" w:color="000000" w:sz="12" w:space="0"/>
            </w:tcBorders>
            <w:vAlign w:val="center"/>
          </w:tcPr>
          <w:p w14:paraId="22C126A5">
            <w:pPr>
              <w:jc w:val="center"/>
              <w:rPr>
                <w:rFonts w:eastAsia="楷体"/>
                <w:color w:val="auto"/>
                <w:sz w:val="18"/>
                <w:szCs w:val="18"/>
                <w:highlight w:val="none"/>
              </w:rPr>
            </w:pPr>
          </w:p>
        </w:tc>
      </w:tr>
      <w:tr w14:paraId="7FDE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25579E4F">
            <w:pPr>
              <w:widowControl/>
              <w:jc w:val="center"/>
              <w:textAlignment w:val="center"/>
              <w:rPr>
                <w:rFonts w:eastAsia="楷体"/>
                <w:color w:val="auto"/>
                <w:sz w:val="18"/>
                <w:szCs w:val="18"/>
                <w:highlight w:val="none"/>
              </w:rPr>
            </w:pPr>
            <w:r>
              <w:rPr>
                <w:rFonts w:eastAsia="楷体"/>
                <w:color w:val="auto"/>
                <w:kern w:val="0"/>
                <w:sz w:val="18"/>
                <w:szCs w:val="18"/>
                <w:highlight w:val="none"/>
              </w:rPr>
              <w:t>设计洪水位(m)</w:t>
            </w:r>
          </w:p>
        </w:tc>
        <w:tc>
          <w:tcPr>
            <w:tcW w:w="1549" w:type="dxa"/>
            <w:tcBorders>
              <w:top w:val="single" w:color="000000" w:sz="4" w:space="0"/>
              <w:left w:val="single" w:color="000000" w:sz="4" w:space="0"/>
              <w:bottom w:val="single" w:color="000000" w:sz="4" w:space="0"/>
              <w:right w:val="single" w:color="000000" w:sz="4" w:space="0"/>
            </w:tcBorders>
            <w:vAlign w:val="center"/>
          </w:tcPr>
          <w:p w14:paraId="5BEA70C2">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28.56</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502A516A">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78161024">
            <w:pPr>
              <w:widowControl/>
              <w:jc w:val="center"/>
              <w:textAlignment w:val="center"/>
              <w:rPr>
                <w:rFonts w:eastAsia="楷体"/>
                <w:color w:val="auto"/>
                <w:sz w:val="18"/>
                <w:szCs w:val="18"/>
                <w:highlight w:val="none"/>
              </w:rPr>
            </w:pPr>
            <w:r>
              <w:rPr>
                <w:rFonts w:eastAsia="楷体"/>
                <w:color w:val="auto"/>
                <w:kern w:val="0"/>
                <w:sz w:val="18"/>
                <w:szCs w:val="18"/>
                <w:highlight w:val="none"/>
              </w:rPr>
              <w:t>最大坝高(m)</w:t>
            </w:r>
          </w:p>
        </w:tc>
        <w:tc>
          <w:tcPr>
            <w:tcW w:w="2307" w:type="dxa"/>
            <w:gridSpan w:val="3"/>
            <w:vMerge w:val="continue"/>
            <w:tcBorders>
              <w:top w:val="single" w:color="000000" w:sz="4" w:space="0"/>
              <w:left w:val="single" w:color="000000" w:sz="4" w:space="0"/>
              <w:bottom w:val="single" w:color="000000" w:sz="4" w:space="0"/>
              <w:right w:val="single" w:color="000000" w:sz="12" w:space="0"/>
            </w:tcBorders>
            <w:vAlign w:val="center"/>
          </w:tcPr>
          <w:p w14:paraId="6A42C3AF">
            <w:pPr>
              <w:jc w:val="center"/>
              <w:rPr>
                <w:rFonts w:eastAsia="楷体"/>
                <w:color w:val="auto"/>
                <w:sz w:val="18"/>
                <w:szCs w:val="18"/>
                <w:highlight w:val="none"/>
              </w:rPr>
            </w:pPr>
          </w:p>
        </w:tc>
      </w:tr>
      <w:tr w14:paraId="4133E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576F2FC3">
            <w:pPr>
              <w:widowControl/>
              <w:jc w:val="center"/>
              <w:textAlignment w:val="center"/>
              <w:rPr>
                <w:rFonts w:eastAsia="楷体"/>
                <w:color w:val="auto"/>
                <w:sz w:val="18"/>
                <w:szCs w:val="18"/>
                <w:highlight w:val="none"/>
              </w:rPr>
            </w:pPr>
            <w:r>
              <w:rPr>
                <w:rFonts w:eastAsia="楷体"/>
                <w:color w:val="auto"/>
                <w:kern w:val="0"/>
                <w:sz w:val="18"/>
                <w:szCs w:val="18"/>
                <w:highlight w:val="none"/>
              </w:rPr>
              <w:t>相应洪峰流量(m</w:t>
            </w:r>
            <w:r>
              <w:rPr>
                <w:rStyle w:val="31"/>
                <w:rFonts w:hint="default" w:eastAsia="楷体"/>
                <w:color w:val="auto"/>
                <w:sz w:val="18"/>
                <w:szCs w:val="18"/>
                <w:highlight w:val="none"/>
              </w:rPr>
              <w:t>3</w:t>
            </w:r>
            <w:r>
              <w:rPr>
                <w:rStyle w:val="36"/>
                <w:rFonts w:eastAsia="楷体"/>
                <w:color w:val="auto"/>
                <w:sz w:val="18"/>
                <w:szCs w:val="18"/>
                <w:highlight w:val="none"/>
              </w:rPr>
              <w:t>/s)</w:t>
            </w:r>
          </w:p>
        </w:tc>
        <w:tc>
          <w:tcPr>
            <w:tcW w:w="1549" w:type="dxa"/>
            <w:tcBorders>
              <w:top w:val="single" w:color="000000" w:sz="4" w:space="0"/>
              <w:left w:val="single" w:color="000000" w:sz="4" w:space="0"/>
              <w:bottom w:val="single" w:color="000000" w:sz="4" w:space="0"/>
              <w:right w:val="single" w:color="000000" w:sz="4" w:space="0"/>
            </w:tcBorders>
            <w:vAlign w:val="center"/>
          </w:tcPr>
          <w:p w14:paraId="68468002">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12.35</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4FE19D26">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38E977DC">
            <w:pPr>
              <w:widowControl/>
              <w:jc w:val="center"/>
              <w:textAlignment w:val="center"/>
              <w:rPr>
                <w:rFonts w:eastAsia="楷体"/>
                <w:color w:val="auto"/>
                <w:sz w:val="18"/>
                <w:szCs w:val="18"/>
                <w:highlight w:val="none"/>
              </w:rPr>
            </w:pPr>
            <w:r>
              <w:rPr>
                <w:rFonts w:eastAsia="楷体"/>
                <w:color w:val="auto"/>
                <w:kern w:val="0"/>
                <w:sz w:val="18"/>
                <w:szCs w:val="18"/>
                <w:highlight w:val="none"/>
              </w:rPr>
              <w:t>坝顶长度(m)</w:t>
            </w:r>
          </w:p>
        </w:tc>
        <w:tc>
          <w:tcPr>
            <w:tcW w:w="2307" w:type="dxa"/>
            <w:gridSpan w:val="3"/>
            <w:vMerge w:val="continue"/>
            <w:tcBorders>
              <w:top w:val="single" w:color="000000" w:sz="4" w:space="0"/>
              <w:left w:val="single" w:color="000000" w:sz="4" w:space="0"/>
              <w:bottom w:val="single" w:color="000000" w:sz="4" w:space="0"/>
              <w:right w:val="single" w:color="000000" w:sz="12" w:space="0"/>
            </w:tcBorders>
            <w:vAlign w:val="center"/>
          </w:tcPr>
          <w:p w14:paraId="6E02EBC4">
            <w:pPr>
              <w:jc w:val="center"/>
              <w:rPr>
                <w:rFonts w:eastAsia="楷体"/>
                <w:color w:val="auto"/>
                <w:sz w:val="18"/>
                <w:szCs w:val="18"/>
                <w:highlight w:val="none"/>
              </w:rPr>
            </w:pPr>
          </w:p>
        </w:tc>
      </w:tr>
      <w:tr w14:paraId="606F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2F8349FA">
            <w:pPr>
              <w:widowControl/>
              <w:jc w:val="center"/>
              <w:textAlignment w:val="center"/>
              <w:rPr>
                <w:rFonts w:eastAsia="楷体"/>
                <w:color w:val="auto"/>
                <w:sz w:val="18"/>
                <w:szCs w:val="18"/>
                <w:highlight w:val="none"/>
              </w:rPr>
            </w:pPr>
            <w:r>
              <w:rPr>
                <w:rFonts w:eastAsia="楷体"/>
                <w:color w:val="auto"/>
                <w:kern w:val="0"/>
                <w:sz w:val="18"/>
                <w:szCs w:val="18"/>
                <w:highlight w:val="none"/>
              </w:rPr>
              <w:t>相应洪水总量(万m</w:t>
            </w:r>
            <w:r>
              <w:rPr>
                <w:rStyle w:val="31"/>
                <w:rFonts w:hint="default" w:eastAsia="楷体"/>
                <w:color w:val="auto"/>
                <w:sz w:val="18"/>
                <w:szCs w:val="18"/>
                <w:highlight w:val="none"/>
              </w:rPr>
              <w:t>3</w:t>
            </w:r>
            <w:r>
              <w:rPr>
                <w:rStyle w:val="36"/>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08DB9144">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12.61</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23D16241">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1F85C67F">
            <w:pPr>
              <w:widowControl/>
              <w:jc w:val="center"/>
              <w:textAlignment w:val="center"/>
              <w:rPr>
                <w:rFonts w:eastAsia="楷体"/>
                <w:color w:val="auto"/>
                <w:sz w:val="18"/>
                <w:szCs w:val="18"/>
                <w:highlight w:val="none"/>
              </w:rPr>
            </w:pPr>
            <w:r>
              <w:rPr>
                <w:rFonts w:eastAsia="楷体"/>
                <w:color w:val="auto"/>
                <w:kern w:val="0"/>
                <w:sz w:val="18"/>
                <w:szCs w:val="18"/>
                <w:highlight w:val="none"/>
              </w:rPr>
              <w:t>坝顶宽度(m)</w:t>
            </w:r>
          </w:p>
        </w:tc>
        <w:tc>
          <w:tcPr>
            <w:tcW w:w="2307" w:type="dxa"/>
            <w:gridSpan w:val="3"/>
            <w:vMerge w:val="continue"/>
            <w:tcBorders>
              <w:top w:val="single" w:color="000000" w:sz="4" w:space="0"/>
              <w:left w:val="single" w:color="000000" w:sz="4" w:space="0"/>
              <w:bottom w:val="single" w:color="000000" w:sz="4" w:space="0"/>
              <w:right w:val="single" w:color="000000" w:sz="12" w:space="0"/>
            </w:tcBorders>
            <w:vAlign w:val="center"/>
          </w:tcPr>
          <w:p w14:paraId="17B3E8C1">
            <w:pPr>
              <w:jc w:val="center"/>
              <w:rPr>
                <w:rFonts w:eastAsia="楷体"/>
                <w:color w:val="auto"/>
                <w:sz w:val="18"/>
                <w:szCs w:val="18"/>
                <w:highlight w:val="none"/>
              </w:rPr>
            </w:pPr>
          </w:p>
        </w:tc>
      </w:tr>
      <w:tr w14:paraId="44BE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0ABE038D">
            <w:pPr>
              <w:widowControl/>
              <w:jc w:val="center"/>
              <w:textAlignment w:val="center"/>
              <w:rPr>
                <w:rFonts w:eastAsia="楷体"/>
                <w:color w:val="auto"/>
                <w:sz w:val="18"/>
                <w:szCs w:val="18"/>
                <w:highlight w:val="none"/>
              </w:rPr>
            </w:pPr>
            <w:r>
              <w:rPr>
                <w:rFonts w:eastAsia="楷体"/>
                <w:color w:val="auto"/>
                <w:kern w:val="0"/>
                <w:sz w:val="18"/>
                <w:szCs w:val="18"/>
                <w:highlight w:val="none"/>
              </w:rPr>
              <w:t>校核洪水位(m)</w:t>
            </w:r>
          </w:p>
        </w:tc>
        <w:tc>
          <w:tcPr>
            <w:tcW w:w="1549" w:type="dxa"/>
            <w:tcBorders>
              <w:top w:val="single" w:color="000000" w:sz="4" w:space="0"/>
              <w:left w:val="single" w:color="000000" w:sz="4" w:space="0"/>
              <w:bottom w:val="single" w:color="000000" w:sz="4" w:space="0"/>
              <w:right w:val="single" w:color="000000" w:sz="4" w:space="0"/>
            </w:tcBorders>
            <w:vAlign w:val="center"/>
          </w:tcPr>
          <w:p w14:paraId="6AF2DB0C">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28.81</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14:paraId="23296234">
            <w:pPr>
              <w:widowControl/>
              <w:jc w:val="center"/>
              <w:textAlignment w:val="center"/>
              <w:rPr>
                <w:rFonts w:eastAsia="楷体"/>
                <w:color w:val="auto"/>
                <w:sz w:val="18"/>
                <w:szCs w:val="18"/>
                <w:highlight w:val="none"/>
              </w:rPr>
            </w:pPr>
            <w:r>
              <w:rPr>
                <w:rFonts w:eastAsia="楷体"/>
                <w:color w:val="auto"/>
                <w:kern w:val="0"/>
                <w:sz w:val="18"/>
                <w:szCs w:val="18"/>
                <w:highlight w:val="none"/>
              </w:rPr>
              <w:t>溢洪道</w:t>
            </w:r>
          </w:p>
        </w:tc>
        <w:tc>
          <w:tcPr>
            <w:tcW w:w="1772" w:type="dxa"/>
            <w:tcBorders>
              <w:top w:val="single" w:color="000000" w:sz="4" w:space="0"/>
              <w:left w:val="single" w:color="000000" w:sz="4" w:space="0"/>
              <w:bottom w:val="single" w:color="000000" w:sz="4" w:space="0"/>
              <w:right w:val="single" w:color="000000" w:sz="4" w:space="0"/>
            </w:tcBorders>
            <w:vAlign w:val="center"/>
          </w:tcPr>
          <w:p w14:paraId="12D489C6">
            <w:pPr>
              <w:widowControl/>
              <w:jc w:val="center"/>
              <w:textAlignment w:val="center"/>
              <w:rPr>
                <w:rFonts w:eastAsia="楷体"/>
                <w:color w:val="auto"/>
                <w:sz w:val="18"/>
                <w:szCs w:val="18"/>
                <w:highlight w:val="none"/>
              </w:rPr>
            </w:pPr>
            <w:r>
              <w:rPr>
                <w:rFonts w:eastAsia="楷体"/>
                <w:color w:val="auto"/>
                <w:kern w:val="0"/>
                <w:sz w:val="18"/>
                <w:szCs w:val="18"/>
                <w:highlight w:val="none"/>
              </w:rPr>
              <w:t>型式</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11E594A9">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开敞式宽顶堰</w:t>
            </w:r>
          </w:p>
        </w:tc>
      </w:tr>
      <w:tr w14:paraId="579BF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7F24202C">
            <w:pPr>
              <w:widowControl/>
              <w:jc w:val="center"/>
              <w:textAlignment w:val="center"/>
              <w:rPr>
                <w:rFonts w:eastAsia="楷体"/>
                <w:color w:val="auto"/>
                <w:sz w:val="18"/>
                <w:szCs w:val="18"/>
                <w:highlight w:val="none"/>
              </w:rPr>
            </w:pPr>
            <w:r>
              <w:rPr>
                <w:rFonts w:eastAsia="楷体"/>
                <w:color w:val="auto"/>
                <w:kern w:val="0"/>
                <w:sz w:val="18"/>
                <w:szCs w:val="18"/>
                <w:highlight w:val="none"/>
              </w:rPr>
              <w:t>相应洪峰流量(m</w:t>
            </w:r>
            <w:r>
              <w:rPr>
                <w:rStyle w:val="31"/>
                <w:rFonts w:hint="default" w:eastAsia="楷体"/>
                <w:color w:val="auto"/>
                <w:sz w:val="18"/>
                <w:szCs w:val="18"/>
                <w:highlight w:val="none"/>
              </w:rPr>
              <w:t>3</w:t>
            </w:r>
            <w:r>
              <w:rPr>
                <w:rStyle w:val="36"/>
                <w:rFonts w:eastAsia="楷体"/>
                <w:color w:val="auto"/>
                <w:sz w:val="18"/>
                <w:szCs w:val="18"/>
                <w:highlight w:val="none"/>
              </w:rPr>
              <w:t>/s)</w:t>
            </w:r>
          </w:p>
        </w:tc>
        <w:tc>
          <w:tcPr>
            <w:tcW w:w="1549" w:type="dxa"/>
            <w:tcBorders>
              <w:top w:val="single" w:color="000000" w:sz="4" w:space="0"/>
              <w:left w:val="single" w:color="000000" w:sz="4" w:space="0"/>
              <w:bottom w:val="single" w:color="000000" w:sz="4" w:space="0"/>
              <w:right w:val="single" w:color="000000" w:sz="4" w:space="0"/>
            </w:tcBorders>
            <w:vAlign w:val="center"/>
          </w:tcPr>
          <w:p w14:paraId="58A711C5">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20.64</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11A8BE8F">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69B9F6BE">
            <w:pPr>
              <w:widowControl/>
              <w:jc w:val="center"/>
              <w:textAlignment w:val="center"/>
              <w:rPr>
                <w:rFonts w:eastAsia="楷体"/>
                <w:color w:val="auto"/>
                <w:sz w:val="18"/>
                <w:szCs w:val="18"/>
                <w:highlight w:val="none"/>
              </w:rPr>
            </w:pPr>
            <w:r>
              <w:rPr>
                <w:rFonts w:eastAsia="楷体"/>
                <w:color w:val="auto"/>
                <w:kern w:val="0"/>
                <w:sz w:val="18"/>
                <w:szCs w:val="18"/>
                <w:highlight w:val="none"/>
              </w:rPr>
              <w:t>堰顶高程(m)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4CF46DC3">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28.04</w:t>
            </w:r>
          </w:p>
        </w:tc>
      </w:tr>
      <w:tr w14:paraId="1308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631D00DF">
            <w:pPr>
              <w:widowControl/>
              <w:jc w:val="center"/>
              <w:textAlignment w:val="center"/>
              <w:rPr>
                <w:rFonts w:eastAsia="楷体"/>
                <w:color w:val="auto"/>
                <w:sz w:val="18"/>
                <w:szCs w:val="18"/>
                <w:highlight w:val="none"/>
              </w:rPr>
            </w:pPr>
            <w:r>
              <w:rPr>
                <w:rFonts w:eastAsia="楷体"/>
                <w:color w:val="auto"/>
                <w:kern w:val="0"/>
                <w:sz w:val="18"/>
                <w:szCs w:val="18"/>
                <w:highlight w:val="none"/>
              </w:rPr>
              <w:t>相应洪水总量(万m</w:t>
            </w:r>
            <w:r>
              <w:rPr>
                <w:rStyle w:val="31"/>
                <w:rFonts w:hint="default" w:eastAsia="楷体"/>
                <w:color w:val="auto"/>
                <w:sz w:val="18"/>
                <w:szCs w:val="18"/>
                <w:highlight w:val="none"/>
              </w:rPr>
              <w:t>3</w:t>
            </w:r>
            <w:r>
              <w:rPr>
                <w:rStyle w:val="36"/>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45292376">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20.01</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5F106A64">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30B27380">
            <w:pPr>
              <w:widowControl/>
              <w:jc w:val="center"/>
              <w:textAlignment w:val="center"/>
              <w:rPr>
                <w:rFonts w:eastAsia="楷体"/>
                <w:color w:val="auto"/>
                <w:sz w:val="18"/>
                <w:szCs w:val="18"/>
                <w:highlight w:val="none"/>
              </w:rPr>
            </w:pPr>
            <w:r>
              <w:rPr>
                <w:rFonts w:eastAsia="楷体"/>
                <w:color w:val="auto"/>
                <w:kern w:val="0"/>
                <w:sz w:val="18"/>
                <w:szCs w:val="18"/>
                <w:highlight w:val="none"/>
              </w:rPr>
              <w:t>净宽(m)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4933E80D">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5.0</w:t>
            </w:r>
          </w:p>
        </w:tc>
      </w:tr>
      <w:tr w14:paraId="1272C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3F6ECDD2">
            <w:pPr>
              <w:widowControl/>
              <w:jc w:val="center"/>
              <w:textAlignment w:val="center"/>
              <w:rPr>
                <w:rFonts w:eastAsia="楷体"/>
                <w:color w:val="auto"/>
                <w:sz w:val="18"/>
                <w:szCs w:val="18"/>
                <w:highlight w:val="none"/>
              </w:rPr>
            </w:pPr>
            <w:r>
              <w:rPr>
                <w:rFonts w:eastAsia="楷体"/>
                <w:color w:val="auto"/>
                <w:kern w:val="0"/>
                <w:sz w:val="18"/>
                <w:szCs w:val="18"/>
                <w:highlight w:val="none"/>
              </w:rPr>
              <w:t>地震基本烈度</w:t>
            </w:r>
          </w:p>
        </w:tc>
        <w:tc>
          <w:tcPr>
            <w:tcW w:w="1549" w:type="dxa"/>
            <w:tcBorders>
              <w:top w:val="single" w:color="000000" w:sz="4" w:space="0"/>
              <w:left w:val="single" w:color="000000" w:sz="4" w:space="0"/>
              <w:bottom w:val="single" w:color="000000" w:sz="4" w:space="0"/>
              <w:right w:val="single" w:color="000000" w:sz="4" w:space="0"/>
            </w:tcBorders>
            <w:vAlign w:val="center"/>
          </w:tcPr>
          <w:p w14:paraId="48A0CFF1">
            <w:pPr>
              <w:widowControl/>
              <w:jc w:val="center"/>
              <w:textAlignment w:val="center"/>
              <w:rPr>
                <w:rFonts w:eastAsia="楷体"/>
                <w:color w:val="auto"/>
                <w:sz w:val="18"/>
                <w:szCs w:val="18"/>
                <w:highlight w:val="none"/>
              </w:rPr>
            </w:pPr>
            <w:r>
              <w:rPr>
                <w:rFonts w:eastAsia="楷体"/>
                <w:color w:val="auto"/>
                <w:kern w:val="0"/>
                <w:sz w:val="18"/>
                <w:szCs w:val="18"/>
                <w:highlight w:val="none"/>
              </w:rPr>
              <w:t>VII</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16D499AB">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636FB158">
            <w:pPr>
              <w:widowControl/>
              <w:jc w:val="center"/>
              <w:textAlignment w:val="center"/>
              <w:rPr>
                <w:rFonts w:eastAsia="楷体"/>
                <w:color w:val="auto"/>
                <w:sz w:val="18"/>
                <w:szCs w:val="18"/>
                <w:highlight w:val="none"/>
              </w:rPr>
            </w:pPr>
            <w:r>
              <w:rPr>
                <w:rFonts w:eastAsia="楷体"/>
                <w:color w:val="auto"/>
                <w:kern w:val="0"/>
                <w:sz w:val="18"/>
                <w:szCs w:val="18"/>
                <w:highlight w:val="none"/>
              </w:rPr>
              <w:t>最大下泄流量(m</w:t>
            </w:r>
            <w:r>
              <w:rPr>
                <w:rStyle w:val="31"/>
                <w:rFonts w:hint="default" w:eastAsia="楷体"/>
                <w:color w:val="auto"/>
                <w:sz w:val="18"/>
                <w:szCs w:val="18"/>
                <w:highlight w:val="none"/>
              </w:rPr>
              <w:t>3</w:t>
            </w:r>
            <w:r>
              <w:rPr>
                <w:rStyle w:val="36"/>
                <w:rFonts w:eastAsia="楷体"/>
                <w:color w:val="auto"/>
                <w:sz w:val="18"/>
                <w:szCs w:val="18"/>
                <w:highlight w:val="none"/>
              </w:rPr>
              <w:t>/s)</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62123A10">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10.61</w:t>
            </w:r>
          </w:p>
        </w:tc>
      </w:tr>
      <w:tr w14:paraId="06429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81" w:type="dxa"/>
            <w:gridSpan w:val="3"/>
            <w:tcBorders>
              <w:top w:val="single" w:color="000000" w:sz="4" w:space="0"/>
              <w:left w:val="single" w:color="000000" w:sz="12" w:space="0"/>
              <w:bottom w:val="single" w:color="000000" w:sz="4" w:space="0"/>
              <w:right w:val="single" w:color="000000" w:sz="4" w:space="0"/>
            </w:tcBorders>
            <w:vAlign w:val="center"/>
          </w:tcPr>
          <w:p w14:paraId="5A5AE80C">
            <w:pPr>
              <w:widowControl/>
              <w:jc w:val="center"/>
              <w:textAlignment w:val="center"/>
              <w:rPr>
                <w:rFonts w:eastAsia="楷体"/>
                <w:color w:val="auto"/>
                <w:sz w:val="18"/>
                <w:szCs w:val="18"/>
                <w:highlight w:val="none"/>
              </w:rPr>
            </w:pPr>
            <w:r>
              <w:rPr>
                <w:rFonts w:eastAsia="楷体"/>
                <w:color w:val="auto"/>
                <w:kern w:val="0"/>
                <w:sz w:val="18"/>
                <w:szCs w:val="18"/>
                <w:highlight w:val="none"/>
              </w:rPr>
              <w:t>设计抗震烈度</w:t>
            </w:r>
          </w:p>
        </w:tc>
        <w:tc>
          <w:tcPr>
            <w:tcW w:w="1549" w:type="dxa"/>
            <w:tcBorders>
              <w:top w:val="single" w:color="000000" w:sz="4" w:space="0"/>
              <w:left w:val="single" w:color="000000" w:sz="4" w:space="0"/>
              <w:bottom w:val="single" w:color="000000" w:sz="4" w:space="0"/>
              <w:right w:val="single" w:color="000000" w:sz="4" w:space="0"/>
            </w:tcBorders>
            <w:vAlign w:val="center"/>
          </w:tcPr>
          <w:p w14:paraId="17E6A230">
            <w:pPr>
              <w:widowControl/>
              <w:jc w:val="center"/>
              <w:textAlignment w:val="center"/>
              <w:rPr>
                <w:rFonts w:eastAsia="楷体"/>
                <w:color w:val="auto"/>
                <w:sz w:val="18"/>
                <w:szCs w:val="18"/>
                <w:highlight w:val="none"/>
              </w:rPr>
            </w:pPr>
            <w:r>
              <w:rPr>
                <w:rFonts w:eastAsia="楷体"/>
                <w:color w:val="auto"/>
                <w:kern w:val="0"/>
                <w:sz w:val="18"/>
                <w:szCs w:val="18"/>
                <w:highlight w:val="none"/>
              </w:rPr>
              <w:t>VII</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6D69C733">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5C748835">
            <w:pPr>
              <w:widowControl/>
              <w:jc w:val="center"/>
              <w:textAlignment w:val="center"/>
              <w:rPr>
                <w:rFonts w:eastAsia="楷体"/>
                <w:color w:val="auto"/>
                <w:sz w:val="18"/>
                <w:szCs w:val="18"/>
                <w:highlight w:val="none"/>
              </w:rPr>
            </w:pPr>
            <w:r>
              <w:rPr>
                <w:rFonts w:eastAsia="楷体"/>
                <w:color w:val="auto"/>
                <w:kern w:val="0"/>
                <w:sz w:val="18"/>
                <w:szCs w:val="18"/>
                <w:highlight w:val="none"/>
              </w:rPr>
              <w:t>最大单宽流量(m</w:t>
            </w:r>
            <w:r>
              <w:rPr>
                <w:rStyle w:val="31"/>
                <w:rFonts w:hint="default" w:eastAsia="楷体"/>
                <w:color w:val="auto"/>
                <w:sz w:val="18"/>
                <w:szCs w:val="18"/>
                <w:highlight w:val="none"/>
              </w:rPr>
              <w:t>3</w:t>
            </w:r>
            <w:r>
              <w:rPr>
                <w:rStyle w:val="36"/>
                <w:rFonts w:eastAsia="楷体"/>
                <w:color w:val="auto"/>
                <w:sz w:val="18"/>
                <w:szCs w:val="18"/>
                <w:highlight w:val="none"/>
              </w:rPr>
              <w:t>/s.m)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107B681F">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2.12</w:t>
            </w:r>
          </w:p>
        </w:tc>
      </w:tr>
      <w:tr w14:paraId="18337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restart"/>
            <w:tcBorders>
              <w:top w:val="single" w:color="000000" w:sz="4" w:space="0"/>
              <w:left w:val="single" w:color="000000" w:sz="12" w:space="0"/>
              <w:bottom w:val="single" w:color="000000" w:sz="4" w:space="0"/>
              <w:right w:val="single" w:color="000000" w:sz="4" w:space="0"/>
            </w:tcBorders>
            <w:vAlign w:val="center"/>
          </w:tcPr>
          <w:p w14:paraId="1D3A746A">
            <w:pPr>
              <w:widowControl/>
              <w:jc w:val="center"/>
              <w:textAlignment w:val="center"/>
              <w:rPr>
                <w:rFonts w:eastAsia="楷体"/>
                <w:color w:val="auto"/>
                <w:sz w:val="18"/>
                <w:szCs w:val="18"/>
                <w:highlight w:val="none"/>
              </w:rPr>
            </w:pPr>
            <w:r>
              <w:rPr>
                <w:rFonts w:eastAsia="楷体"/>
                <w:color w:val="auto"/>
                <w:kern w:val="0"/>
                <w:sz w:val="18"/>
                <w:szCs w:val="18"/>
                <w:highlight w:val="none"/>
              </w:rPr>
              <w:t>库容特性</w:t>
            </w: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6DBCF0F2">
            <w:pPr>
              <w:widowControl/>
              <w:jc w:val="center"/>
              <w:textAlignment w:val="center"/>
              <w:rPr>
                <w:rFonts w:eastAsia="楷体"/>
                <w:color w:val="auto"/>
                <w:sz w:val="18"/>
                <w:szCs w:val="18"/>
                <w:highlight w:val="none"/>
              </w:rPr>
            </w:pPr>
            <w:r>
              <w:rPr>
                <w:rFonts w:eastAsia="楷体"/>
                <w:color w:val="auto"/>
                <w:kern w:val="0"/>
                <w:sz w:val="18"/>
                <w:szCs w:val="18"/>
                <w:highlight w:val="none"/>
              </w:rPr>
              <w:t>总库容(万m</w:t>
            </w:r>
            <w:r>
              <w:rPr>
                <w:rStyle w:val="31"/>
                <w:rFonts w:hint="default" w:eastAsia="楷体"/>
                <w:color w:val="auto"/>
                <w:sz w:val="18"/>
                <w:szCs w:val="18"/>
                <w:highlight w:val="none"/>
              </w:rPr>
              <w:t>3</w:t>
            </w:r>
            <w:r>
              <w:rPr>
                <w:rStyle w:val="36"/>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65FEB2F2">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30.87</w:t>
            </w: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14:paraId="64DF3343">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4342861F">
            <w:pPr>
              <w:widowControl/>
              <w:jc w:val="center"/>
              <w:textAlignment w:val="center"/>
              <w:rPr>
                <w:rFonts w:eastAsia="楷体"/>
                <w:color w:val="auto"/>
                <w:sz w:val="18"/>
                <w:szCs w:val="18"/>
                <w:highlight w:val="none"/>
              </w:rPr>
            </w:pPr>
            <w:r>
              <w:rPr>
                <w:rFonts w:eastAsia="楷体"/>
                <w:color w:val="auto"/>
                <w:kern w:val="0"/>
                <w:sz w:val="18"/>
                <w:szCs w:val="18"/>
                <w:highlight w:val="none"/>
              </w:rPr>
              <w:t>消能型式</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1497FDF5">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w:t>
            </w:r>
          </w:p>
        </w:tc>
      </w:tr>
      <w:tr w14:paraId="7239F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4" w:space="0"/>
              <w:right w:val="single" w:color="000000" w:sz="4" w:space="0"/>
            </w:tcBorders>
            <w:vAlign w:val="center"/>
          </w:tcPr>
          <w:p w14:paraId="0CBCA54A">
            <w:pPr>
              <w:jc w:val="center"/>
              <w:rPr>
                <w:rFonts w:eastAsia="楷体"/>
                <w:color w:val="auto"/>
                <w:sz w:val="18"/>
                <w:szCs w:val="18"/>
                <w:highlight w:val="none"/>
              </w:rPr>
            </w:pP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5104599D">
            <w:pPr>
              <w:widowControl/>
              <w:jc w:val="center"/>
              <w:textAlignment w:val="center"/>
              <w:rPr>
                <w:rFonts w:eastAsia="楷体"/>
                <w:color w:val="auto"/>
                <w:sz w:val="18"/>
                <w:szCs w:val="18"/>
                <w:highlight w:val="none"/>
              </w:rPr>
            </w:pPr>
            <w:r>
              <w:rPr>
                <w:rFonts w:eastAsia="楷体"/>
                <w:color w:val="auto"/>
                <w:kern w:val="0"/>
                <w:sz w:val="18"/>
                <w:szCs w:val="18"/>
                <w:highlight w:val="none"/>
              </w:rPr>
              <w:t>调洪库容(万m</w:t>
            </w:r>
            <w:r>
              <w:rPr>
                <w:rStyle w:val="31"/>
                <w:rFonts w:hint="default" w:eastAsia="楷体"/>
                <w:color w:val="auto"/>
                <w:sz w:val="18"/>
                <w:szCs w:val="18"/>
                <w:highlight w:val="none"/>
              </w:rPr>
              <w:t>3</w:t>
            </w:r>
            <w:r>
              <w:rPr>
                <w:rStyle w:val="36"/>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1B497705">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3.95</w:t>
            </w:r>
          </w:p>
        </w:tc>
        <w:tc>
          <w:tcPr>
            <w:tcW w:w="809" w:type="dxa"/>
            <w:vMerge w:val="restart"/>
            <w:tcBorders>
              <w:top w:val="single" w:color="000000" w:sz="4" w:space="0"/>
              <w:left w:val="single" w:color="000000" w:sz="4" w:space="0"/>
              <w:bottom w:val="single" w:color="000000" w:sz="12" w:space="0"/>
              <w:right w:val="single" w:color="000000" w:sz="4" w:space="0"/>
            </w:tcBorders>
            <w:vAlign w:val="center"/>
          </w:tcPr>
          <w:p w14:paraId="5495CDA1">
            <w:pPr>
              <w:widowControl/>
              <w:jc w:val="center"/>
              <w:textAlignment w:val="center"/>
              <w:rPr>
                <w:rFonts w:eastAsia="楷体"/>
                <w:color w:val="auto"/>
                <w:sz w:val="18"/>
                <w:szCs w:val="18"/>
                <w:highlight w:val="none"/>
              </w:rPr>
            </w:pPr>
            <w:r>
              <w:rPr>
                <w:rFonts w:eastAsia="楷体"/>
                <w:color w:val="auto"/>
                <w:kern w:val="0"/>
                <w:sz w:val="18"/>
                <w:szCs w:val="18"/>
                <w:highlight w:val="none"/>
              </w:rPr>
              <w:t>取水建筑物</w:t>
            </w:r>
          </w:p>
        </w:tc>
        <w:tc>
          <w:tcPr>
            <w:tcW w:w="1772" w:type="dxa"/>
            <w:tcBorders>
              <w:top w:val="single" w:color="000000" w:sz="4" w:space="0"/>
              <w:left w:val="single" w:color="000000" w:sz="4" w:space="0"/>
              <w:bottom w:val="single" w:color="000000" w:sz="4" w:space="0"/>
              <w:right w:val="single" w:color="000000" w:sz="4" w:space="0"/>
            </w:tcBorders>
            <w:vAlign w:val="center"/>
          </w:tcPr>
          <w:p w14:paraId="149C9645">
            <w:pPr>
              <w:widowControl/>
              <w:jc w:val="center"/>
              <w:textAlignment w:val="center"/>
              <w:rPr>
                <w:rFonts w:eastAsia="楷体"/>
                <w:color w:val="auto"/>
                <w:sz w:val="18"/>
                <w:szCs w:val="18"/>
                <w:highlight w:val="none"/>
              </w:rPr>
            </w:pPr>
            <w:r>
              <w:rPr>
                <w:rFonts w:eastAsia="楷体"/>
                <w:color w:val="auto"/>
                <w:kern w:val="0"/>
                <w:sz w:val="18"/>
                <w:szCs w:val="18"/>
                <w:highlight w:val="none"/>
              </w:rPr>
              <w:t>型式</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47BE7A91">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无压箱涵</w:t>
            </w:r>
          </w:p>
        </w:tc>
      </w:tr>
      <w:tr w14:paraId="1D5F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4" w:space="0"/>
              <w:right w:val="single" w:color="000000" w:sz="4" w:space="0"/>
            </w:tcBorders>
            <w:vAlign w:val="center"/>
          </w:tcPr>
          <w:p w14:paraId="7B58417C">
            <w:pPr>
              <w:jc w:val="center"/>
              <w:rPr>
                <w:rFonts w:eastAsia="楷体"/>
                <w:color w:val="auto"/>
                <w:sz w:val="18"/>
                <w:szCs w:val="18"/>
                <w:highlight w:val="none"/>
              </w:rPr>
            </w:pP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217BB8F1">
            <w:pPr>
              <w:widowControl/>
              <w:jc w:val="center"/>
              <w:textAlignment w:val="center"/>
              <w:rPr>
                <w:rFonts w:eastAsia="楷体"/>
                <w:color w:val="auto"/>
                <w:sz w:val="18"/>
                <w:szCs w:val="18"/>
                <w:highlight w:val="none"/>
              </w:rPr>
            </w:pPr>
            <w:r>
              <w:rPr>
                <w:rFonts w:eastAsia="楷体"/>
                <w:color w:val="auto"/>
                <w:kern w:val="0"/>
                <w:sz w:val="18"/>
                <w:szCs w:val="18"/>
                <w:highlight w:val="none"/>
              </w:rPr>
              <w:t>兴利库容(万m</w:t>
            </w:r>
            <w:r>
              <w:rPr>
                <w:rStyle w:val="31"/>
                <w:rFonts w:hint="default" w:eastAsia="楷体"/>
                <w:color w:val="auto"/>
                <w:sz w:val="18"/>
                <w:szCs w:val="18"/>
                <w:highlight w:val="none"/>
              </w:rPr>
              <w:t>3</w:t>
            </w:r>
            <w:r>
              <w:rPr>
                <w:rStyle w:val="36"/>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3BA09F11">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22.82</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68E9C3BC">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051742C9">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长度</w:t>
            </w:r>
            <w:r>
              <w:rPr>
                <w:rFonts w:eastAsia="楷体"/>
                <w:color w:val="auto"/>
                <w:kern w:val="0"/>
                <w:sz w:val="18"/>
                <w:szCs w:val="18"/>
                <w:highlight w:val="none"/>
              </w:rPr>
              <w:t>(m)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5A3DE196">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35</w:t>
            </w:r>
          </w:p>
        </w:tc>
      </w:tr>
      <w:tr w14:paraId="489FE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4" w:space="0"/>
              <w:right w:val="single" w:color="000000" w:sz="4" w:space="0"/>
            </w:tcBorders>
            <w:vAlign w:val="center"/>
          </w:tcPr>
          <w:p w14:paraId="0F7730AF">
            <w:pPr>
              <w:jc w:val="center"/>
              <w:rPr>
                <w:rFonts w:eastAsia="楷体"/>
                <w:color w:val="auto"/>
                <w:sz w:val="18"/>
                <w:szCs w:val="18"/>
                <w:highlight w:val="none"/>
              </w:rPr>
            </w:pP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66FAC750">
            <w:pPr>
              <w:widowControl/>
              <w:jc w:val="center"/>
              <w:textAlignment w:val="center"/>
              <w:rPr>
                <w:rFonts w:eastAsia="楷体"/>
                <w:color w:val="auto"/>
                <w:sz w:val="18"/>
                <w:szCs w:val="18"/>
                <w:highlight w:val="none"/>
              </w:rPr>
            </w:pPr>
            <w:r>
              <w:rPr>
                <w:rFonts w:eastAsia="楷体"/>
                <w:color w:val="auto"/>
                <w:kern w:val="0"/>
                <w:sz w:val="18"/>
                <w:szCs w:val="18"/>
                <w:highlight w:val="none"/>
              </w:rPr>
              <w:t>死库容(万m</w:t>
            </w:r>
            <w:r>
              <w:rPr>
                <w:rStyle w:val="31"/>
                <w:rFonts w:hint="default" w:eastAsia="楷体"/>
                <w:color w:val="auto"/>
                <w:sz w:val="18"/>
                <w:szCs w:val="18"/>
                <w:highlight w:val="none"/>
              </w:rPr>
              <w:t>3</w:t>
            </w:r>
            <w:r>
              <w:rPr>
                <w:rStyle w:val="36"/>
                <w:rFonts w:eastAsia="楷体"/>
                <w:color w:val="auto"/>
                <w:sz w:val="18"/>
                <w:szCs w:val="18"/>
                <w:highlight w:val="none"/>
              </w:rPr>
              <w:t>)</w:t>
            </w:r>
          </w:p>
        </w:tc>
        <w:tc>
          <w:tcPr>
            <w:tcW w:w="1549" w:type="dxa"/>
            <w:tcBorders>
              <w:top w:val="single" w:color="000000" w:sz="4" w:space="0"/>
              <w:left w:val="single" w:color="000000" w:sz="4" w:space="0"/>
              <w:bottom w:val="single" w:color="000000" w:sz="4" w:space="0"/>
              <w:right w:val="single" w:color="000000" w:sz="4" w:space="0"/>
            </w:tcBorders>
            <w:vAlign w:val="center"/>
          </w:tcPr>
          <w:p w14:paraId="1AD9AE1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4.10</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2D3692B7">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096DB774">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断面尺寸</w:t>
            </w:r>
            <w:r>
              <w:rPr>
                <w:rFonts w:eastAsia="楷体"/>
                <w:color w:val="auto"/>
                <w:kern w:val="0"/>
                <w:sz w:val="18"/>
                <w:szCs w:val="18"/>
                <w:highlight w:val="none"/>
              </w:rPr>
              <w:t>(m)</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59F99AD9">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0.5×0.8</w:t>
            </w:r>
          </w:p>
        </w:tc>
      </w:tr>
      <w:tr w14:paraId="1C32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restart"/>
            <w:tcBorders>
              <w:top w:val="single" w:color="000000" w:sz="4" w:space="0"/>
              <w:left w:val="single" w:color="000000" w:sz="12" w:space="0"/>
              <w:bottom w:val="single" w:color="000000" w:sz="12" w:space="0"/>
              <w:right w:val="single" w:color="000000" w:sz="4" w:space="0"/>
            </w:tcBorders>
            <w:vAlign w:val="center"/>
          </w:tcPr>
          <w:p w14:paraId="52315C0D">
            <w:pPr>
              <w:widowControl/>
              <w:jc w:val="center"/>
              <w:textAlignment w:val="center"/>
              <w:rPr>
                <w:rFonts w:eastAsia="楷体"/>
                <w:color w:val="auto"/>
                <w:sz w:val="18"/>
                <w:szCs w:val="18"/>
                <w:highlight w:val="none"/>
              </w:rPr>
            </w:pPr>
            <w:r>
              <w:rPr>
                <w:rFonts w:eastAsia="楷体"/>
                <w:color w:val="auto"/>
                <w:kern w:val="0"/>
                <w:sz w:val="18"/>
                <w:szCs w:val="18"/>
                <w:highlight w:val="none"/>
              </w:rPr>
              <w:t>工程效益</w:t>
            </w: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23C9F89D">
            <w:pPr>
              <w:widowControl/>
              <w:jc w:val="center"/>
              <w:textAlignment w:val="center"/>
              <w:rPr>
                <w:rFonts w:eastAsia="楷体"/>
                <w:color w:val="auto"/>
                <w:sz w:val="18"/>
                <w:szCs w:val="18"/>
                <w:highlight w:val="none"/>
              </w:rPr>
            </w:pPr>
            <w:r>
              <w:rPr>
                <w:rFonts w:eastAsia="楷体"/>
                <w:color w:val="auto"/>
                <w:kern w:val="0"/>
                <w:sz w:val="18"/>
                <w:szCs w:val="18"/>
                <w:highlight w:val="none"/>
              </w:rPr>
              <w:t>有效灌溉面积（亩）</w:t>
            </w:r>
          </w:p>
        </w:tc>
        <w:tc>
          <w:tcPr>
            <w:tcW w:w="1549" w:type="dxa"/>
            <w:tcBorders>
              <w:top w:val="single" w:color="000000" w:sz="4" w:space="0"/>
              <w:left w:val="single" w:color="000000" w:sz="4" w:space="0"/>
              <w:bottom w:val="single" w:color="000000" w:sz="4" w:space="0"/>
              <w:right w:val="single" w:color="000000" w:sz="4" w:space="0"/>
            </w:tcBorders>
            <w:vAlign w:val="center"/>
          </w:tcPr>
          <w:p w14:paraId="72B56F59">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700</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16DB4AE3">
            <w:pPr>
              <w:jc w:val="center"/>
              <w:rPr>
                <w:rFonts w:eastAsia="楷体"/>
                <w:color w:val="auto"/>
                <w:sz w:val="18"/>
                <w:szCs w:val="18"/>
                <w:highlight w:val="none"/>
              </w:rPr>
            </w:pPr>
          </w:p>
        </w:tc>
        <w:tc>
          <w:tcPr>
            <w:tcW w:w="1772" w:type="dxa"/>
            <w:tcBorders>
              <w:top w:val="single" w:color="000000" w:sz="4" w:space="0"/>
              <w:left w:val="single" w:color="000000" w:sz="4" w:space="0"/>
              <w:bottom w:val="single" w:color="auto" w:sz="4" w:space="0"/>
              <w:right w:val="single" w:color="000000" w:sz="4" w:space="0"/>
            </w:tcBorders>
            <w:vAlign w:val="center"/>
          </w:tcPr>
          <w:p w14:paraId="344BC5A1">
            <w:pPr>
              <w:widowControl/>
              <w:jc w:val="center"/>
              <w:textAlignment w:val="center"/>
              <w:rPr>
                <w:rFonts w:eastAsia="楷体"/>
                <w:color w:val="auto"/>
                <w:sz w:val="18"/>
                <w:szCs w:val="18"/>
                <w:highlight w:val="none"/>
              </w:rPr>
            </w:pPr>
            <w:r>
              <w:rPr>
                <w:rFonts w:hint="eastAsia" w:eastAsia="楷体"/>
                <w:color w:val="auto"/>
                <w:sz w:val="18"/>
                <w:szCs w:val="18"/>
                <w:highlight w:val="none"/>
              </w:rPr>
              <w:t>进口底高程(m)</w:t>
            </w:r>
          </w:p>
        </w:tc>
        <w:tc>
          <w:tcPr>
            <w:tcW w:w="2307" w:type="dxa"/>
            <w:gridSpan w:val="3"/>
            <w:tcBorders>
              <w:top w:val="single" w:color="000000" w:sz="4" w:space="0"/>
              <w:left w:val="single" w:color="000000" w:sz="4" w:space="0"/>
              <w:bottom w:val="single" w:color="auto" w:sz="4" w:space="0"/>
              <w:right w:val="single" w:color="000000" w:sz="12" w:space="0"/>
            </w:tcBorders>
            <w:vAlign w:val="center"/>
          </w:tcPr>
          <w:p w14:paraId="580E26AF">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21.70</w:t>
            </w:r>
          </w:p>
        </w:tc>
      </w:tr>
      <w:tr w14:paraId="512FE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12" w:space="0"/>
              <w:right w:val="single" w:color="000000" w:sz="4" w:space="0"/>
            </w:tcBorders>
            <w:vAlign w:val="center"/>
          </w:tcPr>
          <w:p w14:paraId="2F6BE0AF">
            <w:pPr>
              <w:jc w:val="center"/>
              <w:rPr>
                <w:rFonts w:eastAsia="楷体"/>
                <w:color w:val="auto"/>
                <w:sz w:val="18"/>
                <w:szCs w:val="18"/>
                <w:highlight w:val="none"/>
              </w:rPr>
            </w:pP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11AB7673">
            <w:pPr>
              <w:widowControl/>
              <w:jc w:val="center"/>
              <w:textAlignment w:val="center"/>
              <w:rPr>
                <w:rFonts w:eastAsia="楷体"/>
                <w:color w:val="auto"/>
                <w:sz w:val="18"/>
                <w:szCs w:val="18"/>
                <w:highlight w:val="none"/>
              </w:rPr>
            </w:pPr>
            <w:r>
              <w:rPr>
                <w:rFonts w:eastAsia="楷体"/>
                <w:color w:val="auto"/>
                <w:kern w:val="0"/>
                <w:sz w:val="18"/>
                <w:szCs w:val="18"/>
                <w:highlight w:val="none"/>
              </w:rPr>
              <w:t>设计灌溉面积（亩）</w:t>
            </w:r>
          </w:p>
        </w:tc>
        <w:tc>
          <w:tcPr>
            <w:tcW w:w="1549" w:type="dxa"/>
            <w:tcBorders>
              <w:top w:val="single" w:color="000000" w:sz="4" w:space="0"/>
              <w:left w:val="single" w:color="000000" w:sz="4" w:space="0"/>
              <w:bottom w:val="single" w:color="000000" w:sz="4" w:space="0"/>
              <w:right w:val="single" w:color="000000" w:sz="4" w:space="0"/>
            </w:tcBorders>
            <w:vAlign w:val="center"/>
          </w:tcPr>
          <w:p w14:paraId="3BB53191">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700</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46B6CFE4">
            <w:pPr>
              <w:jc w:val="center"/>
              <w:rPr>
                <w:rFonts w:eastAsia="楷体"/>
                <w:color w:val="auto"/>
                <w:sz w:val="18"/>
                <w:szCs w:val="18"/>
                <w:highlight w:val="none"/>
              </w:rPr>
            </w:pPr>
          </w:p>
        </w:tc>
        <w:tc>
          <w:tcPr>
            <w:tcW w:w="1772" w:type="dxa"/>
            <w:tcBorders>
              <w:top w:val="single" w:color="auto" w:sz="4" w:space="0"/>
              <w:left w:val="single" w:color="000000" w:sz="4" w:space="0"/>
              <w:bottom w:val="single" w:color="auto" w:sz="4" w:space="0"/>
              <w:right w:val="single" w:color="000000" w:sz="4" w:space="0"/>
            </w:tcBorders>
            <w:vAlign w:val="center"/>
          </w:tcPr>
          <w:p w14:paraId="2EF3998D">
            <w:pPr>
              <w:jc w:val="center"/>
              <w:rPr>
                <w:rFonts w:eastAsia="楷体"/>
                <w:color w:val="auto"/>
                <w:sz w:val="18"/>
                <w:szCs w:val="18"/>
                <w:highlight w:val="none"/>
              </w:rPr>
            </w:pPr>
            <w:r>
              <w:rPr>
                <w:rFonts w:hint="eastAsia" w:eastAsia="楷体"/>
                <w:color w:val="auto"/>
                <w:sz w:val="18"/>
                <w:szCs w:val="18"/>
                <w:highlight w:val="none"/>
              </w:rPr>
              <w:t>出口底高程(m)</w:t>
            </w:r>
          </w:p>
        </w:tc>
        <w:tc>
          <w:tcPr>
            <w:tcW w:w="2307" w:type="dxa"/>
            <w:gridSpan w:val="3"/>
            <w:tcBorders>
              <w:top w:val="single" w:color="auto" w:sz="4" w:space="0"/>
              <w:left w:val="single" w:color="000000" w:sz="4" w:space="0"/>
              <w:bottom w:val="single" w:color="auto" w:sz="4" w:space="0"/>
              <w:right w:val="single" w:color="000000" w:sz="12" w:space="0"/>
            </w:tcBorders>
            <w:vAlign w:val="center"/>
          </w:tcPr>
          <w:p w14:paraId="2FD4DC8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21.69</w:t>
            </w:r>
          </w:p>
        </w:tc>
      </w:tr>
      <w:tr w14:paraId="785E7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12" w:space="0"/>
              <w:right w:val="single" w:color="000000" w:sz="4" w:space="0"/>
            </w:tcBorders>
            <w:vAlign w:val="center"/>
          </w:tcPr>
          <w:p w14:paraId="00CB225E">
            <w:pPr>
              <w:jc w:val="center"/>
              <w:rPr>
                <w:rFonts w:eastAsia="楷体"/>
                <w:color w:val="auto"/>
                <w:sz w:val="18"/>
                <w:szCs w:val="18"/>
                <w:highlight w:val="none"/>
              </w:rPr>
            </w:pPr>
          </w:p>
        </w:tc>
        <w:tc>
          <w:tcPr>
            <w:tcW w:w="1318" w:type="dxa"/>
            <w:gridSpan w:val="2"/>
            <w:tcBorders>
              <w:top w:val="single" w:color="000000" w:sz="4" w:space="0"/>
              <w:left w:val="single" w:color="000000" w:sz="4" w:space="0"/>
              <w:bottom w:val="single" w:color="000000" w:sz="4" w:space="0"/>
              <w:right w:val="single" w:color="000000" w:sz="4" w:space="0"/>
            </w:tcBorders>
            <w:vAlign w:val="center"/>
          </w:tcPr>
          <w:p w14:paraId="7AB3FBB6">
            <w:pPr>
              <w:widowControl/>
              <w:jc w:val="center"/>
              <w:textAlignment w:val="center"/>
              <w:rPr>
                <w:rFonts w:eastAsia="楷体"/>
                <w:color w:val="auto"/>
                <w:sz w:val="18"/>
                <w:szCs w:val="18"/>
                <w:highlight w:val="none"/>
              </w:rPr>
            </w:pPr>
            <w:r>
              <w:rPr>
                <w:rFonts w:eastAsia="楷体"/>
                <w:color w:val="auto"/>
                <w:kern w:val="0"/>
                <w:sz w:val="18"/>
                <w:szCs w:val="18"/>
                <w:highlight w:val="none"/>
              </w:rPr>
              <w:t>保护人口（人）</w:t>
            </w:r>
          </w:p>
        </w:tc>
        <w:tc>
          <w:tcPr>
            <w:tcW w:w="1549" w:type="dxa"/>
            <w:tcBorders>
              <w:top w:val="single" w:color="000000" w:sz="4" w:space="0"/>
              <w:left w:val="single" w:color="000000" w:sz="4" w:space="0"/>
              <w:bottom w:val="single" w:color="000000" w:sz="4" w:space="0"/>
              <w:right w:val="single" w:color="000000" w:sz="4" w:space="0"/>
            </w:tcBorders>
            <w:vAlign w:val="center"/>
          </w:tcPr>
          <w:p w14:paraId="61C58246">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2500</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3D098C82">
            <w:pPr>
              <w:jc w:val="center"/>
              <w:rPr>
                <w:rFonts w:eastAsia="楷体"/>
                <w:color w:val="auto"/>
                <w:sz w:val="18"/>
                <w:szCs w:val="18"/>
                <w:highlight w:val="none"/>
              </w:rPr>
            </w:pPr>
          </w:p>
        </w:tc>
        <w:tc>
          <w:tcPr>
            <w:tcW w:w="1772" w:type="dxa"/>
            <w:tcBorders>
              <w:top w:val="single" w:color="auto" w:sz="4" w:space="0"/>
              <w:left w:val="single" w:color="000000" w:sz="4" w:space="0"/>
              <w:bottom w:val="single" w:color="000000" w:sz="4" w:space="0"/>
              <w:right w:val="single" w:color="000000" w:sz="4" w:space="0"/>
            </w:tcBorders>
            <w:vAlign w:val="center"/>
          </w:tcPr>
          <w:p w14:paraId="7EDE3983">
            <w:pPr>
              <w:jc w:val="center"/>
              <w:rPr>
                <w:rFonts w:eastAsia="楷体"/>
                <w:color w:val="auto"/>
                <w:sz w:val="18"/>
                <w:szCs w:val="18"/>
                <w:highlight w:val="none"/>
              </w:rPr>
            </w:pPr>
            <w:r>
              <w:rPr>
                <w:rFonts w:hint="eastAsia" w:eastAsia="楷体"/>
                <w:color w:val="auto"/>
                <w:sz w:val="18"/>
                <w:szCs w:val="18"/>
                <w:highlight w:val="none"/>
              </w:rPr>
              <w:t>最大输水流量（m</w:t>
            </w:r>
            <w:r>
              <w:rPr>
                <w:rFonts w:hint="eastAsia" w:eastAsia="楷体"/>
                <w:color w:val="auto"/>
                <w:sz w:val="18"/>
                <w:szCs w:val="18"/>
                <w:highlight w:val="none"/>
                <w:vertAlign w:val="superscript"/>
              </w:rPr>
              <w:t>3</w:t>
            </w:r>
            <w:r>
              <w:rPr>
                <w:rFonts w:hint="eastAsia" w:eastAsia="楷体"/>
                <w:color w:val="auto"/>
                <w:sz w:val="18"/>
                <w:szCs w:val="18"/>
                <w:highlight w:val="none"/>
              </w:rPr>
              <w:t>/s）</w:t>
            </w:r>
          </w:p>
        </w:tc>
        <w:tc>
          <w:tcPr>
            <w:tcW w:w="2307" w:type="dxa"/>
            <w:gridSpan w:val="3"/>
            <w:tcBorders>
              <w:top w:val="single" w:color="auto" w:sz="4" w:space="0"/>
              <w:left w:val="single" w:color="000000" w:sz="4" w:space="0"/>
              <w:bottom w:val="single" w:color="000000" w:sz="4" w:space="0"/>
              <w:right w:val="single" w:color="000000" w:sz="12" w:space="0"/>
            </w:tcBorders>
            <w:vAlign w:val="center"/>
          </w:tcPr>
          <w:p w14:paraId="05DDCC23">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0.2</w:t>
            </w:r>
          </w:p>
        </w:tc>
      </w:tr>
      <w:tr w14:paraId="7C1EC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12" w:space="0"/>
              <w:right w:val="single" w:color="000000" w:sz="4" w:space="0"/>
            </w:tcBorders>
            <w:vAlign w:val="center"/>
          </w:tcPr>
          <w:p w14:paraId="11EB9E33">
            <w:pPr>
              <w:jc w:val="center"/>
              <w:rPr>
                <w:rFonts w:eastAsia="楷体"/>
                <w:color w:val="auto"/>
                <w:sz w:val="18"/>
                <w:szCs w:val="18"/>
                <w:highlight w:val="none"/>
              </w:rPr>
            </w:pPr>
          </w:p>
        </w:tc>
        <w:tc>
          <w:tcPr>
            <w:tcW w:w="131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A22F97A">
            <w:pPr>
              <w:widowControl/>
              <w:jc w:val="center"/>
              <w:textAlignment w:val="center"/>
              <w:rPr>
                <w:rFonts w:eastAsia="楷体"/>
                <w:color w:val="auto"/>
                <w:sz w:val="18"/>
                <w:szCs w:val="18"/>
                <w:highlight w:val="none"/>
              </w:rPr>
            </w:pPr>
            <w:r>
              <w:rPr>
                <w:rFonts w:eastAsia="楷体"/>
                <w:color w:val="auto"/>
                <w:kern w:val="0"/>
                <w:sz w:val="18"/>
                <w:szCs w:val="18"/>
                <w:highlight w:val="none"/>
              </w:rPr>
              <w:t>保护耕地（亩）</w:t>
            </w:r>
          </w:p>
        </w:tc>
        <w:tc>
          <w:tcPr>
            <w:tcW w:w="1549" w:type="dxa"/>
            <w:vMerge w:val="restart"/>
            <w:tcBorders>
              <w:top w:val="single" w:color="000000" w:sz="4" w:space="0"/>
              <w:left w:val="single" w:color="000000" w:sz="4" w:space="0"/>
              <w:bottom w:val="single" w:color="000000" w:sz="4" w:space="0"/>
              <w:right w:val="single" w:color="000000" w:sz="4" w:space="0"/>
            </w:tcBorders>
            <w:vAlign w:val="center"/>
          </w:tcPr>
          <w:p w14:paraId="611D224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700</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5212F355">
            <w:pPr>
              <w:jc w:val="center"/>
              <w:rPr>
                <w:rFonts w:eastAsia="楷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14:paraId="66FC2678">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放水型式</w:t>
            </w:r>
          </w:p>
        </w:tc>
        <w:tc>
          <w:tcPr>
            <w:tcW w:w="2307" w:type="dxa"/>
            <w:gridSpan w:val="3"/>
            <w:tcBorders>
              <w:top w:val="single" w:color="000000" w:sz="4" w:space="0"/>
              <w:left w:val="single" w:color="000000" w:sz="4" w:space="0"/>
              <w:bottom w:val="single" w:color="000000" w:sz="4" w:space="0"/>
              <w:right w:val="single" w:color="000000" w:sz="12" w:space="0"/>
            </w:tcBorders>
            <w:vAlign w:val="center"/>
          </w:tcPr>
          <w:p w14:paraId="4756FC7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转动门盖</w:t>
            </w:r>
          </w:p>
        </w:tc>
      </w:tr>
      <w:tr w14:paraId="2CEB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763" w:type="dxa"/>
            <w:vMerge w:val="continue"/>
            <w:tcBorders>
              <w:top w:val="single" w:color="000000" w:sz="4" w:space="0"/>
              <w:left w:val="single" w:color="000000" w:sz="12" w:space="0"/>
              <w:bottom w:val="single" w:color="000000" w:sz="12" w:space="0"/>
              <w:right w:val="single" w:color="000000" w:sz="4" w:space="0"/>
            </w:tcBorders>
            <w:vAlign w:val="center"/>
          </w:tcPr>
          <w:p w14:paraId="0B23F2F3">
            <w:pPr>
              <w:jc w:val="center"/>
              <w:rPr>
                <w:rFonts w:eastAsia="楷体"/>
                <w:color w:val="auto"/>
                <w:sz w:val="18"/>
                <w:szCs w:val="18"/>
                <w:highlight w:val="none"/>
              </w:rPr>
            </w:pPr>
          </w:p>
        </w:tc>
        <w:tc>
          <w:tcPr>
            <w:tcW w:w="131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DD461E1">
            <w:pPr>
              <w:jc w:val="center"/>
              <w:rPr>
                <w:rFonts w:eastAsia="楷体"/>
                <w:color w:val="auto"/>
                <w:sz w:val="18"/>
                <w:szCs w:val="18"/>
                <w:highlight w:val="none"/>
              </w:rPr>
            </w:pPr>
          </w:p>
        </w:tc>
        <w:tc>
          <w:tcPr>
            <w:tcW w:w="1549" w:type="dxa"/>
            <w:vMerge w:val="continue"/>
            <w:tcBorders>
              <w:top w:val="single" w:color="000000" w:sz="4" w:space="0"/>
              <w:left w:val="single" w:color="000000" w:sz="4" w:space="0"/>
              <w:bottom w:val="single" w:color="000000" w:sz="4" w:space="0"/>
              <w:right w:val="single" w:color="000000" w:sz="4" w:space="0"/>
            </w:tcBorders>
            <w:vAlign w:val="center"/>
          </w:tcPr>
          <w:p w14:paraId="3D7D9106">
            <w:pPr>
              <w:jc w:val="center"/>
              <w:rPr>
                <w:rFonts w:eastAsia="楷体"/>
                <w:color w:val="auto"/>
                <w:sz w:val="18"/>
                <w:szCs w:val="18"/>
                <w:highlight w:val="none"/>
              </w:rPr>
            </w:pP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4221759F">
            <w:pPr>
              <w:jc w:val="center"/>
              <w:rPr>
                <w:rFonts w:eastAsia="楷体"/>
                <w:color w:val="auto"/>
                <w:sz w:val="18"/>
                <w:szCs w:val="18"/>
                <w:highlight w:val="none"/>
              </w:rPr>
            </w:pPr>
          </w:p>
        </w:tc>
        <w:tc>
          <w:tcPr>
            <w:tcW w:w="1772" w:type="dxa"/>
            <w:vMerge w:val="restart"/>
            <w:tcBorders>
              <w:top w:val="single" w:color="000000" w:sz="4" w:space="0"/>
              <w:left w:val="single" w:color="000000" w:sz="4" w:space="0"/>
              <w:bottom w:val="single" w:color="000000" w:sz="12" w:space="0"/>
              <w:right w:val="single" w:color="000000" w:sz="4" w:space="0"/>
            </w:tcBorders>
            <w:vAlign w:val="center"/>
          </w:tcPr>
          <w:p w14:paraId="0BC06B92">
            <w:pPr>
              <w:widowControl/>
              <w:jc w:val="center"/>
              <w:textAlignment w:val="center"/>
              <w:rPr>
                <w:rFonts w:eastAsia="楷体"/>
                <w:color w:val="auto"/>
                <w:sz w:val="18"/>
                <w:szCs w:val="18"/>
                <w:highlight w:val="none"/>
              </w:rPr>
            </w:pPr>
            <w:r>
              <w:rPr>
                <w:rFonts w:eastAsia="楷体"/>
                <w:color w:val="auto"/>
                <w:kern w:val="0"/>
                <w:sz w:val="18"/>
                <w:szCs w:val="18"/>
                <w:highlight w:val="none"/>
              </w:rPr>
              <w:t>启闭设备</w:t>
            </w:r>
          </w:p>
        </w:tc>
        <w:tc>
          <w:tcPr>
            <w:tcW w:w="2307" w:type="dxa"/>
            <w:gridSpan w:val="3"/>
            <w:vMerge w:val="restart"/>
            <w:tcBorders>
              <w:top w:val="single" w:color="000000" w:sz="4" w:space="0"/>
              <w:left w:val="single" w:color="000000" w:sz="4" w:space="0"/>
              <w:bottom w:val="single" w:color="000000" w:sz="12" w:space="0"/>
              <w:right w:val="single" w:color="000000" w:sz="12" w:space="0"/>
            </w:tcBorders>
            <w:vAlign w:val="center"/>
          </w:tcPr>
          <w:p w14:paraId="2FA0A660">
            <w:pPr>
              <w:widowControl/>
              <w:jc w:val="center"/>
              <w:textAlignment w:val="center"/>
              <w:rPr>
                <w:rFonts w:eastAsia="楷体"/>
                <w:color w:val="auto"/>
                <w:sz w:val="18"/>
                <w:szCs w:val="18"/>
                <w:highlight w:val="none"/>
              </w:rPr>
            </w:pPr>
            <w:r>
              <w:rPr>
                <w:rFonts w:hint="eastAsia" w:eastAsia="楷体"/>
                <w:color w:val="auto"/>
                <w:kern w:val="0"/>
                <w:sz w:val="18"/>
                <w:szCs w:val="18"/>
                <w:highlight w:val="none"/>
              </w:rPr>
              <w:t>卷扬式启闭机</w:t>
            </w:r>
          </w:p>
        </w:tc>
      </w:tr>
      <w:tr w14:paraId="360DD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3" w:type="dxa"/>
            <w:vMerge w:val="continue"/>
            <w:tcBorders>
              <w:top w:val="single" w:color="000000" w:sz="4" w:space="0"/>
              <w:left w:val="single" w:color="000000" w:sz="12" w:space="0"/>
              <w:bottom w:val="single" w:color="000000" w:sz="12" w:space="0"/>
              <w:right w:val="single" w:color="000000" w:sz="4" w:space="0"/>
            </w:tcBorders>
            <w:vAlign w:val="center"/>
          </w:tcPr>
          <w:p w14:paraId="61BB2E25">
            <w:pPr>
              <w:jc w:val="center"/>
              <w:rPr>
                <w:rFonts w:eastAsia="楷体"/>
                <w:color w:val="auto"/>
                <w:sz w:val="18"/>
                <w:szCs w:val="18"/>
                <w:highlight w:val="none"/>
              </w:rPr>
            </w:pPr>
          </w:p>
        </w:tc>
        <w:tc>
          <w:tcPr>
            <w:tcW w:w="1318" w:type="dxa"/>
            <w:gridSpan w:val="2"/>
            <w:tcBorders>
              <w:top w:val="single" w:color="000000" w:sz="4" w:space="0"/>
              <w:left w:val="single" w:color="000000" w:sz="4" w:space="0"/>
              <w:bottom w:val="single" w:color="000000" w:sz="12" w:space="0"/>
              <w:right w:val="single" w:color="000000" w:sz="4" w:space="0"/>
            </w:tcBorders>
            <w:vAlign w:val="center"/>
          </w:tcPr>
          <w:p w14:paraId="0D41EC2C">
            <w:pPr>
              <w:widowControl/>
              <w:jc w:val="center"/>
              <w:textAlignment w:val="center"/>
              <w:rPr>
                <w:rFonts w:eastAsia="楷体"/>
                <w:color w:val="auto"/>
                <w:sz w:val="18"/>
                <w:szCs w:val="18"/>
                <w:highlight w:val="none"/>
              </w:rPr>
            </w:pPr>
            <w:r>
              <w:rPr>
                <w:rFonts w:eastAsia="楷体"/>
                <w:color w:val="auto"/>
                <w:kern w:val="0"/>
                <w:sz w:val="18"/>
                <w:szCs w:val="18"/>
                <w:highlight w:val="none"/>
              </w:rPr>
              <w:t>总装机功率（kw）</w:t>
            </w:r>
          </w:p>
        </w:tc>
        <w:tc>
          <w:tcPr>
            <w:tcW w:w="1549" w:type="dxa"/>
            <w:tcBorders>
              <w:top w:val="single" w:color="000000" w:sz="4" w:space="0"/>
              <w:left w:val="single" w:color="000000" w:sz="4" w:space="0"/>
              <w:bottom w:val="single" w:color="000000" w:sz="12" w:space="0"/>
              <w:right w:val="single" w:color="000000" w:sz="4" w:space="0"/>
            </w:tcBorders>
            <w:vAlign w:val="center"/>
          </w:tcPr>
          <w:p w14:paraId="29153A38">
            <w:pPr>
              <w:widowControl/>
              <w:jc w:val="center"/>
              <w:textAlignment w:val="center"/>
              <w:rPr>
                <w:rFonts w:eastAsia="楷体"/>
                <w:color w:val="auto"/>
                <w:sz w:val="18"/>
                <w:szCs w:val="18"/>
                <w:highlight w:val="none"/>
              </w:rPr>
            </w:pPr>
            <w:r>
              <w:rPr>
                <w:rFonts w:eastAsia="楷体"/>
                <w:color w:val="auto"/>
                <w:kern w:val="0"/>
                <w:sz w:val="18"/>
                <w:szCs w:val="18"/>
                <w:highlight w:val="none"/>
              </w:rPr>
              <w:t>/</w:t>
            </w:r>
          </w:p>
        </w:tc>
        <w:tc>
          <w:tcPr>
            <w:tcW w:w="809" w:type="dxa"/>
            <w:vMerge w:val="continue"/>
            <w:tcBorders>
              <w:top w:val="single" w:color="000000" w:sz="4" w:space="0"/>
              <w:left w:val="single" w:color="000000" w:sz="4" w:space="0"/>
              <w:bottom w:val="single" w:color="000000" w:sz="12" w:space="0"/>
              <w:right w:val="single" w:color="000000" w:sz="4" w:space="0"/>
            </w:tcBorders>
            <w:vAlign w:val="center"/>
          </w:tcPr>
          <w:p w14:paraId="6E717F92">
            <w:pPr>
              <w:jc w:val="center"/>
              <w:rPr>
                <w:rFonts w:eastAsia="楷体"/>
                <w:color w:val="auto"/>
                <w:sz w:val="18"/>
                <w:szCs w:val="18"/>
                <w:highlight w:val="none"/>
              </w:rPr>
            </w:pPr>
          </w:p>
        </w:tc>
        <w:tc>
          <w:tcPr>
            <w:tcW w:w="1772" w:type="dxa"/>
            <w:vMerge w:val="continue"/>
            <w:tcBorders>
              <w:top w:val="single" w:color="000000" w:sz="4" w:space="0"/>
              <w:left w:val="single" w:color="000000" w:sz="4" w:space="0"/>
              <w:bottom w:val="single" w:color="000000" w:sz="12" w:space="0"/>
              <w:right w:val="single" w:color="000000" w:sz="4" w:space="0"/>
            </w:tcBorders>
            <w:vAlign w:val="center"/>
          </w:tcPr>
          <w:p w14:paraId="7BFC587E">
            <w:pPr>
              <w:jc w:val="center"/>
              <w:rPr>
                <w:rFonts w:eastAsia="楷体"/>
                <w:color w:val="auto"/>
                <w:sz w:val="18"/>
                <w:szCs w:val="18"/>
                <w:highlight w:val="none"/>
              </w:rPr>
            </w:pPr>
          </w:p>
        </w:tc>
        <w:tc>
          <w:tcPr>
            <w:tcW w:w="2307" w:type="dxa"/>
            <w:gridSpan w:val="3"/>
            <w:vMerge w:val="continue"/>
            <w:tcBorders>
              <w:top w:val="single" w:color="000000" w:sz="4" w:space="0"/>
              <w:left w:val="single" w:color="000000" w:sz="4" w:space="0"/>
              <w:bottom w:val="single" w:color="000000" w:sz="12" w:space="0"/>
              <w:right w:val="single" w:color="000000" w:sz="12" w:space="0"/>
            </w:tcBorders>
            <w:vAlign w:val="center"/>
          </w:tcPr>
          <w:p w14:paraId="4A97B4DE">
            <w:pPr>
              <w:jc w:val="center"/>
              <w:rPr>
                <w:rFonts w:eastAsia="楷体"/>
                <w:color w:val="auto"/>
                <w:sz w:val="18"/>
                <w:szCs w:val="18"/>
                <w:highlight w:val="none"/>
              </w:rPr>
            </w:pPr>
          </w:p>
        </w:tc>
      </w:tr>
    </w:tbl>
    <w:p w14:paraId="2FA1B01C">
      <w:pPr>
        <w:pStyle w:val="3"/>
        <w:spacing w:beforeLines="100" w:afterLines="100" w:line="360" w:lineRule="auto"/>
        <w:jc w:val="center"/>
        <w:rPr>
          <w:rFonts w:eastAsia="楷体"/>
          <w:color w:val="auto"/>
          <w:kern w:val="0"/>
          <w:sz w:val="32"/>
          <w:szCs w:val="32"/>
          <w:highlight w:val="none"/>
        </w:rPr>
        <w:sectPr>
          <w:footerReference r:id="rId5" w:type="default"/>
          <w:pgSz w:w="11906" w:h="16838"/>
          <w:pgMar w:top="1440" w:right="1800" w:bottom="1440" w:left="1800" w:header="851" w:footer="992" w:gutter="0"/>
          <w:pgNumType w:fmt="numberInDash"/>
          <w:cols w:space="720" w:num="1"/>
          <w:docGrid w:type="lines" w:linePitch="312" w:charSpace="0"/>
        </w:sectPr>
      </w:pPr>
    </w:p>
    <w:p w14:paraId="3A3C8536">
      <w:pPr>
        <w:pStyle w:val="3"/>
        <w:spacing w:beforeLines="100" w:afterLines="100" w:line="360" w:lineRule="auto"/>
        <w:jc w:val="center"/>
        <w:rPr>
          <w:rFonts w:eastAsia="楷体"/>
          <w:color w:val="auto"/>
          <w:kern w:val="0"/>
          <w:sz w:val="32"/>
          <w:szCs w:val="32"/>
          <w:highlight w:val="none"/>
        </w:rPr>
      </w:pPr>
      <w:r>
        <w:rPr>
          <w:rFonts w:eastAsia="楷体"/>
          <w:color w:val="auto"/>
          <w:kern w:val="0"/>
          <w:sz w:val="32"/>
          <w:szCs w:val="32"/>
          <w:highlight w:val="none"/>
        </w:rPr>
        <w:t>1  水库基本情况</w:t>
      </w:r>
      <w:bookmarkEnd w:id="0"/>
    </w:p>
    <w:p w14:paraId="0B7229AA">
      <w:pPr>
        <w:pStyle w:val="4"/>
        <w:spacing w:beforeLines="50" w:afterLines="50" w:line="360" w:lineRule="auto"/>
        <w:contextualSpacing/>
        <w:rPr>
          <w:rFonts w:ascii="Times New Roman" w:hAnsi="Times New Roman" w:eastAsia="楷体"/>
          <w:color w:val="auto"/>
          <w:kern w:val="0"/>
          <w:sz w:val="28"/>
          <w:szCs w:val="28"/>
          <w:highlight w:val="none"/>
        </w:rPr>
      </w:pPr>
      <w:bookmarkStart w:id="1" w:name="_Toc18976"/>
      <w:r>
        <w:rPr>
          <w:rFonts w:ascii="Times New Roman" w:hAnsi="Times New Roman" w:eastAsia="楷体"/>
          <w:color w:val="auto"/>
          <w:kern w:val="0"/>
          <w:sz w:val="28"/>
          <w:szCs w:val="28"/>
          <w:highlight w:val="none"/>
        </w:rPr>
        <w:t>1.1 工程概况</w:t>
      </w:r>
      <w:bookmarkEnd w:id="1"/>
    </w:p>
    <w:p w14:paraId="5EF6281A">
      <w:pPr>
        <w:spacing w:line="520" w:lineRule="exact"/>
        <w:ind w:firstLine="560" w:firstLineChars="200"/>
        <w:rPr>
          <w:rFonts w:eastAsia="楷体"/>
          <w:color w:val="auto"/>
          <w:sz w:val="28"/>
          <w:szCs w:val="28"/>
          <w:highlight w:val="none"/>
        </w:rPr>
      </w:pPr>
      <w:bookmarkStart w:id="2" w:name="OLE_LINK9"/>
      <w:r>
        <w:rPr>
          <w:rFonts w:eastAsia="楷体"/>
          <w:color w:val="auto"/>
          <w:sz w:val="28"/>
          <w:szCs w:val="28"/>
          <w:highlight w:val="none"/>
        </w:rPr>
        <w:t>四清水库位于泉港区前黄镇坑内村，系属坝头溪支流，是一座以农业灌溉为主，结合防洪、养殖等综合利用的小（2）型水库。四清水库始建于1964年2月，1966年8月竣工并投入运行。</w:t>
      </w:r>
    </w:p>
    <w:p w14:paraId="17CF1B9E">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大坝坝址以上控制流域面积为0.47km</w:t>
      </w:r>
      <w:r>
        <w:rPr>
          <w:rFonts w:eastAsia="楷体"/>
          <w:color w:val="auto"/>
          <w:sz w:val="28"/>
          <w:szCs w:val="28"/>
          <w:highlight w:val="none"/>
          <w:vertAlign w:val="superscript"/>
        </w:rPr>
        <w:t>2</w:t>
      </w:r>
      <w:r>
        <w:rPr>
          <w:rFonts w:eastAsia="楷体"/>
          <w:color w:val="auto"/>
          <w:sz w:val="28"/>
          <w:szCs w:val="28"/>
          <w:highlight w:val="none"/>
        </w:rPr>
        <w:t>，</w:t>
      </w:r>
      <w:r>
        <w:rPr>
          <w:rFonts w:hint="eastAsia" w:eastAsia="楷体"/>
          <w:color w:val="auto"/>
          <w:sz w:val="28"/>
          <w:szCs w:val="28"/>
          <w:highlight w:val="none"/>
        </w:rPr>
        <w:t>主河道河长</w:t>
      </w:r>
      <w:r>
        <w:rPr>
          <w:rFonts w:eastAsia="楷体"/>
          <w:color w:val="auto"/>
          <w:sz w:val="28"/>
          <w:szCs w:val="28"/>
          <w:highlight w:val="none"/>
        </w:rPr>
        <w:t>0.9km，</w:t>
      </w:r>
      <w:r>
        <w:rPr>
          <w:rFonts w:hint="eastAsia" w:eastAsia="楷体"/>
          <w:color w:val="auto"/>
          <w:sz w:val="28"/>
          <w:szCs w:val="28"/>
          <w:highlight w:val="none"/>
        </w:rPr>
        <w:t>主河道平均坡降39.89</w:t>
      </w:r>
      <w:r>
        <w:rPr>
          <w:rFonts w:eastAsia="楷体"/>
          <w:color w:val="auto"/>
          <w:sz w:val="28"/>
          <w:szCs w:val="28"/>
          <w:highlight w:val="none"/>
        </w:rPr>
        <w:t>‰，</w:t>
      </w:r>
      <w:r>
        <w:rPr>
          <w:rFonts w:hint="eastAsia" w:eastAsia="楷体"/>
          <w:color w:val="auto"/>
          <w:sz w:val="28"/>
          <w:szCs w:val="28"/>
          <w:highlight w:val="none"/>
        </w:rPr>
        <w:t>最大坝高17.49m，坝项宽4.0m，坝顶长200m。正常蓄水位28.040m，死水位21.70m，设计洪水位（P=5.0%）28.560m，校核洪水位（P=0.33%）28.810m，水库总库容30.87万m</w:t>
      </w:r>
      <w:r>
        <w:rPr>
          <w:rFonts w:hint="eastAsia" w:eastAsia="楷体"/>
          <w:color w:val="auto"/>
          <w:sz w:val="28"/>
          <w:szCs w:val="28"/>
          <w:highlight w:val="none"/>
          <w:vertAlign w:val="superscript"/>
        </w:rPr>
        <w:t>3</w:t>
      </w:r>
      <w:r>
        <w:rPr>
          <w:rFonts w:hint="eastAsia" w:eastAsia="楷体"/>
          <w:color w:val="auto"/>
          <w:sz w:val="28"/>
          <w:szCs w:val="28"/>
          <w:highlight w:val="none"/>
        </w:rPr>
        <w:t>，兴利库容22.82万m</w:t>
      </w:r>
      <w:r>
        <w:rPr>
          <w:rFonts w:hint="eastAsia" w:eastAsia="楷体"/>
          <w:color w:val="auto"/>
          <w:sz w:val="28"/>
          <w:szCs w:val="28"/>
          <w:highlight w:val="none"/>
          <w:vertAlign w:val="superscript"/>
        </w:rPr>
        <w:t>3</w:t>
      </w:r>
      <w:r>
        <w:rPr>
          <w:rFonts w:hint="eastAsia" w:eastAsia="楷体"/>
          <w:color w:val="auto"/>
          <w:sz w:val="28"/>
          <w:szCs w:val="28"/>
          <w:highlight w:val="none"/>
        </w:rPr>
        <w:t>，调洪库容3.95万m</w:t>
      </w:r>
      <w:r>
        <w:rPr>
          <w:rFonts w:hint="eastAsia" w:eastAsia="楷体"/>
          <w:color w:val="auto"/>
          <w:sz w:val="28"/>
          <w:szCs w:val="28"/>
          <w:highlight w:val="none"/>
          <w:vertAlign w:val="superscript"/>
        </w:rPr>
        <w:t>3</w:t>
      </w:r>
      <w:r>
        <w:rPr>
          <w:rFonts w:hint="eastAsia" w:eastAsia="楷体"/>
          <w:color w:val="auto"/>
          <w:sz w:val="28"/>
          <w:szCs w:val="28"/>
          <w:highlight w:val="none"/>
        </w:rPr>
        <w:t>，死库容4.10万m</w:t>
      </w:r>
      <w:r>
        <w:rPr>
          <w:rFonts w:hint="eastAsia" w:eastAsia="楷体"/>
          <w:color w:val="auto"/>
          <w:sz w:val="28"/>
          <w:szCs w:val="28"/>
          <w:highlight w:val="none"/>
          <w:vertAlign w:val="superscript"/>
        </w:rPr>
        <w:t>3</w:t>
      </w:r>
      <w:r>
        <w:rPr>
          <w:rFonts w:hint="eastAsia" w:eastAsia="楷体"/>
          <w:color w:val="auto"/>
          <w:sz w:val="28"/>
          <w:szCs w:val="28"/>
          <w:highlight w:val="none"/>
        </w:rPr>
        <w:t>。</w:t>
      </w:r>
    </w:p>
    <w:p w14:paraId="63B73342">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水库枢纽主要由大坝、溢洪道、输水涵洞组成，具体如下：</w:t>
      </w:r>
    </w:p>
    <w:p w14:paraId="0D85960E">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（1）大坝</w:t>
      </w:r>
    </w:p>
    <w:p w14:paraId="540D4886">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四清水库大坝为均质土坝，根据2014年2月实测，大坝最大坝高17.49m，坝顶高程30.58m，坝顶总长度200m，坝项宽度4.0m（含防浪墙宽0.2m）。大坝迎水坡为干砌块石护坡，水泥砂浆勾缝，高程22.84m设有一道宽为0.8m的平台，平台以上坝坡坡比为1:1.9，平台以下坝坡坡比为1:1.8；背水坡坡比1:1.5，采用草皮护坡。</w:t>
      </w:r>
    </w:p>
    <w:p w14:paraId="148ADC10">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（2）溢洪道</w:t>
      </w:r>
    </w:p>
    <w:p w14:paraId="65077092">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溢洪道位于大坝左坝肩，溢流堰型式为宽顶堰，堰顶高程为28.040m，堰顶净宽5.0m。溢洪道全长117.5m，由进口段、控制段、泄槽段组成，溢洪道进口段（Y0+000.0~Y0+035.1）长35.1m，宽5.0m；控制段（Y0+035.1~Y0+038.4）长3.3m，净宽5.0m；泄槽段（Y0+038.4~Y0+117.5）长61.6m，净宽3.9m~5.0m，底坡0.004~0.2171。最大下泄流量10.61m</w:t>
      </w:r>
      <w:r>
        <w:rPr>
          <w:rFonts w:hint="eastAsia" w:eastAsia="楷体"/>
          <w:color w:val="auto"/>
          <w:sz w:val="28"/>
          <w:szCs w:val="28"/>
          <w:highlight w:val="none"/>
          <w:vertAlign w:val="superscript"/>
        </w:rPr>
        <w:t>3</w:t>
      </w:r>
      <w:r>
        <w:rPr>
          <w:rFonts w:hint="eastAsia" w:eastAsia="楷体"/>
          <w:color w:val="auto"/>
          <w:sz w:val="28"/>
          <w:szCs w:val="28"/>
          <w:highlight w:val="none"/>
        </w:rPr>
        <w:t>/s。溢洪道左侧墙与右侧墙均采用浆砌块石砌筑。进口段底板采用砼板护底，控制段与泄槽段采用浆砌块石护底。</w:t>
      </w:r>
    </w:p>
    <w:p w14:paraId="119A1E00">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（3）输水涵洞</w:t>
      </w:r>
    </w:p>
    <w:p w14:paraId="40A0089B">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四清水库的输水涵洞位于大坝左侧，为条石无压箱涵，断面净尺寸为0.5×0.8m（宽×高）。进口底高程为21.70m，出口底高程为21.69m，全长约为35.0m。启闭设备为卷扬式启闭机，进水设施为转动门盖。</w:t>
      </w:r>
    </w:p>
    <w:bookmarkEnd w:id="2"/>
    <w:p w14:paraId="0F31A262">
      <w:pPr>
        <w:spacing w:line="520" w:lineRule="exact"/>
        <w:ind w:firstLine="601"/>
        <w:rPr>
          <w:rFonts w:eastAsia="楷体"/>
          <w:color w:val="auto"/>
          <w:sz w:val="28"/>
          <w:szCs w:val="28"/>
          <w:highlight w:val="none"/>
        </w:rPr>
      </w:pPr>
      <w:r>
        <w:rPr>
          <w:rFonts w:eastAsia="楷体"/>
          <w:color w:val="auto"/>
          <w:sz w:val="28"/>
          <w:szCs w:val="28"/>
          <w:highlight w:val="none"/>
        </w:rPr>
        <w:t>该工程自建成投效以来，以农业灌溉为主，结合防洪、养殖等多方面中充分发挥了本工程的效益。水库</w:t>
      </w:r>
      <w:r>
        <w:rPr>
          <w:rFonts w:hint="eastAsia" w:eastAsia="楷体"/>
          <w:color w:val="auto"/>
          <w:sz w:val="28"/>
          <w:szCs w:val="28"/>
          <w:highlight w:val="none"/>
        </w:rPr>
        <w:t>有效</w:t>
      </w:r>
      <w:r>
        <w:rPr>
          <w:rFonts w:eastAsia="楷体"/>
          <w:color w:val="auto"/>
          <w:sz w:val="28"/>
          <w:szCs w:val="28"/>
          <w:highlight w:val="none"/>
        </w:rPr>
        <w:t>灌溉面积</w:t>
      </w:r>
      <w:r>
        <w:rPr>
          <w:rFonts w:hint="eastAsia" w:eastAsia="楷体"/>
          <w:color w:val="auto"/>
          <w:sz w:val="28"/>
          <w:szCs w:val="28"/>
          <w:highlight w:val="none"/>
        </w:rPr>
        <w:t>7</w:t>
      </w:r>
      <w:r>
        <w:rPr>
          <w:rFonts w:eastAsia="楷体"/>
          <w:color w:val="auto"/>
          <w:sz w:val="28"/>
          <w:szCs w:val="28"/>
          <w:highlight w:val="none"/>
        </w:rPr>
        <w:t>00亩</w:t>
      </w:r>
      <w:r>
        <w:rPr>
          <w:rFonts w:hint="eastAsia" w:eastAsia="楷体"/>
          <w:color w:val="auto"/>
          <w:sz w:val="28"/>
          <w:szCs w:val="28"/>
          <w:highlight w:val="none"/>
        </w:rPr>
        <w:t>，最大实灌面积700亩，</w:t>
      </w:r>
      <w:r>
        <w:rPr>
          <w:rFonts w:eastAsia="楷体"/>
          <w:color w:val="auto"/>
          <w:sz w:val="28"/>
          <w:szCs w:val="28"/>
          <w:highlight w:val="none"/>
        </w:rPr>
        <w:t>下游涉及保护人口2</w:t>
      </w:r>
      <w:r>
        <w:rPr>
          <w:rFonts w:hint="eastAsia" w:eastAsia="楷体"/>
          <w:color w:val="auto"/>
          <w:sz w:val="28"/>
          <w:szCs w:val="28"/>
          <w:highlight w:val="none"/>
        </w:rPr>
        <w:t>5</w:t>
      </w:r>
      <w:r>
        <w:rPr>
          <w:rFonts w:eastAsia="楷体"/>
          <w:color w:val="auto"/>
          <w:sz w:val="28"/>
          <w:szCs w:val="28"/>
          <w:highlight w:val="none"/>
        </w:rPr>
        <w:t>00人，为当地农业生产和保证人民生命财产安全发挥了重要的作用。</w:t>
      </w:r>
    </w:p>
    <w:p w14:paraId="46B2AF21">
      <w:pPr>
        <w:pStyle w:val="4"/>
        <w:spacing w:beforeLines="50" w:afterLines="50" w:line="360" w:lineRule="auto"/>
        <w:contextualSpacing/>
        <w:rPr>
          <w:rFonts w:ascii="Times New Roman" w:hAnsi="Times New Roman" w:eastAsia="楷体"/>
          <w:color w:val="auto"/>
          <w:kern w:val="0"/>
          <w:sz w:val="28"/>
          <w:szCs w:val="28"/>
          <w:highlight w:val="none"/>
        </w:rPr>
      </w:pPr>
      <w:bookmarkStart w:id="3" w:name="_Toc13357"/>
      <w:r>
        <w:rPr>
          <w:rFonts w:ascii="Times New Roman" w:hAnsi="Times New Roman" w:eastAsia="楷体"/>
          <w:color w:val="auto"/>
          <w:kern w:val="0"/>
          <w:sz w:val="28"/>
          <w:szCs w:val="28"/>
          <w:highlight w:val="none"/>
        </w:rPr>
        <w:t>1.2 水文气象</w:t>
      </w:r>
      <w:bookmarkEnd w:id="3"/>
    </w:p>
    <w:p w14:paraId="2C060E96">
      <w:pPr>
        <w:spacing w:line="520" w:lineRule="exact"/>
        <w:ind w:firstLine="560" w:firstLineChars="200"/>
        <w:rPr>
          <w:rFonts w:hint="eastAsia" w:eastAsia="楷体"/>
          <w:color w:val="auto"/>
          <w:sz w:val="28"/>
          <w:szCs w:val="28"/>
          <w:highlight w:val="none"/>
        </w:rPr>
      </w:pPr>
      <w:bookmarkStart w:id="4" w:name="_Toc2603"/>
      <w:r>
        <w:rPr>
          <w:rFonts w:hint="eastAsia" w:eastAsia="楷体"/>
          <w:color w:val="auto"/>
          <w:sz w:val="28"/>
          <w:szCs w:val="28"/>
          <w:highlight w:val="none"/>
        </w:rPr>
        <w:t>本地区属亚热带海洋性季风气候区，夏无酷暑，冬短无严寒，暖热湿润，温度日差较小，降雨量集中，季风明显，日照充足，蒸发量大，台风活动频繁。流域多年平均气温20.5℃，最热七月平均气温27.2℃，最冷一月份平均气温11.4℃，极端最高气温39℃（1996年8月），极端最低气温0.3℃（1957年2月），全年基本无霜。多年平均风速5.45m/s。年平均相对湿度77％，平均水气压19.9hPa；日照时数2150h，日照率48％；雾多发生于春季和秋季月份的下半夜到清晨，年平均雾日数约为6～7天。</w:t>
      </w:r>
    </w:p>
    <w:p w14:paraId="5CB9FCBE">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本地区属亚热带海洋性季风气候区，季风明显，气候温热，气温日差小，蒸发量大，降雨量集中在夏秋之间。</w:t>
      </w:r>
    </w:p>
    <w:p w14:paraId="77CD5B67">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本流域受南亚热带海洋性季风影响，降水充沛，但存在明显的季节性变化。降水年际及年内变化大，最丰年份和最枯年份之比各站均在3倍左右。主要降水为3～4月的春雨、5～6月的锋面雨和8～9月的台风雨，平均每年有3～5次台风登陆或影响本流域。流域多年平均降水量1400mm，最大年降雨量1942.1mm（1973年），年降水日数158.7天，年内分配不均，全年降水的75%集中在汛期（4～9月），其中5～7月占全年总水量的60%。而10～2月干旱少雨，仅占年降水量的15.5%。</w:t>
      </w:r>
    </w:p>
    <w:p w14:paraId="6C4207F1">
      <w:pPr>
        <w:pStyle w:val="4"/>
        <w:spacing w:beforeLines="50" w:afterLines="50" w:line="360" w:lineRule="auto"/>
        <w:contextualSpacing/>
        <w:rPr>
          <w:rFonts w:ascii="Times New Roman" w:hAnsi="Times New Roman" w:eastAsia="楷体"/>
          <w:color w:val="auto"/>
          <w:kern w:val="0"/>
          <w:sz w:val="28"/>
          <w:szCs w:val="28"/>
          <w:highlight w:val="none"/>
        </w:rPr>
      </w:pPr>
      <w:r>
        <w:rPr>
          <w:rFonts w:ascii="Times New Roman" w:hAnsi="Times New Roman" w:eastAsia="楷体"/>
          <w:color w:val="auto"/>
          <w:kern w:val="0"/>
          <w:sz w:val="28"/>
          <w:szCs w:val="28"/>
          <w:highlight w:val="none"/>
        </w:rPr>
        <w:t>1.3 流域特性</w:t>
      </w:r>
      <w:bookmarkEnd w:id="4"/>
    </w:p>
    <w:p w14:paraId="44BE4E6D">
      <w:pPr>
        <w:spacing w:line="520" w:lineRule="exact"/>
        <w:ind w:firstLine="601"/>
        <w:rPr>
          <w:rFonts w:hint="eastAsia" w:hAnsi="楷体" w:eastAsia="楷体"/>
          <w:color w:val="auto"/>
          <w:sz w:val="28"/>
          <w:szCs w:val="28"/>
          <w:highlight w:val="none"/>
        </w:rPr>
      </w:pPr>
      <w:r>
        <w:rPr>
          <w:rFonts w:hint="eastAsia" w:hAnsi="楷体" w:eastAsia="楷体"/>
          <w:color w:val="auto"/>
          <w:sz w:val="28"/>
          <w:szCs w:val="28"/>
          <w:highlight w:val="none"/>
        </w:rPr>
        <w:t>四清水库位于泉港区前黄镇坑内村，所属河流发源于南埔镇天湖村东南部的天湖岩山（海拔121.3m），自北向南经天湖村、坑内村、凤姿村后，于风山村西部汇入坝头溪。大坝位于东经118°53'29.10"，北纬25°10'10.96"，是一座以灌溉为主，结合防洪、养殖等综合利用的小（2）型水库。四清水库坝址以上集水面积为0.47km</w:t>
      </w:r>
      <w:r>
        <w:rPr>
          <w:rFonts w:hint="eastAsia" w:hAnsi="楷体" w:eastAsia="楷体"/>
          <w:color w:val="auto"/>
          <w:sz w:val="28"/>
          <w:szCs w:val="28"/>
          <w:highlight w:val="none"/>
          <w:vertAlign w:val="superscript"/>
        </w:rPr>
        <w:t>2</w:t>
      </w:r>
      <w:r>
        <w:rPr>
          <w:rFonts w:hint="eastAsia" w:hAnsi="楷体" w:eastAsia="楷体"/>
          <w:color w:val="auto"/>
          <w:sz w:val="28"/>
          <w:szCs w:val="28"/>
          <w:highlight w:val="none"/>
        </w:rPr>
        <w:t>，主河道河长0.9km，主河道平均坡降39.89‰，所在流域为扇形水系。</w:t>
      </w:r>
    </w:p>
    <w:p w14:paraId="0ABA5B78">
      <w:pPr>
        <w:spacing w:line="520" w:lineRule="exact"/>
        <w:ind w:firstLine="601"/>
        <w:rPr>
          <w:rFonts w:hint="eastAsia" w:hAnsi="楷体" w:eastAsia="楷体"/>
          <w:color w:val="auto"/>
          <w:sz w:val="28"/>
          <w:szCs w:val="28"/>
          <w:highlight w:val="none"/>
        </w:rPr>
      </w:pPr>
    </w:p>
    <w:p w14:paraId="66C6B622">
      <w:pPr>
        <w:spacing w:line="520" w:lineRule="exact"/>
        <w:ind w:firstLine="601"/>
        <w:rPr>
          <w:rFonts w:hint="eastAsia" w:hAnsi="楷体" w:eastAsia="楷体"/>
          <w:color w:val="auto"/>
          <w:sz w:val="28"/>
          <w:szCs w:val="28"/>
          <w:highlight w:val="none"/>
        </w:rPr>
      </w:pPr>
    </w:p>
    <w:p w14:paraId="6666E2FF">
      <w:pPr>
        <w:pStyle w:val="3"/>
        <w:spacing w:beforeLines="100" w:afterLines="100" w:line="360" w:lineRule="auto"/>
        <w:jc w:val="center"/>
        <w:rPr>
          <w:rFonts w:eastAsia="楷体"/>
          <w:color w:val="auto"/>
          <w:kern w:val="0"/>
          <w:sz w:val="32"/>
          <w:szCs w:val="32"/>
          <w:highlight w:val="none"/>
        </w:rPr>
      </w:pPr>
      <w:r>
        <w:rPr>
          <w:rFonts w:eastAsia="楷体"/>
          <w:color w:val="auto"/>
          <w:kern w:val="0"/>
          <w:sz w:val="32"/>
          <w:szCs w:val="32"/>
          <w:highlight w:val="none"/>
        </w:rPr>
        <w:br w:type="page"/>
      </w:r>
      <w:bookmarkStart w:id="5" w:name="_Toc30894"/>
      <w:r>
        <w:rPr>
          <w:rFonts w:eastAsia="楷体"/>
          <w:color w:val="auto"/>
          <w:kern w:val="0"/>
          <w:sz w:val="32"/>
          <w:szCs w:val="32"/>
          <w:highlight w:val="none"/>
        </w:rPr>
        <w:t>2  水库大坝安全运行状况</w:t>
      </w:r>
      <w:bookmarkEnd w:id="5"/>
    </w:p>
    <w:p w14:paraId="0B0996F2">
      <w:pPr>
        <w:pStyle w:val="4"/>
        <w:spacing w:beforeLines="50" w:afterLines="50" w:line="360" w:lineRule="auto"/>
        <w:contextualSpacing/>
        <w:rPr>
          <w:rFonts w:ascii="Times New Roman" w:hAnsi="Times New Roman" w:eastAsia="楷体"/>
          <w:color w:val="auto"/>
          <w:kern w:val="0"/>
          <w:sz w:val="28"/>
          <w:szCs w:val="28"/>
          <w:highlight w:val="none"/>
        </w:rPr>
      </w:pPr>
      <w:bookmarkStart w:id="6" w:name="_Toc5344"/>
      <w:r>
        <w:rPr>
          <w:rFonts w:ascii="Times New Roman" w:hAnsi="Times New Roman" w:eastAsia="楷体"/>
          <w:color w:val="auto"/>
          <w:kern w:val="0"/>
          <w:sz w:val="28"/>
          <w:szCs w:val="28"/>
          <w:highlight w:val="none"/>
        </w:rPr>
        <w:t>2.1 工程运行管理</w:t>
      </w:r>
      <w:bookmarkEnd w:id="6"/>
    </w:p>
    <w:p w14:paraId="456A957E">
      <w:pPr>
        <w:keepNext w:val="0"/>
        <w:keepLines w:val="0"/>
        <w:pageBreakBefore w:val="0"/>
        <w:widowControl/>
        <w:kinsoku/>
        <w:wordWrap/>
        <w:overflowPunct/>
        <w:topLinePunct w:val="0"/>
        <w:autoSpaceDE/>
        <w:autoSpaceDN/>
        <w:bidi w:val="0"/>
        <w:adjustRightInd/>
        <w:snapToGrid/>
        <w:spacing w:line="500" w:lineRule="exact"/>
        <w:ind w:firstLine="560" w:firstLineChars="200"/>
        <w:contextualSpacing/>
        <w:textAlignment w:val="auto"/>
        <w:rPr>
          <w:rFonts w:eastAsia="楷体"/>
          <w:color w:val="auto"/>
          <w:kern w:val="0"/>
          <w:sz w:val="28"/>
          <w:szCs w:val="28"/>
          <w:highlight w:val="none"/>
        </w:rPr>
      </w:pPr>
      <w:r>
        <w:rPr>
          <w:rFonts w:eastAsia="楷体"/>
          <w:color w:val="auto"/>
          <w:kern w:val="0"/>
          <w:sz w:val="28"/>
          <w:szCs w:val="28"/>
          <w:highlight w:val="none"/>
        </w:rPr>
        <w:t>2.1.1 水库的管理机构</w:t>
      </w:r>
    </w:p>
    <w:p w14:paraId="27F9F80C">
      <w:pPr>
        <w:keepNext w:val="0"/>
        <w:keepLines w:val="0"/>
        <w:pageBreakBefore w:val="0"/>
        <w:widowControl/>
        <w:kinsoku/>
        <w:wordWrap/>
        <w:overflowPunct/>
        <w:topLinePunct w:val="0"/>
        <w:autoSpaceDE/>
        <w:autoSpaceDN/>
        <w:bidi w:val="0"/>
        <w:adjustRightInd/>
        <w:snapToGrid/>
        <w:spacing w:line="500" w:lineRule="exact"/>
        <w:ind w:firstLine="560" w:firstLineChars="200"/>
        <w:contextualSpacing/>
        <w:textAlignment w:val="auto"/>
        <w:rPr>
          <w:rFonts w:eastAsia="楷体"/>
          <w:color w:val="auto"/>
          <w:kern w:val="0"/>
          <w:sz w:val="28"/>
          <w:szCs w:val="28"/>
          <w:highlight w:val="none"/>
        </w:rPr>
      </w:pPr>
      <w:r>
        <w:rPr>
          <w:rFonts w:eastAsia="楷体"/>
          <w:color w:val="auto"/>
          <w:kern w:val="0"/>
          <w:sz w:val="28"/>
          <w:szCs w:val="28"/>
          <w:highlight w:val="none"/>
        </w:rPr>
        <w:t>四清水库的主管部门为</w:t>
      </w:r>
      <w:r>
        <w:rPr>
          <w:rFonts w:hint="eastAsia" w:eastAsia="楷体"/>
          <w:color w:val="auto"/>
          <w:kern w:val="0"/>
          <w:sz w:val="28"/>
          <w:szCs w:val="28"/>
          <w:highlight w:val="none"/>
          <w:lang w:eastAsia="zh-CN"/>
        </w:rPr>
        <w:t>前黄镇人民政府</w:t>
      </w:r>
      <w:r>
        <w:rPr>
          <w:rFonts w:eastAsia="楷体"/>
          <w:color w:val="auto"/>
          <w:kern w:val="0"/>
          <w:sz w:val="28"/>
          <w:szCs w:val="28"/>
          <w:highlight w:val="none"/>
        </w:rPr>
        <w:t>，管理机构为前黄镇</w:t>
      </w:r>
      <w:r>
        <w:rPr>
          <w:rFonts w:hint="eastAsia" w:eastAsia="楷体"/>
          <w:color w:val="auto"/>
          <w:kern w:val="0"/>
          <w:sz w:val="28"/>
          <w:szCs w:val="28"/>
          <w:highlight w:val="none"/>
        </w:rPr>
        <w:t>人民政府</w:t>
      </w:r>
      <w:r>
        <w:rPr>
          <w:rFonts w:eastAsia="楷体"/>
          <w:color w:val="auto"/>
          <w:kern w:val="0"/>
          <w:sz w:val="28"/>
          <w:szCs w:val="28"/>
          <w:highlight w:val="none"/>
        </w:rPr>
        <w:t>。</w:t>
      </w:r>
    </w:p>
    <w:p w14:paraId="580C2A9E">
      <w:pPr>
        <w:keepNext w:val="0"/>
        <w:keepLines w:val="0"/>
        <w:pageBreakBefore w:val="0"/>
        <w:widowControl/>
        <w:kinsoku/>
        <w:wordWrap/>
        <w:overflowPunct/>
        <w:topLinePunct w:val="0"/>
        <w:autoSpaceDE/>
        <w:autoSpaceDN/>
        <w:bidi w:val="0"/>
        <w:adjustRightInd/>
        <w:snapToGrid/>
        <w:spacing w:line="500" w:lineRule="exact"/>
        <w:ind w:firstLine="560" w:firstLineChars="200"/>
        <w:contextualSpacing/>
        <w:textAlignment w:val="auto"/>
        <w:rPr>
          <w:rFonts w:eastAsia="楷体"/>
          <w:color w:val="auto"/>
          <w:kern w:val="0"/>
          <w:sz w:val="28"/>
          <w:szCs w:val="28"/>
          <w:highlight w:val="none"/>
        </w:rPr>
      </w:pPr>
      <w:r>
        <w:rPr>
          <w:rFonts w:eastAsia="楷体"/>
          <w:color w:val="auto"/>
          <w:kern w:val="0"/>
          <w:sz w:val="28"/>
          <w:szCs w:val="28"/>
          <w:highlight w:val="none"/>
        </w:rPr>
        <w:t>2.1.2 水库大坝管理规章制度</w:t>
      </w:r>
    </w:p>
    <w:p w14:paraId="03E4F37D">
      <w:pPr>
        <w:keepNext w:val="0"/>
        <w:keepLines w:val="0"/>
        <w:pageBreakBefore w:val="0"/>
        <w:widowControl/>
        <w:kinsoku/>
        <w:wordWrap/>
        <w:overflowPunct/>
        <w:topLinePunct w:val="0"/>
        <w:autoSpaceDE/>
        <w:autoSpaceDN/>
        <w:bidi w:val="0"/>
        <w:adjustRightInd/>
        <w:snapToGrid/>
        <w:spacing w:line="500" w:lineRule="exact"/>
        <w:ind w:firstLine="560" w:firstLineChars="200"/>
        <w:contextualSpacing/>
        <w:textAlignment w:val="auto"/>
        <w:rPr>
          <w:rFonts w:eastAsia="楷体"/>
          <w:color w:val="auto"/>
          <w:kern w:val="0"/>
          <w:sz w:val="28"/>
          <w:szCs w:val="28"/>
          <w:highlight w:val="none"/>
        </w:rPr>
      </w:pPr>
      <w:r>
        <w:rPr>
          <w:rFonts w:eastAsia="楷体"/>
          <w:color w:val="auto"/>
          <w:kern w:val="0"/>
          <w:sz w:val="28"/>
          <w:szCs w:val="28"/>
          <w:highlight w:val="none"/>
        </w:rPr>
        <w:t>四清水库管理处根据《中华人民共和国水法》、《水库大坝安全管理条例》、《水库工程管理通则》、《福建省防洪条例》、《福建省水法实施办法》、《土石坝安全监测技术规范》、《土石坝安全监测资料整编规程》等管理法规，结合本水库的具体情况，制度了大坝运行管理工作的各项相应的规章制度。</w:t>
      </w:r>
    </w:p>
    <w:p w14:paraId="474ACBE2">
      <w:pPr>
        <w:keepNext w:val="0"/>
        <w:keepLines w:val="0"/>
        <w:pageBreakBefore w:val="0"/>
        <w:widowControl/>
        <w:kinsoku/>
        <w:wordWrap/>
        <w:overflowPunct/>
        <w:topLinePunct w:val="0"/>
        <w:autoSpaceDE/>
        <w:autoSpaceDN/>
        <w:bidi w:val="0"/>
        <w:adjustRightInd/>
        <w:snapToGrid/>
        <w:spacing w:line="500" w:lineRule="exact"/>
        <w:ind w:firstLine="560" w:firstLineChars="200"/>
        <w:contextualSpacing/>
        <w:textAlignment w:val="auto"/>
        <w:rPr>
          <w:rFonts w:eastAsia="楷体"/>
          <w:color w:val="auto"/>
          <w:kern w:val="0"/>
          <w:sz w:val="28"/>
          <w:szCs w:val="28"/>
          <w:highlight w:val="none"/>
        </w:rPr>
      </w:pPr>
      <w:r>
        <w:rPr>
          <w:rFonts w:eastAsia="楷体"/>
          <w:color w:val="auto"/>
          <w:kern w:val="0"/>
          <w:sz w:val="28"/>
          <w:szCs w:val="28"/>
          <w:highlight w:val="none"/>
        </w:rPr>
        <w:t>2.1.3 大坝运行管理</w:t>
      </w:r>
    </w:p>
    <w:p w14:paraId="47B79D7C">
      <w:pPr>
        <w:keepNext w:val="0"/>
        <w:keepLines w:val="0"/>
        <w:pageBreakBefore w:val="0"/>
        <w:widowControl/>
        <w:kinsoku/>
        <w:wordWrap/>
        <w:overflowPunct/>
        <w:topLinePunct w:val="0"/>
        <w:autoSpaceDE/>
        <w:autoSpaceDN/>
        <w:bidi w:val="0"/>
        <w:adjustRightInd/>
        <w:snapToGrid/>
        <w:spacing w:line="500" w:lineRule="exact"/>
        <w:ind w:firstLine="560" w:firstLineChars="200"/>
        <w:contextualSpacing/>
        <w:textAlignment w:val="auto"/>
        <w:rPr>
          <w:rFonts w:eastAsia="楷体"/>
          <w:color w:val="auto"/>
          <w:kern w:val="0"/>
          <w:sz w:val="28"/>
          <w:szCs w:val="28"/>
          <w:highlight w:val="none"/>
        </w:rPr>
      </w:pPr>
      <w:r>
        <w:rPr>
          <w:rFonts w:eastAsia="楷体"/>
          <w:color w:val="auto"/>
          <w:kern w:val="0"/>
          <w:sz w:val="28"/>
          <w:szCs w:val="28"/>
          <w:highlight w:val="none"/>
        </w:rPr>
        <w:t>工程运行管理的重点对象有6项：（1）枢纽工程范围内的3大建筑物（大坝、溢洪道和输水涵洞）；（2）各类监测设施和观测标志；（3）各类型防洪报汛的设施和设备；（4）坝区的防汛公路；（5）灌区农业灌溉、乡镇生活、工业供水等水量调度运用；（6）水雨情观测和防洪调度。</w:t>
      </w:r>
    </w:p>
    <w:p w14:paraId="63E9B7A1">
      <w:pPr>
        <w:keepNext w:val="0"/>
        <w:keepLines w:val="0"/>
        <w:pageBreakBefore w:val="0"/>
        <w:widowControl/>
        <w:kinsoku/>
        <w:wordWrap/>
        <w:overflowPunct/>
        <w:topLinePunct w:val="0"/>
        <w:autoSpaceDE/>
        <w:autoSpaceDN/>
        <w:bidi w:val="0"/>
        <w:adjustRightInd/>
        <w:snapToGrid/>
        <w:spacing w:line="500" w:lineRule="exact"/>
        <w:ind w:firstLine="560" w:firstLineChars="200"/>
        <w:contextualSpacing/>
        <w:textAlignment w:val="auto"/>
        <w:rPr>
          <w:rFonts w:eastAsia="楷体"/>
          <w:color w:val="auto"/>
          <w:kern w:val="0"/>
          <w:sz w:val="28"/>
          <w:szCs w:val="28"/>
          <w:highlight w:val="none"/>
        </w:rPr>
      </w:pPr>
      <w:r>
        <w:rPr>
          <w:rFonts w:eastAsia="楷体"/>
          <w:color w:val="auto"/>
          <w:kern w:val="0"/>
          <w:sz w:val="28"/>
          <w:szCs w:val="28"/>
          <w:highlight w:val="none"/>
        </w:rPr>
        <w:t>工程运行管理的工作内容主要有：（1）遵照水利各项方针、政策、法律、法规和有关上级部门的指示，严格执行，认真完成各项任务；（2）按规范进行巡视检查，位移、渗流观测，大坝维修养护等，随时掌握工程运行动态，及时消除工程一般性和特殊性缺陷；（3）认真做好水文（特别是洪水期）预报，及时掌握水情、雨情、旱情，了解气象预报。做好水库调度运用和度汛计划，上报审批后严格执行。</w:t>
      </w:r>
    </w:p>
    <w:p w14:paraId="28DB704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rPr>
      </w:pPr>
      <w:r>
        <w:rPr>
          <w:rFonts w:hint="eastAsia" w:ascii="楷体" w:hAnsi="楷体" w:eastAsia="楷体" w:cs="楷体"/>
          <w:sz w:val="28"/>
          <w:szCs w:val="28"/>
        </w:rPr>
        <w:t>每场大洪水后，水库都能及时分析雨情、水情、调度方案等，总结经</w:t>
      </w:r>
    </w:p>
    <w:p w14:paraId="68C2A9B9">
      <w:pPr>
        <w:keepNext w:val="0"/>
        <w:keepLines w:val="0"/>
        <w:pageBreakBefore w:val="0"/>
        <w:tabs>
          <w:tab w:val="left" w:pos="498"/>
        </w:tabs>
        <w:kinsoku/>
        <w:wordWrap/>
        <w:overflowPunct/>
        <w:topLinePunct w:val="0"/>
        <w:autoSpaceDE/>
        <w:autoSpaceDN/>
        <w:bidi w:val="0"/>
        <w:adjustRightInd/>
        <w:snapToGrid/>
        <w:spacing w:line="500" w:lineRule="exact"/>
        <w:jc w:val="left"/>
        <w:textAlignment w:val="auto"/>
        <w:rPr>
          <w:rFonts w:hint="eastAsia" w:ascii="楷体" w:hAnsi="楷体" w:eastAsia="楷体" w:cs="楷体"/>
          <w:sz w:val="28"/>
          <w:szCs w:val="28"/>
        </w:rPr>
      </w:pPr>
      <w:r>
        <w:rPr>
          <w:rFonts w:hint="eastAsia" w:ascii="楷体" w:hAnsi="楷体" w:eastAsia="楷体" w:cs="楷体"/>
          <w:sz w:val="28"/>
          <w:szCs w:val="28"/>
        </w:rPr>
        <w:t>验，找出不足，不断提高调度水平。</w:t>
      </w:r>
    </w:p>
    <w:p w14:paraId="05FFB6ED">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从大坝近几年的运行情况看，四清水库管理处基本能按照根据《中华人民共和国水法》、《水库大坝安全管理条例》、《水库工程管理通则》等水管理法规，结合水库自身具体情况，制定大坝运行管理工作的各项规章制度，开展大坝安全检查与维护制度，防汛值班制度，严格执行工程运行管理制度，对水库进行运行调度，整体运行管理状况良好。</w:t>
      </w:r>
    </w:p>
    <w:p w14:paraId="6DB349BC">
      <w:pPr>
        <w:pStyle w:val="4"/>
        <w:spacing w:beforeLines="50" w:afterLines="50" w:line="360" w:lineRule="auto"/>
        <w:contextualSpacing/>
        <w:rPr>
          <w:rFonts w:ascii="Times New Roman" w:hAnsi="Times New Roman" w:eastAsia="楷体"/>
          <w:color w:val="auto"/>
          <w:kern w:val="0"/>
          <w:sz w:val="28"/>
          <w:szCs w:val="28"/>
          <w:highlight w:val="none"/>
        </w:rPr>
      </w:pPr>
      <w:bookmarkStart w:id="7" w:name="_Toc7561"/>
      <w:r>
        <w:rPr>
          <w:rFonts w:ascii="Times New Roman" w:hAnsi="Times New Roman" w:eastAsia="楷体"/>
          <w:color w:val="auto"/>
          <w:kern w:val="0"/>
          <w:sz w:val="28"/>
          <w:szCs w:val="28"/>
          <w:highlight w:val="none"/>
        </w:rPr>
        <w:t>2.2 工程安全状况分析评价</w:t>
      </w:r>
      <w:bookmarkEnd w:id="7"/>
    </w:p>
    <w:p w14:paraId="6A9EEE7A">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2.2.1 安全鉴定情况</w:t>
      </w:r>
    </w:p>
    <w:p w14:paraId="4104F64A">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2.2.2 水库除险加固情况</w:t>
      </w:r>
    </w:p>
    <w:p w14:paraId="443B4627">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2014年12月～2015年10月进行水库除险加固施工，主要工程措施：</w:t>
      </w:r>
    </w:p>
    <w:p w14:paraId="7B17E4BD">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（1）大坝</w:t>
      </w:r>
    </w:p>
    <w:p w14:paraId="1273F39C">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1）坝体防渗加固：坝体采用全断而充填灌浆防渗（桩号范围B0+000.0~B0+200.0），在坝顶布置双排灌浆孔，灌浆孔距3.0m，排距3.0m，两排孔呈梅花形布置，灌浆顶高程28.810m，钻孔深至坝基接触面以下2m范围，共布136孔，分两序施工。</w:t>
      </w:r>
    </w:p>
    <w:p w14:paraId="0BFF3F08">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2）坝坡加固</w:t>
      </w:r>
    </w:p>
    <w:p w14:paraId="77A17A76">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迎水坡：正常蓄水位（28. 040m）以上坝坡清除杂草并勾缝。</w:t>
      </w:r>
    </w:p>
    <w:p w14:paraId="2DA8C563">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背水坡：按1:2.0坡比进行修整；桩号B0+050.0~B0+095.0高程21.500m以下新建贴坡排水；岸坡结合部位及坝脚设纵、横向排水沟，在坝坡中间位置设置水库名称字体；桩号B0+100.0新建下坝台阶；坡面均采用草皮护坡。</w:t>
      </w:r>
    </w:p>
    <w:p w14:paraId="6FDD3ECD">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3）坝顶</w:t>
      </w:r>
    </w:p>
    <w:p w14:paraId="6FBF3692">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拆除防浪墙，修整坝顶路面，统一高程至30.580m，上游侧新建防护栏杆，下游侧新建路肩，采用混凝土硬化路面；左、右两端设车辆限行墩。</w:t>
      </w:r>
    </w:p>
    <w:p w14:paraId="0AD5264D">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2）溢洪道：重建交通桥；清除桩号Y0+038.4~Y0+117.5淤积的砂土及灌木、乔木，对已建成的浆砌石挡墙及底板重新勾缝；修复桩号Y0+100.0~Y0+117.5左侧、Y0+098.0~Y0+117.5右侧已损坏的侧墙；开挖被填堵的（桩号渠0+000.0～渠0+045.0）排洪渠，在桩号渠0+000.0~渠0+011.0新建消力池，桩号渠0+011.0~渠0+045.0新建盖板涵与下游已建明渠衔接。</w:t>
      </w:r>
    </w:p>
    <w:p w14:paraId="70D908A8">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（3）输水涵洞及金属结构</w:t>
      </w:r>
    </w:p>
    <w:p w14:paraId="2423B19C">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拆除原进水口，新建消力井，配套相应的转动门盖、拦污栅、拉杆及3t手动卷扬机；涵洞清淤；涵洞出口引水渠衬砌。</w:t>
      </w:r>
    </w:p>
    <w:p w14:paraId="63A03617">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（4）其它</w:t>
      </w:r>
    </w:p>
    <w:p w14:paraId="36FB5F23">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在迎水坡台阶旁设置一组搪瓷水位观测尺；硬化防汛道路；白蚂蚁防治；拆除坝顶右端废弃房子。</w:t>
      </w:r>
    </w:p>
    <w:p w14:paraId="4009F3D5">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泉港区前黄镇</w:t>
      </w:r>
      <w:r>
        <w:rPr>
          <w:rFonts w:eastAsia="楷体"/>
          <w:color w:val="auto"/>
          <w:sz w:val="28"/>
          <w:szCs w:val="28"/>
          <w:highlight w:val="none"/>
        </w:rPr>
        <w:t>四清水库</w:t>
      </w:r>
      <w:r>
        <w:rPr>
          <w:rFonts w:hint="eastAsia" w:eastAsia="楷体"/>
          <w:color w:val="auto"/>
          <w:sz w:val="28"/>
          <w:szCs w:val="28"/>
          <w:highlight w:val="none"/>
        </w:rPr>
        <w:t>除险加固</w:t>
      </w:r>
      <w:r>
        <w:rPr>
          <w:rFonts w:eastAsia="楷体"/>
          <w:color w:val="auto"/>
          <w:sz w:val="28"/>
          <w:szCs w:val="28"/>
          <w:highlight w:val="none"/>
        </w:rPr>
        <w:t>工程于201</w:t>
      </w:r>
      <w:r>
        <w:rPr>
          <w:rFonts w:hint="eastAsia" w:eastAsia="楷体"/>
          <w:color w:val="auto"/>
          <w:sz w:val="28"/>
          <w:szCs w:val="28"/>
          <w:highlight w:val="none"/>
        </w:rPr>
        <w:t>5</w:t>
      </w:r>
      <w:r>
        <w:rPr>
          <w:rFonts w:eastAsia="楷体"/>
          <w:color w:val="auto"/>
          <w:sz w:val="28"/>
          <w:szCs w:val="28"/>
          <w:highlight w:val="none"/>
        </w:rPr>
        <w:t>年</w:t>
      </w:r>
      <w:r>
        <w:rPr>
          <w:rFonts w:hint="eastAsia" w:eastAsia="楷体"/>
          <w:color w:val="auto"/>
          <w:sz w:val="28"/>
          <w:szCs w:val="28"/>
          <w:highlight w:val="none"/>
        </w:rPr>
        <w:t>12</w:t>
      </w:r>
      <w:r>
        <w:rPr>
          <w:rFonts w:eastAsia="楷体"/>
          <w:color w:val="auto"/>
          <w:sz w:val="28"/>
          <w:szCs w:val="28"/>
          <w:highlight w:val="none"/>
        </w:rPr>
        <w:t>月通过了法人主持的完工验收。</w:t>
      </w:r>
    </w:p>
    <w:p w14:paraId="7D003310">
      <w:pPr>
        <w:spacing w:line="520" w:lineRule="exact"/>
        <w:ind w:firstLine="560" w:firstLineChars="200"/>
        <w:rPr>
          <w:rFonts w:eastAsia="楷体"/>
          <w:color w:val="auto"/>
          <w:sz w:val="28"/>
          <w:szCs w:val="28"/>
          <w:highlight w:val="none"/>
        </w:rPr>
      </w:pPr>
      <w:r>
        <w:rPr>
          <w:rFonts w:eastAsia="楷体"/>
          <w:color w:val="auto"/>
          <w:sz w:val="28"/>
          <w:szCs w:val="28"/>
          <w:highlight w:val="none"/>
        </w:rPr>
        <w:t>2.2.3 水库安全运行状况评价</w:t>
      </w:r>
    </w:p>
    <w:p w14:paraId="3B1D632F">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w:t>
      </w:r>
      <w:r>
        <w:rPr>
          <w:rFonts w:hint="eastAsia" w:eastAsia="楷体"/>
          <w:color w:val="auto"/>
          <w:sz w:val="28"/>
          <w:szCs w:val="28"/>
          <w:highlight w:val="none"/>
        </w:rPr>
        <w:t>四清水库大坝安全鉴定报告书</w:t>
      </w:r>
      <w:r>
        <w:rPr>
          <w:rFonts w:eastAsia="楷体"/>
          <w:color w:val="auto"/>
          <w:sz w:val="28"/>
          <w:szCs w:val="28"/>
          <w:highlight w:val="none"/>
        </w:rPr>
        <w:t>》（</w:t>
      </w:r>
      <w:r>
        <w:rPr>
          <w:rFonts w:hint="eastAsia" w:eastAsia="楷体"/>
          <w:color w:val="auto"/>
          <w:sz w:val="28"/>
          <w:szCs w:val="28"/>
          <w:highlight w:val="none"/>
        </w:rPr>
        <w:t>泉港区农水局，2014年8月12日</w:t>
      </w:r>
      <w:r>
        <w:rPr>
          <w:rFonts w:eastAsia="楷体"/>
          <w:color w:val="auto"/>
          <w:sz w:val="28"/>
          <w:szCs w:val="28"/>
          <w:highlight w:val="none"/>
        </w:rPr>
        <w:t>）中的设计内容可知，对于水库安全运行状况主要有以下建议：</w:t>
      </w:r>
    </w:p>
    <w:p w14:paraId="59C2E363">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加强水库的运行管理工作，遇到异常情况及时上报主管部门，并及时积极采取相应的加固措施，确保大坝运行安全。</w:t>
      </w:r>
    </w:p>
    <w:p w14:paraId="3822F402">
      <w:pPr>
        <w:widowControl/>
        <w:spacing w:line="520" w:lineRule="exact"/>
        <w:ind w:firstLine="560" w:firstLineChars="200"/>
        <w:contextualSpacing/>
        <w:rPr>
          <w:rFonts w:eastAsia="楷体"/>
          <w:color w:val="auto"/>
          <w:kern w:val="0"/>
          <w:sz w:val="28"/>
          <w:szCs w:val="28"/>
          <w:highlight w:val="none"/>
        </w:rPr>
      </w:pPr>
      <w:r>
        <w:rPr>
          <w:rFonts w:eastAsia="楷体"/>
          <w:color w:val="auto"/>
          <w:kern w:val="0"/>
          <w:sz w:val="28"/>
          <w:szCs w:val="28"/>
          <w:highlight w:val="none"/>
        </w:rPr>
        <w:t>20</w:t>
      </w:r>
      <w:r>
        <w:rPr>
          <w:rFonts w:hint="eastAsia" w:eastAsia="楷体"/>
          <w:color w:val="auto"/>
          <w:kern w:val="0"/>
          <w:sz w:val="28"/>
          <w:szCs w:val="28"/>
          <w:highlight w:val="none"/>
          <w:lang w:val="en-US" w:eastAsia="zh-CN"/>
        </w:rPr>
        <w:t>22</w:t>
      </w:r>
      <w:r>
        <w:rPr>
          <w:rFonts w:eastAsia="楷体"/>
          <w:color w:val="auto"/>
          <w:kern w:val="0"/>
          <w:sz w:val="28"/>
          <w:szCs w:val="28"/>
          <w:highlight w:val="none"/>
        </w:rPr>
        <w:t>年</w:t>
      </w:r>
      <w:r>
        <w:rPr>
          <w:rFonts w:hint="eastAsia" w:eastAsia="楷体"/>
          <w:color w:val="auto"/>
          <w:kern w:val="0"/>
          <w:sz w:val="28"/>
          <w:szCs w:val="28"/>
          <w:highlight w:val="none"/>
          <w:lang w:val="en-US" w:eastAsia="zh-CN"/>
        </w:rPr>
        <w:t>12</w:t>
      </w:r>
      <w:r>
        <w:rPr>
          <w:rFonts w:eastAsia="楷体"/>
          <w:color w:val="auto"/>
          <w:kern w:val="0"/>
          <w:sz w:val="28"/>
          <w:szCs w:val="28"/>
          <w:highlight w:val="none"/>
        </w:rPr>
        <w:t>月，</w:t>
      </w:r>
      <w:r>
        <w:rPr>
          <w:rFonts w:hint="eastAsia" w:eastAsia="楷体"/>
          <w:color w:val="auto"/>
          <w:sz w:val="28"/>
          <w:szCs w:val="28"/>
          <w:highlight w:val="none"/>
        </w:rPr>
        <w:t>泉港区农水局组织对四清水库进行安全鉴定</w:t>
      </w:r>
      <w:r>
        <w:rPr>
          <w:rFonts w:eastAsia="楷体"/>
          <w:color w:val="auto"/>
          <w:kern w:val="0"/>
          <w:sz w:val="28"/>
          <w:szCs w:val="28"/>
          <w:highlight w:val="none"/>
        </w:rPr>
        <w:t>，安全鉴定主要结论如下：</w:t>
      </w:r>
    </w:p>
    <w:p w14:paraId="4F2A9FD7">
      <w:pPr>
        <w:spacing w:line="520" w:lineRule="exact"/>
        <w:ind w:firstLine="560" w:firstLineChars="200"/>
        <w:rPr>
          <w:rFonts w:eastAsia="楷体"/>
          <w:color w:val="auto"/>
          <w:sz w:val="28"/>
          <w:szCs w:val="28"/>
          <w:highlight w:val="none"/>
        </w:rPr>
      </w:pPr>
      <w:r>
        <w:rPr>
          <w:rFonts w:eastAsia="楷体"/>
          <w:color w:val="auto"/>
          <w:sz w:val="28"/>
          <w:szCs w:val="28"/>
          <w:highlight w:val="none"/>
        </w:rPr>
        <w:t>（1）</w:t>
      </w:r>
      <w:r>
        <w:rPr>
          <w:rFonts w:hint="eastAsia" w:eastAsia="楷体"/>
          <w:color w:val="auto"/>
          <w:sz w:val="28"/>
          <w:szCs w:val="28"/>
          <w:highlight w:val="none"/>
        </w:rPr>
        <w:t>工程</w:t>
      </w:r>
      <w:r>
        <w:rPr>
          <w:rFonts w:hint="eastAsia" w:eastAsia="楷体"/>
          <w:color w:val="auto"/>
          <w:sz w:val="28"/>
          <w:szCs w:val="28"/>
          <w:highlight w:val="none"/>
          <w:lang w:eastAsia="zh-CN"/>
        </w:rPr>
        <w:t>检查情况如下</w:t>
      </w:r>
      <w:r>
        <w:rPr>
          <w:rFonts w:hint="eastAsia" w:eastAsia="楷体"/>
          <w:color w:val="auto"/>
          <w:sz w:val="28"/>
          <w:szCs w:val="28"/>
          <w:highlight w:val="none"/>
        </w:rPr>
        <w:t>：</w:t>
      </w:r>
    </w:p>
    <w:p w14:paraId="46298292">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大坝：迎水坡为干砌块石护坡，坡面平整，无隆起、塌坑、滑动的现象，近坝水面无冒泡、漩涡等异常现象。背水坡坡面稳定，但草皮养护不当，局部土体裸露，多处有雨淋沟，有白蚁活动痕迹。坝脚排水沟淤积、长有杂草，根据向管理员了解，水库高水位运行时坝脚排水沟未发现渗漏现象，大坝两侧未发现渗漏现象。大坝设有位移沉降观测设施。</w:t>
      </w:r>
    </w:p>
    <w:p w14:paraId="4097B5E9">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溢洪道：溢洪道的进口段底板砼护底结构完整，未发现脱落、老化:控制段、滑槽、消能坎浆确石结构完整，未发现损坏、沉降:侧墙的浆砌块石结构完整稳定，未发现变形。但桩号0+60-0+68m</w:t>
      </w:r>
      <w:r>
        <w:rPr>
          <w:rFonts w:hint="eastAsia" w:eastAsia="楷体"/>
          <w:color w:val="auto"/>
          <w:sz w:val="28"/>
          <w:szCs w:val="28"/>
          <w:highlight w:val="none"/>
          <w:lang w:eastAsia="zh-CN"/>
        </w:rPr>
        <w:t>，</w:t>
      </w:r>
      <w:r>
        <w:rPr>
          <w:rFonts w:hint="eastAsia" w:eastAsia="楷体"/>
          <w:color w:val="auto"/>
          <w:sz w:val="28"/>
          <w:szCs w:val="28"/>
          <w:highlight w:val="none"/>
        </w:rPr>
        <w:t>违章建设两层石混线构民房，墙体直接砌筑在溢洪道</w:t>
      </w:r>
      <w:r>
        <w:rPr>
          <w:rFonts w:hint="eastAsia" w:eastAsia="楷体"/>
          <w:color w:val="auto"/>
          <w:sz w:val="28"/>
          <w:szCs w:val="28"/>
          <w:highlight w:val="none"/>
          <w:lang w:eastAsia="zh-CN"/>
        </w:rPr>
        <w:t>泄</w:t>
      </w:r>
      <w:r>
        <w:rPr>
          <w:rFonts w:hint="eastAsia" w:eastAsia="楷体"/>
          <w:color w:val="auto"/>
          <w:sz w:val="28"/>
          <w:szCs w:val="28"/>
          <w:highlight w:val="none"/>
        </w:rPr>
        <w:t>槽侧墙上</w:t>
      </w:r>
      <w:r>
        <w:rPr>
          <w:rFonts w:hint="eastAsia" w:eastAsia="楷体"/>
          <w:color w:val="auto"/>
          <w:sz w:val="28"/>
          <w:szCs w:val="28"/>
          <w:highlight w:val="none"/>
          <w:lang w:eastAsia="zh-CN"/>
        </w:rPr>
        <w:t>，</w:t>
      </w:r>
      <w:r>
        <w:rPr>
          <w:rFonts w:hint="eastAsia" w:eastAsia="楷体"/>
          <w:color w:val="auto"/>
          <w:sz w:val="28"/>
          <w:szCs w:val="28"/>
          <w:highlight w:val="none"/>
        </w:rPr>
        <w:t>且在泄槽翻筑台阶，并拆除侧墙砌体，安装地下室铁门，影响侧墙稳定安全、溢洪道</w:t>
      </w:r>
      <w:r>
        <w:rPr>
          <w:rFonts w:hint="eastAsia" w:eastAsia="楷体"/>
          <w:color w:val="auto"/>
          <w:sz w:val="28"/>
          <w:szCs w:val="28"/>
          <w:highlight w:val="none"/>
          <w:lang w:eastAsia="zh-CN"/>
        </w:rPr>
        <w:t>泄洪</w:t>
      </w:r>
      <w:r>
        <w:rPr>
          <w:rFonts w:hint="eastAsia" w:eastAsia="楷体"/>
          <w:color w:val="auto"/>
          <w:sz w:val="28"/>
          <w:szCs w:val="28"/>
          <w:highlight w:val="none"/>
        </w:rPr>
        <w:t>安全</w:t>
      </w:r>
      <w:r>
        <w:rPr>
          <w:rFonts w:hint="eastAsia" w:eastAsia="楷体"/>
          <w:color w:val="auto"/>
          <w:sz w:val="28"/>
          <w:szCs w:val="28"/>
          <w:highlight w:val="none"/>
          <w:lang w:eastAsia="zh-CN"/>
        </w:rPr>
        <w:t>，</w:t>
      </w:r>
      <w:r>
        <w:rPr>
          <w:rFonts w:hint="eastAsia" w:eastAsia="楷体"/>
          <w:color w:val="auto"/>
          <w:sz w:val="28"/>
          <w:szCs w:val="28"/>
          <w:highlight w:val="none"/>
        </w:rPr>
        <w:t>并存在重大安全隐患。</w:t>
      </w:r>
    </w:p>
    <w:p w14:paraId="31DE0FD1">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lang w:eastAsia="zh-CN"/>
        </w:rPr>
        <w:t>输</w:t>
      </w:r>
      <w:r>
        <w:rPr>
          <w:rFonts w:hint="eastAsia" w:eastAsia="楷体"/>
          <w:color w:val="auto"/>
          <w:sz w:val="28"/>
          <w:szCs w:val="28"/>
          <w:highlight w:val="none"/>
        </w:rPr>
        <w:t>水涵洞：通过机器人进入输水涌洞察看，</w:t>
      </w:r>
      <w:r>
        <w:rPr>
          <w:rFonts w:hint="eastAsia" w:eastAsia="楷体"/>
          <w:color w:val="auto"/>
          <w:sz w:val="28"/>
          <w:szCs w:val="28"/>
          <w:highlight w:val="none"/>
          <w:lang w:eastAsia="zh-CN"/>
        </w:rPr>
        <w:t>洞</w:t>
      </w:r>
      <w:r>
        <w:rPr>
          <w:rFonts w:hint="eastAsia" w:eastAsia="楷体"/>
          <w:color w:val="auto"/>
          <w:sz w:val="28"/>
          <w:szCs w:val="28"/>
          <w:highlight w:val="none"/>
        </w:rPr>
        <w:t>身</w:t>
      </w:r>
      <w:r>
        <w:rPr>
          <w:rFonts w:hint="eastAsia" w:eastAsia="楷体"/>
          <w:color w:val="auto"/>
          <w:sz w:val="28"/>
          <w:szCs w:val="28"/>
          <w:highlight w:val="none"/>
          <w:lang w:eastAsia="zh-CN"/>
        </w:rPr>
        <w:t>砌</w:t>
      </w:r>
      <w:r>
        <w:rPr>
          <w:rFonts w:hint="eastAsia" w:eastAsia="楷体"/>
          <w:color w:val="auto"/>
          <w:sz w:val="28"/>
          <w:szCs w:val="28"/>
          <w:highlight w:val="none"/>
        </w:rPr>
        <w:t>体完整</w:t>
      </w:r>
      <w:r>
        <w:rPr>
          <w:rFonts w:hint="eastAsia" w:eastAsia="楷体"/>
          <w:color w:val="auto"/>
          <w:sz w:val="28"/>
          <w:szCs w:val="28"/>
          <w:highlight w:val="none"/>
          <w:lang w:eastAsia="zh-CN"/>
        </w:rPr>
        <w:t>，距洞</w:t>
      </w:r>
      <w:r>
        <w:rPr>
          <w:rFonts w:hint="eastAsia" w:eastAsia="楷体"/>
          <w:color w:val="auto"/>
          <w:sz w:val="28"/>
          <w:szCs w:val="28"/>
          <w:highlight w:val="none"/>
        </w:rPr>
        <w:t>口7</w:t>
      </w:r>
      <w:r>
        <w:rPr>
          <w:rFonts w:hint="eastAsia" w:eastAsia="楷体"/>
          <w:color w:val="auto"/>
          <w:sz w:val="28"/>
          <w:szCs w:val="28"/>
          <w:highlight w:val="none"/>
          <w:lang w:val="en-US" w:eastAsia="zh-CN"/>
        </w:rPr>
        <w:t>.7</w:t>
      </w:r>
      <w:r>
        <w:rPr>
          <w:rFonts w:hint="eastAsia" w:eastAsia="楷体"/>
          <w:color w:val="auto"/>
          <w:sz w:val="28"/>
          <w:szCs w:val="28"/>
          <w:highlight w:val="none"/>
        </w:rPr>
        <w:t>4</w:t>
      </w:r>
      <w:r>
        <w:rPr>
          <w:rFonts w:hint="eastAsia" w:eastAsia="楷体"/>
          <w:color w:val="auto"/>
          <w:sz w:val="28"/>
          <w:szCs w:val="28"/>
          <w:highlight w:val="none"/>
          <w:lang w:val="en-US" w:eastAsia="zh-CN"/>
        </w:rPr>
        <w:t>m</w:t>
      </w:r>
      <w:r>
        <w:rPr>
          <w:rFonts w:hint="eastAsia" w:eastAsia="楷体"/>
          <w:color w:val="auto"/>
          <w:sz w:val="28"/>
          <w:szCs w:val="28"/>
          <w:highlight w:val="none"/>
        </w:rPr>
        <w:t>处有</w:t>
      </w:r>
      <w:r>
        <w:rPr>
          <w:rFonts w:hint="eastAsia" w:eastAsia="楷体"/>
          <w:color w:val="auto"/>
          <w:sz w:val="28"/>
          <w:szCs w:val="28"/>
          <w:highlight w:val="none"/>
          <w:lang w:eastAsia="zh-CN"/>
        </w:rPr>
        <w:t>一</w:t>
      </w:r>
      <w:r>
        <w:rPr>
          <w:rFonts w:hint="eastAsia" w:eastAsia="楷体"/>
          <w:color w:val="auto"/>
          <w:sz w:val="28"/>
          <w:szCs w:val="28"/>
          <w:highlight w:val="none"/>
        </w:rPr>
        <w:t>处</w:t>
      </w:r>
      <w:r>
        <w:rPr>
          <w:rFonts w:hint="eastAsia" w:eastAsia="楷体"/>
          <w:color w:val="auto"/>
          <w:sz w:val="28"/>
          <w:szCs w:val="28"/>
          <w:highlight w:val="none"/>
          <w:lang w:eastAsia="zh-CN"/>
        </w:rPr>
        <w:t>渗漏滴</w:t>
      </w:r>
      <w:r>
        <w:rPr>
          <w:rFonts w:hint="eastAsia" w:eastAsia="楷体"/>
          <w:color w:val="auto"/>
          <w:sz w:val="28"/>
          <w:szCs w:val="28"/>
          <w:highlight w:val="none"/>
        </w:rPr>
        <w:t>水、</w:t>
      </w:r>
      <w:r>
        <w:rPr>
          <w:rFonts w:hint="eastAsia" w:eastAsia="楷体"/>
          <w:color w:val="auto"/>
          <w:sz w:val="28"/>
          <w:szCs w:val="28"/>
          <w:highlight w:val="none"/>
          <w:lang w:val="en-US" w:eastAsia="zh-CN"/>
        </w:rPr>
        <w:t>1</w:t>
      </w:r>
      <w:r>
        <w:rPr>
          <w:rFonts w:hint="eastAsia" w:eastAsia="楷体"/>
          <w:color w:val="auto"/>
          <w:sz w:val="28"/>
          <w:szCs w:val="28"/>
          <w:highlight w:val="none"/>
        </w:rPr>
        <w:t>1.86</w:t>
      </w:r>
      <w:r>
        <w:rPr>
          <w:rFonts w:hint="eastAsia" w:eastAsia="楷体"/>
          <w:color w:val="auto"/>
          <w:sz w:val="28"/>
          <w:szCs w:val="28"/>
          <w:highlight w:val="none"/>
          <w:lang w:val="en-US" w:eastAsia="zh-CN"/>
        </w:rPr>
        <w:t>m有</w:t>
      </w:r>
      <w:r>
        <w:rPr>
          <w:rFonts w:hint="eastAsia" w:eastAsia="楷体"/>
          <w:color w:val="auto"/>
          <w:sz w:val="28"/>
          <w:szCs w:val="28"/>
          <w:highlight w:val="none"/>
        </w:rPr>
        <w:t>一处小沉积。输水涵</w:t>
      </w:r>
      <w:r>
        <w:rPr>
          <w:rFonts w:hint="eastAsia" w:eastAsia="楷体"/>
          <w:color w:val="auto"/>
          <w:sz w:val="28"/>
          <w:szCs w:val="28"/>
          <w:highlight w:val="none"/>
          <w:lang w:eastAsia="zh-CN"/>
        </w:rPr>
        <w:t>洞</w:t>
      </w:r>
      <w:r>
        <w:rPr>
          <w:rFonts w:hint="eastAsia" w:eastAsia="楷体"/>
          <w:color w:val="auto"/>
          <w:sz w:val="28"/>
          <w:szCs w:val="28"/>
          <w:highlight w:val="none"/>
        </w:rPr>
        <w:t>出口长满杂草、</w:t>
      </w:r>
      <w:r>
        <w:rPr>
          <w:rFonts w:hint="eastAsia" w:eastAsia="楷体"/>
          <w:color w:val="auto"/>
          <w:sz w:val="28"/>
          <w:szCs w:val="28"/>
          <w:highlight w:val="none"/>
          <w:lang w:eastAsia="zh-CN"/>
        </w:rPr>
        <w:t>灌</w:t>
      </w:r>
      <w:r>
        <w:rPr>
          <w:rFonts w:hint="eastAsia" w:eastAsia="楷体"/>
          <w:color w:val="auto"/>
          <w:sz w:val="28"/>
          <w:szCs w:val="28"/>
          <w:highlight w:val="none"/>
        </w:rPr>
        <w:t>木，影响输水。启闭机、钢</w:t>
      </w:r>
      <w:r>
        <w:rPr>
          <w:rFonts w:hint="eastAsia" w:eastAsia="楷体"/>
          <w:color w:val="auto"/>
          <w:sz w:val="28"/>
          <w:szCs w:val="28"/>
          <w:highlight w:val="none"/>
          <w:lang w:eastAsia="zh-CN"/>
        </w:rPr>
        <w:t>丝</w:t>
      </w:r>
      <w:r>
        <w:rPr>
          <w:rFonts w:hint="eastAsia" w:eastAsia="楷体"/>
          <w:color w:val="auto"/>
          <w:sz w:val="28"/>
          <w:szCs w:val="28"/>
          <w:highlight w:val="none"/>
        </w:rPr>
        <w:t>绳、</w:t>
      </w:r>
      <w:r>
        <w:rPr>
          <w:rFonts w:hint="eastAsia" w:eastAsia="楷体"/>
          <w:color w:val="auto"/>
          <w:sz w:val="28"/>
          <w:szCs w:val="28"/>
          <w:highlight w:val="none"/>
          <w:lang w:eastAsia="zh-CN"/>
        </w:rPr>
        <w:t>拉杆</w:t>
      </w:r>
      <w:r>
        <w:rPr>
          <w:rFonts w:hint="eastAsia" w:eastAsia="楷体"/>
          <w:color w:val="auto"/>
          <w:sz w:val="28"/>
          <w:szCs w:val="28"/>
          <w:highlight w:val="none"/>
        </w:rPr>
        <w:t>维护</w:t>
      </w:r>
      <w:r>
        <w:rPr>
          <w:rFonts w:hint="eastAsia" w:eastAsia="楷体"/>
          <w:color w:val="auto"/>
          <w:sz w:val="28"/>
          <w:szCs w:val="28"/>
          <w:highlight w:val="none"/>
          <w:lang w:eastAsia="zh-CN"/>
        </w:rPr>
        <w:t>较</w:t>
      </w:r>
      <w:r>
        <w:rPr>
          <w:rFonts w:hint="eastAsia" w:eastAsia="楷体"/>
          <w:color w:val="auto"/>
          <w:sz w:val="28"/>
          <w:szCs w:val="28"/>
          <w:highlight w:val="none"/>
        </w:rPr>
        <w:t>好</w:t>
      </w:r>
      <w:r>
        <w:rPr>
          <w:rFonts w:hint="eastAsia" w:eastAsia="楷体"/>
          <w:color w:val="auto"/>
          <w:sz w:val="28"/>
          <w:szCs w:val="28"/>
          <w:highlight w:val="none"/>
          <w:lang w:eastAsia="zh-CN"/>
        </w:rPr>
        <w:t>，据</w:t>
      </w:r>
      <w:r>
        <w:rPr>
          <w:rFonts w:hint="eastAsia" w:eastAsia="楷体"/>
          <w:color w:val="auto"/>
          <w:sz w:val="28"/>
          <w:szCs w:val="28"/>
          <w:highlight w:val="none"/>
        </w:rPr>
        <w:t>管理人员</w:t>
      </w:r>
      <w:r>
        <w:rPr>
          <w:rFonts w:hint="eastAsia" w:eastAsia="楷体"/>
          <w:color w:val="auto"/>
          <w:sz w:val="28"/>
          <w:szCs w:val="28"/>
          <w:highlight w:val="none"/>
          <w:lang w:eastAsia="zh-CN"/>
        </w:rPr>
        <w:t>介绍</w:t>
      </w:r>
      <w:r>
        <w:rPr>
          <w:rFonts w:hint="eastAsia" w:eastAsia="楷体"/>
          <w:color w:val="auto"/>
          <w:sz w:val="28"/>
          <w:szCs w:val="28"/>
          <w:highlight w:val="none"/>
        </w:rPr>
        <w:t>，</w:t>
      </w:r>
      <w:r>
        <w:rPr>
          <w:rFonts w:hint="eastAsia" w:eastAsia="楷体"/>
          <w:color w:val="auto"/>
          <w:sz w:val="28"/>
          <w:szCs w:val="28"/>
          <w:highlight w:val="none"/>
          <w:lang w:eastAsia="zh-CN"/>
        </w:rPr>
        <w:t>库</w:t>
      </w:r>
      <w:r>
        <w:rPr>
          <w:rFonts w:hint="eastAsia" w:eastAsia="楷体"/>
          <w:color w:val="auto"/>
          <w:sz w:val="28"/>
          <w:szCs w:val="28"/>
          <w:highlight w:val="none"/>
        </w:rPr>
        <w:t>水位</w:t>
      </w:r>
      <w:r>
        <w:rPr>
          <w:rFonts w:hint="eastAsia" w:eastAsia="楷体"/>
          <w:color w:val="auto"/>
          <w:sz w:val="28"/>
          <w:szCs w:val="28"/>
          <w:highlight w:val="none"/>
          <w:lang w:eastAsia="zh-CN"/>
        </w:rPr>
        <w:t>较高</w:t>
      </w:r>
      <w:r>
        <w:rPr>
          <w:rFonts w:hint="eastAsia" w:eastAsia="楷体"/>
          <w:color w:val="auto"/>
          <w:sz w:val="28"/>
          <w:szCs w:val="28"/>
          <w:highlight w:val="none"/>
        </w:rPr>
        <w:t>时</w:t>
      </w:r>
      <w:r>
        <w:rPr>
          <w:rFonts w:hint="eastAsia" w:eastAsia="楷体"/>
          <w:color w:val="auto"/>
          <w:sz w:val="28"/>
          <w:szCs w:val="28"/>
          <w:highlight w:val="none"/>
          <w:lang w:eastAsia="zh-CN"/>
        </w:rPr>
        <w:t>，启闭</w:t>
      </w:r>
      <w:r>
        <w:rPr>
          <w:rFonts w:hint="eastAsia" w:eastAsia="楷体"/>
          <w:color w:val="auto"/>
          <w:sz w:val="28"/>
          <w:szCs w:val="28"/>
          <w:highlight w:val="none"/>
        </w:rPr>
        <w:t>机</w:t>
      </w:r>
      <w:r>
        <w:rPr>
          <w:rFonts w:hint="eastAsia" w:eastAsia="楷体"/>
          <w:color w:val="auto"/>
          <w:sz w:val="28"/>
          <w:szCs w:val="28"/>
          <w:highlight w:val="none"/>
          <w:lang w:eastAsia="zh-CN"/>
        </w:rPr>
        <w:t>手动操</w:t>
      </w:r>
      <w:r>
        <w:rPr>
          <w:rFonts w:hint="eastAsia" w:eastAsia="楷体"/>
          <w:color w:val="auto"/>
          <w:sz w:val="28"/>
          <w:szCs w:val="28"/>
          <w:highlight w:val="none"/>
        </w:rPr>
        <w:t>作</w:t>
      </w:r>
      <w:r>
        <w:rPr>
          <w:rFonts w:hint="eastAsia" w:eastAsia="楷体"/>
          <w:color w:val="auto"/>
          <w:sz w:val="28"/>
          <w:szCs w:val="28"/>
          <w:highlight w:val="none"/>
          <w:lang w:eastAsia="zh-CN"/>
        </w:rPr>
        <w:t>较困难</w:t>
      </w:r>
      <w:r>
        <w:rPr>
          <w:rFonts w:hint="eastAsia" w:eastAsia="楷体"/>
          <w:color w:val="auto"/>
          <w:sz w:val="28"/>
          <w:szCs w:val="28"/>
          <w:highlight w:val="none"/>
        </w:rPr>
        <w:t>。</w:t>
      </w:r>
    </w:p>
    <w:p w14:paraId="3E7911B4">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lang w:eastAsia="zh-CN"/>
        </w:rPr>
        <w:t>库区</w:t>
      </w:r>
      <w:r>
        <w:rPr>
          <w:rFonts w:hint="eastAsia" w:eastAsia="楷体"/>
          <w:color w:val="auto"/>
          <w:sz w:val="28"/>
          <w:szCs w:val="28"/>
          <w:highlight w:val="none"/>
        </w:rPr>
        <w:t>：</w:t>
      </w:r>
      <w:r>
        <w:rPr>
          <w:rFonts w:hint="eastAsia" w:eastAsia="楷体"/>
          <w:color w:val="auto"/>
          <w:sz w:val="28"/>
          <w:szCs w:val="28"/>
          <w:highlight w:val="none"/>
          <w:lang w:eastAsia="zh-CN"/>
        </w:rPr>
        <w:t>库区山体岸坡植被较好，水库库岸总体稳定</w:t>
      </w:r>
      <w:r>
        <w:rPr>
          <w:rFonts w:hint="eastAsia" w:eastAsia="楷体"/>
          <w:color w:val="auto"/>
          <w:sz w:val="28"/>
          <w:szCs w:val="28"/>
          <w:highlight w:val="none"/>
        </w:rPr>
        <w:t>。</w:t>
      </w:r>
    </w:p>
    <w:p w14:paraId="3DDF6D35">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（2）</w:t>
      </w:r>
      <w:r>
        <w:rPr>
          <w:rFonts w:hint="eastAsia" w:eastAsia="楷体"/>
          <w:color w:val="auto"/>
          <w:sz w:val="28"/>
          <w:szCs w:val="28"/>
          <w:highlight w:val="none"/>
          <w:lang w:eastAsia="zh-CN"/>
        </w:rPr>
        <w:t>工程运行管理评价情况如下</w:t>
      </w:r>
      <w:r>
        <w:rPr>
          <w:rFonts w:hint="eastAsia" w:eastAsia="楷体"/>
          <w:color w:val="auto"/>
          <w:sz w:val="28"/>
          <w:szCs w:val="28"/>
          <w:highlight w:val="none"/>
        </w:rPr>
        <w:t>：</w:t>
      </w:r>
    </w:p>
    <w:p w14:paraId="546E03E5">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1）水库的各项运行管理规章制度较齐</w:t>
      </w:r>
      <w:r>
        <w:rPr>
          <w:rFonts w:hint="eastAsia" w:eastAsia="楷体"/>
          <w:color w:val="auto"/>
          <w:sz w:val="28"/>
          <w:szCs w:val="28"/>
          <w:highlight w:val="none"/>
          <w:lang w:eastAsia="zh-CN"/>
        </w:rPr>
        <w:t>全</w:t>
      </w:r>
      <w:r>
        <w:rPr>
          <w:rFonts w:hint="eastAsia" w:eastAsia="楷体"/>
          <w:color w:val="auto"/>
          <w:sz w:val="28"/>
          <w:szCs w:val="28"/>
          <w:highlight w:val="none"/>
        </w:rPr>
        <w:t>；</w:t>
      </w:r>
    </w:p>
    <w:p w14:paraId="2A9CA1A3">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2）按批复的运用调度计划运行，并按规定开展日常巡视、检查和养护等工作；</w:t>
      </w:r>
    </w:p>
    <w:p w14:paraId="2409E0B0">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3）水库安装水雨情自动检测系统，布设位移沉降观测点；</w:t>
      </w:r>
    </w:p>
    <w:p w14:paraId="3E1C1739">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4）但水库无管理房，台风暴雨值守不便；未开展大坝沉降位移观测；</w:t>
      </w:r>
    </w:p>
    <w:p w14:paraId="540CAA08">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5）滥洪道桩号0+60-0+68m</w:t>
      </w:r>
      <w:r>
        <w:rPr>
          <w:rFonts w:hint="eastAsia" w:eastAsia="楷体"/>
          <w:color w:val="auto"/>
          <w:sz w:val="28"/>
          <w:szCs w:val="28"/>
          <w:highlight w:val="none"/>
          <w:lang w:eastAsia="zh-CN"/>
        </w:rPr>
        <w:t>，</w:t>
      </w:r>
      <w:r>
        <w:rPr>
          <w:rFonts w:hint="eastAsia" w:eastAsia="楷体"/>
          <w:color w:val="auto"/>
          <w:sz w:val="28"/>
          <w:szCs w:val="28"/>
          <w:highlight w:val="none"/>
        </w:rPr>
        <w:t>违章建设石混结构民房，墙体直接砌筑在溢洪道泄槽侧墙上，且在泄槽砌筑台阶，并</w:t>
      </w:r>
      <w:r>
        <w:rPr>
          <w:rFonts w:hint="eastAsia" w:eastAsia="楷体"/>
          <w:color w:val="auto"/>
          <w:sz w:val="28"/>
          <w:szCs w:val="28"/>
          <w:highlight w:val="none"/>
          <w:lang w:eastAsia="zh-CN"/>
        </w:rPr>
        <w:t>拆</w:t>
      </w:r>
      <w:r>
        <w:rPr>
          <w:rFonts w:hint="eastAsia" w:eastAsia="楷体"/>
          <w:color w:val="auto"/>
          <w:sz w:val="28"/>
          <w:szCs w:val="28"/>
          <w:highlight w:val="none"/>
        </w:rPr>
        <w:t>除侧墙砌体，安装地下空铁门，影响侧墙稳定安全、</w:t>
      </w:r>
      <w:r>
        <w:rPr>
          <w:rFonts w:hint="eastAsia" w:eastAsia="楷体"/>
          <w:color w:val="auto"/>
          <w:sz w:val="28"/>
          <w:szCs w:val="28"/>
          <w:highlight w:val="none"/>
          <w:lang w:eastAsia="zh-CN"/>
        </w:rPr>
        <w:t>溢</w:t>
      </w:r>
      <w:r>
        <w:rPr>
          <w:rFonts w:hint="eastAsia" w:eastAsia="楷体"/>
          <w:color w:val="auto"/>
          <w:sz w:val="28"/>
          <w:szCs w:val="28"/>
          <w:highlight w:val="none"/>
        </w:rPr>
        <w:t xml:space="preserve">洪道泄洪安全，并存在重大安全隐患； </w:t>
      </w:r>
    </w:p>
    <w:p w14:paraId="5DA9231E">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6）根据</w:t>
      </w:r>
      <w:r>
        <w:rPr>
          <w:rFonts w:hint="eastAsia" w:eastAsia="楷体"/>
          <w:color w:val="auto"/>
          <w:sz w:val="28"/>
          <w:szCs w:val="28"/>
          <w:highlight w:val="none"/>
          <w:lang w:eastAsia="zh-CN"/>
        </w:rPr>
        <w:t>《</w:t>
      </w:r>
      <w:r>
        <w:rPr>
          <w:rFonts w:hint="eastAsia" w:eastAsia="楷体"/>
          <w:color w:val="auto"/>
          <w:sz w:val="28"/>
          <w:szCs w:val="28"/>
          <w:highlight w:val="none"/>
        </w:rPr>
        <w:t>水库大坝安全评价导则》(SL2</w:t>
      </w:r>
      <w:r>
        <w:rPr>
          <w:rFonts w:hint="eastAsia" w:eastAsia="楷体"/>
          <w:color w:val="auto"/>
          <w:sz w:val="28"/>
          <w:szCs w:val="28"/>
          <w:highlight w:val="none"/>
          <w:lang w:val="en-US" w:eastAsia="zh-CN"/>
        </w:rPr>
        <w:t>5</w:t>
      </w:r>
      <w:r>
        <w:rPr>
          <w:rFonts w:hint="eastAsia" w:eastAsia="楷体"/>
          <w:color w:val="auto"/>
          <w:sz w:val="28"/>
          <w:szCs w:val="28"/>
          <w:highlight w:val="none"/>
        </w:rPr>
        <w:t>8</w:t>
      </w:r>
      <w:r>
        <w:rPr>
          <w:rFonts w:hint="eastAsia" w:eastAsia="楷体"/>
          <w:color w:val="auto"/>
          <w:sz w:val="28"/>
          <w:szCs w:val="28"/>
          <w:highlight w:val="none"/>
          <w:lang w:val="en-US" w:eastAsia="zh-CN"/>
        </w:rPr>
        <w:t>-</w:t>
      </w:r>
      <w:r>
        <w:rPr>
          <w:rFonts w:hint="eastAsia" w:eastAsia="楷体"/>
          <w:color w:val="auto"/>
          <w:sz w:val="28"/>
          <w:szCs w:val="28"/>
          <w:highlight w:val="none"/>
        </w:rPr>
        <w:t xml:space="preserve"> 2017)，大坝运行管理评价为不规范</w:t>
      </w:r>
      <w:r>
        <w:rPr>
          <w:rFonts w:hint="eastAsia" w:eastAsia="楷体"/>
          <w:color w:val="auto"/>
          <w:sz w:val="28"/>
          <w:szCs w:val="28"/>
          <w:highlight w:val="none"/>
          <w:lang w:eastAsia="zh-CN"/>
        </w:rPr>
        <w:t>。</w:t>
      </w:r>
    </w:p>
    <w:p w14:paraId="6C1126AD">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（3）安全鉴定结论：</w:t>
      </w:r>
    </w:p>
    <w:p w14:paraId="6A9FA04A">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四清水库大坝经各专项分析评价，结论如下：</w:t>
      </w:r>
    </w:p>
    <w:p w14:paraId="3FAE16C4">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1）工程质量评价为合格。</w:t>
      </w:r>
    </w:p>
    <w:p w14:paraId="181F7694">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2）运行管理评价为</w:t>
      </w:r>
      <w:r>
        <w:rPr>
          <w:rFonts w:hint="eastAsia" w:eastAsia="楷体"/>
          <w:color w:val="auto"/>
          <w:sz w:val="28"/>
          <w:szCs w:val="28"/>
          <w:highlight w:val="none"/>
          <w:lang w:eastAsia="zh-CN"/>
        </w:rPr>
        <w:t>不规范</w:t>
      </w:r>
      <w:r>
        <w:rPr>
          <w:rFonts w:hint="eastAsia" w:eastAsia="楷体"/>
          <w:color w:val="auto"/>
          <w:sz w:val="28"/>
          <w:szCs w:val="28"/>
          <w:highlight w:val="none"/>
        </w:rPr>
        <w:t>。</w:t>
      </w:r>
    </w:p>
    <w:p w14:paraId="01D043AD">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3）防洪安全性评价为B级。</w:t>
      </w:r>
    </w:p>
    <w:p w14:paraId="74BF6486">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4）渗流安全评价为</w:t>
      </w:r>
      <w:r>
        <w:rPr>
          <w:rFonts w:hint="eastAsia" w:eastAsia="楷体"/>
          <w:color w:val="auto"/>
          <w:sz w:val="28"/>
          <w:szCs w:val="28"/>
          <w:highlight w:val="none"/>
          <w:lang w:val="en-US" w:eastAsia="zh-CN"/>
        </w:rPr>
        <w:t>A</w:t>
      </w:r>
      <w:r>
        <w:rPr>
          <w:rFonts w:hint="eastAsia" w:eastAsia="楷体"/>
          <w:color w:val="auto"/>
          <w:sz w:val="28"/>
          <w:szCs w:val="28"/>
          <w:highlight w:val="none"/>
        </w:rPr>
        <w:t>级。</w:t>
      </w:r>
    </w:p>
    <w:p w14:paraId="127C21C0">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5）结构安全评价为</w:t>
      </w:r>
      <w:r>
        <w:rPr>
          <w:rFonts w:hint="eastAsia" w:eastAsia="楷体"/>
          <w:color w:val="auto"/>
          <w:sz w:val="28"/>
          <w:szCs w:val="28"/>
          <w:highlight w:val="none"/>
          <w:lang w:val="en-US" w:eastAsia="zh-CN"/>
        </w:rPr>
        <w:t>B</w:t>
      </w:r>
      <w:r>
        <w:rPr>
          <w:rFonts w:hint="eastAsia" w:eastAsia="楷体"/>
          <w:color w:val="auto"/>
          <w:sz w:val="28"/>
          <w:szCs w:val="28"/>
          <w:highlight w:val="none"/>
        </w:rPr>
        <w:t>级。</w:t>
      </w:r>
    </w:p>
    <w:p w14:paraId="58D8E7CA">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6）抗震安全评价为</w:t>
      </w:r>
      <w:r>
        <w:rPr>
          <w:rFonts w:hint="eastAsia" w:eastAsia="楷体"/>
          <w:color w:val="auto"/>
          <w:sz w:val="28"/>
          <w:szCs w:val="28"/>
          <w:highlight w:val="none"/>
          <w:lang w:val="en-US" w:eastAsia="zh-CN"/>
        </w:rPr>
        <w:t>A</w:t>
      </w:r>
      <w:r>
        <w:rPr>
          <w:rFonts w:hint="eastAsia" w:eastAsia="楷体"/>
          <w:color w:val="auto"/>
          <w:sz w:val="28"/>
          <w:szCs w:val="28"/>
          <w:highlight w:val="none"/>
        </w:rPr>
        <w:t>级。</w:t>
      </w:r>
    </w:p>
    <w:p w14:paraId="4696FF56">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7）金属</w:t>
      </w:r>
      <w:r>
        <w:rPr>
          <w:rFonts w:hint="eastAsia" w:eastAsia="楷体"/>
          <w:color w:val="auto"/>
          <w:sz w:val="28"/>
          <w:szCs w:val="28"/>
          <w:highlight w:val="none"/>
          <w:lang w:eastAsia="zh-CN"/>
        </w:rPr>
        <w:t>结构</w:t>
      </w:r>
      <w:r>
        <w:rPr>
          <w:rFonts w:hint="eastAsia" w:eastAsia="楷体"/>
          <w:color w:val="auto"/>
          <w:sz w:val="28"/>
          <w:szCs w:val="28"/>
          <w:highlight w:val="none"/>
        </w:rPr>
        <w:t>安全评价为B级。</w:t>
      </w:r>
    </w:p>
    <w:p w14:paraId="5F3EC056">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综</w:t>
      </w:r>
      <w:r>
        <w:rPr>
          <w:rFonts w:hint="eastAsia" w:eastAsia="楷体"/>
          <w:color w:val="auto"/>
          <w:sz w:val="28"/>
          <w:szCs w:val="28"/>
          <w:highlight w:val="none"/>
          <w:lang w:eastAsia="zh-CN"/>
        </w:rPr>
        <w:t>上所诉，在综合分析各评价报告后</w:t>
      </w:r>
      <w:r>
        <w:rPr>
          <w:rFonts w:hint="eastAsia" w:eastAsia="楷体"/>
          <w:color w:val="auto"/>
          <w:sz w:val="28"/>
          <w:szCs w:val="28"/>
          <w:highlight w:val="none"/>
        </w:rPr>
        <w:t>，</w:t>
      </w:r>
      <w:r>
        <w:rPr>
          <w:rFonts w:hint="eastAsia" w:eastAsia="楷体"/>
          <w:color w:val="auto"/>
          <w:sz w:val="28"/>
          <w:szCs w:val="28"/>
          <w:highlight w:val="none"/>
          <w:lang w:eastAsia="zh-CN"/>
        </w:rPr>
        <w:t>确定</w:t>
      </w:r>
      <w:r>
        <w:rPr>
          <w:rFonts w:hint="eastAsia" w:eastAsia="楷体"/>
          <w:color w:val="auto"/>
          <w:sz w:val="28"/>
          <w:szCs w:val="28"/>
          <w:highlight w:val="none"/>
        </w:rPr>
        <w:t>四清水库大坝为</w:t>
      </w:r>
      <w:r>
        <w:rPr>
          <w:rFonts w:hint="eastAsia" w:eastAsia="楷体"/>
          <w:color w:val="auto"/>
          <w:sz w:val="28"/>
          <w:szCs w:val="28"/>
          <w:highlight w:val="none"/>
          <w:lang w:eastAsia="zh-CN"/>
        </w:rPr>
        <w:t>二</w:t>
      </w:r>
      <w:r>
        <w:rPr>
          <w:rFonts w:hint="eastAsia" w:eastAsia="楷体"/>
          <w:color w:val="auto"/>
          <w:sz w:val="28"/>
          <w:szCs w:val="28"/>
          <w:highlight w:val="none"/>
        </w:rPr>
        <w:t>类坝。</w:t>
      </w:r>
    </w:p>
    <w:p w14:paraId="1CFA9561">
      <w:pPr>
        <w:pStyle w:val="4"/>
        <w:rPr>
          <w:rFonts w:ascii="Times New Roman" w:hAnsi="Times New Roman" w:eastAsia="楷体"/>
          <w:color w:val="auto"/>
          <w:highlight w:val="none"/>
        </w:rPr>
      </w:pPr>
      <w:bookmarkStart w:id="8" w:name="_Toc28284"/>
      <w:r>
        <w:rPr>
          <w:rFonts w:ascii="Times New Roman" w:hAnsi="Times New Roman" w:eastAsia="楷体"/>
          <w:color w:val="auto"/>
          <w:kern w:val="0"/>
          <w:sz w:val="28"/>
          <w:szCs w:val="28"/>
          <w:highlight w:val="none"/>
        </w:rPr>
        <w:t>2.3</w:t>
      </w:r>
      <w:r>
        <w:rPr>
          <w:rFonts w:ascii="Times New Roman" w:hAnsi="Times New Roman" w:eastAsia="楷体"/>
          <w:color w:val="auto"/>
          <w:highlight w:val="none"/>
        </w:rPr>
        <w:t>水情工情测报系统及观测资料整理</w:t>
      </w:r>
      <w:bookmarkEnd w:id="8"/>
    </w:p>
    <w:p w14:paraId="46AD0DF7">
      <w:pPr>
        <w:autoSpaceDN w:val="0"/>
        <w:spacing w:line="520" w:lineRule="exact"/>
        <w:ind w:firstLine="560" w:firstLineChars="200"/>
        <w:rPr>
          <w:rFonts w:eastAsia="楷体"/>
          <w:color w:val="auto"/>
          <w:sz w:val="28"/>
          <w:szCs w:val="28"/>
          <w:highlight w:val="none"/>
        </w:rPr>
      </w:pPr>
      <w:r>
        <w:rPr>
          <w:rFonts w:eastAsia="楷体"/>
          <w:color w:val="auto"/>
          <w:sz w:val="28"/>
          <w:szCs w:val="28"/>
          <w:highlight w:val="none"/>
        </w:rPr>
        <w:t>四清水库</w:t>
      </w:r>
      <w:r>
        <w:rPr>
          <w:rFonts w:hint="eastAsia" w:eastAsia="楷体"/>
          <w:color w:val="auto"/>
          <w:sz w:val="28"/>
          <w:szCs w:val="28"/>
          <w:highlight w:val="none"/>
          <w:lang w:eastAsia="zh-CN"/>
        </w:rPr>
        <w:t>已设置自动监测雨量水位站</w:t>
      </w:r>
      <w:r>
        <w:rPr>
          <w:rFonts w:eastAsia="楷体"/>
          <w:color w:val="auto"/>
          <w:sz w:val="28"/>
          <w:szCs w:val="28"/>
          <w:highlight w:val="none"/>
        </w:rPr>
        <w:t>。</w:t>
      </w:r>
    </w:p>
    <w:p w14:paraId="044F3E87">
      <w:pPr>
        <w:spacing w:line="360" w:lineRule="auto"/>
        <w:ind w:firstLine="560" w:firstLineChars="200"/>
        <w:rPr>
          <w:rFonts w:eastAsia="楷体"/>
          <w:color w:val="auto"/>
          <w:sz w:val="28"/>
          <w:szCs w:val="28"/>
          <w:highlight w:val="none"/>
        </w:rPr>
      </w:pPr>
    </w:p>
    <w:p w14:paraId="2031E92A">
      <w:pPr>
        <w:spacing w:line="360" w:lineRule="auto"/>
        <w:ind w:firstLine="560" w:firstLineChars="200"/>
        <w:rPr>
          <w:rFonts w:eastAsia="楷体"/>
          <w:color w:val="auto"/>
          <w:sz w:val="28"/>
          <w:szCs w:val="28"/>
          <w:highlight w:val="none"/>
        </w:rPr>
      </w:pPr>
    </w:p>
    <w:p w14:paraId="10153197">
      <w:pPr>
        <w:spacing w:line="360" w:lineRule="auto"/>
        <w:ind w:firstLine="560" w:firstLineChars="200"/>
        <w:rPr>
          <w:rFonts w:eastAsia="楷体"/>
          <w:color w:val="auto"/>
          <w:sz w:val="28"/>
          <w:szCs w:val="28"/>
          <w:highlight w:val="none"/>
        </w:rPr>
      </w:pPr>
    </w:p>
    <w:p w14:paraId="28BC410E">
      <w:pPr>
        <w:spacing w:line="360" w:lineRule="auto"/>
        <w:ind w:firstLine="560" w:firstLineChars="200"/>
        <w:rPr>
          <w:rFonts w:eastAsia="楷体"/>
          <w:color w:val="auto"/>
          <w:sz w:val="28"/>
          <w:szCs w:val="28"/>
          <w:highlight w:val="none"/>
        </w:rPr>
      </w:pPr>
    </w:p>
    <w:p w14:paraId="075217FE">
      <w:pPr>
        <w:spacing w:line="360" w:lineRule="auto"/>
        <w:ind w:firstLine="560" w:firstLineChars="200"/>
        <w:rPr>
          <w:rFonts w:eastAsia="楷体"/>
          <w:color w:val="auto"/>
          <w:sz w:val="28"/>
          <w:szCs w:val="28"/>
          <w:highlight w:val="none"/>
        </w:rPr>
      </w:pPr>
    </w:p>
    <w:p w14:paraId="664043AE">
      <w:pPr>
        <w:spacing w:line="360" w:lineRule="auto"/>
        <w:ind w:firstLine="560" w:firstLineChars="200"/>
        <w:rPr>
          <w:rFonts w:eastAsia="楷体"/>
          <w:color w:val="auto"/>
          <w:sz w:val="28"/>
          <w:szCs w:val="28"/>
          <w:highlight w:val="none"/>
        </w:rPr>
      </w:pPr>
    </w:p>
    <w:p w14:paraId="2485AD2A">
      <w:pPr>
        <w:spacing w:line="360" w:lineRule="auto"/>
        <w:ind w:firstLine="560" w:firstLineChars="200"/>
        <w:rPr>
          <w:rFonts w:eastAsia="楷体"/>
          <w:color w:val="auto"/>
          <w:sz w:val="28"/>
          <w:szCs w:val="28"/>
          <w:highlight w:val="none"/>
        </w:rPr>
      </w:pPr>
    </w:p>
    <w:p w14:paraId="5AE01E68">
      <w:pPr>
        <w:spacing w:line="360" w:lineRule="auto"/>
        <w:ind w:firstLine="560" w:firstLineChars="200"/>
        <w:rPr>
          <w:rFonts w:eastAsia="楷体"/>
          <w:color w:val="auto"/>
          <w:sz w:val="28"/>
          <w:szCs w:val="28"/>
          <w:highlight w:val="none"/>
        </w:rPr>
      </w:pPr>
    </w:p>
    <w:p w14:paraId="112ABCE8">
      <w:pPr>
        <w:pStyle w:val="3"/>
        <w:spacing w:beforeLines="100" w:afterLines="100" w:line="360" w:lineRule="auto"/>
        <w:jc w:val="center"/>
        <w:rPr>
          <w:rFonts w:eastAsia="楷体"/>
          <w:color w:val="auto"/>
          <w:kern w:val="0"/>
          <w:sz w:val="32"/>
          <w:szCs w:val="32"/>
          <w:highlight w:val="none"/>
        </w:rPr>
        <w:sectPr>
          <w:footerReference r:id="rId6" w:type="default"/>
          <w:pgSz w:w="11906" w:h="16838"/>
          <w:pgMar w:top="1440" w:right="1803" w:bottom="1440" w:left="1803" w:header="851" w:footer="992" w:gutter="0"/>
          <w:pgNumType w:fmt="numberInDash"/>
          <w:cols w:space="720" w:num="1"/>
          <w:docGrid w:type="lines" w:linePitch="319" w:charSpace="0"/>
        </w:sectPr>
      </w:pPr>
      <w:bookmarkStart w:id="9" w:name="_Toc29389"/>
    </w:p>
    <w:p w14:paraId="78DC5EC0">
      <w:pPr>
        <w:pStyle w:val="3"/>
        <w:spacing w:beforeLines="100" w:afterLines="100" w:line="360" w:lineRule="auto"/>
        <w:jc w:val="center"/>
        <w:rPr>
          <w:rFonts w:eastAsia="楷体"/>
          <w:color w:val="auto"/>
          <w:kern w:val="0"/>
          <w:sz w:val="32"/>
          <w:szCs w:val="32"/>
          <w:highlight w:val="none"/>
        </w:rPr>
      </w:pPr>
      <w:r>
        <w:rPr>
          <w:rFonts w:eastAsia="楷体"/>
          <w:color w:val="auto"/>
          <w:kern w:val="0"/>
          <w:sz w:val="32"/>
          <w:szCs w:val="32"/>
          <w:highlight w:val="none"/>
        </w:rPr>
        <w:t>3  水库大坝防洪情况</w:t>
      </w:r>
      <w:bookmarkEnd w:id="9"/>
    </w:p>
    <w:p w14:paraId="562751F1">
      <w:pPr>
        <w:pStyle w:val="4"/>
        <w:spacing w:beforeLines="50" w:afterLines="50" w:line="360" w:lineRule="auto"/>
        <w:contextualSpacing/>
        <w:rPr>
          <w:rFonts w:ascii="Times New Roman" w:hAnsi="Times New Roman" w:eastAsia="楷体"/>
          <w:color w:val="auto"/>
          <w:kern w:val="0"/>
          <w:sz w:val="28"/>
          <w:szCs w:val="28"/>
          <w:highlight w:val="none"/>
        </w:rPr>
      </w:pPr>
      <w:bookmarkStart w:id="10" w:name="_Toc6287"/>
      <w:r>
        <w:rPr>
          <w:rFonts w:ascii="Times New Roman" w:hAnsi="Times New Roman" w:eastAsia="楷体"/>
          <w:color w:val="auto"/>
          <w:kern w:val="0"/>
          <w:sz w:val="28"/>
          <w:szCs w:val="28"/>
          <w:highlight w:val="none"/>
        </w:rPr>
        <w:t>3.1 水库防洪标准</w:t>
      </w:r>
      <w:bookmarkEnd w:id="10"/>
    </w:p>
    <w:p w14:paraId="19A7F038">
      <w:pPr>
        <w:autoSpaceDE w:val="0"/>
        <w:autoSpaceDN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根据水利部发布的《水利水电工程等级划分及洪水标准》(SL252-2017)，四清水库为小（2）型水库，属</w:t>
      </w:r>
      <w:r>
        <w:rPr>
          <w:color w:val="auto"/>
          <w:sz w:val="28"/>
          <w:szCs w:val="28"/>
          <w:highlight w:val="none"/>
        </w:rPr>
        <w:t>Ⅴ</w:t>
      </w:r>
      <w:r>
        <w:rPr>
          <w:rFonts w:eastAsia="楷体"/>
          <w:color w:val="auto"/>
          <w:sz w:val="28"/>
          <w:szCs w:val="28"/>
          <w:highlight w:val="none"/>
        </w:rPr>
        <w:t>等工程，主要建筑物为5级，次要建筑物为5级，临时建筑物为5级，设计洪水标准为20年一遇，校核洪水标准为300年一遇。</w:t>
      </w:r>
    </w:p>
    <w:p w14:paraId="5E069246">
      <w:pPr>
        <w:pStyle w:val="4"/>
        <w:spacing w:beforeLines="50" w:afterLines="50" w:line="360" w:lineRule="auto"/>
        <w:contextualSpacing/>
        <w:rPr>
          <w:rFonts w:ascii="Times New Roman" w:hAnsi="Times New Roman" w:eastAsia="楷体"/>
          <w:color w:val="auto"/>
          <w:kern w:val="0"/>
          <w:sz w:val="28"/>
          <w:szCs w:val="28"/>
          <w:highlight w:val="none"/>
        </w:rPr>
      </w:pPr>
      <w:bookmarkStart w:id="11" w:name="_Toc1684"/>
      <w:r>
        <w:rPr>
          <w:rFonts w:ascii="Times New Roman" w:hAnsi="Times New Roman" w:eastAsia="楷体"/>
          <w:color w:val="auto"/>
          <w:kern w:val="0"/>
          <w:sz w:val="28"/>
          <w:szCs w:val="28"/>
          <w:highlight w:val="none"/>
        </w:rPr>
        <w:t>3.2 水库特征曲线</w:t>
      </w:r>
      <w:bookmarkEnd w:id="11"/>
    </w:p>
    <w:p w14:paraId="7991C69D">
      <w:pPr>
        <w:autoSpaceDE w:val="0"/>
        <w:autoSpaceDN w:val="0"/>
        <w:snapToGrid w:val="0"/>
        <w:spacing w:line="520" w:lineRule="exact"/>
        <w:ind w:firstLine="560" w:firstLineChars="200"/>
        <w:rPr>
          <w:rFonts w:eastAsia="楷体"/>
          <w:color w:val="auto"/>
          <w:sz w:val="28"/>
          <w:szCs w:val="28"/>
          <w:highlight w:val="none"/>
        </w:rPr>
      </w:pPr>
      <w:bookmarkStart w:id="12" w:name="OLE_LINK4"/>
      <w:r>
        <w:rPr>
          <w:rFonts w:eastAsia="楷体"/>
          <w:color w:val="auto"/>
          <w:sz w:val="28"/>
          <w:szCs w:val="28"/>
          <w:highlight w:val="none"/>
        </w:rPr>
        <w:t>（1）四清水库库容曲线</w:t>
      </w:r>
    </w:p>
    <w:p w14:paraId="3FE89C7B">
      <w:pPr>
        <w:autoSpaceDE w:val="0"/>
        <w:autoSpaceDN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根据《泉港区前黄镇四清水库除险加固工程初步设计报告（报批稿）》（泉州市水利水电勘测设计院，201</w:t>
      </w:r>
      <w:r>
        <w:rPr>
          <w:rFonts w:hint="eastAsia" w:eastAsia="楷体"/>
          <w:color w:val="auto"/>
          <w:sz w:val="28"/>
          <w:szCs w:val="28"/>
          <w:highlight w:val="none"/>
        </w:rPr>
        <w:t>4</w:t>
      </w:r>
      <w:r>
        <w:rPr>
          <w:rFonts w:eastAsia="楷体"/>
          <w:color w:val="auto"/>
          <w:sz w:val="28"/>
          <w:szCs w:val="28"/>
          <w:highlight w:val="none"/>
        </w:rPr>
        <w:t>年</w:t>
      </w:r>
      <w:r>
        <w:rPr>
          <w:rFonts w:hint="eastAsia" w:eastAsia="楷体"/>
          <w:color w:val="auto"/>
          <w:sz w:val="28"/>
          <w:szCs w:val="28"/>
          <w:highlight w:val="none"/>
        </w:rPr>
        <w:t>9</w:t>
      </w:r>
      <w:r>
        <w:rPr>
          <w:rFonts w:eastAsia="楷体"/>
          <w:color w:val="auto"/>
          <w:sz w:val="28"/>
          <w:szCs w:val="28"/>
          <w:highlight w:val="none"/>
        </w:rPr>
        <w:t>月），四清水库坝址水位库容关系曲线见表3-1。</w:t>
      </w:r>
    </w:p>
    <w:p w14:paraId="3DE70F27">
      <w:pPr>
        <w:pStyle w:val="28"/>
        <w:jc w:val="both"/>
        <w:rPr>
          <w:rFonts w:eastAsia="楷体"/>
          <w:b/>
          <w:bCs/>
          <w:color w:val="auto"/>
          <w:sz w:val="28"/>
          <w:szCs w:val="28"/>
          <w:highlight w:val="none"/>
        </w:rPr>
      </w:pPr>
      <w:r>
        <w:rPr>
          <w:rFonts w:eastAsia="楷体"/>
          <w:b/>
          <w:bCs/>
          <w:color w:val="auto"/>
          <w:sz w:val="28"/>
          <w:szCs w:val="28"/>
          <w:highlight w:val="none"/>
        </w:rPr>
        <w:t>表3-1              坝址水位库容关系曲线表</w:t>
      </w:r>
    </w:p>
    <w:tbl>
      <w:tblPr>
        <w:tblStyle w:val="17"/>
        <w:tblW w:w="85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58"/>
        <w:gridCol w:w="4258"/>
      </w:tblGrid>
      <w:tr w14:paraId="153FD7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5DE317C1">
            <w:pPr>
              <w:pStyle w:val="25"/>
              <w:spacing w:line="460" w:lineRule="exact"/>
              <w:ind w:firstLine="360"/>
              <w:rPr>
                <w:rFonts w:ascii="Times New Roman" w:hAnsi="Times New Roman" w:eastAsia="楷体"/>
                <w:bCs/>
                <w:color w:val="auto"/>
                <w:highlight w:val="none"/>
              </w:rPr>
            </w:pPr>
            <w:r>
              <w:rPr>
                <w:rFonts w:ascii="Times New Roman" w:hAnsi="Times New Roman" w:eastAsia="楷体"/>
                <w:bCs/>
                <w:color w:val="auto"/>
                <w:highlight w:val="none"/>
              </w:rPr>
              <w:t>高程(m)</w:t>
            </w:r>
          </w:p>
        </w:tc>
        <w:tc>
          <w:tcPr>
            <w:tcW w:w="4258" w:type="dxa"/>
            <w:tcBorders>
              <w:tl2br w:val="nil"/>
              <w:tr2bl w:val="nil"/>
            </w:tcBorders>
            <w:vAlign w:val="center"/>
          </w:tcPr>
          <w:p w14:paraId="3AEADEC9">
            <w:pPr>
              <w:pStyle w:val="25"/>
              <w:spacing w:line="460" w:lineRule="exact"/>
              <w:ind w:firstLine="360"/>
              <w:rPr>
                <w:rFonts w:ascii="Times New Roman" w:hAnsi="Times New Roman" w:eastAsia="楷体"/>
                <w:bCs/>
                <w:color w:val="auto"/>
                <w:highlight w:val="none"/>
              </w:rPr>
            </w:pPr>
            <w:r>
              <w:rPr>
                <w:rFonts w:ascii="Times New Roman" w:hAnsi="Times New Roman" w:eastAsia="楷体"/>
                <w:bCs/>
                <w:color w:val="auto"/>
                <w:highlight w:val="none"/>
              </w:rPr>
              <w:t>库容(万m</w:t>
            </w:r>
            <w:r>
              <w:rPr>
                <w:rFonts w:ascii="Times New Roman" w:hAnsi="Times New Roman" w:eastAsia="楷体"/>
                <w:bCs/>
                <w:color w:val="auto"/>
                <w:highlight w:val="none"/>
                <w:vertAlign w:val="superscript"/>
              </w:rPr>
              <w:t>3</w:t>
            </w:r>
            <w:r>
              <w:rPr>
                <w:rFonts w:ascii="Times New Roman" w:hAnsi="Times New Roman" w:eastAsia="楷体"/>
                <w:bCs/>
                <w:color w:val="auto"/>
                <w:highlight w:val="none"/>
              </w:rPr>
              <w:t>)</w:t>
            </w:r>
          </w:p>
        </w:tc>
      </w:tr>
      <w:tr w14:paraId="0F6414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367AD608">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17.00</w:t>
            </w:r>
          </w:p>
        </w:tc>
        <w:tc>
          <w:tcPr>
            <w:tcW w:w="4258" w:type="dxa"/>
            <w:tcBorders>
              <w:tl2br w:val="nil"/>
              <w:tr2bl w:val="nil"/>
            </w:tcBorders>
            <w:vAlign w:val="center"/>
          </w:tcPr>
          <w:p w14:paraId="4725E06E">
            <w:pPr>
              <w:pStyle w:val="25"/>
              <w:spacing w:line="460" w:lineRule="exact"/>
              <w:rPr>
                <w:rFonts w:ascii="Times New Roman" w:hAnsi="Times New Roman" w:eastAsia="楷体"/>
                <w:color w:val="auto"/>
                <w:highlight w:val="none"/>
              </w:rPr>
            </w:pPr>
            <w:r>
              <w:rPr>
                <w:rFonts w:ascii="Times New Roman" w:hAnsi="Times New Roman" w:eastAsia="楷体"/>
                <w:color w:val="auto"/>
                <w:highlight w:val="none"/>
              </w:rPr>
              <w:t>0</w:t>
            </w:r>
          </w:p>
        </w:tc>
      </w:tr>
      <w:tr w14:paraId="2A912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40415210">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21.00</w:t>
            </w:r>
          </w:p>
        </w:tc>
        <w:tc>
          <w:tcPr>
            <w:tcW w:w="4258" w:type="dxa"/>
            <w:tcBorders>
              <w:tl2br w:val="nil"/>
              <w:tr2bl w:val="nil"/>
            </w:tcBorders>
            <w:vAlign w:val="center"/>
          </w:tcPr>
          <w:p w14:paraId="5D8CFB48">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2.12</w:t>
            </w:r>
          </w:p>
        </w:tc>
      </w:tr>
      <w:tr w14:paraId="204D3C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7E3C07B0">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22.00</w:t>
            </w:r>
          </w:p>
        </w:tc>
        <w:tc>
          <w:tcPr>
            <w:tcW w:w="4258" w:type="dxa"/>
            <w:tcBorders>
              <w:tl2br w:val="nil"/>
              <w:tr2bl w:val="nil"/>
            </w:tcBorders>
            <w:vAlign w:val="center"/>
          </w:tcPr>
          <w:p w14:paraId="5F88C114">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4.16</w:t>
            </w:r>
          </w:p>
        </w:tc>
      </w:tr>
      <w:tr w14:paraId="0B4F8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5130AA2D">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23.00</w:t>
            </w:r>
          </w:p>
        </w:tc>
        <w:tc>
          <w:tcPr>
            <w:tcW w:w="4258" w:type="dxa"/>
            <w:tcBorders>
              <w:tl2br w:val="nil"/>
              <w:tr2bl w:val="nil"/>
            </w:tcBorders>
            <w:vAlign w:val="center"/>
          </w:tcPr>
          <w:p w14:paraId="3D907263">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6.94</w:t>
            </w:r>
          </w:p>
        </w:tc>
      </w:tr>
      <w:tr w14:paraId="7C836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550309D6">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24.00</w:t>
            </w:r>
          </w:p>
        </w:tc>
        <w:tc>
          <w:tcPr>
            <w:tcW w:w="4258" w:type="dxa"/>
            <w:tcBorders>
              <w:tl2br w:val="nil"/>
              <w:tr2bl w:val="nil"/>
            </w:tcBorders>
            <w:vAlign w:val="center"/>
          </w:tcPr>
          <w:p w14:paraId="7E849CB1">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10.21</w:t>
            </w:r>
          </w:p>
        </w:tc>
      </w:tr>
      <w:tr w14:paraId="6B43B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33D77D11">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25.00</w:t>
            </w:r>
          </w:p>
        </w:tc>
        <w:tc>
          <w:tcPr>
            <w:tcW w:w="4258" w:type="dxa"/>
            <w:tcBorders>
              <w:tl2br w:val="nil"/>
              <w:tr2bl w:val="nil"/>
            </w:tcBorders>
            <w:vAlign w:val="center"/>
          </w:tcPr>
          <w:p w14:paraId="75496B4B">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13.84</w:t>
            </w:r>
            <w:r>
              <w:rPr>
                <w:rFonts w:ascii="Times New Roman" w:hAnsi="Times New Roman" w:eastAsia="楷体"/>
                <w:color w:val="auto"/>
                <w:highlight w:val="none"/>
              </w:rPr>
              <w:t xml:space="preserve"> </w:t>
            </w:r>
          </w:p>
        </w:tc>
      </w:tr>
      <w:tr w14:paraId="7DC600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4CD3DC95">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26.00</w:t>
            </w:r>
          </w:p>
        </w:tc>
        <w:tc>
          <w:tcPr>
            <w:tcW w:w="4258" w:type="dxa"/>
            <w:tcBorders>
              <w:tl2br w:val="nil"/>
              <w:tr2bl w:val="nil"/>
            </w:tcBorders>
            <w:vAlign w:val="center"/>
          </w:tcPr>
          <w:p w14:paraId="4F44CDBD">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17.80</w:t>
            </w:r>
          </w:p>
        </w:tc>
      </w:tr>
      <w:tr w14:paraId="451C2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2E4BEE3D">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27.00</w:t>
            </w:r>
          </w:p>
        </w:tc>
        <w:tc>
          <w:tcPr>
            <w:tcW w:w="4258" w:type="dxa"/>
            <w:tcBorders>
              <w:tl2br w:val="nil"/>
              <w:tr2bl w:val="nil"/>
            </w:tcBorders>
            <w:vAlign w:val="center"/>
          </w:tcPr>
          <w:p w14:paraId="4D9B2EFC">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22.09</w:t>
            </w:r>
          </w:p>
        </w:tc>
      </w:tr>
      <w:tr w14:paraId="7CF3A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7632E428">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28.00</w:t>
            </w:r>
          </w:p>
        </w:tc>
        <w:tc>
          <w:tcPr>
            <w:tcW w:w="4258" w:type="dxa"/>
            <w:tcBorders>
              <w:tl2br w:val="nil"/>
              <w:tr2bl w:val="nil"/>
            </w:tcBorders>
            <w:vAlign w:val="center"/>
          </w:tcPr>
          <w:p w14:paraId="243CC079">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26.74</w:t>
            </w:r>
          </w:p>
        </w:tc>
      </w:tr>
      <w:tr w14:paraId="7B1E3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7B4D8239">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29.00</w:t>
            </w:r>
          </w:p>
        </w:tc>
        <w:tc>
          <w:tcPr>
            <w:tcW w:w="4258" w:type="dxa"/>
            <w:tcBorders>
              <w:tl2br w:val="nil"/>
              <w:tr2bl w:val="nil"/>
            </w:tcBorders>
            <w:vAlign w:val="center"/>
          </w:tcPr>
          <w:p w14:paraId="21F44097">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31.91</w:t>
            </w:r>
          </w:p>
        </w:tc>
      </w:tr>
      <w:tr w14:paraId="443A7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58" w:type="dxa"/>
            <w:tcBorders>
              <w:tl2br w:val="nil"/>
              <w:tr2bl w:val="nil"/>
            </w:tcBorders>
            <w:vAlign w:val="center"/>
          </w:tcPr>
          <w:p w14:paraId="147CCE9A">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30.00</w:t>
            </w:r>
          </w:p>
        </w:tc>
        <w:tc>
          <w:tcPr>
            <w:tcW w:w="4258" w:type="dxa"/>
            <w:tcBorders>
              <w:tl2br w:val="nil"/>
              <w:tr2bl w:val="nil"/>
            </w:tcBorders>
            <w:vAlign w:val="center"/>
          </w:tcPr>
          <w:p w14:paraId="26EA35A1">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37.63</w:t>
            </w:r>
          </w:p>
        </w:tc>
      </w:tr>
    </w:tbl>
    <w:p w14:paraId="38A80C88">
      <w:pPr>
        <w:autoSpaceDE w:val="0"/>
        <w:autoSpaceDN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（2）四清水库泄流曲线</w:t>
      </w:r>
    </w:p>
    <w:p w14:paraId="5C9BC283">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 xml:space="preserve">根据现场踏勘的四清水库实际情况及1：1000测量图可知，四清水库通过大坝左岸的箱涵进行泄洪，箱涵尺寸为5m×2m（宽×高），底高程28.04m，长132m。根据《水力计算手册》中关于箱涵的泄流量计算方法可知，当水库水位大于28.04m而小于30.44m时，箱涵流态为无压流，箱涵长度为132m，其泄流能力受洞长影响，因此，先求得下游桩号K0+161.49处的水位~流量关系曲线，并由该断面向上游至箱涵起始处（桩号K0+035.1）推算水面曲线，求得起始断面处的水库水位，描绘水位~流量关系曲线，K0+161.49处临界水深的计算公式如下： </w:t>
      </w:r>
    </w:p>
    <w:p w14:paraId="44456A2A">
      <w:pPr>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color w:val="auto"/>
          <w:kern w:val="2"/>
          <w:sz w:val="28"/>
          <w:szCs w:val="28"/>
          <w:highlight w:val="none"/>
          <w:lang w:val="en-US" w:eastAsia="zh-CN" w:bidi="ar-SA"/>
        </w:rPr>
        <w:object>
          <v:shape id="_x0000_i1025" o:spt="75" type="#_x0000_t75" style="height:36pt;width:54pt;" o:ole="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o:OLEObject Type="Embed" ProgID="" ShapeID="_x0000_i1025" DrawAspect="Content" ObjectID="_1468075725" r:id="rId11">
            <o:LockedField>false</o:LockedField>
          </o:OLEObject>
        </w:object>
      </w:r>
    </w:p>
    <w:p w14:paraId="74B4D576">
      <w:pPr>
        <w:spacing w:line="520" w:lineRule="exact"/>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式中：</w:t>
      </w:r>
      <w:r>
        <w:rPr>
          <w:rFonts w:hint="default" w:ascii="Times New Roman" w:hAnsi="Times New Roman" w:eastAsia="楷体" w:cs="Times New Roman"/>
          <w:color w:val="auto"/>
          <w:kern w:val="2"/>
          <w:sz w:val="28"/>
          <w:szCs w:val="28"/>
          <w:highlight w:val="none"/>
          <w:lang w:val="en-US" w:eastAsia="zh-CN" w:bidi="ar-SA"/>
        </w:rPr>
        <w:object>
          <v:shape id="_x0000_i1026" o:spt="75" type="#_x0000_t75" style="height:19pt;width:15pt;" o:ole="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o:OLEObject Type="Embed" ProgID="" ShapeID="_x0000_i1026" DrawAspect="Content" ObjectID="_1468075726" r:id="rId13">
            <o:LockedField>false</o:LockedField>
          </o:OLEObject>
        </w:object>
      </w:r>
      <w:r>
        <w:rPr>
          <w:rFonts w:hint="default" w:ascii="Times New Roman" w:hAnsi="Times New Roman" w:eastAsia="楷体" w:cs="Times New Roman"/>
          <w:color w:val="auto"/>
          <w:sz w:val="28"/>
          <w:szCs w:val="28"/>
          <w:highlight w:val="none"/>
        </w:rPr>
        <w:t>——临界水深对应的过流面积（m</w:t>
      </w:r>
      <w:r>
        <w:rPr>
          <w:rFonts w:hint="default" w:ascii="Times New Roman" w:hAnsi="Times New Roman" w:eastAsia="楷体" w:cs="Times New Roman"/>
          <w:color w:val="auto"/>
          <w:sz w:val="28"/>
          <w:szCs w:val="28"/>
          <w:highlight w:val="none"/>
          <w:vertAlign w:val="superscript"/>
        </w:rPr>
        <w:t>2</w:t>
      </w:r>
      <w:r>
        <w:rPr>
          <w:rFonts w:hint="default" w:ascii="Times New Roman" w:hAnsi="Times New Roman" w:eastAsia="楷体" w:cs="Times New Roman"/>
          <w:color w:val="auto"/>
          <w:sz w:val="28"/>
          <w:szCs w:val="28"/>
          <w:highlight w:val="none"/>
        </w:rPr>
        <w:t>）；</w:t>
      </w:r>
    </w:p>
    <w:p w14:paraId="3F18D7DB">
      <w:pPr>
        <w:spacing w:line="520" w:lineRule="exact"/>
        <w:ind w:firstLine="840" w:firstLineChars="3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kern w:val="2"/>
          <w:sz w:val="28"/>
          <w:szCs w:val="28"/>
          <w:highlight w:val="none"/>
          <w:lang w:val="en-US" w:eastAsia="zh-CN" w:bidi="ar-SA"/>
        </w:rPr>
        <w:object>
          <v:shape id="_x0000_i1027" o:spt="75" type="#_x0000_t75" style="height:18pt;width:15pt;" o:ole="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o:OLEObject Type="Embed" ProgID="" ShapeID="_x0000_i1027" DrawAspect="Content" ObjectID="_1468075727" r:id="rId15">
            <o:LockedField>false</o:LockedField>
          </o:OLEObject>
        </w:object>
      </w:r>
      <w:r>
        <w:rPr>
          <w:rFonts w:hint="default" w:ascii="Times New Roman" w:hAnsi="Times New Roman" w:eastAsia="楷体" w:cs="Times New Roman"/>
          <w:color w:val="auto"/>
          <w:sz w:val="28"/>
          <w:szCs w:val="28"/>
          <w:highlight w:val="none"/>
        </w:rPr>
        <w:t>——临界水深对应的水面宽度（m）。</w:t>
      </w:r>
    </w:p>
    <w:p w14:paraId="348EE444">
      <w:pPr>
        <w:spacing w:line="520" w:lineRule="exact"/>
        <w:ind w:firstLine="700" w:firstLineChars="25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水面线的计算公式为：</w:t>
      </w:r>
    </w:p>
    <w:p w14:paraId="765DD8D7">
      <w:pPr>
        <w:ind w:firstLine="1400" w:firstLineChars="5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kern w:val="2"/>
          <w:sz w:val="28"/>
          <w:szCs w:val="28"/>
          <w:highlight w:val="none"/>
          <w:lang w:val="en-US" w:eastAsia="zh-CN" w:bidi="ar-SA"/>
        </w:rPr>
        <w:object>
          <v:shape id="_x0000_i1028" o:spt="75" type="#_x0000_t75" style="height:23.5pt;width:261.6pt;" o:ole="t" fillcolor="#FFFFFF" filled="f" o:preferrelative="t" stroked="f" coordsize="21600,21600">
            <v:path/>
            <v:fill on="f" color2="#FFFFFF" focussize="0,0"/>
            <v:stroke on="f"/>
            <v:imagedata r:id="rId18" gain="65536f" blacklevel="0f" gamma="0" o:title=""/>
            <o:lock v:ext="edit" position="f" selection="f" grouping="f" rotation="f" cropping="f" text="f" aspectratio="t"/>
            <w10:wrap type="none"/>
            <w10:anchorlock/>
          </v:shape>
          <o:OLEObject Type="Embed" ProgID="" ShapeID="_x0000_i1028" DrawAspect="Content" ObjectID="_1468075728" r:id="rId17">
            <o:LockedField>false</o:LockedField>
          </o:OLEObject>
        </w:object>
      </w:r>
    </w:p>
    <w:p w14:paraId="453FCF25">
      <w:pPr>
        <w:spacing w:line="520" w:lineRule="exact"/>
        <w:ind w:firstLine="56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 xml:space="preserve">式中： </w:t>
      </w:r>
      <w:r>
        <w:rPr>
          <w:rFonts w:hint="default" w:ascii="Times New Roman" w:hAnsi="Times New Roman" w:eastAsia="楷体" w:cs="Times New Roman"/>
          <w:color w:val="auto"/>
          <w:kern w:val="2"/>
          <w:sz w:val="28"/>
          <w:szCs w:val="28"/>
          <w:highlight w:val="none"/>
          <w:lang w:val="en-US" w:eastAsia="zh-CN" w:bidi="ar-SA"/>
        </w:rPr>
        <w:object>
          <v:shape id="_x0000_i1029" o:spt="75" type="#_x0000_t75" style="height:18pt;width:13.95pt;" o:ole="t" fillcolor="#FFFFFF" filled="f" o:preferrelative="t" stroked="f" coordsize="21600,21600">
            <v:path/>
            <v:fill on="f" color2="#FFFFFF" focussize="0,0"/>
            <v:stroke on="f"/>
            <v:imagedata r:id="rId20" gain="65536f" blacklevel="0f" gamma="0" o:title=""/>
            <o:lock v:ext="edit" position="f" selection="f" grouping="f" rotation="f" cropping="f" text="f" aspectratio="t"/>
            <w10:wrap type="none"/>
            <w10:anchorlock/>
          </v:shape>
          <o:OLEObject Type="Embed" ProgID="" ShapeID="_x0000_i1029" DrawAspect="Content" ObjectID="_1468075729" r:id="rId19">
            <o:LockedField>false</o:LockedField>
          </o:OLEObject>
        </w:object>
      </w:r>
      <w:r>
        <w:rPr>
          <w:rFonts w:hint="default" w:ascii="Times New Roman" w:hAnsi="Times New Roman" w:eastAsia="楷体" w:cs="Times New Roman"/>
          <w:color w:val="auto"/>
          <w:sz w:val="28"/>
          <w:szCs w:val="28"/>
          <w:highlight w:val="none"/>
        </w:rPr>
        <w:t>、</w:t>
      </w:r>
      <w:r>
        <w:rPr>
          <w:rFonts w:hint="default" w:ascii="Times New Roman" w:hAnsi="Times New Roman" w:eastAsia="楷体" w:cs="Times New Roman"/>
          <w:color w:val="auto"/>
          <w:kern w:val="2"/>
          <w:sz w:val="28"/>
          <w:szCs w:val="28"/>
          <w:highlight w:val="none"/>
          <w:lang w:val="en-US" w:eastAsia="zh-CN" w:bidi="ar-SA"/>
        </w:rPr>
        <w:object>
          <v:shape id="_x0000_i1030" o:spt="75" type="#_x0000_t75" style="height:18pt;width:15pt;" o:ole="t" fillcolor="#FFFFFF" filled="f" o:preferrelative="t" stroked="f" coordsize="21600,21600">
            <v:path/>
            <v:fill on="f" color2="#FFFFFF" focussize="0,0"/>
            <v:stroke on="f"/>
            <v:imagedata r:id="rId22" gain="65536f" blacklevel="0f" gamma="0" o:title=""/>
            <o:lock v:ext="edit" position="f" selection="f" grouping="f" rotation="f" cropping="f" text="f" aspectratio="t"/>
            <w10:wrap type="none"/>
            <w10:anchorlock/>
          </v:shape>
          <o:OLEObject Type="Embed" ProgID="" ShapeID="_x0000_i1030" DrawAspect="Content" ObjectID="_1468075730" r:id="rId21">
            <o:LockedField>false</o:LockedField>
          </o:OLEObject>
        </w:object>
      </w:r>
      <w:r>
        <w:rPr>
          <w:rFonts w:hint="default" w:ascii="Times New Roman" w:hAnsi="Times New Roman" w:eastAsia="楷体" w:cs="Times New Roman"/>
          <w:color w:val="auto"/>
          <w:sz w:val="28"/>
          <w:szCs w:val="28"/>
          <w:highlight w:val="none"/>
        </w:rPr>
        <w:t>——上、下断面的水位（m）；</w:t>
      </w:r>
    </w:p>
    <w:p w14:paraId="034CB9E0">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color w:val="auto"/>
          <w:kern w:val="2"/>
          <w:sz w:val="28"/>
          <w:szCs w:val="28"/>
          <w:highlight w:val="none"/>
          <w:lang w:val="en-US" w:eastAsia="zh-CN" w:bidi="ar-SA"/>
        </w:rPr>
        <w:object>
          <v:shape id="_x0000_i1031" o:spt="75" type="#_x0000_t75" style="height:13.95pt;width:6.95pt;" o:ole="t" fillcolor="#FFFFFF" filled="f" o:preferrelative="t" stroked="f" coordsize="21600,21600">
            <v:path/>
            <v:fill on="f" color2="#FFFFFF" focussize="0,0"/>
            <v:stroke on="f"/>
            <v:imagedata r:id="rId24" gain="65536f" blacklevel="0f" gamma="0" o:title=""/>
            <o:lock v:ext="edit" position="f" selection="f" grouping="f" rotation="f" cropping="f" text="f" aspectratio="t"/>
            <w10:wrap type="none"/>
            <w10:anchorlock/>
          </v:shape>
          <o:OLEObject Type="Embed" ProgID="" ShapeID="_x0000_i1031" DrawAspect="Content" ObjectID="_1468075731" r:id="rId23">
            <o:LockedField>false</o:LockedField>
          </o:OLEObject>
        </w:object>
      </w:r>
      <w:r>
        <w:rPr>
          <w:rFonts w:hint="default" w:ascii="Times New Roman" w:hAnsi="Times New Roman" w:eastAsia="楷体" w:cs="Times New Roman"/>
          <w:color w:val="auto"/>
          <w:sz w:val="28"/>
          <w:szCs w:val="28"/>
          <w:highlight w:val="none"/>
        </w:rPr>
        <w:t xml:space="preserve">  —— 上、下断面之间的河段长度（m）；</w:t>
      </w:r>
    </w:p>
    <w:p w14:paraId="5A9DC3C2">
      <w:pPr>
        <w:spacing w:line="520" w:lineRule="exact"/>
        <w:ind w:firstLine="1120" w:firstLineChars="4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kern w:val="2"/>
          <w:sz w:val="28"/>
          <w:szCs w:val="28"/>
          <w:highlight w:val="none"/>
          <w:lang w:val="en-US" w:eastAsia="zh-CN" w:bidi="ar-SA"/>
        </w:rPr>
        <w:object>
          <v:shape id="_x0000_i1032" o:spt="75" type="#_x0000_t75" style="height:18pt;width:31pt;" o:ole="t" fillcolor="#FFFFFF" filled="f" o:preferrelative="t" stroked="f" coordsize="21600,21600">
            <v:path/>
            <v:fill on="f" color2="#FFFFFF" focussize="0,0"/>
            <v:stroke on="f"/>
            <v:imagedata r:id="rId26" gain="65536f" blacklevel="0f" gamma="0" o:title=""/>
            <o:lock v:ext="edit" position="f" selection="f" grouping="f" rotation="f" cropping="f" text="f" aspectratio="t"/>
            <w10:wrap type="none"/>
            <w10:anchorlock/>
          </v:shape>
          <o:OLEObject Type="Embed" ProgID="" ShapeID="_x0000_i1032" DrawAspect="Content" ObjectID="_1468075732" r:id="rId25">
            <o:LockedField>false</o:LockedField>
          </o:OLEObject>
        </w:object>
      </w:r>
      <w:r>
        <w:rPr>
          <w:rFonts w:hint="default" w:ascii="Times New Roman" w:hAnsi="Times New Roman" w:eastAsia="楷体" w:cs="Times New Roman"/>
          <w:color w:val="auto"/>
          <w:sz w:val="28"/>
          <w:szCs w:val="28"/>
          <w:highlight w:val="none"/>
        </w:rPr>
        <w:t xml:space="preserve"> —— 上、下断面的水流平均速度；</w:t>
      </w:r>
    </w:p>
    <w:p w14:paraId="785F4E3E">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color w:val="auto"/>
          <w:kern w:val="2"/>
          <w:sz w:val="28"/>
          <w:szCs w:val="28"/>
          <w:highlight w:val="none"/>
          <w:lang w:val="en-US" w:eastAsia="zh-CN" w:bidi="ar-SA"/>
        </w:rPr>
        <w:object>
          <v:shape id="_x0000_i1033" o:spt="75" type="#_x0000_t75" style="height:18pt;width:35pt;" o:ole="t" fillcolor="#FFFFFF" filled="f" o:preferrelative="t" stroked="f" coordsize="21600,21600">
            <v:path/>
            <v:fill on="f" color2="#FFFFFF" focussize="0,0"/>
            <v:stroke on="f"/>
            <v:imagedata r:id="rId28" gain="65536f" blacklevel="0f" gamma="0" o:title=""/>
            <o:lock v:ext="edit" position="f" selection="f" grouping="f" rotation="f" cropping="f" text="f" aspectratio="t"/>
            <w10:wrap type="none"/>
            <w10:anchorlock/>
          </v:shape>
          <o:OLEObject Type="Embed" ProgID="" ShapeID="_x0000_i1033" DrawAspect="Content" ObjectID="_1468075733" r:id="rId27">
            <o:LockedField>false</o:LockedField>
          </o:OLEObject>
        </w:object>
      </w:r>
      <w:r>
        <w:rPr>
          <w:rFonts w:hint="default" w:ascii="Times New Roman" w:hAnsi="Times New Roman" w:eastAsia="楷体" w:cs="Times New Roman"/>
          <w:color w:val="auto"/>
          <w:sz w:val="28"/>
          <w:szCs w:val="28"/>
          <w:highlight w:val="none"/>
        </w:rPr>
        <w:t xml:space="preserve"> —— 上、下断面的水力半径；</w:t>
      </w:r>
    </w:p>
    <w:p w14:paraId="5886DD82">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color w:val="auto"/>
          <w:kern w:val="2"/>
          <w:sz w:val="28"/>
          <w:szCs w:val="28"/>
          <w:highlight w:val="none"/>
          <w:lang w:val="en-US" w:eastAsia="zh-CN" w:bidi="ar-SA"/>
        </w:rPr>
        <w:object>
          <v:shape id="_x0000_i1034" o:spt="75" type="#_x0000_t75" style="height:16pt;width:10pt;" o:ole="t" fillcolor="#FFFFFF" filled="f" o:preferrelative="t" stroked="f" coordsize="21600,21600">
            <v:path/>
            <v:fill on="f" color2="#FFFFFF" focussize="0,0"/>
            <v:stroke on="f"/>
            <v:imagedata r:id="rId30" gain="65536f" blacklevel="0f" gamma="0" o:title=""/>
            <o:lock v:ext="edit" position="f" selection="f" grouping="f" rotation="f" cropping="f" text="f" aspectratio="t"/>
            <w10:wrap type="none"/>
            <w10:anchorlock/>
          </v:shape>
          <o:OLEObject Type="Embed" ProgID="" ShapeID="_x0000_i1034" DrawAspect="Content" ObjectID="_1468075734" r:id="rId29">
            <o:LockedField>false</o:LockedField>
          </o:OLEObject>
        </w:object>
      </w:r>
      <w:r>
        <w:rPr>
          <w:rFonts w:hint="default" w:ascii="Times New Roman" w:hAnsi="Times New Roman" w:eastAsia="楷体" w:cs="Times New Roman"/>
          <w:color w:val="auto"/>
          <w:sz w:val="28"/>
          <w:szCs w:val="28"/>
          <w:highlight w:val="none"/>
        </w:rPr>
        <w:t xml:space="preserve"> ——扩散、收缩的水头损失系数；</w:t>
      </w:r>
    </w:p>
    <w:p w14:paraId="6B24541F">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color w:val="auto"/>
          <w:kern w:val="2"/>
          <w:sz w:val="28"/>
          <w:szCs w:val="28"/>
          <w:highlight w:val="none"/>
          <w:lang w:val="en-US" w:eastAsia="zh-CN" w:bidi="ar-SA"/>
        </w:rPr>
        <w:object>
          <v:shape id="_x0000_i1035" o:spt="75" type="#_x0000_t75" style="height:13pt;width:11pt;" o:ole="t" fillcolor="#FFFFFF" filled="f" o:preferrelative="t" stroked="f" coordsize="21600,21600">
            <v:path/>
            <v:fill on="f" color2="#FFFFFF" focussize="0,0"/>
            <v:stroke on="f"/>
            <v:imagedata r:id="rId32" gain="65536f" blacklevel="0f" gamma="0" o:title=""/>
            <o:lock v:ext="edit" position="f" selection="f" grouping="f" rotation="f" cropping="f" text="f" aspectratio="t"/>
            <w10:wrap type="none"/>
            <w10:anchorlock/>
          </v:shape>
          <o:OLEObject Type="Embed" ProgID="" ShapeID="_x0000_i1035" DrawAspect="Content" ObjectID="_1468075735" r:id="rId31">
            <o:LockedField>false</o:LockedField>
          </o:OLEObject>
        </w:object>
      </w:r>
      <w:r>
        <w:rPr>
          <w:rFonts w:hint="default" w:ascii="Times New Roman" w:hAnsi="Times New Roman" w:eastAsia="楷体" w:cs="Times New Roman"/>
          <w:color w:val="auto"/>
          <w:sz w:val="28"/>
          <w:szCs w:val="28"/>
          <w:highlight w:val="none"/>
        </w:rPr>
        <w:t xml:space="preserve"> ——  重力加速度。</w:t>
      </w:r>
    </w:p>
    <w:p w14:paraId="742329E9">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根据以上几个公式计算求得四清水库水位～泄流关系曲线如下表</w:t>
      </w:r>
      <w:r>
        <w:rPr>
          <w:rFonts w:hint="eastAsia" w:ascii="Times New Roman" w:hAnsi="Times New Roman" w:eastAsia="楷体" w:cs="Times New Roman"/>
          <w:color w:val="auto"/>
          <w:sz w:val="28"/>
          <w:szCs w:val="28"/>
          <w:highlight w:val="none"/>
          <w:lang w:val="en-US" w:eastAsia="zh-CN"/>
        </w:rPr>
        <w:t>3</w:t>
      </w:r>
      <w:r>
        <w:rPr>
          <w:rFonts w:hint="default" w:ascii="Times New Roman" w:hAnsi="Times New Roman" w:eastAsia="楷体" w:cs="Times New Roman"/>
          <w:color w:val="auto"/>
          <w:sz w:val="28"/>
          <w:szCs w:val="28"/>
          <w:highlight w:val="none"/>
        </w:rPr>
        <w:t>-</w:t>
      </w:r>
      <w:r>
        <w:rPr>
          <w:rFonts w:hint="eastAsia" w:ascii="Times New Roman" w:hAnsi="Times New Roman" w:eastAsia="楷体" w:cs="Times New Roman"/>
          <w:color w:val="auto"/>
          <w:sz w:val="28"/>
          <w:szCs w:val="28"/>
          <w:highlight w:val="none"/>
          <w:lang w:val="en-US" w:eastAsia="zh-CN"/>
        </w:rPr>
        <w:t>2</w:t>
      </w:r>
      <w:r>
        <w:rPr>
          <w:rFonts w:hint="default" w:ascii="Times New Roman" w:hAnsi="Times New Roman" w:eastAsia="楷体" w:cs="Times New Roman"/>
          <w:color w:val="auto"/>
          <w:sz w:val="28"/>
          <w:szCs w:val="28"/>
          <w:highlight w:val="none"/>
        </w:rPr>
        <w:t>所示：</w:t>
      </w:r>
    </w:p>
    <w:p w14:paraId="1E67042F">
      <w:pPr>
        <w:spacing w:line="520" w:lineRule="exact"/>
        <w:ind w:firstLine="560" w:firstLineChars="200"/>
        <w:rPr>
          <w:rFonts w:hint="default" w:ascii="Times New Roman" w:hAnsi="Times New Roman" w:eastAsia="楷体" w:cs="Times New Roman"/>
          <w:color w:val="auto"/>
          <w:sz w:val="28"/>
          <w:szCs w:val="28"/>
          <w:highlight w:val="none"/>
        </w:rPr>
      </w:pPr>
    </w:p>
    <w:p w14:paraId="0755CF43">
      <w:pPr>
        <w:spacing w:line="520" w:lineRule="exact"/>
        <w:ind w:firstLine="560" w:firstLineChars="200"/>
        <w:rPr>
          <w:rFonts w:hint="default" w:ascii="Times New Roman" w:hAnsi="Times New Roman" w:eastAsia="楷体" w:cs="Times New Roman"/>
          <w:color w:val="auto"/>
          <w:sz w:val="28"/>
          <w:szCs w:val="28"/>
          <w:highlight w:val="none"/>
        </w:rPr>
      </w:pPr>
    </w:p>
    <w:p w14:paraId="0E445BF1">
      <w:pPr>
        <w:spacing w:line="520" w:lineRule="exact"/>
        <w:ind w:firstLine="560" w:firstLineChars="200"/>
        <w:rPr>
          <w:rFonts w:hint="default" w:ascii="Times New Roman" w:hAnsi="Times New Roman" w:eastAsia="楷体" w:cs="Times New Roman"/>
          <w:color w:val="auto"/>
          <w:sz w:val="28"/>
          <w:szCs w:val="28"/>
          <w:highlight w:val="none"/>
        </w:rPr>
      </w:pPr>
    </w:p>
    <w:p w14:paraId="74E6D155">
      <w:pPr>
        <w:spacing w:beforeLines="50"/>
        <w:rPr>
          <w:rFonts w:eastAsia="楷体"/>
          <w:b/>
          <w:color w:val="auto"/>
          <w:sz w:val="28"/>
          <w:szCs w:val="28"/>
          <w:highlight w:val="none"/>
        </w:rPr>
      </w:pPr>
      <w:r>
        <w:rPr>
          <w:rFonts w:eastAsia="楷体"/>
          <w:b/>
          <w:color w:val="auto"/>
          <w:sz w:val="28"/>
          <w:szCs w:val="28"/>
          <w:highlight w:val="none"/>
        </w:rPr>
        <w:t>表3-2            四清水库水位～下泄流量关系曲线</w:t>
      </w:r>
    </w:p>
    <w:bookmarkEnd w:id="12"/>
    <w:tbl>
      <w:tblPr>
        <w:tblStyle w:val="17"/>
        <w:tblW w:w="833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2527"/>
        <w:gridCol w:w="1071"/>
        <w:gridCol w:w="1183"/>
        <w:gridCol w:w="1183"/>
        <w:gridCol w:w="1183"/>
        <w:gridCol w:w="1183"/>
      </w:tblGrid>
      <w:tr w14:paraId="6CC5C0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2527" w:type="dxa"/>
            <w:vAlign w:val="center"/>
          </w:tcPr>
          <w:p w14:paraId="5E9AB7D5">
            <w:pPr>
              <w:widowControl/>
              <w:jc w:val="center"/>
              <w:textAlignment w:val="center"/>
              <w:rPr>
                <w:rFonts w:eastAsia="楷体"/>
                <w:color w:val="auto"/>
                <w:sz w:val="24"/>
                <w:highlight w:val="none"/>
              </w:rPr>
            </w:pPr>
            <w:bookmarkStart w:id="13" w:name="_Toc30807"/>
            <w:r>
              <w:rPr>
                <w:rFonts w:eastAsia="楷体"/>
                <w:color w:val="auto"/>
                <w:kern w:val="0"/>
                <w:sz w:val="24"/>
                <w:highlight w:val="none"/>
              </w:rPr>
              <w:t>水库水位(m)</w:t>
            </w:r>
          </w:p>
        </w:tc>
        <w:tc>
          <w:tcPr>
            <w:tcW w:w="1071" w:type="dxa"/>
            <w:vAlign w:val="center"/>
          </w:tcPr>
          <w:p w14:paraId="57E6107F">
            <w:pPr>
              <w:widowControl/>
              <w:jc w:val="center"/>
              <w:textAlignment w:val="center"/>
              <w:rPr>
                <w:rFonts w:eastAsia="楷体"/>
                <w:color w:val="auto"/>
                <w:sz w:val="24"/>
                <w:highlight w:val="none"/>
              </w:rPr>
            </w:pPr>
            <w:r>
              <w:rPr>
                <w:rFonts w:hint="eastAsia" w:eastAsia="楷体"/>
                <w:color w:val="auto"/>
                <w:kern w:val="0"/>
                <w:sz w:val="24"/>
                <w:highlight w:val="none"/>
              </w:rPr>
              <w:t>28.04</w:t>
            </w:r>
          </w:p>
        </w:tc>
        <w:tc>
          <w:tcPr>
            <w:tcW w:w="1183" w:type="dxa"/>
            <w:vAlign w:val="center"/>
          </w:tcPr>
          <w:p w14:paraId="692D3A0D">
            <w:pPr>
              <w:widowControl/>
              <w:jc w:val="center"/>
              <w:textAlignment w:val="center"/>
              <w:rPr>
                <w:rFonts w:eastAsia="楷体"/>
                <w:color w:val="auto"/>
                <w:sz w:val="24"/>
                <w:highlight w:val="none"/>
              </w:rPr>
            </w:pPr>
            <w:r>
              <w:rPr>
                <w:rFonts w:hint="eastAsia" w:eastAsia="楷体"/>
                <w:color w:val="auto"/>
                <w:kern w:val="0"/>
                <w:sz w:val="24"/>
                <w:highlight w:val="none"/>
              </w:rPr>
              <w:t>28.16</w:t>
            </w:r>
          </w:p>
        </w:tc>
        <w:tc>
          <w:tcPr>
            <w:tcW w:w="1183" w:type="dxa"/>
            <w:vAlign w:val="center"/>
          </w:tcPr>
          <w:p w14:paraId="535D4CE1">
            <w:pPr>
              <w:widowControl/>
              <w:jc w:val="center"/>
              <w:textAlignment w:val="center"/>
              <w:rPr>
                <w:rFonts w:eastAsia="楷体"/>
                <w:color w:val="auto"/>
                <w:sz w:val="24"/>
                <w:highlight w:val="none"/>
              </w:rPr>
            </w:pPr>
            <w:r>
              <w:rPr>
                <w:rFonts w:hint="eastAsia" w:eastAsia="楷体"/>
                <w:color w:val="auto"/>
                <w:kern w:val="0"/>
                <w:sz w:val="24"/>
                <w:highlight w:val="none"/>
              </w:rPr>
              <w:t>28.20</w:t>
            </w:r>
          </w:p>
        </w:tc>
        <w:tc>
          <w:tcPr>
            <w:tcW w:w="1183" w:type="dxa"/>
            <w:vAlign w:val="center"/>
          </w:tcPr>
          <w:p w14:paraId="6DBAC56C">
            <w:pPr>
              <w:widowControl/>
              <w:jc w:val="center"/>
              <w:textAlignment w:val="center"/>
              <w:rPr>
                <w:rFonts w:eastAsia="楷体"/>
                <w:color w:val="auto"/>
                <w:sz w:val="24"/>
                <w:highlight w:val="none"/>
              </w:rPr>
            </w:pPr>
            <w:r>
              <w:rPr>
                <w:rFonts w:hint="eastAsia" w:eastAsia="楷体"/>
                <w:color w:val="auto"/>
                <w:kern w:val="0"/>
                <w:sz w:val="24"/>
                <w:highlight w:val="none"/>
              </w:rPr>
              <w:t>28.30</w:t>
            </w:r>
          </w:p>
        </w:tc>
        <w:tc>
          <w:tcPr>
            <w:tcW w:w="1183" w:type="dxa"/>
            <w:vAlign w:val="center"/>
          </w:tcPr>
          <w:p w14:paraId="055F5F65">
            <w:pPr>
              <w:widowControl/>
              <w:jc w:val="center"/>
              <w:textAlignment w:val="center"/>
              <w:rPr>
                <w:rFonts w:eastAsia="楷体"/>
                <w:color w:val="auto"/>
                <w:sz w:val="24"/>
                <w:highlight w:val="none"/>
              </w:rPr>
            </w:pPr>
            <w:r>
              <w:rPr>
                <w:rFonts w:hint="eastAsia" w:eastAsia="楷体"/>
                <w:color w:val="auto"/>
                <w:kern w:val="0"/>
                <w:sz w:val="24"/>
                <w:highlight w:val="none"/>
              </w:rPr>
              <w:t>28.37</w:t>
            </w:r>
          </w:p>
        </w:tc>
      </w:tr>
      <w:tr w14:paraId="53F535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2527" w:type="dxa"/>
            <w:vAlign w:val="center"/>
          </w:tcPr>
          <w:p w14:paraId="3DD9E613">
            <w:pPr>
              <w:widowControl/>
              <w:jc w:val="center"/>
              <w:textAlignment w:val="center"/>
              <w:rPr>
                <w:rFonts w:eastAsia="楷体"/>
                <w:color w:val="auto"/>
                <w:sz w:val="24"/>
                <w:highlight w:val="none"/>
              </w:rPr>
            </w:pPr>
            <w:r>
              <w:rPr>
                <w:rFonts w:eastAsia="楷体"/>
                <w:color w:val="auto"/>
                <w:kern w:val="0"/>
                <w:sz w:val="24"/>
                <w:highlight w:val="none"/>
              </w:rPr>
              <w:t>对应下泄流量（m</w:t>
            </w:r>
            <w:r>
              <w:rPr>
                <w:rFonts w:eastAsia="楷体"/>
                <w:color w:val="auto"/>
                <w:kern w:val="0"/>
                <w:sz w:val="24"/>
                <w:highlight w:val="none"/>
                <w:vertAlign w:val="superscript"/>
              </w:rPr>
              <w:t>3</w:t>
            </w:r>
            <w:r>
              <w:rPr>
                <w:rFonts w:eastAsia="楷体"/>
                <w:color w:val="auto"/>
                <w:kern w:val="0"/>
                <w:sz w:val="24"/>
                <w:highlight w:val="none"/>
              </w:rPr>
              <w:t>/s）</w:t>
            </w:r>
          </w:p>
        </w:tc>
        <w:tc>
          <w:tcPr>
            <w:tcW w:w="1071" w:type="dxa"/>
            <w:vAlign w:val="center"/>
          </w:tcPr>
          <w:p w14:paraId="40FB8A29">
            <w:pPr>
              <w:widowControl/>
              <w:jc w:val="center"/>
              <w:textAlignment w:val="center"/>
              <w:rPr>
                <w:rFonts w:eastAsia="楷体"/>
                <w:color w:val="auto"/>
                <w:sz w:val="24"/>
                <w:highlight w:val="none"/>
              </w:rPr>
            </w:pPr>
            <w:r>
              <w:rPr>
                <w:rFonts w:eastAsia="楷体"/>
                <w:color w:val="auto"/>
                <w:kern w:val="0"/>
                <w:sz w:val="24"/>
                <w:highlight w:val="none"/>
              </w:rPr>
              <w:t>0</w:t>
            </w:r>
          </w:p>
        </w:tc>
        <w:tc>
          <w:tcPr>
            <w:tcW w:w="1183" w:type="dxa"/>
            <w:vAlign w:val="center"/>
          </w:tcPr>
          <w:p w14:paraId="71711FB3">
            <w:pPr>
              <w:widowControl/>
              <w:jc w:val="center"/>
              <w:textAlignment w:val="center"/>
              <w:rPr>
                <w:rFonts w:eastAsia="楷体"/>
                <w:color w:val="auto"/>
                <w:sz w:val="24"/>
                <w:highlight w:val="none"/>
              </w:rPr>
            </w:pPr>
            <w:r>
              <w:rPr>
                <w:rFonts w:hint="eastAsia" w:eastAsia="楷体"/>
                <w:color w:val="auto"/>
                <w:kern w:val="0"/>
                <w:sz w:val="24"/>
                <w:highlight w:val="none"/>
              </w:rPr>
              <w:t>0.5</w:t>
            </w:r>
          </w:p>
        </w:tc>
        <w:tc>
          <w:tcPr>
            <w:tcW w:w="1183" w:type="dxa"/>
            <w:vAlign w:val="center"/>
          </w:tcPr>
          <w:p w14:paraId="676335C5">
            <w:pPr>
              <w:widowControl/>
              <w:jc w:val="center"/>
              <w:textAlignment w:val="center"/>
              <w:rPr>
                <w:rFonts w:eastAsia="楷体"/>
                <w:color w:val="auto"/>
                <w:sz w:val="24"/>
                <w:highlight w:val="none"/>
              </w:rPr>
            </w:pPr>
            <w:r>
              <w:rPr>
                <w:rFonts w:hint="eastAsia" w:eastAsia="楷体"/>
                <w:color w:val="auto"/>
                <w:kern w:val="0"/>
                <w:sz w:val="24"/>
                <w:highlight w:val="none"/>
              </w:rPr>
              <w:t>1</w:t>
            </w:r>
          </w:p>
        </w:tc>
        <w:tc>
          <w:tcPr>
            <w:tcW w:w="1183" w:type="dxa"/>
            <w:vAlign w:val="center"/>
          </w:tcPr>
          <w:p w14:paraId="2916A4E5">
            <w:pPr>
              <w:widowControl/>
              <w:jc w:val="center"/>
              <w:textAlignment w:val="center"/>
              <w:rPr>
                <w:rFonts w:eastAsia="楷体"/>
                <w:color w:val="auto"/>
                <w:sz w:val="24"/>
                <w:highlight w:val="none"/>
              </w:rPr>
            </w:pPr>
            <w:r>
              <w:rPr>
                <w:rFonts w:hint="eastAsia" w:eastAsia="楷体"/>
                <w:color w:val="auto"/>
                <w:kern w:val="0"/>
                <w:sz w:val="24"/>
                <w:highlight w:val="none"/>
              </w:rPr>
              <w:t>2</w:t>
            </w:r>
          </w:p>
        </w:tc>
        <w:tc>
          <w:tcPr>
            <w:tcW w:w="1183" w:type="dxa"/>
            <w:vAlign w:val="center"/>
          </w:tcPr>
          <w:p w14:paraId="5849F11B">
            <w:pPr>
              <w:widowControl/>
              <w:jc w:val="center"/>
              <w:textAlignment w:val="center"/>
              <w:rPr>
                <w:rFonts w:eastAsia="楷体"/>
                <w:color w:val="auto"/>
                <w:sz w:val="24"/>
                <w:highlight w:val="none"/>
              </w:rPr>
            </w:pPr>
            <w:r>
              <w:rPr>
                <w:rFonts w:hint="eastAsia" w:eastAsia="楷体"/>
                <w:color w:val="auto"/>
                <w:kern w:val="0"/>
                <w:sz w:val="24"/>
                <w:highlight w:val="none"/>
              </w:rPr>
              <w:t>3</w:t>
            </w:r>
          </w:p>
        </w:tc>
      </w:tr>
      <w:tr w14:paraId="29D29A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2527" w:type="dxa"/>
            <w:vAlign w:val="center"/>
          </w:tcPr>
          <w:p w14:paraId="4A37525B">
            <w:pPr>
              <w:widowControl/>
              <w:jc w:val="center"/>
              <w:textAlignment w:val="center"/>
              <w:rPr>
                <w:rFonts w:eastAsia="楷体"/>
                <w:color w:val="auto"/>
                <w:sz w:val="24"/>
                <w:highlight w:val="none"/>
              </w:rPr>
            </w:pPr>
            <w:r>
              <w:rPr>
                <w:rFonts w:eastAsia="楷体"/>
                <w:color w:val="auto"/>
                <w:kern w:val="0"/>
                <w:sz w:val="24"/>
                <w:highlight w:val="none"/>
              </w:rPr>
              <w:t>水库水位(m)</w:t>
            </w:r>
          </w:p>
        </w:tc>
        <w:tc>
          <w:tcPr>
            <w:tcW w:w="1071" w:type="dxa"/>
            <w:vAlign w:val="center"/>
          </w:tcPr>
          <w:p w14:paraId="093AECCD">
            <w:pPr>
              <w:widowControl/>
              <w:jc w:val="center"/>
              <w:textAlignment w:val="center"/>
              <w:rPr>
                <w:rFonts w:eastAsia="楷体"/>
                <w:color w:val="auto"/>
                <w:sz w:val="24"/>
                <w:highlight w:val="none"/>
              </w:rPr>
            </w:pPr>
            <w:r>
              <w:rPr>
                <w:rFonts w:hint="eastAsia" w:eastAsia="楷体"/>
                <w:color w:val="auto"/>
                <w:kern w:val="0"/>
                <w:sz w:val="24"/>
                <w:highlight w:val="none"/>
              </w:rPr>
              <w:t>28.51</w:t>
            </w:r>
          </w:p>
        </w:tc>
        <w:tc>
          <w:tcPr>
            <w:tcW w:w="1183" w:type="dxa"/>
            <w:vAlign w:val="center"/>
          </w:tcPr>
          <w:p w14:paraId="1630260A">
            <w:pPr>
              <w:widowControl/>
              <w:jc w:val="center"/>
              <w:textAlignment w:val="center"/>
              <w:rPr>
                <w:rFonts w:eastAsia="楷体"/>
                <w:color w:val="auto"/>
                <w:sz w:val="24"/>
                <w:highlight w:val="none"/>
              </w:rPr>
            </w:pPr>
            <w:r>
              <w:rPr>
                <w:rFonts w:hint="eastAsia" w:eastAsia="楷体"/>
                <w:color w:val="auto"/>
                <w:kern w:val="0"/>
                <w:sz w:val="24"/>
                <w:highlight w:val="none"/>
              </w:rPr>
              <w:t>28.62</w:t>
            </w:r>
          </w:p>
        </w:tc>
        <w:tc>
          <w:tcPr>
            <w:tcW w:w="1183" w:type="dxa"/>
            <w:vAlign w:val="center"/>
          </w:tcPr>
          <w:p w14:paraId="7F558F62">
            <w:pPr>
              <w:widowControl/>
              <w:jc w:val="center"/>
              <w:textAlignment w:val="center"/>
              <w:rPr>
                <w:rFonts w:eastAsia="楷体"/>
                <w:color w:val="auto"/>
                <w:sz w:val="24"/>
                <w:highlight w:val="none"/>
              </w:rPr>
            </w:pPr>
            <w:r>
              <w:rPr>
                <w:rFonts w:hint="eastAsia" w:eastAsia="楷体"/>
                <w:color w:val="auto"/>
                <w:kern w:val="0"/>
                <w:sz w:val="24"/>
                <w:highlight w:val="none"/>
              </w:rPr>
              <w:t>28.78</w:t>
            </w:r>
          </w:p>
        </w:tc>
        <w:tc>
          <w:tcPr>
            <w:tcW w:w="1183" w:type="dxa"/>
            <w:vAlign w:val="center"/>
          </w:tcPr>
          <w:p w14:paraId="51B5472C">
            <w:pPr>
              <w:widowControl/>
              <w:jc w:val="center"/>
              <w:textAlignment w:val="center"/>
              <w:rPr>
                <w:rFonts w:eastAsia="楷体"/>
                <w:color w:val="auto"/>
                <w:sz w:val="24"/>
                <w:highlight w:val="none"/>
              </w:rPr>
            </w:pPr>
            <w:r>
              <w:rPr>
                <w:rFonts w:hint="eastAsia" w:eastAsia="楷体"/>
                <w:color w:val="auto"/>
                <w:kern w:val="0"/>
                <w:sz w:val="24"/>
                <w:highlight w:val="none"/>
              </w:rPr>
              <w:t>29.01</w:t>
            </w:r>
          </w:p>
        </w:tc>
        <w:tc>
          <w:tcPr>
            <w:tcW w:w="1183" w:type="dxa"/>
            <w:vAlign w:val="center"/>
          </w:tcPr>
          <w:p w14:paraId="47455651">
            <w:pPr>
              <w:widowControl/>
              <w:jc w:val="center"/>
              <w:textAlignment w:val="center"/>
              <w:rPr>
                <w:rFonts w:eastAsia="楷体"/>
                <w:color w:val="auto"/>
                <w:sz w:val="24"/>
                <w:highlight w:val="none"/>
              </w:rPr>
            </w:pPr>
          </w:p>
        </w:tc>
      </w:tr>
      <w:tr w14:paraId="624061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2527" w:type="dxa"/>
            <w:vAlign w:val="center"/>
          </w:tcPr>
          <w:p w14:paraId="58898131">
            <w:pPr>
              <w:widowControl/>
              <w:jc w:val="center"/>
              <w:textAlignment w:val="center"/>
              <w:rPr>
                <w:rFonts w:eastAsia="楷体"/>
                <w:color w:val="auto"/>
                <w:sz w:val="24"/>
                <w:highlight w:val="none"/>
              </w:rPr>
            </w:pPr>
            <w:r>
              <w:rPr>
                <w:rFonts w:eastAsia="楷体"/>
                <w:color w:val="auto"/>
                <w:kern w:val="0"/>
                <w:sz w:val="24"/>
                <w:highlight w:val="none"/>
              </w:rPr>
              <w:t>对应下泄流量（m</w:t>
            </w:r>
            <w:r>
              <w:rPr>
                <w:rFonts w:eastAsia="楷体"/>
                <w:color w:val="auto"/>
                <w:kern w:val="0"/>
                <w:sz w:val="24"/>
                <w:highlight w:val="none"/>
                <w:vertAlign w:val="superscript"/>
              </w:rPr>
              <w:t>3</w:t>
            </w:r>
            <w:r>
              <w:rPr>
                <w:rFonts w:eastAsia="楷体"/>
                <w:color w:val="auto"/>
                <w:kern w:val="0"/>
                <w:sz w:val="24"/>
                <w:highlight w:val="none"/>
              </w:rPr>
              <w:t>/s）</w:t>
            </w:r>
          </w:p>
        </w:tc>
        <w:tc>
          <w:tcPr>
            <w:tcW w:w="1071" w:type="dxa"/>
            <w:vAlign w:val="center"/>
          </w:tcPr>
          <w:p w14:paraId="422F4F01">
            <w:pPr>
              <w:widowControl/>
              <w:jc w:val="center"/>
              <w:textAlignment w:val="center"/>
              <w:rPr>
                <w:rFonts w:eastAsia="楷体"/>
                <w:color w:val="auto"/>
                <w:sz w:val="24"/>
                <w:highlight w:val="none"/>
              </w:rPr>
            </w:pPr>
            <w:r>
              <w:rPr>
                <w:rFonts w:hint="eastAsia" w:eastAsia="楷体"/>
                <w:color w:val="auto"/>
                <w:kern w:val="0"/>
                <w:sz w:val="24"/>
                <w:highlight w:val="none"/>
              </w:rPr>
              <w:t>5</w:t>
            </w:r>
          </w:p>
        </w:tc>
        <w:tc>
          <w:tcPr>
            <w:tcW w:w="1183" w:type="dxa"/>
            <w:vAlign w:val="center"/>
          </w:tcPr>
          <w:p w14:paraId="0FE837B5">
            <w:pPr>
              <w:widowControl/>
              <w:jc w:val="center"/>
              <w:textAlignment w:val="center"/>
              <w:rPr>
                <w:rFonts w:eastAsia="楷体"/>
                <w:color w:val="auto"/>
                <w:sz w:val="24"/>
                <w:highlight w:val="none"/>
              </w:rPr>
            </w:pPr>
            <w:r>
              <w:rPr>
                <w:rFonts w:hint="eastAsia" w:eastAsia="楷体"/>
                <w:color w:val="auto"/>
                <w:kern w:val="0"/>
                <w:sz w:val="24"/>
                <w:highlight w:val="none"/>
              </w:rPr>
              <w:t>7</w:t>
            </w:r>
          </w:p>
        </w:tc>
        <w:tc>
          <w:tcPr>
            <w:tcW w:w="1183" w:type="dxa"/>
            <w:vAlign w:val="center"/>
          </w:tcPr>
          <w:p w14:paraId="4DAED4C8">
            <w:pPr>
              <w:widowControl/>
              <w:jc w:val="center"/>
              <w:textAlignment w:val="center"/>
              <w:rPr>
                <w:rFonts w:eastAsia="楷体"/>
                <w:color w:val="auto"/>
                <w:sz w:val="24"/>
                <w:highlight w:val="none"/>
              </w:rPr>
            </w:pPr>
            <w:r>
              <w:rPr>
                <w:rFonts w:hint="eastAsia" w:eastAsia="楷体"/>
                <w:color w:val="auto"/>
                <w:kern w:val="0"/>
                <w:sz w:val="24"/>
                <w:highlight w:val="none"/>
              </w:rPr>
              <w:t>10</w:t>
            </w:r>
          </w:p>
        </w:tc>
        <w:tc>
          <w:tcPr>
            <w:tcW w:w="1183" w:type="dxa"/>
            <w:vAlign w:val="center"/>
          </w:tcPr>
          <w:p w14:paraId="00A3560F">
            <w:pPr>
              <w:widowControl/>
              <w:jc w:val="center"/>
              <w:textAlignment w:val="center"/>
              <w:rPr>
                <w:rFonts w:eastAsia="楷体"/>
                <w:color w:val="auto"/>
                <w:sz w:val="24"/>
                <w:highlight w:val="none"/>
              </w:rPr>
            </w:pPr>
            <w:r>
              <w:rPr>
                <w:rFonts w:hint="eastAsia" w:eastAsia="楷体"/>
                <w:color w:val="auto"/>
                <w:kern w:val="0"/>
                <w:sz w:val="24"/>
                <w:highlight w:val="none"/>
              </w:rPr>
              <w:t>15</w:t>
            </w:r>
          </w:p>
        </w:tc>
        <w:tc>
          <w:tcPr>
            <w:tcW w:w="1183" w:type="dxa"/>
            <w:vAlign w:val="center"/>
          </w:tcPr>
          <w:p w14:paraId="58E50D37">
            <w:pPr>
              <w:widowControl/>
              <w:jc w:val="center"/>
              <w:textAlignment w:val="center"/>
              <w:rPr>
                <w:rFonts w:eastAsia="楷体"/>
                <w:color w:val="auto"/>
                <w:sz w:val="24"/>
                <w:highlight w:val="none"/>
              </w:rPr>
            </w:pPr>
          </w:p>
        </w:tc>
      </w:tr>
    </w:tbl>
    <w:p w14:paraId="3C5D6785">
      <w:pPr>
        <w:pStyle w:val="4"/>
        <w:spacing w:beforeLines="50" w:afterLines="50" w:line="360" w:lineRule="auto"/>
        <w:contextualSpacing/>
        <w:rPr>
          <w:rFonts w:ascii="Times New Roman" w:hAnsi="Times New Roman" w:eastAsia="楷体"/>
          <w:color w:val="auto"/>
          <w:kern w:val="0"/>
          <w:sz w:val="28"/>
          <w:szCs w:val="28"/>
          <w:highlight w:val="none"/>
        </w:rPr>
      </w:pPr>
      <w:r>
        <w:rPr>
          <w:rFonts w:ascii="Times New Roman" w:hAnsi="Times New Roman" w:eastAsia="楷体"/>
          <w:color w:val="auto"/>
          <w:kern w:val="0"/>
          <w:sz w:val="28"/>
          <w:szCs w:val="28"/>
          <w:highlight w:val="none"/>
        </w:rPr>
        <w:t>3.3 水库上、下游情况</w:t>
      </w:r>
      <w:bookmarkEnd w:id="13"/>
    </w:p>
    <w:p w14:paraId="13C142E3">
      <w:pPr>
        <w:spacing w:line="520" w:lineRule="exact"/>
        <w:ind w:firstLine="560" w:firstLineChars="200"/>
        <w:rPr>
          <w:rFonts w:eastAsia="楷体"/>
          <w:color w:val="auto"/>
          <w:sz w:val="28"/>
          <w:szCs w:val="28"/>
          <w:highlight w:val="none"/>
        </w:rPr>
      </w:pPr>
      <w:bookmarkStart w:id="14" w:name="OLE_LINK36"/>
      <w:bookmarkStart w:id="15" w:name="_Toc8846"/>
      <w:r>
        <w:rPr>
          <w:rFonts w:eastAsia="楷体"/>
          <w:color w:val="auto"/>
          <w:sz w:val="28"/>
          <w:szCs w:val="28"/>
          <w:highlight w:val="none"/>
        </w:rPr>
        <w:t>四清水库库区上游及周围都没有厂矿企业污染源，人烟稀少，沿河所接纳废水以农村生活废水和农田废水为主，现状水质</w:t>
      </w:r>
      <w:r>
        <w:rPr>
          <w:rFonts w:hint="eastAsia" w:eastAsia="楷体"/>
          <w:color w:val="auto"/>
          <w:sz w:val="28"/>
          <w:szCs w:val="28"/>
          <w:highlight w:val="none"/>
          <w:lang w:val="en-US" w:eastAsia="zh-CN"/>
        </w:rPr>
        <w:t>较好</w:t>
      </w:r>
      <w:r>
        <w:rPr>
          <w:rFonts w:eastAsia="楷体"/>
          <w:color w:val="auto"/>
          <w:sz w:val="28"/>
          <w:szCs w:val="28"/>
          <w:highlight w:val="none"/>
        </w:rPr>
        <w:t>。</w:t>
      </w:r>
    </w:p>
    <w:p w14:paraId="584989DE">
      <w:pPr>
        <w:spacing w:line="520" w:lineRule="exact"/>
        <w:ind w:firstLine="560" w:firstLineChars="200"/>
        <w:rPr>
          <w:rFonts w:eastAsia="楷体"/>
          <w:color w:val="auto"/>
          <w:sz w:val="30"/>
          <w:szCs w:val="30"/>
          <w:highlight w:val="none"/>
        </w:rPr>
      </w:pPr>
      <w:r>
        <w:rPr>
          <w:rFonts w:eastAsia="楷体"/>
          <w:color w:val="auto"/>
          <w:sz w:val="28"/>
          <w:szCs w:val="28"/>
          <w:highlight w:val="none"/>
        </w:rPr>
        <w:t>四清水库所在流域水资源利用程度较低，位于</w:t>
      </w:r>
      <w:r>
        <w:rPr>
          <w:rFonts w:hint="eastAsia" w:eastAsia="楷体"/>
          <w:color w:val="auto"/>
          <w:sz w:val="28"/>
          <w:szCs w:val="28"/>
          <w:highlight w:val="none"/>
        </w:rPr>
        <w:t>坝头溪</w:t>
      </w:r>
      <w:r>
        <w:rPr>
          <w:rFonts w:eastAsia="楷体"/>
          <w:color w:val="auto"/>
          <w:sz w:val="28"/>
          <w:szCs w:val="28"/>
          <w:highlight w:val="none"/>
        </w:rPr>
        <w:t>支流处，坝址上游</w:t>
      </w:r>
      <w:r>
        <w:rPr>
          <w:rFonts w:hint="eastAsia" w:eastAsia="楷体"/>
          <w:color w:val="auto"/>
          <w:sz w:val="28"/>
          <w:szCs w:val="28"/>
          <w:highlight w:val="none"/>
        </w:rPr>
        <w:t>无</w:t>
      </w:r>
      <w:r>
        <w:rPr>
          <w:rFonts w:eastAsia="楷体"/>
          <w:color w:val="auto"/>
          <w:sz w:val="28"/>
          <w:szCs w:val="28"/>
          <w:highlight w:val="none"/>
        </w:rPr>
        <w:t>水库，是以</w:t>
      </w:r>
      <w:r>
        <w:rPr>
          <w:rFonts w:hint="eastAsia" w:eastAsia="楷体"/>
          <w:color w:val="auto"/>
          <w:sz w:val="28"/>
          <w:szCs w:val="28"/>
          <w:highlight w:val="none"/>
        </w:rPr>
        <w:t>农田</w:t>
      </w:r>
      <w:r>
        <w:rPr>
          <w:rFonts w:eastAsia="楷体"/>
          <w:color w:val="auto"/>
          <w:sz w:val="28"/>
          <w:szCs w:val="28"/>
          <w:highlight w:val="none"/>
        </w:rPr>
        <w:t>灌溉为主的小（2）型水库</w:t>
      </w:r>
      <w:r>
        <w:rPr>
          <w:rFonts w:hint="eastAsia" w:eastAsia="楷体"/>
          <w:color w:val="auto"/>
          <w:sz w:val="28"/>
          <w:szCs w:val="28"/>
          <w:highlight w:val="none"/>
        </w:rPr>
        <w:t>。</w:t>
      </w:r>
      <w:r>
        <w:rPr>
          <w:rFonts w:eastAsia="楷体"/>
          <w:color w:val="auto"/>
          <w:sz w:val="28"/>
          <w:szCs w:val="28"/>
          <w:highlight w:val="none"/>
        </w:rPr>
        <w:t>水库下游现有</w:t>
      </w:r>
      <w:r>
        <w:rPr>
          <w:rFonts w:hint="eastAsia" w:eastAsia="楷体"/>
          <w:color w:val="auto"/>
          <w:sz w:val="28"/>
          <w:szCs w:val="28"/>
          <w:highlight w:val="none"/>
        </w:rPr>
        <w:t>约700亩</w:t>
      </w:r>
      <w:r>
        <w:rPr>
          <w:rFonts w:eastAsia="楷体"/>
          <w:color w:val="auto"/>
          <w:sz w:val="28"/>
          <w:szCs w:val="28"/>
          <w:highlight w:val="none"/>
        </w:rPr>
        <w:t>灌区，以种植水稻、蔬菜等农作物为主，现状仅建有少数简陋的小型引水工程，依靠天然河道径流引水自流灌溉。水库下游约</w:t>
      </w:r>
      <w:r>
        <w:rPr>
          <w:rFonts w:hint="eastAsia" w:eastAsia="楷体"/>
          <w:color w:val="auto"/>
          <w:sz w:val="28"/>
          <w:szCs w:val="28"/>
          <w:highlight w:val="none"/>
        </w:rPr>
        <w:t>0.5</w:t>
      </w:r>
      <w:r>
        <w:rPr>
          <w:rFonts w:eastAsia="楷体"/>
          <w:color w:val="auto"/>
          <w:sz w:val="28"/>
          <w:szCs w:val="28"/>
          <w:highlight w:val="none"/>
        </w:rPr>
        <w:t>km处为</w:t>
      </w:r>
      <w:r>
        <w:rPr>
          <w:rFonts w:hint="eastAsia" w:eastAsia="楷体"/>
          <w:color w:val="auto"/>
          <w:sz w:val="28"/>
          <w:szCs w:val="28"/>
          <w:highlight w:val="none"/>
        </w:rPr>
        <w:t>坑内村</w:t>
      </w:r>
      <w:r>
        <w:rPr>
          <w:rFonts w:eastAsia="楷体"/>
          <w:color w:val="auto"/>
          <w:sz w:val="28"/>
          <w:szCs w:val="28"/>
          <w:highlight w:val="none"/>
        </w:rPr>
        <w:t>，对外交通以公路为主，目前尚无乡镇供水工程。</w:t>
      </w:r>
    </w:p>
    <w:bookmarkEnd w:id="14"/>
    <w:p w14:paraId="4DA4EC6C">
      <w:pPr>
        <w:pStyle w:val="4"/>
        <w:spacing w:beforeLines="50" w:afterLines="50" w:line="360" w:lineRule="auto"/>
        <w:contextualSpacing/>
        <w:rPr>
          <w:rFonts w:ascii="Times New Roman" w:hAnsi="Times New Roman" w:eastAsia="楷体"/>
          <w:color w:val="auto"/>
          <w:kern w:val="0"/>
          <w:sz w:val="28"/>
          <w:szCs w:val="28"/>
          <w:highlight w:val="none"/>
        </w:rPr>
      </w:pPr>
      <w:r>
        <w:rPr>
          <w:rFonts w:ascii="Times New Roman" w:hAnsi="Times New Roman" w:eastAsia="楷体"/>
          <w:color w:val="auto"/>
          <w:kern w:val="0"/>
          <w:sz w:val="28"/>
          <w:szCs w:val="28"/>
          <w:highlight w:val="none"/>
        </w:rPr>
        <w:t>3.4 上年度控制运用情况</w:t>
      </w:r>
      <w:bookmarkEnd w:id="15"/>
    </w:p>
    <w:p w14:paraId="43D39F4E">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根据20</w:t>
      </w:r>
      <w:r>
        <w:rPr>
          <w:rFonts w:hint="eastAsia" w:eastAsia="楷体"/>
          <w:color w:val="auto"/>
          <w:sz w:val="28"/>
          <w:szCs w:val="28"/>
          <w:highlight w:val="none"/>
          <w:lang w:val="en-US" w:eastAsia="zh-CN"/>
        </w:rPr>
        <w:t>23</w:t>
      </w:r>
      <w:r>
        <w:rPr>
          <w:rFonts w:eastAsia="楷体"/>
          <w:color w:val="auto"/>
          <w:sz w:val="28"/>
          <w:szCs w:val="28"/>
          <w:highlight w:val="none"/>
        </w:rPr>
        <w:t>年四清水库的运行情况可知，</w:t>
      </w:r>
      <w:r>
        <w:rPr>
          <w:rFonts w:hint="eastAsia" w:eastAsia="楷体"/>
          <w:color w:val="auto"/>
          <w:sz w:val="28"/>
          <w:szCs w:val="28"/>
          <w:highlight w:val="none"/>
          <w:lang w:val="en-US" w:eastAsia="zh-CN"/>
        </w:rPr>
        <w:t>四清水库2023年的汛限水位为28.04m。未出现溢洪道泄洪的情况，最高水位约23.28m，</w:t>
      </w:r>
      <w:r>
        <w:rPr>
          <w:rFonts w:eastAsia="楷体"/>
          <w:color w:val="auto"/>
          <w:sz w:val="28"/>
          <w:szCs w:val="28"/>
          <w:highlight w:val="none"/>
        </w:rPr>
        <w:t>防洪调度情况良好</w:t>
      </w:r>
      <w:r>
        <w:rPr>
          <w:rFonts w:hint="eastAsia" w:eastAsia="楷体"/>
          <w:color w:val="auto"/>
          <w:sz w:val="28"/>
          <w:szCs w:val="28"/>
          <w:highlight w:val="none"/>
          <w:lang w:eastAsia="zh-CN"/>
        </w:rPr>
        <w:t>，</w:t>
      </w:r>
      <w:r>
        <w:rPr>
          <w:rFonts w:hint="eastAsia" w:eastAsia="楷体"/>
          <w:color w:val="auto"/>
          <w:sz w:val="28"/>
          <w:szCs w:val="28"/>
          <w:highlight w:val="none"/>
          <w:lang w:val="en-US" w:eastAsia="zh-CN"/>
        </w:rPr>
        <w:t>未发生险情</w:t>
      </w:r>
      <w:r>
        <w:rPr>
          <w:rFonts w:eastAsia="楷体"/>
          <w:color w:val="auto"/>
          <w:sz w:val="28"/>
          <w:szCs w:val="28"/>
          <w:highlight w:val="none"/>
        </w:rPr>
        <w:t>。</w:t>
      </w:r>
    </w:p>
    <w:p w14:paraId="0E2694E4">
      <w:pPr>
        <w:rPr>
          <w:rFonts w:eastAsia="楷体"/>
          <w:color w:val="auto"/>
          <w:highlight w:val="none"/>
        </w:rPr>
      </w:pPr>
      <w:bookmarkStart w:id="16" w:name="_Toc19608"/>
    </w:p>
    <w:p w14:paraId="06144EE2">
      <w:pPr>
        <w:rPr>
          <w:rFonts w:eastAsia="楷体"/>
          <w:color w:val="auto"/>
          <w:highlight w:val="none"/>
        </w:rPr>
        <w:sectPr>
          <w:pgSz w:w="11906" w:h="16838"/>
          <w:pgMar w:top="1440" w:right="1803" w:bottom="1440" w:left="1803" w:header="851" w:footer="992" w:gutter="0"/>
          <w:pgNumType w:fmt="numberInDash"/>
          <w:cols w:space="720" w:num="1"/>
          <w:docGrid w:type="lines" w:linePitch="319" w:charSpace="0"/>
        </w:sectPr>
      </w:pPr>
    </w:p>
    <w:p w14:paraId="1DCCA0FD">
      <w:pPr>
        <w:pStyle w:val="3"/>
        <w:spacing w:beforeLines="100" w:afterLines="100" w:line="360" w:lineRule="auto"/>
        <w:jc w:val="center"/>
        <w:rPr>
          <w:rFonts w:eastAsia="楷体"/>
          <w:color w:val="auto"/>
          <w:kern w:val="0"/>
          <w:sz w:val="32"/>
          <w:szCs w:val="32"/>
          <w:highlight w:val="none"/>
        </w:rPr>
      </w:pPr>
      <w:r>
        <w:rPr>
          <w:rFonts w:eastAsia="楷体"/>
          <w:color w:val="auto"/>
          <w:kern w:val="0"/>
          <w:sz w:val="32"/>
          <w:szCs w:val="32"/>
          <w:highlight w:val="none"/>
        </w:rPr>
        <w:t>4  洪水调度原则</w:t>
      </w:r>
      <w:bookmarkEnd w:id="16"/>
    </w:p>
    <w:p w14:paraId="4E515144">
      <w:pPr>
        <w:pStyle w:val="4"/>
        <w:spacing w:beforeLines="50" w:afterLines="50" w:line="360" w:lineRule="auto"/>
        <w:contextualSpacing/>
        <w:rPr>
          <w:rFonts w:ascii="Times New Roman" w:hAnsi="Times New Roman" w:eastAsia="楷体"/>
          <w:color w:val="auto"/>
          <w:kern w:val="0"/>
          <w:sz w:val="28"/>
          <w:szCs w:val="28"/>
          <w:highlight w:val="none"/>
        </w:rPr>
      </w:pPr>
      <w:bookmarkStart w:id="17" w:name="_Toc7899"/>
      <w:r>
        <w:rPr>
          <w:rFonts w:ascii="Times New Roman" w:hAnsi="Times New Roman" w:eastAsia="楷体"/>
          <w:color w:val="auto"/>
          <w:kern w:val="0"/>
          <w:sz w:val="28"/>
          <w:szCs w:val="28"/>
          <w:highlight w:val="none"/>
        </w:rPr>
        <w:t>4.1 汛期划分</w:t>
      </w:r>
      <w:bookmarkEnd w:id="17"/>
    </w:p>
    <w:p w14:paraId="75AF3C07">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w:t>
      </w:r>
      <w:r>
        <w:rPr>
          <w:rFonts w:hint="eastAsia" w:eastAsia="楷体"/>
          <w:color w:val="auto"/>
          <w:sz w:val="28"/>
          <w:szCs w:val="28"/>
          <w:highlight w:val="none"/>
          <w:lang w:val="en-US" w:eastAsia="zh-CN"/>
        </w:rPr>
        <w:t>泉州市</w:t>
      </w:r>
      <w:r>
        <w:rPr>
          <w:rFonts w:eastAsia="楷体"/>
          <w:color w:val="auto"/>
          <w:sz w:val="28"/>
          <w:szCs w:val="28"/>
          <w:highlight w:val="none"/>
        </w:rPr>
        <w:t>防洪防台风应急预案规定，4月1日至10月15日为汛期，其中前汛期为4月1日～6月30日，主汛期为7月1日～9月20日，后汛期为9月21日～10月15日。</w:t>
      </w:r>
    </w:p>
    <w:p w14:paraId="452BD461">
      <w:pPr>
        <w:pStyle w:val="4"/>
        <w:spacing w:beforeLines="50" w:afterLines="50" w:line="360" w:lineRule="auto"/>
        <w:contextualSpacing/>
        <w:rPr>
          <w:rFonts w:ascii="Times New Roman" w:hAnsi="Times New Roman" w:eastAsia="楷体"/>
          <w:color w:val="auto"/>
          <w:kern w:val="0"/>
          <w:sz w:val="28"/>
          <w:szCs w:val="28"/>
          <w:highlight w:val="none"/>
        </w:rPr>
      </w:pPr>
      <w:bookmarkStart w:id="18" w:name="_Toc6049"/>
      <w:r>
        <w:rPr>
          <w:rFonts w:ascii="Times New Roman" w:hAnsi="Times New Roman" w:eastAsia="楷体"/>
          <w:color w:val="auto"/>
          <w:kern w:val="0"/>
          <w:sz w:val="28"/>
          <w:szCs w:val="28"/>
          <w:highlight w:val="none"/>
        </w:rPr>
        <w:t>4.2 洪水调度原则</w:t>
      </w:r>
      <w:bookmarkEnd w:id="18"/>
    </w:p>
    <w:p w14:paraId="27B5870F">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上级主管部门核定的水库安全标准和下游防护对象的防洪标准、防洪调度方式及各防洪特征水位对入库洪水进行调蓄，保障大坝、库区上游和下游防洪安全；当遭遇超标准洪水时，应力求保证大坝安全并尽量减轻下游的洪水灾害；在大坝安全的前提下，按照“整体照顾局部，防洪兼顾兴利”的原则，尽可能多地拦蓄、储备水源，发挥水资源综合效益；严格执行上级防汛部门下达调度指令。</w:t>
      </w:r>
    </w:p>
    <w:p w14:paraId="1FA6FB52">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根据时段不同，水库防洪调度原则如下：</w:t>
      </w:r>
    </w:p>
    <w:p w14:paraId="42835D29">
      <w:pPr>
        <w:numPr>
          <w:ilvl w:val="0"/>
          <w:numId w:val="1"/>
        </w:numPr>
        <w:spacing w:line="520" w:lineRule="exact"/>
        <w:ind w:firstLine="560" w:firstLineChars="200"/>
        <w:rPr>
          <w:rFonts w:eastAsia="楷体"/>
          <w:color w:val="auto"/>
          <w:sz w:val="28"/>
          <w:szCs w:val="28"/>
          <w:highlight w:val="none"/>
        </w:rPr>
      </w:pPr>
      <w:r>
        <w:rPr>
          <w:rFonts w:eastAsia="楷体"/>
          <w:color w:val="auto"/>
          <w:sz w:val="28"/>
          <w:szCs w:val="28"/>
          <w:highlight w:val="none"/>
        </w:rPr>
        <w:t>非汛期防洪调度</w:t>
      </w:r>
    </w:p>
    <w:p w14:paraId="500AAFBB">
      <w:pPr>
        <w:spacing w:line="520" w:lineRule="exact"/>
        <w:ind w:firstLine="560" w:firstLineChars="200"/>
        <w:rPr>
          <w:rFonts w:eastAsia="楷体"/>
          <w:color w:val="auto"/>
          <w:sz w:val="28"/>
          <w:szCs w:val="28"/>
          <w:highlight w:val="none"/>
        </w:rPr>
      </w:pPr>
      <w:r>
        <w:rPr>
          <w:rFonts w:eastAsia="楷体"/>
          <w:color w:val="auto"/>
          <w:sz w:val="28"/>
          <w:szCs w:val="28"/>
          <w:highlight w:val="none"/>
        </w:rPr>
        <w:t>1、根据气象部门的气象预报及降雨数据，采取径流系数估算入库洪水，分析次洪的洪峰流量及其峰现时间，从而推求最高库水位，采取适当的调度手段防洪，做到防洪与水库利用两不误。</w:t>
      </w:r>
    </w:p>
    <w:p w14:paraId="4F1AAE3B">
      <w:pPr>
        <w:spacing w:line="520" w:lineRule="exact"/>
        <w:ind w:firstLine="560" w:firstLineChars="200"/>
        <w:rPr>
          <w:rFonts w:eastAsia="楷体"/>
          <w:color w:val="auto"/>
          <w:sz w:val="28"/>
          <w:szCs w:val="28"/>
          <w:highlight w:val="none"/>
        </w:rPr>
      </w:pPr>
      <w:r>
        <w:rPr>
          <w:rFonts w:eastAsia="楷体"/>
          <w:color w:val="auto"/>
          <w:sz w:val="28"/>
          <w:szCs w:val="28"/>
          <w:highlight w:val="none"/>
        </w:rPr>
        <w:t>2、通过对水库承受洪水能力分析，落实预泄预排方案，加强渠道沿线巡逻，及时开闸排洪，以免过流损毁渠道工程。</w:t>
      </w:r>
    </w:p>
    <w:p w14:paraId="6239EAD1">
      <w:pPr>
        <w:spacing w:line="520" w:lineRule="exact"/>
        <w:ind w:firstLine="560" w:firstLineChars="200"/>
        <w:rPr>
          <w:rFonts w:eastAsia="楷体"/>
          <w:color w:val="auto"/>
          <w:sz w:val="28"/>
          <w:szCs w:val="28"/>
          <w:highlight w:val="none"/>
        </w:rPr>
      </w:pPr>
      <w:r>
        <w:rPr>
          <w:rFonts w:eastAsia="楷体"/>
          <w:color w:val="auto"/>
          <w:sz w:val="28"/>
          <w:szCs w:val="28"/>
          <w:highlight w:val="none"/>
        </w:rPr>
        <w:t>3、加大工程巡查力度，对排洪泄水闸启闭系统、通讯、交通、供电设备进行全面检查，始终保持良好状况，排除一切不安全因素，确保使用及时。</w:t>
      </w:r>
    </w:p>
    <w:p w14:paraId="2E995313">
      <w:pPr>
        <w:spacing w:line="520" w:lineRule="exact"/>
        <w:ind w:firstLine="560" w:firstLineChars="200"/>
        <w:rPr>
          <w:rFonts w:eastAsia="楷体"/>
          <w:color w:val="auto"/>
          <w:sz w:val="28"/>
          <w:szCs w:val="28"/>
          <w:highlight w:val="none"/>
        </w:rPr>
      </w:pPr>
      <w:r>
        <w:rPr>
          <w:rFonts w:eastAsia="楷体"/>
          <w:color w:val="auto"/>
          <w:sz w:val="28"/>
          <w:szCs w:val="28"/>
          <w:highlight w:val="none"/>
        </w:rPr>
        <w:t>（二）汛期防洪调度</w:t>
      </w:r>
    </w:p>
    <w:p w14:paraId="396BCC65">
      <w:pPr>
        <w:spacing w:line="520" w:lineRule="exact"/>
        <w:ind w:firstLine="560" w:firstLineChars="200"/>
        <w:rPr>
          <w:rFonts w:eastAsia="楷体"/>
          <w:color w:val="auto"/>
          <w:sz w:val="28"/>
          <w:szCs w:val="28"/>
          <w:highlight w:val="none"/>
        </w:rPr>
      </w:pPr>
      <w:r>
        <w:rPr>
          <w:rFonts w:eastAsia="楷体"/>
          <w:color w:val="auto"/>
          <w:sz w:val="28"/>
          <w:szCs w:val="28"/>
          <w:highlight w:val="none"/>
        </w:rPr>
        <w:t>1、水库遭遇洪水时，要根据雨情分析，每半小时进行洪水预报，判别洪水标准，推求洪峰流量、洪水总量，进行科学合理调度。</w:t>
      </w:r>
    </w:p>
    <w:p w14:paraId="116B0407">
      <w:pPr>
        <w:spacing w:line="520" w:lineRule="exact"/>
        <w:ind w:firstLine="560" w:firstLineChars="200"/>
        <w:rPr>
          <w:rFonts w:eastAsia="楷体"/>
          <w:color w:val="auto"/>
          <w:sz w:val="28"/>
          <w:szCs w:val="28"/>
          <w:highlight w:val="none"/>
        </w:rPr>
      </w:pPr>
      <w:r>
        <w:rPr>
          <w:rFonts w:eastAsia="楷体"/>
          <w:color w:val="auto"/>
          <w:sz w:val="28"/>
          <w:szCs w:val="28"/>
          <w:highlight w:val="none"/>
        </w:rPr>
        <w:t>2、提前2小时通知下游村落及相关单位做好水库排洪的准备。</w:t>
      </w:r>
    </w:p>
    <w:p w14:paraId="1180B035">
      <w:pPr>
        <w:spacing w:line="520" w:lineRule="exact"/>
        <w:ind w:firstLine="560" w:firstLineChars="200"/>
        <w:rPr>
          <w:rFonts w:eastAsia="楷体"/>
          <w:color w:val="auto"/>
          <w:sz w:val="28"/>
          <w:szCs w:val="28"/>
          <w:highlight w:val="none"/>
        </w:rPr>
      </w:pPr>
      <w:r>
        <w:rPr>
          <w:rFonts w:eastAsia="楷体"/>
          <w:color w:val="auto"/>
          <w:sz w:val="28"/>
          <w:szCs w:val="28"/>
          <w:highlight w:val="none"/>
        </w:rPr>
        <w:t>3、按照上级批准的调度计划进行调度，采用分段调洪方案，一是对于降雨强度不大，历时较短、降雨量不多的一般洪水（十年一遇以下洪水），控制原则为：在降雨产流阶段、洪峰来临之前，须及时通知下游村落做好防洪工作，水库准备小流量泄排洪。二是对于降雨强度大、历时长的暴雨调洪方案（十年至二十年一遇洪水）：根据采集的降雨资料进行分析，推算洪水量，采取有效措施，利用工程措施拦截一部分洪水，缓解下游河道过流能力的不足。结合气象部门降雨预报，及时掌握气象趋势，在上级防汛部门统一指挥下，以保证安全、减少损失为原则，进行科学调度。</w:t>
      </w:r>
    </w:p>
    <w:p w14:paraId="4F20F770">
      <w:pPr>
        <w:pStyle w:val="4"/>
        <w:spacing w:beforeLines="50" w:afterLines="50" w:line="360" w:lineRule="auto"/>
        <w:contextualSpacing/>
        <w:rPr>
          <w:rFonts w:ascii="Times New Roman" w:hAnsi="Times New Roman" w:eastAsia="楷体"/>
          <w:color w:val="auto"/>
          <w:kern w:val="0"/>
          <w:sz w:val="28"/>
          <w:szCs w:val="28"/>
          <w:highlight w:val="none"/>
        </w:rPr>
      </w:pPr>
      <w:bookmarkStart w:id="19" w:name="_Toc31889"/>
      <w:r>
        <w:rPr>
          <w:rFonts w:ascii="Times New Roman" w:hAnsi="Times New Roman" w:eastAsia="楷体"/>
          <w:color w:val="auto"/>
          <w:kern w:val="0"/>
          <w:sz w:val="28"/>
          <w:szCs w:val="28"/>
          <w:highlight w:val="none"/>
        </w:rPr>
        <w:t>4.3 汛限水位的确定</w:t>
      </w:r>
      <w:bookmarkEnd w:id="19"/>
    </w:p>
    <w:p w14:paraId="2B4D4B9C">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汛限水位的确定从以下几个方面来确定：</w:t>
      </w:r>
    </w:p>
    <w:p w14:paraId="1549738C">
      <w:pPr>
        <w:numPr>
          <w:ilvl w:val="0"/>
          <w:numId w:val="2"/>
        </w:num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根据《泉港区前黄镇</w:t>
      </w:r>
      <w:r>
        <w:rPr>
          <w:rFonts w:hint="eastAsia" w:ascii="Times New Roman" w:hAnsi="Times New Roman" w:eastAsia="楷体" w:cs="Times New Roman"/>
          <w:color w:val="auto"/>
          <w:sz w:val="28"/>
          <w:szCs w:val="28"/>
          <w:highlight w:val="none"/>
          <w:lang w:eastAsia="zh-CN"/>
        </w:rPr>
        <w:t>四清</w:t>
      </w:r>
      <w:r>
        <w:rPr>
          <w:rFonts w:hint="default" w:ascii="Times New Roman" w:hAnsi="Times New Roman" w:eastAsia="楷体" w:cs="Times New Roman"/>
          <w:color w:val="auto"/>
          <w:sz w:val="28"/>
          <w:szCs w:val="28"/>
          <w:highlight w:val="none"/>
        </w:rPr>
        <w:t>水库除险加固工程初步设计报告（报批稿）》（泉州市水利水电勘测设计院，2013年5月）的设计内容可知，</w:t>
      </w:r>
      <w:r>
        <w:rPr>
          <w:rFonts w:hint="eastAsia" w:ascii="Times New Roman" w:hAnsi="Times New Roman" w:eastAsia="楷体" w:cs="Times New Roman"/>
          <w:color w:val="auto"/>
          <w:sz w:val="28"/>
          <w:szCs w:val="28"/>
          <w:highlight w:val="none"/>
          <w:lang w:eastAsia="zh-CN"/>
        </w:rPr>
        <w:t>四清</w:t>
      </w:r>
      <w:r>
        <w:rPr>
          <w:rFonts w:hint="default" w:ascii="Times New Roman" w:hAnsi="Times New Roman" w:eastAsia="楷体" w:cs="Times New Roman"/>
          <w:color w:val="auto"/>
          <w:sz w:val="28"/>
          <w:szCs w:val="28"/>
          <w:highlight w:val="none"/>
        </w:rPr>
        <w:t>水库水位</w:t>
      </w:r>
      <w:r>
        <w:rPr>
          <w:rFonts w:hint="eastAsia" w:ascii="Times New Roman" w:hAnsi="Times New Roman" w:eastAsia="楷体" w:cs="Times New Roman"/>
          <w:color w:val="auto"/>
          <w:sz w:val="28"/>
          <w:szCs w:val="28"/>
          <w:highlight w:val="none"/>
          <w:lang w:eastAsia="zh-CN"/>
        </w:rPr>
        <w:t>28.04</w:t>
      </w:r>
      <w:r>
        <w:rPr>
          <w:rFonts w:hint="default" w:ascii="Times New Roman" w:hAnsi="Times New Roman" w:eastAsia="楷体" w:cs="Times New Roman"/>
          <w:color w:val="auto"/>
          <w:sz w:val="28"/>
          <w:szCs w:val="28"/>
          <w:highlight w:val="none"/>
        </w:rPr>
        <w:t>m对应的库容为</w:t>
      </w:r>
      <w:r>
        <w:rPr>
          <w:rFonts w:hint="eastAsia" w:ascii="Times New Roman" w:hAnsi="Times New Roman" w:eastAsia="楷体" w:cs="Times New Roman"/>
          <w:color w:val="auto"/>
          <w:sz w:val="28"/>
          <w:szCs w:val="28"/>
          <w:highlight w:val="none"/>
          <w:lang w:val="en-US" w:eastAsia="zh-CN"/>
        </w:rPr>
        <w:t>26.92</w:t>
      </w:r>
      <w:r>
        <w:rPr>
          <w:rFonts w:hint="default" w:ascii="Times New Roman" w:hAnsi="Times New Roman" w:eastAsia="楷体" w:cs="Times New Roman"/>
          <w:color w:val="auto"/>
          <w:sz w:val="28"/>
          <w:szCs w:val="28"/>
          <w:highlight w:val="none"/>
        </w:rPr>
        <w:t>万m</w:t>
      </w:r>
      <w:r>
        <w:rPr>
          <w:rFonts w:hint="default" w:ascii="Times New Roman" w:hAnsi="Times New Roman" w:eastAsia="楷体" w:cs="Times New Roman"/>
          <w:color w:val="auto"/>
          <w:sz w:val="28"/>
          <w:szCs w:val="28"/>
          <w:highlight w:val="none"/>
          <w:vertAlign w:val="superscript"/>
        </w:rPr>
        <w:t>3</w:t>
      </w:r>
      <w:r>
        <w:rPr>
          <w:rFonts w:hint="default" w:ascii="Times New Roman" w:hAnsi="Times New Roman" w:eastAsia="楷体" w:cs="Times New Roman"/>
          <w:color w:val="auto"/>
          <w:sz w:val="28"/>
          <w:szCs w:val="28"/>
          <w:highlight w:val="none"/>
        </w:rPr>
        <w:t>，20</w:t>
      </w:r>
      <w:r>
        <w:rPr>
          <w:rFonts w:hint="eastAsia" w:eastAsia="楷体" w:cs="Times New Roman"/>
          <w:color w:val="auto"/>
          <w:sz w:val="28"/>
          <w:szCs w:val="28"/>
          <w:highlight w:val="none"/>
          <w:lang w:val="en-US" w:eastAsia="zh-CN"/>
        </w:rPr>
        <w:t>23</w:t>
      </w:r>
      <w:r>
        <w:rPr>
          <w:rFonts w:hint="default" w:ascii="Times New Roman" w:hAnsi="Times New Roman" w:eastAsia="楷体" w:cs="Times New Roman"/>
          <w:color w:val="auto"/>
          <w:sz w:val="28"/>
          <w:szCs w:val="28"/>
          <w:highlight w:val="none"/>
        </w:rPr>
        <w:t>年</w:t>
      </w:r>
      <w:r>
        <w:rPr>
          <w:rFonts w:hint="eastAsia" w:ascii="Times New Roman" w:hAnsi="Times New Roman" w:eastAsia="楷体" w:cs="Times New Roman"/>
          <w:color w:val="auto"/>
          <w:sz w:val="28"/>
          <w:szCs w:val="28"/>
          <w:highlight w:val="none"/>
          <w:lang w:eastAsia="zh-CN"/>
        </w:rPr>
        <w:t>四清</w:t>
      </w:r>
      <w:r>
        <w:rPr>
          <w:rFonts w:hint="default" w:ascii="Times New Roman" w:hAnsi="Times New Roman" w:eastAsia="楷体" w:cs="Times New Roman"/>
          <w:color w:val="auto"/>
          <w:sz w:val="28"/>
          <w:szCs w:val="28"/>
          <w:highlight w:val="none"/>
        </w:rPr>
        <w:t>水库总体运行状况良好，即便在台风期，</w:t>
      </w:r>
      <w:r>
        <w:rPr>
          <w:rFonts w:hint="eastAsia" w:ascii="Times New Roman" w:hAnsi="Times New Roman" w:eastAsia="楷体" w:cs="Times New Roman"/>
          <w:color w:val="auto"/>
          <w:sz w:val="28"/>
          <w:szCs w:val="28"/>
          <w:highlight w:val="none"/>
          <w:lang w:eastAsia="zh-CN"/>
        </w:rPr>
        <w:t>四清</w:t>
      </w:r>
      <w:r>
        <w:rPr>
          <w:rFonts w:hint="default" w:ascii="Times New Roman" w:hAnsi="Times New Roman" w:eastAsia="楷体" w:cs="Times New Roman"/>
          <w:color w:val="auto"/>
          <w:sz w:val="28"/>
          <w:szCs w:val="28"/>
          <w:highlight w:val="none"/>
        </w:rPr>
        <w:t>水库仍很好的完成了防汛任务；</w:t>
      </w:r>
    </w:p>
    <w:p w14:paraId="372F68BA">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lang w:val="en-US" w:eastAsia="zh-CN"/>
        </w:rPr>
        <w:t>2</w:t>
      </w:r>
      <w:r>
        <w:rPr>
          <w:rFonts w:hint="default" w:ascii="Times New Roman" w:hAnsi="Times New Roman" w:eastAsia="楷体" w:cs="Times New Roman"/>
          <w:color w:val="auto"/>
          <w:sz w:val="28"/>
          <w:szCs w:val="28"/>
          <w:highlight w:val="none"/>
        </w:rPr>
        <w:t>、</w:t>
      </w:r>
      <w:r>
        <w:rPr>
          <w:rFonts w:hint="eastAsia" w:ascii="Times New Roman" w:hAnsi="Times New Roman" w:eastAsia="楷体" w:cs="Times New Roman"/>
          <w:color w:val="auto"/>
          <w:sz w:val="28"/>
          <w:szCs w:val="28"/>
          <w:highlight w:val="none"/>
          <w:lang w:eastAsia="zh-CN"/>
        </w:rPr>
        <w:t>四清</w:t>
      </w:r>
      <w:r>
        <w:rPr>
          <w:rFonts w:hint="default" w:ascii="Times New Roman" w:hAnsi="Times New Roman" w:eastAsia="楷体" w:cs="Times New Roman"/>
          <w:color w:val="auto"/>
          <w:sz w:val="28"/>
          <w:szCs w:val="28"/>
          <w:highlight w:val="none"/>
        </w:rPr>
        <w:t>水库的正常蓄水位为</w:t>
      </w:r>
      <w:r>
        <w:rPr>
          <w:rFonts w:hint="eastAsia" w:ascii="Times New Roman" w:hAnsi="Times New Roman" w:eastAsia="楷体" w:cs="Times New Roman"/>
          <w:color w:val="auto"/>
          <w:sz w:val="28"/>
          <w:szCs w:val="28"/>
          <w:highlight w:val="none"/>
          <w:lang w:val="en-US" w:eastAsia="zh-CN"/>
        </w:rPr>
        <w:t>28.04</w:t>
      </w:r>
      <w:r>
        <w:rPr>
          <w:rFonts w:hint="default" w:ascii="Times New Roman" w:hAnsi="Times New Roman" w:eastAsia="楷体" w:cs="Times New Roman"/>
          <w:color w:val="auto"/>
          <w:sz w:val="28"/>
          <w:szCs w:val="28"/>
          <w:highlight w:val="none"/>
        </w:rPr>
        <w:t>m，根据</w:t>
      </w:r>
      <w:r>
        <w:rPr>
          <w:rFonts w:hint="eastAsia" w:ascii="Times New Roman" w:hAnsi="Times New Roman" w:eastAsia="楷体" w:cs="Times New Roman"/>
          <w:color w:val="auto"/>
          <w:sz w:val="28"/>
          <w:szCs w:val="28"/>
          <w:highlight w:val="none"/>
          <w:lang w:eastAsia="zh-CN"/>
        </w:rPr>
        <w:t>四清</w:t>
      </w:r>
      <w:r>
        <w:rPr>
          <w:rFonts w:hint="default" w:ascii="Times New Roman" w:hAnsi="Times New Roman" w:eastAsia="楷体" w:cs="Times New Roman"/>
          <w:color w:val="auto"/>
          <w:sz w:val="28"/>
          <w:szCs w:val="28"/>
          <w:highlight w:val="none"/>
        </w:rPr>
        <w:t>水库初步设计中的设计要求，</w:t>
      </w:r>
      <w:r>
        <w:rPr>
          <w:rFonts w:hint="eastAsia" w:ascii="Times New Roman" w:hAnsi="Times New Roman" w:eastAsia="楷体" w:cs="Times New Roman"/>
          <w:color w:val="auto"/>
          <w:sz w:val="28"/>
          <w:szCs w:val="28"/>
          <w:highlight w:val="none"/>
          <w:lang w:eastAsia="zh-CN"/>
        </w:rPr>
        <w:t>四清</w:t>
      </w:r>
      <w:r>
        <w:rPr>
          <w:rFonts w:hint="default" w:ascii="Times New Roman" w:hAnsi="Times New Roman" w:eastAsia="楷体" w:cs="Times New Roman"/>
          <w:color w:val="auto"/>
          <w:sz w:val="28"/>
          <w:szCs w:val="28"/>
          <w:highlight w:val="none"/>
        </w:rPr>
        <w:t>水库汛限水位设置为</w:t>
      </w:r>
      <w:r>
        <w:rPr>
          <w:rFonts w:hint="eastAsia" w:ascii="Times New Roman" w:hAnsi="Times New Roman" w:eastAsia="楷体" w:cs="Times New Roman"/>
          <w:color w:val="auto"/>
          <w:sz w:val="28"/>
          <w:szCs w:val="28"/>
          <w:highlight w:val="none"/>
          <w:lang w:eastAsia="zh-CN"/>
        </w:rPr>
        <w:t>28.04</w:t>
      </w:r>
      <w:r>
        <w:rPr>
          <w:rFonts w:hint="default" w:ascii="Times New Roman" w:hAnsi="Times New Roman" w:eastAsia="楷体" w:cs="Times New Roman"/>
          <w:color w:val="auto"/>
          <w:sz w:val="28"/>
          <w:szCs w:val="28"/>
          <w:highlight w:val="none"/>
        </w:rPr>
        <w:t>m</w:t>
      </w:r>
      <w:r>
        <w:rPr>
          <w:rFonts w:hint="eastAsia" w:eastAsia="楷体"/>
          <w:color w:val="auto"/>
          <w:sz w:val="28"/>
          <w:szCs w:val="28"/>
          <w:highlight w:val="none"/>
          <w:lang w:val="en-US" w:eastAsia="zh-CN"/>
        </w:rPr>
        <w:t>。</w:t>
      </w:r>
      <w:r>
        <w:rPr>
          <w:rFonts w:hint="default" w:ascii="Times New Roman" w:hAnsi="Times New Roman" w:eastAsia="楷体" w:cs="Times New Roman"/>
          <w:color w:val="auto"/>
          <w:sz w:val="28"/>
          <w:szCs w:val="28"/>
          <w:highlight w:val="none"/>
        </w:rPr>
        <w:t>既符合水库防洪要求，又保障了</w:t>
      </w:r>
      <w:r>
        <w:rPr>
          <w:rFonts w:hint="eastAsia" w:ascii="Times New Roman" w:hAnsi="Times New Roman" w:eastAsia="楷体" w:cs="Times New Roman"/>
          <w:color w:val="auto"/>
          <w:sz w:val="28"/>
          <w:szCs w:val="28"/>
          <w:highlight w:val="none"/>
          <w:lang w:eastAsia="zh-CN"/>
        </w:rPr>
        <w:t>四清</w:t>
      </w:r>
      <w:r>
        <w:rPr>
          <w:rFonts w:hint="default" w:ascii="Times New Roman" w:hAnsi="Times New Roman" w:eastAsia="楷体" w:cs="Times New Roman"/>
          <w:color w:val="auto"/>
          <w:sz w:val="28"/>
          <w:szCs w:val="28"/>
          <w:highlight w:val="none"/>
        </w:rPr>
        <w:t>水库的兴利功能要求。</w:t>
      </w:r>
    </w:p>
    <w:p w14:paraId="1C9CD396">
      <w:pPr>
        <w:spacing w:line="520" w:lineRule="exact"/>
        <w:ind w:firstLine="560" w:firstLineChars="200"/>
        <w:rPr>
          <w:rFonts w:hint="eastAsia" w:eastAsia="楷体"/>
          <w:color w:val="auto"/>
          <w:kern w:val="0"/>
          <w:sz w:val="28"/>
          <w:szCs w:val="28"/>
          <w:highlight w:val="none"/>
          <w:lang w:val="en-US" w:eastAsia="zh-CN"/>
        </w:rPr>
      </w:pPr>
      <w:r>
        <w:rPr>
          <w:rFonts w:hint="default" w:ascii="Times New Roman" w:hAnsi="Times New Roman" w:eastAsia="楷体" w:cs="Times New Roman"/>
          <w:color w:val="auto"/>
          <w:sz w:val="28"/>
          <w:szCs w:val="28"/>
          <w:highlight w:val="none"/>
        </w:rPr>
        <w:t>因此，20</w:t>
      </w:r>
      <w:r>
        <w:rPr>
          <w:rFonts w:hint="eastAsia" w:eastAsia="楷体" w:cs="Times New Roman"/>
          <w:color w:val="auto"/>
          <w:sz w:val="28"/>
          <w:szCs w:val="28"/>
          <w:highlight w:val="none"/>
          <w:lang w:val="en-US" w:eastAsia="zh-CN"/>
        </w:rPr>
        <w:t>24</w:t>
      </w:r>
      <w:r>
        <w:rPr>
          <w:rFonts w:hint="default" w:ascii="Times New Roman" w:hAnsi="Times New Roman" w:eastAsia="楷体" w:cs="Times New Roman"/>
          <w:color w:val="auto"/>
          <w:sz w:val="28"/>
          <w:szCs w:val="28"/>
          <w:highlight w:val="none"/>
        </w:rPr>
        <w:t>年将</w:t>
      </w:r>
      <w:r>
        <w:rPr>
          <w:rFonts w:hint="eastAsia" w:ascii="Times New Roman" w:hAnsi="Times New Roman" w:eastAsia="楷体" w:cs="Times New Roman"/>
          <w:color w:val="auto"/>
          <w:sz w:val="28"/>
          <w:szCs w:val="28"/>
          <w:highlight w:val="none"/>
          <w:lang w:eastAsia="zh-CN"/>
        </w:rPr>
        <w:t>2</w:t>
      </w:r>
      <w:r>
        <w:rPr>
          <w:rFonts w:hint="eastAsia" w:eastAsia="楷体" w:cs="Times New Roman"/>
          <w:color w:val="auto"/>
          <w:sz w:val="28"/>
          <w:szCs w:val="28"/>
          <w:highlight w:val="none"/>
          <w:lang w:val="en-US" w:eastAsia="zh-CN"/>
        </w:rPr>
        <w:t>8</w:t>
      </w:r>
      <w:r>
        <w:rPr>
          <w:rFonts w:hint="eastAsia" w:ascii="Times New Roman" w:hAnsi="Times New Roman" w:eastAsia="楷体" w:cs="Times New Roman"/>
          <w:color w:val="auto"/>
          <w:sz w:val="28"/>
          <w:szCs w:val="28"/>
          <w:highlight w:val="none"/>
          <w:lang w:eastAsia="zh-CN"/>
        </w:rPr>
        <w:t>.04</w:t>
      </w:r>
      <w:r>
        <w:rPr>
          <w:rFonts w:hint="default" w:ascii="Times New Roman" w:hAnsi="Times New Roman" w:eastAsia="楷体" w:cs="Times New Roman"/>
          <w:color w:val="auto"/>
          <w:sz w:val="28"/>
          <w:szCs w:val="28"/>
          <w:highlight w:val="none"/>
        </w:rPr>
        <w:t>m作为</w:t>
      </w:r>
      <w:r>
        <w:rPr>
          <w:rFonts w:hint="eastAsia" w:ascii="Times New Roman" w:hAnsi="Times New Roman" w:eastAsia="楷体" w:cs="Times New Roman"/>
          <w:color w:val="auto"/>
          <w:sz w:val="28"/>
          <w:szCs w:val="28"/>
          <w:highlight w:val="none"/>
          <w:lang w:eastAsia="zh-CN"/>
        </w:rPr>
        <w:t>四清</w:t>
      </w:r>
      <w:r>
        <w:rPr>
          <w:rFonts w:hint="default" w:ascii="Times New Roman" w:hAnsi="Times New Roman" w:eastAsia="楷体" w:cs="Times New Roman"/>
          <w:color w:val="auto"/>
          <w:sz w:val="28"/>
          <w:szCs w:val="28"/>
          <w:highlight w:val="none"/>
        </w:rPr>
        <w:t>水库的汛限</w:t>
      </w:r>
      <w:r>
        <w:rPr>
          <w:rFonts w:hint="eastAsia" w:eastAsia="楷体" w:cs="Times New Roman"/>
          <w:color w:val="auto"/>
          <w:sz w:val="28"/>
          <w:szCs w:val="28"/>
          <w:highlight w:val="none"/>
          <w:lang w:eastAsia="zh-CN"/>
        </w:rPr>
        <w:t>水位。</w:t>
      </w:r>
    </w:p>
    <w:p w14:paraId="4B320A41">
      <w:pPr>
        <w:pStyle w:val="4"/>
        <w:spacing w:beforeLines="50" w:afterLines="50" w:line="360" w:lineRule="auto"/>
        <w:contextualSpacing/>
        <w:rPr>
          <w:rFonts w:ascii="Times New Roman" w:hAnsi="Times New Roman" w:eastAsia="楷体"/>
          <w:color w:val="auto"/>
          <w:kern w:val="0"/>
          <w:sz w:val="28"/>
          <w:szCs w:val="28"/>
          <w:highlight w:val="none"/>
        </w:rPr>
      </w:pPr>
      <w:bookmarkStart w:id="20" w:name="_Toc17957"/>
      <w:bookmarkStart w:id="21" w:name="_Toc290367231"/>
      <w:r>
        <w:rPr>
          <w:rFonts w:ascii="Times New Roman" w:hAnsi="Times New Roman" w:eastAsia="楷体"/>
          <w:color w:val="auto"/>
          <w:kern w:val="0"/>
          <w:sz w:val="28"/>
          <w:szCs w:val="28"/>
          <w:highlight w:val="none"/>
        </w:rPr>
        <w:t>4.4 汛期防洪调度方式</w:t>
      </w:r>
      <w:bookmarkEnd w:id="20"/>
      <w:bookmarkEnd w:id="21"/>
    </w:p>
    <w:p w14:paraId="2BA835D7">
      <w:pPr>
        <w:spacing w:line="520" w:lineRule="exact"/>
        <w:ind w:left="420" w:leftChars="200"/>
        <w:rPr>
          <w:rFonts w:eastAsia="楷体"/>
          <w:b/>
          <w:bCs/>
          <w:color w:val="auto"/>
          <w:sz w:val="28"/>
          <w:szCs w:val="28"/>
          <w:highlight w:val="none"/>
        </w:rPr>
      </w:pPr>
      <w:r>
        <w:rPr>
          <w:rFonts w:eastAsia="楷体"/>
          <w:b/>
          <w:bCs/>
          <w:color w:val="auto"/>
          <w:sz w:val="28"/>
          <w:szCs w:val="28"/>
          <w:highlight w:val="none"/>
        </w:rPr>
        <w:t xml:space="preserve"> （1）水库调洪演算</w:t>
      </w:r>
    </w:p>
    <w:p w14:paraId="2E180AFD">
      <w:pPr>
        <w:spacing w:line="520" w:lineRule="exact"/>
        <w:ind w:firstLine="640" w:firstLineChars="200"/>
        <w:rPr>
          <w:rFonts w:eastAsia="楷体"/>
          <w:color w:val="auto"/>
          <w:spacing w:val="20"/>
          <w:sz w:val="28"/>
          <w:szCs w:val="28"/>
          <w:highlight w:val="none"/>
        </w:rPr>
      </w:pPr>
      <w:r>
        <w:rPr>
          <w:rFonts w:eastAsia="楷体"/>
          <w:color w:val="auto"/>
          <w:spacing w:val="20"/>
          <w:sz w:val="28"/>
          <w:szCs w:val="28"/>
          <w:highlight w:val="none"/>
        </w:rPr>
        <w:t>调洪演算按水量平衡方程式逐时段进行试算，计算方程式如下：</w:t>
      </w:r>
    </w:p>
    <w:p w14:paraId="723C95B9">
      <w:pPr>
        <w:ind w:firstLine="2520" w:firstLineChars="900"/>
        <w:rPr>
          <w:rFonts w:eastAsia="楷体"/>
          <w:color w:val="auto"/>
          <w:sz w:val="28"/>
          <w:szCs w:val="28"/>
          <w:highlight w:val="none"/>
        </w:rPr>
      </w:pPr>
      <w:r>
        <w:rPr>
          <w:rFonts w:ascii="Times New Roman" w:hAnsi="Times New Roman" w:eastAsia="楷体" w:cs="Times New Roman"/>
          <w:color w:val="auto"/>
          <w:kern w:val="2"/>
          <w:position w:val="-24"/>
          <w:sz w:val="28"/>
          <w:szCs w:val="28"/>
          <w:highlight w:val="none"/>
          <w:lang w:val="en-US" w:eastAsia="zh-CN" w:bidi="ar-SA"/>
        </w:rPr>
        <w:object>
          <v:shape id="_x0000_i1036" o:spt="75" type="#_x0000_t75" style="height:33.3pt;width:161.95pt;" o:ole="t" fillcolor="#FFFFFF" filled="f" o:preferrelative="t" stroked="f" coordsize="21600,21600">
            <v:path/>
            <v:fill on="f" color2="#FFFFFF" focussize="0,0"/>
            <v:stroke on="f"/>
            <v:imagedata r:id="rId34" gain="65536f" blacklevel="0f" gamma="0" o:title=""/>
            <o:lock v:ext="edit" position="f" selection="f" grouping="f" rotation="f" cropping="f" text="f" aspectratio="t"/>
            <w10:wrap type="none"/>
            <w10:anchorlock/>
          </v:shape>
          <o:OLEObject Type="Embed" ProgID="" ShapeID="_x0000_i1036" DrawAspect="Content" ObjectID="_1468075736" r:id="rId33">
            <o:LockedField>false</o:LockedField>
          </o:OLEObject>
        </w:object>
      </w:r>
      <w:r>
        <w:rPr>
          <w:rFonts w:eastAsia="楷体"/>
          <w:color w:val="auto"/>
          <w:sz w:val="28"/>
          <w:szCs w:val="28"/>
          <w:highlight w:val="none"/>
        </w:rPr>
        <w:t xml:space="preserve">          </w:t>
      </w:r>
    </w:p>
    <w:p w14:paraId="1601F322">
      <w:pPr>
        <w:spacing w:line="520" w:lineRule="exact"/>
        <w:rPr>
          <w:rFonts w:eastAsia="楷体"/>
          <w:color w:val="auto"/>
          <w:sz w:val="28"/>
          <w:szCs w:val="28"/>
          <w:highlight w:val="none"/>
        </w:rPr>
      </w:pPr>
      <w:r>
        <w:rPr>
          <w:rFonts w:eastAsia="楷体"/>
          <w:color w:val="auto"/>
          <w:sz w:val="28"/>
          <w:szCs w:val="28"/>
          <w:highlight w:val="none"/>
        </w:rPr>
        <w:t>式中：</w:t>
      </w:r>
      <w:r>
        <w:rPr>
          <w:rFonts w:ascii="Times New Roman" w:hAnsi="Times New Roman" w:eastAsia="楷体" w:cs="Times New Roman"/>
          <w:color w:val="auto"/>
          <w:kern w:val="2"/>
          <w:position w:val="-12"/>
          <w:sz w:val="28"/>
          <w:szCs w:val="28"/>
          <w:highlight w:val="none"/>
          <w:lang w:val="en-US" w:eastAsia="zh-CN" w:bidi="ar-SA"/>
        </w:rPr>
        <w:object>
          <v:shape id="_x0000_i1037" o:spt="75" type="#_x0000_t75" style="height:18pt;width:37pt;" o:ole="t" fillcolor="#FFFFFF" filled="f" o:preferrelative="t" stroked="f" coordsize="21600,21600">
            <v:path/>
            <v:fill on="f" color2="#FFFFFF" focussize="0,0"/>
            <v:stroke on="f"/>
            <v:imagedata r:id="rId36" gain="65536f" blacklevel="0f" gamma="0" o:title=""/>
            <o:lock v:ext="edit" position="f" selection="f" grouping="f" rotation="f" cropping="f" text="f" aspectratio="t"/>
            <w10:wrap type="none"/>
            <w10:anchorlock/>
          </v:shape>
          <o:OLEObject Type="Embed" ProgID="" ShapeID="_x0000_i1037" DrawAspect="Content" ObjectID="_1468075737" r:id="rId35">
            <o:LockedField>false</o:LockedField>
          </o:OLEObject>
        </w:object>
      </w:r>
      <w:r>
        <w:rPr>
          <w:rFonts w:eastAsia="楷体"/>
          <w:color w:val="auto"/>
          <w:sz w:val="28"/>
          <w:szCs w:val="28"/>
          <w:highlight w:val="none"/>
        </w:rPr>
        <w:t>——时段</w:t>
      </w:r>
      <w:r>
        <w:rPr>
          <w:rFonts w:ascii="Times New Roman" w:hAnsi="Times New Roman" w:eastAsia="楷体" w:cs="Times New Roman"/>
          <w:color w:val="auto"/>
          <w:kern w:val="2"/>
          <w:position w:val="-6"/>
          <w:sz w:val="28"/>
          <w:szCs w:val="28"/>
          <w:highlight w:val="none"/>
          <w:lang w:val="en-US" w:eastAsia="zh-CN" w:bidi="ar-SA"/>
        </w:rPr>
        <w:object>
          <v:shape id="_x0000_i1038" o:spt="75" type="#_x0000_t75" style="height:13.95pt;width:15pt;" o:ole="t" fillcolor="#FFFFFF" filled="f" o:preferrelative="t" stroked="f" coordsize="21600,21600">
            <v:path/>
            <v:fill on="f" color2="#FFFFFF" focussize="0,0"/>
            <v:stroke on="f"/>
            <v:imagedata r:id="rId38" gain="65536f" blacklevel="0f" gamma="0" o:title=""/>
            <o:lock v:ext="edit" position="f" selection="f" grouping="f" rotation="f" cropping="f" text="f" aspectratio="t"/>
            <w10:wrap type="none"/>
            <w10:anchorlock/>
          </v:shape>
          <o:OLEObject Type="Embed" ProgID="" ShapeID="_x0000_i1038" DrawAspect="Content" ObjectID="_1468075738" r:id="rId37">
            <o:LockedField>false</o:LockedField>
          </o:OLEObject>
        </w:object>
      </w:r>
      <w:r>
        <w:rPr>
          <w:rFonts w:eastAsia="楷体"/>
          <w:color w:val="auto"/>
          <w:sz w:val="28"/>
          <w:szCs w:val="28"/>
          <w:highlight w:val="none"/>
        </w:rPr>
        <w:t>始、末的入库流量（</w:t>
      </w:r>
      <w:r>
        <w:rPr>
          <w:rFonts w:ascii="Times New Roman" w:hAnsi="Times New Roman" w:eastAsia="楷体" w:cs="Times New Roman"/>
          <w:color w:val="auto"/>
          <w:kern w:val="2"/>
          <w:position w:val="-6"/>
          <w:sz w:val="28"/>
          <w:szCs w:val="28"/>
          <w:highlight w:val="none"/>
          <w:lang w:val="en-US" w:eastAsia="zh-CN" w:bidi="ar-SA"/>
        </w:rPr>
        <w:object>
          <v:shape id="_x0000_i1039" o:spt="75" type="#_x0000_t75" style="height:16pt;width:30pt;" o:ole="t" fillcolor="#FFFFFF" filled="f" o:preferrelative="t" stroked="f" coordsize="21600,21600">
            <v:path/>
            <v:fill on="f" color2="#FFFFFF" focussize="0,0"/>
            <v:stroke on="f"/>
            <v:imagedata r:id="rId40" gain="65536f" blacklevel="0f" gamma="0" o:title=""/>
            <o:lock v:ext="edit" position="f" selection="f" grouping="f" rotation="f" cropping="f" text="f" aspectratio="t"/>
            <w10:wrap type="none"/>
            <w10:anchorlock/>
          </v:shape>
          <o:OLEObject Type="Embed" ProgID="" ShapeID="_x0000_i1039" DrawAspect="Content" ObjectID="_1468075739" r:id="rId39">
            <o:LockedField>false</o:LockedField>
          </o:OLEObject>
        </w:object>
      </w:r>
      <w:r>
        <w:rPr>
          <w:rFonts w:eastAsia="楷体"/>
          <w:color w:val="auto"/>
          <w:sz w:val="28"/>
          <w:szCs w:val="28"/>
          <w:highlight w:val="none"/>
        </w:rPr>
        <w:t>）;</w:t>
      </w:r>
    </w:p>
    <w:p w14:paraId="06A07326">
      <w:pPr>
        <w:spacing w:line="520" w:lineRule="exact"/>
        <w:rPr>
          <w:rFonts w:eastAsia="楷体"/>
          <w:color w:val="auto"/>
          <w:sz w:val="28"/>
          <w:szCs w:val="28"/>
          <w:highlight w:val="none"/>
        </w:rPr>
      </w:pPr>
      <w:r>
        <w:rPr>
          <w:rFonts w:eastAsia="楷体"/>
          <w:color w:val="auto"/>
          <w:sz w:val="28"/>
          <w:szCs w:val="28"/>
          <w:highlight w:val="none"/>
        </w:rPr>
        <w:t xml:space="preserve">      </w:t>
      </w:r>
      <w:r>
        <w:rPr>
          <w:rFonts w:ascii="Times New Roman" w:hAnsi="Times New Roman" w:eastAsia="楷体" w:cs="Times New Roman"/>
          <w:color w:val="auto"/>
          <w:kern w:val="2"/>
          <w:position w:val="-12"/>
          <w:sz w:val="28"/>
          <w:szCs w:val="28"/>
          <w:highlight w:val="none"/>
          <w:lang w:val="en-US" w:eastAsia="zh-CN" w:bidi="ar-SA"/>
        </w:rPr>
        <w:object>
          <v:shape id="_x0000_i1040" o:spt="75" type="#_x0000_t75" style="height:18pt;width:33pt;" o:ole="t" fillcolor="#FFFFFF" filled="f" o:preferrelative="t" stroked="f" coordsize="21600,21600">
            <v:path/>
            <v:fill on="f" color2="#FFFFFF" focussize="0,0"/>
            <v:stroke on="f"/>
            <v:imagedata r:id="rId42" gain="65536f" blacklevel="0f" gamma="0" o:title=""/>
            <o:lock v:ext="edit" position="f" selection="f" grouping="f" rotation="f" cropping="f" text="f" aspectratio="t"/>
            <w10:wrap type="none"/>
            <w10:anchorlock/>
          </v:shape>
          <o:OLEObject Type="Embed" ProgID="" ShapeID="_x0000_i1040" DrawAspect="Content" ObjectID="_1468075740" r:id="rId41">
            <o:LockedField>false</o:LockedField>
          </o:OLEObject>
        </w:object>
      </w:r>
      <w:r>
        <w:rPr>
          <w:rFonts w:eastAsia="楷体"/>
          <w:color w:val="auto"/>
          <w:sz w:val="28"/>
          <w:szCs w:val="28"/>
          <w:highlight w:val="none"/>
        </w:rPr>
        <w:t>——时段</w:t>
      </w:r>
      <w:r>
        <w:rPr>
          <w:rFonts w:ascii="Times New Roman" w:hAnsi="Times New Roman" w:eastAsia="楷体" w:cs="Times New Roman"/>
          <w:color w:val="auto"/>
          <w:kern w:val="2"/>
          <w:position w:val="-6"/>
          <w:sz w:val="28"/>
          <w:szCs w:val="28"/>
          <w:highlight w:val="none"/>
          <w:lang w:val="en-US" w:eastAsia="zh-CN" w:bidi="ar-SA"/>
        </w:rPr>
        <w:object>
          <v:shape id="_x0000_i1041" o:spt="75" type="#_x0000_t75" style="height:13.95pt;width:15pt;" o:ole="t" fillcolor="#FFFFFF" filled="f" o:preferrelative="t" stroked="f" coordsize="21600,21600">
            <v:path/>
            <v:fill on="f" color2="#FFFFFF" focussize="0,0"/>
            <v:stroke on="f"/>
            <v:imagedata r:id="rId44" gain="65536f" blacklevel="0f" gamma="0" o:title=""/>
            <o:lock v:ext="edit" position="f" selection="f" grouping="f" rotation="f" cropping="f" text="f" aspectratio="t"/>
            <w10:wrap type="none"/>
            <w10:anchorlock/>
          </v:shape>
          <o:OLEObject Type="Embed" ProgID="" ShapeID="_x0000_i1041" DrawAspect="Content" ObjectID="_1468075741" r:id="rId43">
            <o:LockedField>false</o:LockedField>
          </o:OLEObject>
        </w:object>
      </w:r>
      <w:r>
        <w:rPr>
          <w:rFonts w:eastAsia="楷体"/>
          <w:color w:val="auto"/>
          <w:sz w:val="28"/>
          <w:szCs w:val="28"/>
          <w:highlight w:val="none"/>
        </w:rPr>
        <w:t>始、末的出库流量（</w:t>
      </w:r>
      <w:r>
        <w:rPr>
          <w:rFonts w:ascii="Times New Roman" w:hAnsi="Times New Roman" w:eastAsia="楷体" w:cs="Times New Roman"/>
          <w:color w:val="auto"/>
          <w:kern w:val="2"/>
          <w:position w:val="-6"/>
          <w:sz w:val="28"/>
          <w:szCs w:val="28"/>
          <w:highlight w:val="none"/>
          <w:lang w:val="en-US" w:eastAsia="zh-CN" w:bidi="ar-SA"/>
        </w:rPr>
        <w:object>
          <v:shape id="_x0000_i1042" o:spt="75" type="#_x0000_t75" style="height:16pt;width:30pt;" o:ole="t" fillcolor="#FFFFFF" filled="f" o:preferrelative="t" stroked="f" coordsize="21600,21600">
            <v:path/>
            <v:fill on="f" color2="#FFFFFF" focussize="0,0"/>
            <v:stroke on="f"/>
            <v:imagedata r:id="rId46" gain="65536f" blacklevel="0f" gamma="0" o:title=""/>
            <o:lock v:ext="edit" position="f" selection="f" grouping="f" rotation="f" cropping="f" text="f" aspectratio="t"/>
            <w10:wrap type="none"/>
            <w10:anchorlock/>
          </v:shape>
          <o:OLEObject Type="Embed" ProgID="" ShapeID="_x0000_i1042" DrawAspect="Content" ObjectID="_1468075742" r:id="rId45">
            <o:LockedField>false</o:LockedField>
          </o:OLEObject>
        </w:object>
      </w:r>
      <w:r>
        <w:rPr>
          <w:rFonts w:eastAsia="楷体"/>
          <w:color w:val="auto"/>
          <w:sz w:val="28"/>
          <w:szCs w:val="28"/>
          <w:highlight w:val="none"/>
        </w:rPr>
        <w:t>）;</w:t>
      </w:r>
    </w:p>
    <w:p w14:paraId="1693AC77">
      <w:pPr>
        <w:spacing w:line="520" w:lineRule="exact"/>
        <w:rPr>
          <w:rFonts w:eastAsia="楷体"/>
          <w:color w:val="auto"/>
          <w:sz w:val="28"/>
          <w:szCs w:val="28"/>
          <w:highlight w:val="none"/>
        </w:rPr>
      </w:pPr>
      <w:r>
        <w:rPr>
          <w:rFonts w:eastAsia="楷体"/>
          <w:color w:val="auto"/>
          <w:sz w:val="28"/>
          <w:szCs w:val="28"/>
          <w:highlight w:val="none"/>
        </w:rPr>
        <w:t xml:space="preserve">      </w:t>
      </w:r>
      <w:r>
        <w:rPr>
          <w:rFonts w:ascii="Times New Roman" w:hAnsi="Times New Roman" w:eastAsia="楷体" w:cs="Times New Roman"/>
          <w:color w:val="auto"/>
          <w:kern w:val="2"/>
          <w:position w:val="-12"/>
          <w:sz w:val="28"/>
          <w:szCs w:val="28"/>
          <w:highlight w:val="none"/>
          <w:lang w:val="en-US" w:eastAsia="zh-CN" w:bidi="ar-SA"/>
        </w:rPr>
        <w:object>
          <v:shape id="_x0000_i1043" o:spt="75" type="#_x0000_t75" style="height:18pt;width:34pt;" o:ole="t" fillcolor="#FFFFFF" filled="f" o:preferrelative="t" stroked="f" coordsize="21600,21600">
            <v:path/>
            <v:fill on="f" color2="#FFFFFF" focussize="0,0"/>
            <v:stroke on="f"/>
            <v:imagedata r:id="rId48" gain="65536f" blacklevel="0f" gamma="0" o:title=""/>
            <o:lock v:ext="edit" position="f" selection="f" grouping="f" rotation="f" cropping="f" text="f" aspectratio="t"/>
            <w10:wrap type="none"/>
            <w10:anchorlock/>
          </v:shape>
          <o:OLEObject Type="Embed" ProgID="" ShapeID="_x0000_i1043" DrawAspect="Content" ObjectID="_1468075743" r:id="rId47">
            <o:LockedField>false</o:LockedField>
          </o:OLEObject>
        </w:object>
      </w:r>
      <w:r>
        <w:rPr>
          <w:rFonts w:eastAsia="楷体"/>
          <w:color w:val="auto"/>
          <w:sz w:val="28"/>
          <w:szCs w:val="28"/>
          <w:highlight w:val="none"/>
        </w:rPr>
        <w:t>——时段</w:t>
      </w:r>
      <w:r>
        <w:rPr>
          <w:rFonts w:ascii="Times New Roman" w:hAnsi="Times New Roman" w:eastAsia="楷体" w:cs="Times New Roman"/>
          <w:color w:val="auto"/>
          <w:kern w:val="2"/>
          <w:position w:val="-6"/>
          <w:sz w:val="28"/>
          <w:szCs w:val="28"/>
          <w:highlight w:val="none"/>
          <w:lang w:val="en-US" w:eastAsia="zh-CN" w:bidi="ar-SA"/>
        </w:rPr>
        <w:object>
          <v:shape id="_x0000_i1044" o:spt="75" type="#_x0000_t75" style="height:13.95pt;width:15pt;" o:ole="t" fillcolor="#FFFFFF" filled="f" o:preferrelative="t" stroked="f" coordsize="21600,21600">
            <v:path/>
            <v:fill on="f" color2="#FFFFFF" focussize="0,0"/>
            <v:stroke on="f"/>
            <v:imagedata r:id="rId50" gain="65536f" blacklevel="0f" gamma="0" o:title=""/>
            <o:lock v:ext="edit" position="f" selection="f" grouping="f" rotation="f" cropping="f" text="f" aspectratio="t"/>
            <w10:wrap type="none"/>
            <w10:anchorlock/>
          </v:shape>
          <o:OLEObject Type="Embed" ProgID="" ShapeID="_x0000_i1044" DrawAspect="Content" ObjectID="_1468075744" r:id="rId49">
            <o:LockedField>false</o:LockedField>
          </o:OLEObject>
        </w:object>
      </w:r>
      <w:r>
        <w:rPr>
          <w:rFonts w:eastAsia="楷体"/>
          <w:color w:val="auto"/>
          <w:sz w:val="28"/>
          <w:szCs w:val="28"/>
          <w:highlight w:val="none"/>
        </w:rPr>
        <w:t>始、末的库容（万</w:t>
      </w:r>
      <w:r>
        <w:rPr>
          <w:rFonts w:eastAsia="楷体"/>
          <w:i/>
          <w:color w:val="auto"/>
          <w:sz w:val="28"/>
          <w:szCs w:val="28"/>
          <w:highlight w:val="none"/>
        </w:rPr>
        <w:t xml:space="preserve"> </w:t>
      </w:r>
      <w:r>
        <w:rPr>
          <w:rFonts w:ascii="Times New Roman" w:hAnsi="Times New Roman" w:eastAsia="楷体" w:cs="Times New Roman"/>
          <w:color w:val="auto"/>
          <w:kern w:val="2"/>
          <w:position w:val="-6"/>
          <w:sz w:val="28"/>
          <w:szCs w:val="28"/>
          <w:highlight w:val="none"/>
          <w:lang w:val="en-US" w:eastAsia="zh-CN" w:bidi="ar-SA"/>
        </w:rPr>
        <w:object>
          <v:shape id="_x0000_i1045" o:spt="75" type="#_x0000_t75" style="height:16pt;width:16pt;" o:ole="t" fillcolor="#FFFFFF" filled="f" o:preferrelative="t" stroked="f" coordsize="21600,21600">
            <v:path/>
            <v:fill on="f" color2="#FFFFFF" focussize="0,0"/>
            <v:stroke on="f"/>
            <v:imagedata r:id="rId52" gain="65536f" blacklevel="0f" gamma="0" o:title=""/>
            <o:lock v:ext="edit" position="f" selection="f" grouping="f" rotation="f" cropping="f" text="f" aspectratio="t"/>
            <w10:wrap type="none"/>
            <w10:anchorlock/>
          </v:shape>
          <o:OLEObject Type="Embed" ProgID="" ShapeID="_x0000_i1045" DrawAspect="Content" ObjectID="_1468075745" r:id="rId51">
            <o:LockedField>false</o:LockedField>
          </o:OLEObject>
        </w:object>
      </w:r>
      <w:r>
        <w:rPr>
          <w:rFonts w:eastAsia="楷体"/>
          <w:color w:val="auto"/>
          <w:sz w:val="28"/>
          <w:szCs w:val="28"/>
          <w:highlight w:val="none"/>
        </w:rPr>
        <w:t>）</w:t>
      </w:r>
    </w:p>
    <w:p w14:paraId="78E1B9AD">
      <w:pPr>
        <w:spacing w:line="520" w:lineRule="exact"/>
        <w:ind w:firstLine="560" w:firstLineChars="200"/>
        <w:rPr>
          <w:rFonts w:eastAsia="楷体"/>
          <w:color w:val="auto"/>
          <w:sz w:val="28"/>
          <w:szCs w:val="28"/>
          <w:highlight w:val="none"/>
        </w:rPr>
      </w:pPr>
      <w:r>
        <w:rPr>
          <w:rFonts w:eastAsia="楷体"/>
          <w:color w:val="auto"/>
          <w:sz w:val="28"/>
          <w:szCs w:val="28"/>
          <w:highlight w:val="none"/>
        </w:rPr>
        <w:t>四清水库的正常蓄水位为</w:t>
      </w:r>
      <w:r>
        <w:rPr>
          <w:rFonts w:hint="eastAsia" w:eastAsia="楷体"/>
          <w:color w:val="auto"/>
          <w:sz w:val="28"/>
          <w:szCs w:val="28"/>
          <w:highlight w:val="none"/>
          <w:lang w:val="en-US" w:eastAsia="zh-CN"/>
        </w:rPr>
        <w:t>28.04</w:t>
      </w:r>
      <w:r>
        <w:rPr>
          <w:rFonts w:eastAsia="楷体"/>
          <w:color w:val="auto"/>
          <w:sz w:val="28"/>
          <w:szCs w:val="28"/>
          <w:highlight w:val="none"/>
        </w:rPr>
        <w:t>m，汛期期间起调水位采用汛限水位</w:t>
      </w:r>
      <w:r>
        <w:rPr>
          <w:rFonts w:hint="eastAsia" w:eastAsia="楷体"/>
          <w:color w:val="auto"/>
          <w:sz w:val="28"/>
          <w:szCs w:val="28"/>
          <w:highlight w:val="none"/>
          <w:lang w:val="en-US" w:eastAsia="zh-CN"/>
        </w:rPr>
        <w:t>28.04</w:t>
      </w:r>
      <w:r>
        <w:rPr>
          <w:rFonts w:eastAsia="楷体"/>
          <w:color w:val="auto"/>
          <w:sz w:val="28"/>
          <w:szCs w:val="28"/>
          <w:highlight w:val="none"/>
        </w:rPr>
        <w:t>m，</w:t>
      </w:r>
      <w:r>
        <w:rPr>
          <w:rFonts w:hint="eastAsia" w:eastAsia="楷体"/>
          <w:color w:val="auto"/>
          <w:sz w:val="28"/>
          <w:szCs w:val="28"/>
          <w:highlight w:val="none"/>
          <w:lang w:eastAsia="zh-CN"/>
        </w:rPr>
        <w:t>控蓄水位</w:t>
      </w:r>
      <w:r>
        <w:rPr>
          <w:rFonts w:hint="eastAsia" w:eastAsia="楷体"/>
          <w:color w:val="auto"/>
          <w:sz w:val="28"/>
          <w:szCs w:val="28"/>
          <w:highlight w:val="none"/>
          <w:lang w:val="en-US" w:eastAsia="zh-CN"/>
        </w:rPr>
        <w:t>27.04m。</w:t>
      </w:r>
      <w:r>
        <w:rPr>
          <w:rFonts w:eastAsia="楷体"/>
          <w:color w:val="auto"/>
          <w:sz w:val="28"/>
          <w:szCs w:val="28"/>
          <w:highlight w:val="none"/>
        </w:rPr>
        <w:t>经调洪演算求得P=</w:t>
      </w:r>
      <w:r>
        <w:rPr>
          <w:rFonts w:hint="eastAsia" w:eastAsia="楷体"/>
          <w:color w:val="auto"/>
          <w:sz w:val="28"/>
          <w:szCs w:val="28"/>
          <w:highlight w:val="none"/>
          <w:lang w:val="en-US" w:eastAsia="zh-CN"/>
        </w:rPr>
        <w:t>5</w:t>
      </w:r>
      <w:r>
        <w:rPr>
          <w:rFonts w:eastAsia="楷体"/>
          <w:color w:val="auto"/>
          <w:sz w:val="28"/>
          <w:szCs w:val="28"/>
          <w:highlight w:val="none"/>
        </w:rPr>
        <w:t>%和P=0.</w:t>
      </w:r>
      <w:r>
        <w:rPr>
          <w:rFonts w:hint="eastAsia" w:eastAsia="楷体"/>
          <w:color w:val="auto"/>
          <w:sz w:val="28"/>
          <w:szCs w:val="28"/>
          <w:highlight w:val="none"/>
          <w:lang w:val="en-US" w:eastAsia="zh-CN"/>
        </w:rPr>
        <w:t>5</w:t>
      </w:r>
      <w:r>
        <w:rPr>
          <w:rFonts w:eastAsia="楷体"/>
          <w:color w:val="auto"/>
          <w:sz w:val="28"/>
          <w:szCs w:val="28"/>
          <w:highlight w:val="none"/>
        </w:rPr>
        <w:t>%两种设计频率洪水的调洪演算成果详见表</w:t>
      </w:r>
      <w:r>
        <w:rPr>
          <w:rFonts w:hint="eastAsia" w:eastAsia="楷体"/>
          <w:color w:val="auto"/>
          <w:sz w:val="28"/>
          <w:szCs w:val="28"/>
          <w:highlight w:val="none"/>
          <w:lang w:val="en-US" w:eastAsia="zh-CN"/>
        </w:rPr>
        <w:t>2</w:t>
      </w:r>
      <w:r>
        <w:rPr>
          <w:rFonts w:eastAsia="楷体"/>
          <w:color w:val="auto"/>
          <w:sz w:val="28"/>
          <w:szCs w:val="28"/>
          <w:highlight w:val="none"/>
        </w:rPr>
        <w:t>-</w:t>
      </w:r>
      <w:r>
        <w:rPr>
          <w:rFonts w:hint="eastAsia" w:eastAsia="楷体"/>
          <w:color w:val="auto"/>
          <w:sz w:val="28"/>
          <w:szCs w:val="28"/>
          <w:highlight w:val="none"/>
          <w:lang w:val="en-US" w:eastAsia="zh-CN"/>
        </w:rPr>
        <w:t>3</w:t>
      </w:r>
      <w:r>
        <w:rPr>
          <w:rFonts w:eastAsia="楷体"/>
          <w:color w:val="auto"/>
          <w:sz w:val="28"/>
          <w:szCs w:val="28"/>
          <w:highlight w:val="none"/>
        </w:rPr>
        <w:t>。</w:t>
      </w:r>
    </w:p>
    <w:p w14:paraId="662F7EC1">
      <w:pPr>
        <w:spacing w:line="520" w:lineRule="exact"/>
        <w:rPr>
          <w:rFonts w:eastAsia="楷体"/>
          <w:b/>
          <w:bCs/>
          <w:color w:val="auto"/>
          <w:spacing w:val="20"/>
          <w:kern w:val="0"/>
          <w:sz w:val="28"/>
          <w:szCs w:val="28"/>
          <w:highlight w:val="none"/>
        </w:rPr>
      </w:pPr>
      <w:r>
        <w:rPr>
          <w:rFonts w:eastAsia="楷体"/>
          <w:b/>
          <w:bCs/>
          <w:color w:val="auto"/>
          <w:spacing w:val="20"/>
          <w:kern w:val="0"/>
          <w:sz w:val="28"/>
          <w:szCs w:val="28"/>
          <w:highlight w:val="none"/>
        </w:rPr>
        <w:t>表</w:t>
      </w:r>
      <w:r>
        <w:rPr>
          <w:rFonts w:hint="eastAsia" w:eastAsia="楷体"/>
          <w:b/>
          <w:bCs/>
          <w:color w:val="auto"/>
          <w:spacing w:val="20"/>
          <w:kern w:val="0"/>
          <w:sz w:val="28"/>
          <w:szCs w:val="28"/>
          <w:highlight w:val="none"/>
          <w:lang w:val="en-US" w:eastAsia="zh-CN"/>
        </w:rPr>
        <w:t>2</w:t>
      </w:r>
      <w:r>
        <w:rPr>
          <w:rFonts w:eastAsia="楷体"/>
          <w:b/>
          <w:bCs/>
          <w:color w:val="auto"/>
          <w:spacing w:val="20"/>
          <w:kern w:val="0"/>
          <w:sz w:val="28"/>
          <w:szCs w:val="28"/>
          <w:highlight w:val="none"/>
        </w:rPr>
        <w:t>-</w:t>
      </w:r>
      <w:r>
        <w:rPr>
          <w:rFonts w:hint="eastAsia" w:eastAsia="楷体"/>
          <w:b/>
          <w:bCs/>
          <w:color w:val="auto"/>
          <w:spacing w:val="20"/>
          <w:kern w:val="0"/>
          <w:sz w:val="28"/>
          <w:szCs w:val="28"/>
          <w:highlight w:val="none"/>
          <w:lang w:val="en-US" w:eastAsia="zh-CN"/>
        </w:rPr>
        <w:t>3</w:t>
      </w:r>
      <w:r>
        <w:rPr>
          <w:rFonts w:eastAsia="楷体"/>
          <w:b/>
          <w:bCs/>
          <w:color w:val="auto"/>
          <w:spacing w:val="20"/>
          <w:kern w:val="0"/>
          <w:sz w:val="28"/>
          <w:szCs w:val="28"/>
          <w:highlight w:val="none"/>
        </w:rPr>
        <w:t xml:space="preserve">            四清水库调洪演算成果表</w:t>
      </w:r>
    </w:p>
    <w:tbl>
      <w:tblPr>
        <w:tblStyle w:val="17"/>
        <w:tblW w:w="910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2107"/>
        <w:gridCol w:w="2046"/>
        <w:gridCol w:w="1778"/>
        <w:gridCol w:w="1585"/>
        <w:gridCol w:w="1585"/>
      </w:tblGrid>
      <w:tr w14:paraId="10357C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720" w:hRule="atLeast"/>
        </w:trPr>
        <w:tc>
          <w:tcPr>
            <w:tcW w:w="2107" w:type="dxa"/>
            <w:vAlign w:val="center"/>
          </w:tcPr>
          <w:p w14:paraId="7C3691C9">
            <w:pPr>
              <w:widowControl/>
              <w:spacing w:line="440" w:lineRule="exact"/>
              <w:jc w:val="center"/>
              <w:textAlignment w:val="center"/>
              <w:rPr>
                <w:rFonts w:eastAsia="楷体"/>
                <w:b/>
                <w:color w:val="auto"/>
                <w:sz w:val="24"/>
                <w:highlight w:val="none"/>
              </w:rPr>
            </w:pPr>
            <w:r>
              <w:rPr>
                <w:rFonts w:eastAsia="楷体"/>
                <w:b/>
                <w:color w:val="auto"/>
                <w:kern w:val="0"/>
                <w:sz w:val="24"/>
                <w:highlight w:val="none"/>
              </w:rPr>
              <w:t>设计频率</w:t>
            </w:r>
          </w:p>
        </w:tc>
        <w:tc>
          <w:tcPr>
            <w:tcW w:w="2046" w:type="dxa"/>
            <w:vAlign w:val="center"/>
          </w:tcPr>
          <w:p w14:paraId="718973F0">
            <w:pPr>
              <w:widowControl/>
              <w:spacing w:line="440" w:lineRule="exact"/>
              <w:jc w:val="center"/>
              <w:textAlignment w:val="center"/>
              <w:rPr>
                <w:rFonts w:eastAsia="楷体"/>
                <w:b/>
                <w:color w:val="auto"/>
                <w:sz w:val="24"/>
                <w:highlight w:val="none"/>
              </w:rPr>
            </w:pPr>
            <w:r>
              <w:rPr>
                <w:rFonts w:eastAsia="楷体"/>
                <w:b/>
                <w:color w:val="auto"/>
                <w:kern w:val="0"/>
                <w:sz w:val="24"/>
                <w:highlight w:val="none"/>
              </w:rPr>
              <w:t>最大入库流量(m</w:t>
            </w:r>
            <w:r>
              <w:rPr>
                <w:rFonts w:eastAsia="楷体"/>
                <w:b/>
                <w:color w:val="auto"/>
                <w:kern w:val="0"/>
                <w:sz w:val="24"/>
                <w:highlight w:val="none"/>
                <w:vertAlign w:val="superscript"/>
              </w:rPr>
              <w:t>3</w:t>
            </w:r>
            <w:r>
              <w:rPr>
                <w:rFonts w:eastAsia="楷体"/>
                <w:b/>
                <w:color w:val="auto"/>
                <w:kern w:val="0"/>
                <w:sz w:val="24"/>
                <w:highlight w:val="none"/>
              </w:rPr>
              <w:t>/s)</w:t>
            </w:r>
          </w:p>
        </w:tc>
        <w:tc>
          <w:tcPr>
            <w:tcW w:w="1778" w:type="dxa"/>
            <w:vAlign w:val="center"/>
          </w:tcPr>
          <w:p w14:paraId="4059BA9B">
            <w:pPr>
              <w:widowControl/>
              <w:spacing w:line="440" w:lineRule="exact"/>
              <w:jc w:val="center"/>
              <w:textAlignment w:val="center"/>
              <w:rPr>
                <w:rFonts w:eastAsia="楷体"/>
                <w:b/>
                <w:color w:val="auto"/>
                <w:sz w:val="24"/>
                <w:highlight w:val="none"/>
              </w:rPr>
            </w:pPr>
            <w:r>
              <w:rPr>
                <w:rFonts w:eastAsia="楷体"/>
                <w:b/>
                <w:color w:val="auto"/>
                <w:kern w:val="0"/>
                <w:sz w:val="24"/>
                <w:highlight w:val="none"/>
              </w:rPr>
              <w:t>最大下泄流量(m</w:t>
            </w:r>
            <w:r>
              <w:rPr>
                <w:rFonts w:eastAsia="楷体"/>
                <w:b/>
                <w:color w:val="auto"/>
                <w:kern w:val="0"/>
                <w:sz w:val="24"/>
                <w:highlight w:val="none"/>
                <w:vertAlign w:val="superscript"/>
              </w:rPr>
              <w:t>3</w:t>
            </w:r>
            <w:r>
              <w:rPr>
                <w:rFonts w:eastAsia="楷体"/>
                <w:b/>
                <w:color w:val="auto"/>
                <w:kern w:val="0"/>
                <w:sz w:val="24"/>
                <w:highlight w:val="none"/>
              </w:rPr>
              <w:t>/s)</w:t>
            </w:r>
          </w:p>
        </w:tc>
        <w:tc>
          <w:tcPr>
            <w:tcW w:w="1585" w:type="dxa"/>
            <w:vAlign w:val="center"/>
          </w:tcPr>
          <w:p w14:paraId="6B56B580">
            <w:pPr>
              <w:widowControl/>
              <w:spacing w:line="440" w:lineRule="exact"/>
              <w:jc w:val="center"/>
              <w:textAlignment w:val="center"/>
              <w:rPr>
                <w:rFonts w:eastAsia="楷体"/>
                <w:b/>
                <w:color w:val="auto"/>
                <w:sz w:val="24"/>
                <w:highlight w:val="none"/>
              </w:rPr>
            </w:pPr>
            <w:r>
              <w:rPr>
                <w:rFonts w:eastAsia="楷体"/>
                <w:b/>
                <w:color w:val="auto"/>
                <w:kern w:val="0"/>
                <w:sz w:val="24"/>
                <w:highlight w:val="none"/>
              </w:rPr>
              <w:t>最高库水位（m）</w:t>
            </w:r>
          </w:p>
        </w:tc>
        <w:tc>
          <w:tcPr>
            <w:tcW w:w="1585" w:type="dxa"/>
            <w:vAlign w:val="center"/>
          </w:tcPr>
          <w:p w14:paraId="2E53D226">
            <w:pPr>
              <w:widowControl/>
              <w:spacing w:line="440" w:lineRule="exact"/>
              <w:jc w:val="center"/>
              <w:textAlignment w:val="center"/>
              <w:rPr>
                <w:rFonts w:eastAsia="楷体"/>
                <w:b/>
                <w:color w:val="auto"/>
                <w:kern w:val="0"/>
                <w:sz w:val="24"/>
                <w:highlight w:val="none"/>
              </w:rPr>
            </w:pPr>
            <w:r>
              <w:rPr>
                <w:rFonts w:eastAsia="楷体"/>
                <w:b/>
                <w:color w:val="auto"/>
                <w:kern w:val="0"/>
                <w:sz w:val="24"/>
                <w:highlight w:val="none"/>
              </w:rPr>
              <w:t>设计库容</w:t>
            </w:r>
          </w:p>
          <w:p w14:paraId="796CE987">
            <w:pPr>
              <w:widowControl/>
              <w:spacing w:line="440" w:lineRule="exact"/>
              <w:jc w:val="center"/>
              <w:textAlignment w:val="center"/>
              <w:rPr>
                <w:rFonts w:eastAsia="楷体"/>
                <w:b/>
                <w:color w:val="auto"/>
                <w:sz w:val="24"/>
                <w:highlight w:val="none"/>
              </w:rPr>
            </w:pPr>
            <w:r>
              <w:rPr>
                <w:rFonts w:eastAsia="楷体"/>
                <w:b/>
                <w:color w:val="auto"/>
                <w:kern w:val="0"/>
                <w:sz w:val="24"/>
                <w:highlight w:val="none"/>
              </w:rPr>
              <w:t>（万m</w:t>
            </w:r>
            <w:r>
              <w:rPr>
                <w:rFonts w:eastAsia="楷体"/>
                <w:b/>
                <w:color w:val="auto"/>
                <w:kern w:val="0"/>
                <w:sz w:val="24"/>
                <w:highlight w:val="none"/>
                <w:vertAlign w:val="superscript"/>
              </w:rPr>
              <w:t>3</w:t>
            </w:r>
            <w:r>
              <w:rPr>
                <w:rFonts w:eastAsia="楷体"/>
                <w:b/>
                <w:color w:val="auto"/>
                <w:kern w:val="0"/>
                <w:sz w:val="24"/>
                <w:highlight w:val="none"/>
              </w:rPr>
              <w:t>）</w:t>
            </w:r>
          </w:p>
        </w:tc>
      </w:tr>
      <w:tr w14:paraId="4EE859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2107" w:type="dxa"/>
            <w:vAlign w:val="center"/>
          </w:tcPr>
          <w:p w14:paraId="0709AA66">
            <w:pPr>
              <w:widowControl/>
              <w:spacing w:line="440" w:lineRule="exact"/>
              <w:jc w:val="center"/>
              <w:textAlignment w:val="center"/>
              <w:rPr>
                <w:rFonts w:eastAsia="楷体"/>
                <w:color w:val="auto"/>
                <w:sz w:val="24"/>
                <w:highlight w:val="none"/>
              </w:rPr>
            </w:pPr>
            <w:r>
              <w:rPr>
                <w:rFonts w:eastAsia="楷体"/>
                <w:color w:val="auto"/>
                <w:kern w:val="0"/>
                <w:sz w:val="24"/>
                <w:highlight w:val="none"/>
              </w:rPr>
              <w:t>P=</w:t>
            </w:r>
            <w:r>
              <w:rPr>
                <w:rFonts w:hint="eastAsia" w:eastAsia="楷体"/>
                <w:color w:val="auto"/>
                <w:kern w:val="0"/>
                <w:sz w:val="24"/>
                <w:highlight w:val="none"/>
                <w:lang w:val="en-US" w:eastAsia="zh-CN"/>
              </w:rPr>
              <w:t>5</w:t>
            </w:r>
            <w:r>
              <w:rPr>
                <w:rFonts w:eastAsia="楷体"/>
                <w:color w:val="auto"/>
                <w:kern w:val="0"/>
                <w:sz w:val="24"/>
                <w:highlight w:val="none"/>
              </w:rPr>
              <w:t>%</w:t>
            </w:r>
          </w:p>
        </w:tc>
        <w:tc>
          <w:tcPr>
            <w:tcW w:w="2046" w:type="dxa"/>
            <w:vAlign w:val="center"/>
          </w:tcPr>
          <w:p w14:paraId="5368F3E0">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rPr>
              <w:t>12.35</w:t>
            </w:r>
          </w:p>
        </w:tc>
        <w:tc>
          <w:tcPr>
            <w:tcW w:w="1778" w:type="dxa"/>
            <w:vAlign w:val="center"/>
          </w:tcPr>
          <w:p w14:paraId="4EC2EB30">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rPr>
              <w:t>5.84</w:t>
            </w:r>
          </w:p>
        </w:tc>
        <w:tc>
          <w:tcPr>
            <w:tcW w:w="1585" w:type="dxa"/>
            <w:vAlign w:val="center"/>
          </w:tcPr>
          <w:p w14:paraId="7A1C9D1F">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rPr>
              <w:t>28.56</w:t>
            </w:r>
          </w:p>
        </w:tc>
        <w:tc>
          <w:tcPr>
            <w:tcW w:w="1585" w:type="dxa"/>
            <w:vAlign w:val="center"/>
          </w:tcPr>
          <w:p w14:paraId="0AFCCB41">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rPr>
              <w:t>29.54</w:t>
            </w:r>
          </w:p>
        </w:tc>
      </w:tr>
      <w:tr w14:paraId="422D8C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2107" w:type="dxa"/>
            <w:vAlign w:val="center"/>
          </w:tcPr>
          <w:p w14:paraId="562461CA">
            <w:pPr>
              <w:widowControl/>
              <w:spacing w:line="440" w:lineRule="exact"/>
              <w:jc w:val="center"/>
              <w:textAlignment w:val="center"/>
              <w:rPr>
                <w:rFonts w:eastAsia="楷体"/>
                <w:color w:val="auto"/>
                <w:sz w:val="24"/>
                <w:highlight w:val="none"/>
              </w:rPr>
            </w:pPr>
            <w:r>
              <w:rPr>
                <w:rFonts w:eastAsia="楷体"/>
                <w:color w:val="auto"/>
                <w:kern w:val="0"/>
                <w:sz w:val="24"/>
                <w:highlight w:val="none"/>
              </w:rPr>
              <w:t>P=0.</w:t>
            </w:r>
            <w:r>
              <w:rPr>
                <w:rFonts w:hint="eastAsia" w:eastAsia="楷体"/>
                <w:color w:val="auto"/>
                <w:kern w:val="0"/>
                <w:sz w:val="24"/>
                <w:highlight w:val="none"/>
                <w:lang w:val="en-US" w:eastAsia="zh-CN"/>
              </w:rPr>
              <w:t>5</w:t>
            </w:r>
            <w:r>
              <w:rPr>
                <w:rFonts w:eastAsia="楷体"/>
                <w:color w:val="auto"/>
                <w:kern w:val="0"/>
                <w:sz w:val="24"/>
                <w:highlight w:val="none"/>
              </w:rPr>
              <w:t>%</w:t>
            </w:r>
          </w:p>
        </w:tc>
        <w:tc>
          <w:tcPr>
            <w:tcW w:w="2046" w:type="dxa"/>
            <w:vAlign w:val="center"/>
          </w:tcPr>
          <w:p w14:paraId="13B2A7EC">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rPr>
              <w:t>20.64</w:t>
            </w:r>
          </w:p>
        </w:tc>
        <w:tc>
          <w:tcPr>
            <w:tcW w:w="1778" w:type="dxa"/>
            <w:vAlign w:val="center"/>
          </w:tcPr>
          <w:p w14:paraId="7B7AB7E8">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rPr>
              <w:t>10.61</w:t>
            </w:r>
          </w:p>
        </w:tc>
        <w:tc>
          <w:tcPr>
            <w:tcW w:w="1585" w:type="dxa"/>
            <w:vAlign w:val="center"/>
          </w:tcPr>
          <w:p w14:paraId="5035DBE3">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rPr>
              <w:t>28.81</w:t>
            </w:r>
          </w:p>
        </w:tc>
        <w:tc>
          <w:tcPr>
            <w:tcW w:w="1585" w:type="dxa"/>
            <w:vAlign w:val="center"/>
          </w:tcPr>
          <w:p w14:paraId="592B6299">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rPr>
              <w:t>30.87</w:t>
            </w:r>
          </w:p>
        </w:tc>
      </w:tr>
    </w:tbl>
    <w:p w14:paraId="676D7239">
      <w:pPr>
        <w:spacing w:line="520" w:lineRule="exact"/>
        <w:ind w:left="420" w:leftChars="200"/>
        <w:rPr>
          <w:rFonts w:eastAsia="楷体"/>
          <w:b/>
          <w:bCs/>
          <w:color w:val="auto"/>
          <w:sz w:val="28"/>
          <w:szCs w:val="28"/>
          <w:highlight w:val="none"/>
        </w:rPr>
      </w:pPr>
      <w:r>
        <w:rPr>
          <w:rFonts w:eastAsia="楷体"/>
          <w:b/>
          <w:bCs/>
          <w:color w:val="auto"/>
          <w:sz w:val="28"/>
          <w:szCs w:val="28"/>
          <w:highlight w:val="none"/>
        </w:rPr>
        <w:t>（2）四清水库防汛调度方案</w:t>
      </w:r>
    </w:p>
    <w:p w14:paraId="497C6C89">
      <w:pPr>
        <w:numPr>
          <w:ilvl w:val="0"/>
          <w:numId w:val="3"/>
        </w:numPr>
        <w:spacing w:line="520" w:lineRule="exact"/>
        <w:ind w:firstLine="562" w:firstLineChars="200"/>
        <w:rPr>
          <w:rFonts w:eastAsia="楷体"/>
          <w:b/>
          <w:bCs/>
          <w:color w:val="auto"/>
          <w:sz w:val="28"/>
          <w:szCs w:val="28"/>
          <w:highlight w:val="none"/>
        </w:rPr>
      </w:pPr>
      <w:r>
        <w:rPr>
          <w:rFonts w:eastAsia="楷体"/>
          <w:b/>
          <w:bCs/>
          <w:color w:val="auto"/>
          <w:sz w:val="28"/>
          <w:szCs w:val="28"/>
          <w:highlight w:val="none"/>
        </w:rPr>
        <w:t>四清水库汛限水位为</w:t>
      </w:r>
      <w:r>
        <w:rPr>
          <w:rFonts w:hint="eastAsia" w:eastAsia="楷体"/>
          <w:b/>
          <w:bCs/>
          <w:color w:val="auto"/>
          <w:sz w:val="28"/>
          <w:szCs w:val="28"/>
          <w:highlight w:val="none"/>
          <w:lang w:val="en-US" w:eastAsia="zh-CN"/>
        </w:rPr>
        <w:t>28.04</w:t>
      </w:r>
      <w:r>
        <w:rPr>
          <w:rFonts w:eastAsia="楷体"/>
          <w:b/>
          <w:bCs/>
          <w:color w:val="auto"/>
          <w:sz w:val="28"/>
          <w:szCs w:val="28"/>
          <w:highlight w:val="none"/>
        </w:rPr>
        <w:t>m，</w:t>
      </w:r>
      <w:r>
        <w:rPr>
          <w:rFonts w:hint="eastAsia" w:eastAsia="楷体"/>
          <w:b/>
          <w:bCs/>
          <w:color w:val="auto"/>
          <w:sz w:val="28"/>
          <w:szCs w:val="28"/>
          <w:highlight w:val="none"/>
          <w:lang w:eastAsia="zh-CN"/>
        </w:rPr>
        <w:t>控蓄水位为</w:t>
      </w:r>
      <w:r>
        <w:rPr>
          <w:rFonts w:hint="eastAsia" w:eastAsia="楷体"/>
          <w:b/>
          <w:bCs/>
          <w:color w:val="auto"/>
          <w:sz w:val="28"/>
          <w:szCs w:val="28"/>
          <w:highlight w:val="none"/>
          <w:lang w:val="en-US" w:eastAsia="zh-CN"/>
        </w:rPr>
        <w:t>27.04m。</w:t>
      </w:r>
      <w:r>
        <w:rPr>
          <w:rFonts w:eastAsia="楷体"/>
          <w:b/>
          <w:bCs/>
          <w:color w:val="auto"/>
          <w:sz w:val="28"/>
          <w:szCs w:val="28"/>
          <w:highlight w:val="none"/>
        </w:rPr>
        <w:t>进入汛期前，若四清水库水位大于</w:t>
      </w:r>
      <w:r>
        <w:rPr>
          <w:rFonts w:hint="eastAsia" w:eastAsia="楷体"/>
          <w:b/>
          <w:bCs/>
          <w:color w:val="auto"/>
          <w:sz w:val="28"/>
          <w:szCs w:val="28"/>
          <w:highlight w:val="none"/>
          <w:lang w:val="en-US" w:eastAsia="zh-CN"/>
        </w:rPr>
        <w:t>28.04</w:t>
      </w:r>
      <w:r>
        <w:rPr>
          <w:rFonts w:eastAsia="楷体"/>
          <w:b/>
          <w:bCs/>
          <w:color w:val="auto"/>
          <w:sz w:val="28"/>
          <w:szCs w:val="28"/>
          <w:highlight w:val="none"/>
        </w:rPr>
        <w:t>m，则自由泄流，使四清水库在汛期开始即4月1日前的水库水位控制在</w:t>
      </w:r>
      <w:r>
        <w:rPr>
          <w:rFonts w:hint="eastAsia" w:eastAsia="楷体"/>
          <w:b/>
          <w:bCs/>
          <w:color w:val="auto"/>
          <w:sz w:val="28"/>
          <w:szCs w:val="28"/>
          <w:highlight w:val="none"/>
          <w:lang w:val="en-US" w:eastAsia="zh-CN"/>
        </w:rPr>
        <w:t>27.04</w:t>
      </w:r>
      <w:r>
        <w:rPr>
          <w:rFonts w:eastAsia="楷体"/>
          <w:b/>
          <w:bCs/>
          <w:color w:val="auto"/>
          <w:sz w:val="28"/>
          <w:szCs w:val="28"/>
          <w:highlight w:val="none"/>
        </w:rPr>
        <w:t>m以下；汛期期间，水库可根据需要进行蓄水，但不得超过</w:t>
      </w:r>
      <w:r>
        <w:rPr>
          <w:rFonts w:hint="eastAsia" w:eastAsia="楷体"/>
          <w:b/>
          <w:bCs/>
          <w:color w:val="auto"/>
          <w:sz w:val="28"/>
          <w:szCs w:val="28"/>
          <w:highlight w:val="none"/>
          <w:lang w:val="en-US" w:eastAsia="zh-CN"/>
        </w:rPr>
        <w:t>27.04</w:t>
      </w:r>
      <w:r>
        <w:rPr>
          <w:rFonts w:eastAsia="楷体"/>
          <w:b/>
          <w:bCs/>
          <w:color w:val="auto"/>
          <w:sz w:val="28"/>
          <w:szCs w:val="28"/>
          <w:highlight w:val="none"/>
        </w:rPr>
        <w:t>m。</w:t>
      </w:r>
    </w:p>
    <w:p w14:paraId="087746F3">
      <w:pPr>
        <w:numPr>
          <w:ilvl w:val="0"/>
          <w:numId w:val="3"/>
        </w:numPr>
        <w:spacing w:line="520" w:lineRule="exact"/>
        <w:ind w:firstLine="562" w:firstLineChars="200"/>
        <w:rPr>
          <w:rFonts w:eastAsia="楷体"/>
          <w:b/>
          <w:bCs/>
          <w:color w:val="auto"/>
          <w:sz w:val="28"/>
          <w:szCs w:val="28"/>
          <w:highlight w:val="none"/>
        </w:rPr>
      </w:pPr>
      <w:r>
        <w:rPr>
          <w:rFonts w:eastAsia="楷体"/>
          <w:b/>
          <w:bCs/>
          <w:color w:val="auto"/>
          <w:sz w:val="28"/>
          <w:szCs w:val="28"/>
          <w:highlight w:val="none"/>
        </w:rPr>
        <w:t>在汛期期间遇到短历时强降雨时</w:t>
      </w:r>
    </w:p>
    <w:p w14:paraId="34A93653">
      <w:pPr>
        <w:numPr>
          <w:ilvl w:val="0"/>
          <w:numId w:val="4"/>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当四清水库遇到短历时小于50mm的强降雨时，入库最大洪水总量为</w:t>
      </w:r>
      <w:r>
        <w:rPr>
          <w:rFonts w:hint="eastAsia" w:eastAsia="楷体"/>
          <w:color w:val="auto"/>
          <w:sz w:val="28"/>
          <w:szCs w:val="28"/>
          <w:highlight w:val="none"/>
          <w:lang w:val="en-US" w:eastAsia="zh-CN"/>
        </w:rPr>
        <w:t>2.24</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27.16</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27.16</w:t>
      </w:r>
      <w:r>
        <w:rPr>
          <w:rFonts w:eastAsia="楷体"/>
          <w:color w:val="auto"/>
          <w:sz w:val="28"/>
          <w:szCs w:val="28"/>
          <w:highlight w:val="none"/>
        </w:rPr>
        <w:t>m以上，可在收到泉州市气象部门预警后，先预泄腾空库容迎峰，使水库水位降至</w:t>
      </w:r>
      <w:r>
        <w:rPr>
          <w:rFonts w:hint="eastAsia" w:eastAsia="楷体"/>
          <w:color w:val="auto"/>
          <w:sz w:val="28"/>
          <w:szCs w:val="28"/>
          <w:highlight w:val="none"/>
          <w:lang w:val="en-US" w:eastAsia="zh-CN"/>
        </w:rPr>
        <w:t>27.16</w:t>
      </w:r>
      <w:r>
        <w:rPr>
          <w:rFonts w:eastAsia="楷体"/>
          <w:color w:val="auto"/>
          <w:sz w:val="28"/>
          <w:szCs w:val="28"/>
          <w:highlight w:val="none"/>
        </w:rPr>
        <w:t>m以下；</w:t>
      </w:r>
    </w:p>
    <w:p w14:paraId="7E03783F">
      <w:pPr>
        <w:numPr>
          <w:ilvl w:val="0"/>
          <w:numId w:val="4"/>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当遇到有短历时小于75mm的强降雨时，入库最大洪水总量为</w:t>
      </w:r>
      <w:r>
        <w:rPr>
          <w:rFonts w:hint="eastAsia" w:eastAsia="楷体"/>
          <w:color w:val="auto"/>
          <w:sz w:val="28"/>
          <w:szCs w:val="28"/>
          <w:highlight w:val="none"/>
          <w:lang w:val="en-US" w:eastAsia="zh-CN"/>
        </w:rPr>
        <w:t>3.37</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26.9</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26.9</w:t>
      </w:r>
      <w:r>
        <w:rPr>
          <w:rFonts w:eastAsia="楷体"/>
          <w:color w:val="auto"/>
          <w:sz w:val="28"/>
          <w:szCs w:val="28"/>
          <w:highlight w:val="none"/>
        </w:rPr>
        <w:t>m以上，可在收到泉州市气象部门预警后，先预泄腾空库容迎峰，使水库水位降至</w:t>
      </w:r>
      <w:r>
        <w:rPr>
          <w:rFonts w:hint="eastAsia" w:eastAsia="楷体"/>
          <w:color w:val="auto"/>
          <w:sz w:val="28"/>
          <w:szCs w:val="28"/>
          <w:highlight w:val="none"/>
          <w:lang w:val="en-US" w:eastAsia="zh-CN"/>
        </w:rPr>
        <w:t>26.94</w:t>
      </w:r>
      <w:r>
        <w:rPr>
          <w:rFonts w:eastAsia="楷体"/>
          <w:color w:val="auto"/>
          <w:sz w:val="28"/>
          <w:szCs w:val="28"/>
          <w:highlight w:val="none"/>
        </w:rPr>
        <w:t>m以下；</w:t>
      </w:r>
    </w:p>
    <w:p w14:paraId="6DE86534">
      <w:pPr>
        <w:numPr>
          <w:ilvl w:val="0"/>
          <w:numId w:val="4"/>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当遇到有短历时小于100mm的强降雨时，入库最大洪水总量为</w:t>
      </w:r>
      <w:r>
        <w:rPr>
          <w:rFonts w:hint="eastAsia" w:eastAsia="楷体"/>
          <w:color w:val="auto"/>
          <w:sz w:val="28"/>
          <w:szCs w:val="28"/>
          <w:highlight w:val="none"/>
          <w:lang w:val="en-US" w:eastAsia="zh-CN"/>
        </w:rPr>
        <w:t>4.5</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26.63</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26.63</w:t>
      </w:r>
      <w:r>
        <w:rPr>
          <w:rFonts w:eastAsia="楷体"/>
          <w:color w:val="auto"/>
          <w:sz w:val="28"/>
          <w:szCs w:val="28"/>
          <w:highlight w:val="none"/>
        </w:rPr>
        <w:t>m以上，可在收到泉州市气象部门预警后，先预泄腾空库容迎峰，使水库水位降至</w:t>
      </w:r>
      <w:r>
        <w:rPr>
          <w:rFonts w:hint="eastAsia" w:eastAsia="楷体"/>
          <w:color w:val="auto"/>
          <w:sz w:val="28"/>
          <w:szCs w:val="28"/>
          <w:highlight w:val="none"/>
          <w:lang w:val="en-US" w:eastAsia="zh-CN"/>
        </w:rPr>
        <w:t>26.63</w:t>
      </w:r>
      <w:r>
        <w:rPr>
          <w:rFonts w:eastAsia="楷体"/>
          <w:color w:val="auto"/>
          <w:sz w:val="28"/>
          <w:szCs w:val="28"/>
          <w:highlight w:val="none"/>
        </w:rPr>
        <w:t>m以下；</w:t>
      </w:r>
    </w:p>
    <w:p w14:paraId="534AE0B7">
      <w:pPr>
        <w:numPr>
          <w:ilvl w:val="0"/>
          <w:numId w:val="5"/>
        </w:numPr>
        <w:spacing w:line="520" w:lineRule="exact"/>
        <w:ind w:firstLine="562" w:firstLineChars="200"/>
        <w:rPr>
          <w:rFonts w:eastAsia="楷体"/>
          <w:b/>
          <w:bCs/>
          <w:color w:val="auto"/>
          <w:sz w:val="28"/>
          <w:szCs w:val="28"/>
          <w:highlight w:val="none"/>
        </w:rPr>
      </w:pPr>
      <w:r>
        <w:rPr>
          <w:rFonts w:eastAsia="楷体"/>
          <w:b/>
          <w:bCs/>
          <w:color w:val="auto"/>
          <w:sz w:val="28"/>
          <w:szCs w:val="28"/>
          <w:highlight w:val="none"/>
        </w:rPr>
        <w:t>在汛期期间遇到台风暴雨或长历时强降雨时，根据以往台风经验，直接登陆或对我市造成严重影响的台风造成的降雨过程前后持续时间一般不超过2天，多为24~50小时，连续2次暴雨有时也有发生，但一般均有1～2天的时间间隔，连续2次均为2天的较大暴雨发生的机会极少，台风多发生在6～9月。降雨造成的较大洪水影响一般为5天，约占总降雨量的60%，5天入库洪水总量比例一般为20%、40%、20%、10%、5%，根据7天台风路径预测，从台风（低热带低气压）形成开始关注台风。</w:t>
      </w:r>
    </w:p>
    <w:p w14:paraId="7EC490C1">
      <w:pPr>
        <w:numPr>
          <w:ilvl w:val="0"/>
          <w:numId w:val="6"/>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当遇到台风对我市降雨影响预计达到100mm的强降雨时，单日入库最大洪水总量为</w:t>
      </w:r>
      <w:r>
        <w:rPr>
          <w:rFonts w:hint="eastAsia" w:eastAsia="楷体"/>
          <w:color w:val="auto"/>
          <w:sz w:val="28"/>
          <w:szCs w:val="28"/>
          <w:highlight w:val="none"/>
          <w:lang w:val="en-US" w:eastAsia="zh-CN"/>
        </w:rPr>
        <w:t>4.25</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26.7</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26.7</w:t>
      </w:r>
      <w:r>
        <w:rPr>
          <w:rFonts w:eastAsia="楷体"/>
          <w:color w:val="auto"/>
          <w:sz w:val="28"/>
          <w:szCs w:val="28"/>
          <w:highlight w:val="none"/>
        </w:rPr>
        <w:t>m以上，可在收到泉州市气象部门预警后，先预泄腾空库容迎峰，使水库水位降至</w:t>
      </w:r>
      <w:r>
        <w:rPr>
          <w:rFonts w:hint="eastAsia" w:eastAsia="楷体"/>
          <w:color w:val="auto"/>
          <w:sz w:val="28"/>
          <w:szCs w:val="28"/>
          <w:highlight w:val="none"/>
          <w:lang w:val="en-US" w:eastAsia="zh-CN"/>
        </w:rPr>
        <w:t>26.7</w:t>
      </w:r>
      <w:r>
        <w:rPr>
          <w:rFonts w:eastAsia="楷体"/>
          <w:color w:val="auto"/>
          <w:sz w:val="28"/>
          <w:szCs w:val="28"/>
          <w:highlight w:val="none"/>
        </w:rPr>
        <w:t>m以下。</w:t>
      </w:r>
    </w:p>
    <w:p w14:paraId="0F705646">
      <w:pPr>
        <w:numPr>
          <w:ilvl w:val="0"/>
          <w:numId w:val="6"/>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当遇到台风对我市降雨影响预计达到150mm的强降雨时，单日入库最大洪水总量为</w:t>
      </w:r>
      <w:r>
        <w:rPr>
          <w:rFonts w:hint="eastAsia" w:eastAsia="楷体"/>
          <w:color w:val="auto"/>
          <w:sz w:val="28"/>
          <w:szCs w:val="28"/>
          <w:highlight w:val="none"/>
          <w:lang w:val="en-US" w:eastAsia="zh-CN"/>
        </w:rPr>
        <w:t>6.36</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26.2</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26.2</w:t>
      </w:r>
      <w:r>
        <w:rPr>
          <w:rFonts w:eastAsia="楷体"/>
          <w:color w:val="auto"/>
          <w:sz w:val="28"/>
          <w:szCs w:val="28"/>
          <w:highlight w:val="none"/>
        </w:rPr>
        <w:t>m以上，可在收到泉州市气象部门预警后，先预泄腾空库容迎峰，使水库水位降至</w:t>
      </w:r>
      <w:r>
        <w:rPr>
          <w:rFonts w:hint="eastAsia" w:eastAsia="楷体"/>
          <w:color w:val="auto"/>
          <w:sz w:val="28"/>
          <w:szCs w:val="28"/>
          <w:highlight w:val="none"/>
          <w:lang w:val="en-US" w:eastAsia="zh-CN"/>
        </w:rPr>
        <w:t>26.2</w:t>
      </w:r>
      <w:r>
        <w:rPr>
          <w:rFonts w:eastAsia="楷体"/>
          <w:color w:val="auto"/>
          <w:sz w:val="28"/>
          <w:szCs w:val="28"/>
          <w:highlight w:val="none"/>
        </w:rPr>
        <w:t>m以下。</w:t>
      </w:r>
    </w:p>
    <w:p w14:paraId="7DFEBEDD">
      <w:pPr>
        <w:spacing w:line="520" w:lineRule="exact"/>
        <w:ind w:firstLine="560" w:firstLineChars="200"/>
        <w:rPr>
          <w:rFonts w:eastAsia="楷体"/>
          <w:color w:val="auto"/>
          <w:sz w:val="28"/>
          <w:szCs w:val="28"/>
          <w:highlight w:val="none"/>
        </w:rPr>
      </w:pPr>
      <w:r>
        <w:rPr>
          <w:rFonts w:eastAsia="楷体"/>
          <w:color w:val="auto"/>
          <w:sz w:val="28"/>
          <w:szCs w:val="28"/>
          <w:highlight w:val="none"/>
        </w:rPr>
        <w:t>3）当遇到台风对我市降雨影响预计达到200mm的强降雨时，单日入库最大洪水总量为</w:t>
      </w:r>
      <w:r>
        <w:rPr>
          <w:rFonts w:hint="eastAsia" w:eastAsia="楷体"/>
          <w:color w:val="auto"/>
          <w:sz w:val="28"/>
          <w:szCs w:val="28"/>
          <w:highlight w:val="none"/>
          <w:lang w:val="en-US" w:eastAsia="zh-CN"/>
        </w:rPr>
        <w:t>8.46</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25.73</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25.73</w:t>
      </w:r>
      <w:r>
        <w:rPr>
          <w:rFonts w:eastAsia="楷体"/>
          <w:color w:val="auto"/>
          <w:sz w:val="28"/>
          <w:szCs w:val="28"/>
          <w:highlight w:val="none"/>
        </w:rPr>
        <w:t>m以上，可在收到泉州市气象部门预警后，先预泄腾空库容迎峰，使水库水位降至</w:t>
      </w:r>
      <w:r>
        <w:rPr>
          <w:rFonts w:hint="eastAsia" w:eastAsia="楷体"/>
          <w:color w:val="auto"/>
          <w:sz w:val="28"/>
          <w:szCs w:val="28"/>
          <w:highlight w:val="none"/>
          <w:lang w:val="en-US" w:eastAsia="zh-CN"/>
        </w:rPr>
        <w:t>25.73</w:t>
      </w:r>
      <w:r>
        <w:rPr>
          <w:rFonts w:eastAsia="楷体"/>
          <w:color w:val="auto"/>
          <w:sz w:val="28"/>
          <w:szCs w:val="28"/>
          <w:highlight w:val="none"/>
        </w:rPr>
        <w:t>m以下。</w:t>
      </w:r>
    </w:p>
    <w:p w14:paraId="5E474B16">
      <w:pPr>
        <w:spacing w:line="520" w:lineRule="exact"/>
        <w:ind w:firstLine="560" w:firstLineChars="200"/>
        <w:rPr>
          <w:rFonts w:eastAsia="楷体"/>
          <w:color w:val="auto"/>
          <w:sz w:val="28"/>
          <w:szCs w:val="28"/>
          <w:highlight w:val="none"/>
        </w:rPr>
      </w:pPr>
      <w:r>
        <w:rPr>
          <w:rFonts w:eastAsia="楷体"/>
          <w:color w:val="auto"/>
          <w:sz w:val="28"/>
          <w:szCs w:val="28"/>
          <w:highlight w:val="none"/>
        </w:rPr>
        <w:t>4）当遇到台风对我市降雨影响预计达到250mm的强降雨时，单日入库最大洪水总量为</w:t>
      </w:r>
      <w:r>
        <w:rPr>
          <w:rFonts w:hint="eastAsia" w:eastAsia="楷体"/>
          <w:color w:val="auto"/>
          <w:sz w:val="28"/>
          <w:szCs w:val="28"/>
          <w:highlight w:val="none"/>
          <w:lang w:val="en-US" w:eastAsia="zh-CN"/>
        </w:rPr>
        <w:t>10.56</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，如水库水位在水位</w:t>
      </w:r>
      <w:r>
        <w:rPr>
          <w:rFonts w:hint="eastAsia" w:eastAsia="楷体"/>
          <w:color w:val="auto"/>
          <w:sz w:val="28"/>
          <w:szCs w:val="28"/>
          <w:highlight w:val="none"/>
          <w:lang w:val="en-US" w:eastAsia="zh-CN"/>
        </w:rPr>
        <w:t>25.25</w:t>
      </w:r>
      <w:r>
        <w:rPr>
          <w:rFonts w:eastAsia="楷体"/>
          <w:color w:val="auto"/>
          <w:sz w:val="28"/>
          <w:szCs w:val="28"/>
          <w:highlight w:val="none"/>
        </w:rPr>
        <w:t>m以下，可不考虑水库泄洪；如水库水位在水位</w:t>
      </w:r>
      <w:r>
        <w:rPr>
          <w:rFonts w:hint="eastAsia" w:eastAsia="楷体"/>
          <w:color w:val="auto"/>
          <w:sz w:val="28"/>
          <w:szCs w:val="28"/>
          <w:highlight w:val="none"/>
          <w:lang w:val="en-US" w:eastAsia="zh-CN"/>
        </w:rPr>
        <w:t>25.25</w:t>
      </w:r>
      <w:r>
        <w:rPr>
          <w:rFonts w:eastAsia="楷体"/>
          <w:color w:val="auto"/>
          <w:sz w:val="28"/>
          <w:szCs w:val="28"/>
          <w:highlight w:val="none"/>
        </w:rPr>
        <w:t>m以上，可在收到泉州市气象部门预警后，先预泄腾空库容迎峰，使水库水位降至水位</w:t>
      </w:r>
      <w:r>
        <w:rPr>
          <w:rFonts w:hint="eastAsia" w:eastAsia="楷体"/>
          <w:color w:val="auto"/>
          <w:sz w:val="28"/>
          <w:szCs w:val="28"/>
          <w:highlight w:val="none"/>
          <w:lang w:val="en-US" w:eastAsia="zh-CN"/>
        </w:rPr>
        <w:t>25.25</w:t>
      </w:r>
      <w:r>
        <w:rPr>
          <w:rFonts w:eastAsia="楷体"/>
          <w:color w:val="auto"/>
          <w:sz w:val="28"/>
          <w:szCs w:val="28"/>
          <w:highlight w:val="none"/>
        </w:rPr>
        <w:t>m以下。</w:t>
      </w:r>
    </w:p>
    <w:p w14:paraId="28D07880">
      <w:pPr>
        <w:spacing w:line="520" w:lineRule="exact"/>
        <w:ind w:firstLine="560" w:firstLineChars="200"/>
        <w:rPr>
          <w:rFonts w:eastAsia="楷体"/>
          <w:color w:val="auto"/>
          <w:sz w:val="28"/>
          <w:szCs w:val="28"/>
          <w:highlight w:val="none"/>
        </w:rPr>
      </w:pPr>
      <w:r>
        <w:rPr>
          <w:rFonts w:eastAsia="楷体"/>
          <w:color w:val="auto"/>
          <w:sz w:val="28"/>
          <w:szCs w:val="28"/>
          <w:highlight w:val="none"/>
        </w:rPr>
        <w:t>5）当遇到台风对我市降雨影响预计达到300mm的强降雨时，单日入库最大洪水总量为</w:t>
      </w:r>
      <w:r>
        <w:rPr>
          <w:rFonts w:hint="eastAsia" w:eastAsia="楷体"/>
          <w:color w:val="auto"/>
          <w:sz w:val="28"/>
          <w:szCs w:val="28"/>
          <w:highlight w:val="none"/>
          <w:lang w:val="en-US" w:eastAsia="zh-CN"/>
        </w:rPr>
        <w:t>12.7</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，如水库水位在水位</w:t>
      </w:r>
      <w:r>
        <w:rPr>
          <w:rFonts w:hint="eastAsia" w:eastAsia="楷体"/>
          <w:color w:val="auto"/>
          <w:sz w:val="28"/>
          <w:szCs w:val="28"/>
          <w:highlight w:val="none"/>
          <w:lang w:val="en-US" w:eastAsia="zh-CN"/>
        </w:rPr>
        <w:t>24.66</w:t>
      </w:r>
      <w:r>
        <w:rPr>
          <w:rFonts w:eastAsia="楷体"/>
          <w:color w:val="auto"/>
          <w:sz w:val="28"/>
          <w:szCs w:val="28"/>
          <w:highlight w:val="none"/>
        </w:rPr>
        <w:t>m以下，可不考虑水库泄洪；如水库水位在水位</w:t>
      </w:r>
      <w:r>
        <w:rPr>
          <w:rFonts w:hint="eastAsia" w:eastAsia="楷体"/>
          <w:color w:val="auto"/>
          <w:sz w:val="28"/>
          <w:szCs w:val="28"/>
          <w:highlight w:val="none"/>
          <w:lang w:val="en-US" w:eastAsia="zh-CN"/>
        </w:rPr>
        <w:t>24.66</w:t>
      </w:r>
      <w:r>
        <w:rPr>
          <w:rFonts w:eastAsia="楷体"/>
          <w:color w:val="auto"/>
          <w:sz w:val="28"/>
          <w:szCs w:val="28"/>
          <w:highlight w:val="none"/>
        </w:rPr>
        <w:t>m以上，可在收到泉州市气象部门预警后，先预泄腾空库容迎峰，使水库水位降至水位</w:t>
      </w:r>
      <w:r>
        <w:rPr>
          <w:rFonts w:hint="eastAsia" w:eastAsia="楷体"/>
          <w:color w:val="auto"/>
          <w:sz w:val="28"/>
          <w:szCs w:val="28"/>
          <w:highlight w:val="none"/>
          <w:lang w:val="en-US" w:eastAsia="zh-CN"/>
        </w:rPr>
        <w:t>24.66</w:t>
      </w:r>
      <w:r>
        <w:rPr>
          <w:rFonts w:eastAsia="楷体"/>
          <w:color w:val="auto"/>
          <w:sz w:val="28"/>
          <w:szCs w:val="28"/>
          <w:highlight w:val="none"/>
        </w:rPr>
        <w:t>m以下。</w:t>
      </w:r>
    </w:p>
    <w:p w14:paraId="1013D862">
      <w:pPr>
        <w:spacing w:line="520" w:lineRule="exact"/>
        <w:ind w:left="420" w:leftChars="200"/>
        <w:rPr>
          <w:rFonts w:eastAsia="楷体"/>
          <w:b/>
          <w:bCs/>
          <w:color w:val="auto"/>
          <w:sz w:val="28"/>
          <w:szCs w:val="28"/>
          <w:highlight w:val="none"/>
        </w:rPr>
      </w:pPr>
      <w:r>
        <w:rPr>
          <w:rFonts w:eastAsia="楷体"/>
          <w:b/>
          <w:bCs/>
          <w:color w:val="auto"/>
          <w:sz w:val="28"/>
          <w:szCs w:val="28"/>
          <w:highlight w:val="none"/>
        </w:rPr>
        <w:t>4、预警预报制度</w:t>
      </w:r>
    </w:p>
    <w:p w14:paraId="506A3E26">
      <w:pPr>
        <w:spacing w:line="520" w:lineRule="exact"/>
        <w:ind w:firstLine="560" w:firstLineChars="200"/>
        <w:rPr>
          <w:rFonts w:eastAsia="楷体"/>
          <w:color w:val="auto"/>
          <w:sz w:val="28"/>
          <w:szCs w:val="28"/>
          <w:highlight w:val="none"/>
        </w:rPr>
      </w:pPr>
      <w:r>
        <w:rPr>
          <w:rFonts w:hint="default" w:ascii="Times New Roman" w:hAnsi="Times New Roman" w:eastAsia="楷体" w:cs="Times New Roman"/>
          <w:color w:val="auto"/>
          <w:sz w:val="28"/>
          <w:szCs w:val="28"/>
          <w:highlight w:val="none"/>
          <w:lang w:val="en-US" w:eastAsia="zh-CN"/>
        </w:rPr>
        <w:t>由于下游沿岸有</w:t>
      </w:r>
      <w:r>
        <w:rPr>
          <w:rFonts w:hint="eastAsia" w:eastAsia="楷体" w:cs="Times New Roman"/>
          <w:color w:val="auto"/>
          <w:sz w:val="28"/>
          <w:szCs w:val="28"/>
          <w:highlight w:val="none"/>
          <w:lang w:val="en-US" w:eastAsia="zh-CN"/>
        </w:rPr>
        <w:t>一定的</w:t>
      </w:r>
      <w:r>
        <w:rPr>
          <w:rFonts w:hint="default" w:ascii="Times New Roman" w:hAnsi="Times New Roman" w:eastAsia="楷体" w:cs="Times New Roman"/>
          <w:color w:val="auto"/>
          <w:sz w:val="28"/>
          <w:szCs w:val="28"/>
          <w:highlight w:val="none"/>
          <w:lang w:val="en-US" w:eastAsia="zh-CN"/>
        </w:rPr>
        <w:t>居民，沿河人类活动较为频繁，为避免发生意外事件，若泄流量大于10m</w:t>
      </w:r>
      <w:r>
        <w:rPr>
          <w:rFonts w:hint="default" w:ascii="Times New Roman" w:hAnsi="Times New Roman" w:eastAsia="楷体" w:cs="Times New Roman"/>
          <w:color w:val="auto"/>
          <w:sz w:val="28"/>
          <w:szCs w:val="28"/>
          <w:highlight w:val="none"/>
          <w:vertAlign w:val="superscript"/>
          <w:lang w:val="en-US" w:eastAsia="zh-CN"/>
        </w:rPr>
        <w:t>3</w:t>
      </w:r>
      <w:r>
        <w:rPr>
          <w:rFonts w:hint="default" w:ascii="Times New Roman" w:hAnsi="Times New Roman" w:eastAsia="楷体" w:cs="Times New Roman"/>
          <w:color w:val="auto"/>
          <w:sz w:val="28"/>
          <w:szCs w:val="28"/>
          <w:highlight w:val="none"/>
          <w:lang w:val="en-US" w:eastAsia="zh-CN"/>
        </w:rPr>
        <w:t>/s，</w:t>
      </w:r>
      <w:r>
        <w:rPr>
          <w:rFonts w:hint="eastAsia" w:eastAsia="楷体" w:cs="Times New Roman"/>
          <w:color w:val="auto"/>
          <w:sz w:val="28"/>
          <w:szCs w:val="28"/>
          <w:highlight w:val="none"/>
          <w:lang w:val="en-US" w:eastAsia="zh-CN"/>
        </w:rPr>
        <w:t>即水库水位大于28.34m时，</w:t>
      </w:r>
      <w:r>
        <w:rPr>
          <w:rFonts w:hint="default" w:ascii="Times New Roman" w:hAnsi="Times New Roman" w:eastAsia="楷体" w:cs="Times New Roman"/>
          <w:color w:val="auto"/>
          <w:sz w:val="28"/>
          <w:szCs w:val="28"/>
          <w:highlight w:val="none"/>
          <w:lang w:val="en-US" w:eastAsia="zh-CN"/>
        </w:rPr>
        <w:t>要</w:t>
      </w:r>
      <w:r>
        <w:rPr>
          <w:rFonts w:hint="eastAsia" w:ascii="Times New Roman" w:hAnsi="Times New Roman" w:eastAsia="楷体" w:cs="Times New Roman"/>
          <w:color w:val="auto"/>
          <w:sz w:val="28"/>
          <w:szCs w:val="28"/>
          <w:highlight w:val="none"/>
          <w:lang w:val="en-US" w:eastAsia="zh-CN"/>
        </w:rPr>
        <w:t>立即</w:t>
      </w:r>
      <w:r>
        <w:rPr>
          <w:rFonts w:hint="eastAsia" w:eastAsia="楷体" w:cs="Times New Roman"/>
          <w:color w:val="auto"/>
          <w:sz w:val="28"/>
          <w:szCs w:val="28"/>
          <w:highlight w:val="none"/>
          <w:lang w:val="en-US" w:eastAsia="zh-CN"/>
        </w:rPr>
        <w:t>将水位情况</w:t>
      </w:r>
      <w:r>
        <w:rPr>
          <w:rFonts w:hint="default" w:ascii="Times New Roman" w:hAnsi="Times New Roman" w:eastAsia="楷体" w:cs="Times New Roman"/>
          <w:color w:val="auto"/>
          <w:sz w:val="28"/>
          <w:szCs w:val="28"/>
          <w:highlight w:val="none"/>
          <w:lang w:val="en-US" w:eastAsia="zh-CN"/>
        </w:rPr>
        <w:t>上报</w:t>
      </w:r>
      <w:r>
        <w:rPr>
          <w:rFonts w:hint="eastAsia" w:eastAsia="楷体" w:cs="Times New Roman"/>
          <w:color w:val="auto"/>
          <w:sz w:val="28"/>
          <w:szCs w:val="28"/>
          <w:highlight w:val="none"/>
          <w:lang w:val="en-US" w:eastAsia="zh-CN"/>
        </w:rPr>
        <w:t>泉港区农业和农村水务局</w:t>
      </w:r>
      <w:r>
        <w:rPr>
          <w:rFonts w:hint="default" w:ascii="Times New Roman" w:hAnsi="Times New Roman" w:eastAsia="楷体" w:cs="Times New Roman"/>
          <w:color w:val="auto"/>
          <w:sz w:val="28"/>
          <w:szCs w:val="28"/>
          <w:highlight w:val="none"/>
          <w:lang w:val="en-US" w:eastAsia="zh-CN"/>
        </w:rPr>
        <w:t>，</w:t>
      </w:r>
      <w:r>
        <w:rPr>
          <w:rFonts w:hint="eastAsia" w:eastAsia="楷体" w:cs="Times New Roman"/>
          <w:color w:val="auto"/>
          <w:sz w:val="28"/>
          <w:szCs w:val="28"/>
          <w:highlight w:val="none"/>
          <w:lang w:val="en-US" w:eastAsia="zh-CN"/>
        </w:rPr>
        <w:t>并</w:t>
      </w:r>
      <w:r>
        <w:rPr>
          <w:rFonts w:hint="default" w:ascii="Times New Roman" w:hAnsi="Times New Roman" w:eastAsia="楷体" w:cs="Times New Roman"/>
          <w:color w:val="auto"/>
          <w:sz w:val="28"/>
          <w:szCs w:val="28"/>
          <w:highlight w:val="none"/>
          <w:lang w:val="en-US" w:eastAsia="zh-CN"/>
        </w:rPr>
        <w:t>通知</w:t>
      </w:r>
      <w:r>
        <w:rPr>
          <w:rFonts w:hint="eastAsia" w:eastAsia="楷体" w:cs="Times New Roman"/>
          <w:color w:val="auto"/>
          <w:sz w:val="28"/>
          <w:szCs w:val="28"/>
          <w:highlight w:val="none"/>
          <w:lang w:val="en-US" w:eastAsia="zh-CN"/>
        </w:rPr>
        <w:t>下游各村庄</w:t>
      </w:r>
      <w:r>
        <w:rPr>
          <w:rFonts w:hint="default" w:ascii="Times New Roman" w:hAnsi="Times New Roman" w:eastAsia="楷体" w:cs="Times New Roman"/>
          <w:color w:val="auto"/>
          <w:sz w:val="28"/>
          <w:szCs w:val="28"/>
          <w:highlight w:val="none"/>
          <w:lang w:val="en-US" w:eastAsia="zh-CN"/>
        </w:rPr>
        <w:t>，做好防范工作</w:t>
      </w:r>
      <w:r>
        <w:rPr>
          <w:rFonts w:hint="eastAsia" w:eastAsia="楷体"/>
          <w:color w:val="auto"/>
          <w:sz w:val="28"/>
          <w:szCs w:val="28"/>
          <w:highlight w:val="none"/>
          <w:lang w:val="en-US" w:eastAsia="zh-CN"/>
        </w:rPr>
        <w:t>。</w:t>
      </w:r>
    </w:p>
    <w:p w14:paraId="4034929B">
      <w:pPr>
        <w:spacing w:line="520" w:lineRule="exact"/>
        <w:ind w:firstLine="562" w:firstLineChars="200"/>
        <w:rPr>
          <w:rFonts w:eastAsia="楷体"/>
          <w:b/>
          <w:bCs/>
          <w:color w:val="auto"/>
          <w:sz w:val="28"/>
          <w:szCs w:val="28"/>
          <w:highlight w:val="none"/>
        </w:rPr>
      </w:pPr>
      <w:r>
        <w:rPr>
          <w:rFonts w:eastAsia="楷体"/>
          <w:b/>
          <w:bCs/>
          <w:color w:val="auto"/>
          <w:sz w:val="28"/>
          <w:szCs w:val="28"/>
          <w:highlight w:val="none"/>
        </w:rPr>
        <w:t>5、四清水库泄洪对下游河道的防洪调度影响</w:t>
      </w:r>
    </w:p>
    <w:p w14:paraId="36D10DA7">
      <w:pPr>
        <w:spacing w:line="520" w:lineRule="exact"/>
        <w:ind w:firstLine="560" w:firstLineChars="200"/>
        <w:rPr>
          <w:rFonts w:eastAsia="楷体"/>
          <w:color w:val="auto"/>
          <w:sz w:val="28"/>
          <w:szCs w:val="28"/>
          <w:highlight w:val="none"/>
        </w:rPr>
      </w:pPr>
      <w:r>
        <w:rPr>
          <w:rFonts w:eastAsia="楷体"/>
          <w:color w:val="auto"/>
          <w:sz w:val="28"/>
          <w:highlight w:val="none"/>
        </w:rPr>
        <w:t>四清水库在一定程度上提高了下游罗溪河道的防洪能力，起到了一定的削峰调洪作用，在</w:t>
      </w:r>
      <w:r>
        <w:rPr>
          <w:rFonts w:hint="eastAsia" w:eastAsia="楷体"/>
          <w:color w:val="auto"/>
          <w:sz w:val="28"/>
          <w:highlight w:val="none"/>
          <w:lang w:val="en-US" w:eastAsia="zh-CN"/>
        </w:rPr>
        <w:t>2</w:t>
      </w:r>
      <w:r>
        <w:rPr>
          <w:rFonts w:eastAsia="楷体"/>
          <w:color w:val="auto"/>
          <w:sz w:val="28"/>
          <w:highlight w:val="none"/>
        </w:rPr>
        <w:t>0年一遇情况下，四清水库的削峰值达</w:t>
      </w:r>
      <w:r>
        <w:rPr>
          <w:rFonts w:hint="eastAsia" w:eastAsia="楷体"/>
          <w:color w:val="auto"/>
          <w:sz w:val="28"/>
          <w:highlight w:val="none"/>
          <w:lang w:val="en-US" w:eastAsia="zh-CN"/>
        </w:rPr>
        <w:t>6.51</w:t>
      </w:r>
      <w:r>
        <w:rPr>
          <w:rFonts w:eastAsia="楷体"/>
          <w:color w:val="auto"/>
          <w:sz w:val="28"/>
          <w:highlight w:val="none"/>
        </w:rPr>
        <w:t>m</w:t>
      </w:r>
      <w:r>
        <w:rPr>
          <w:rFonts w:eastAsia="楷体"/>
          <w:color w:val="auto"/>
          <w:sz w:val="28"/>
          <w:highlight w:val="none"/>
          <w:vertAlign w:val="superscript"/>
        </w:rPr>
        <w:t>3</w:t>
      </w:r>
      <w:r>
        <w:rPr>
          <w:rFonts w:eastAsia="楷体"/>
          <w:color w:val="auto"/>
          <w:sz w:val="28"/>
          <w:highlight w:val="none"/>
        </w:rPr>
        <w:t>/s。</w:t>
      </w:r>
    </w:p>
    <w:p w14:paraId="1596B210">
      <w:pPr>
        <w:spacing w:line="520" w:lineRule="exact"/>
        <w:ind w:firstLine="562" w:firstLineChars="200"/>
        <w:rPr>
          <w:rFonts w:eastAsia="楷体"/>
          <w:b/>
          <w:bCs/>
          <w:color w:val="auto"/>
          <w:sz w:val="28"/>
          <w:szCs w:val="28"/>
          <w:highlight w:val="none"/>
        </w:rPr>
      </w:pPr>
      <w:r>
        <w:rPr>
          <w:rFonts w:eastAsia="楷体"/>
          <w:b/>
          <w:bCs/>
          <w:color w:val="auto"/>
          <w:sz w:val="28"/>
          <w:szCs w:val="28"/>
          <w:highlight w:val="none"/>
        </w:rPr>
        <w:t>6、突发事件调度</w:t>
      </w:r>
    </w:p>
    <w:p w14:paraId="6E2BABD1">
      <w:pPr>
        <w:spacing w:line="520" w:lineRule="exact"/>
        <w:ind w:firstLine="560" w:firstLineChars="200"/>
        <w:rPr>
          <w:rFonts w:eastAsia="楷体"/>
          <w:color w:val="auto"/>
          <w:sz w:val="28"/>
          <w:szCs w:val="28"/>
          <w:highlight w:val="none"/>
        </w:rPr>
      </w:pPr>
      <w:r>
        <w:rPr>
          <w:rFonts w:eastAsia="楷体"/>
          <w:color w:val="auto"/>
          <w:sz w:val="28"/>
          <w:szCs w:val="28"/>
          <w:highlight w:val="none"/>
        </w:rPr>
        <w:t>一旦突发性事件发生时，立即启动应急预案，服从</w:t>
      </w:r>
      <w:r>
        <w:rPr>
          <w:rFonts w:hint="eastAsia" w:eastAsia="楷体"/>
          <w:color w:val="auto"/>
          <w:sz w:val="28"/>
          <w:szCs w:val="28"/>
          <w:highlight w:val="none"/>
        </w:rPr>
        <w:t>泉港区</w:t>
      </w:r>
      <w:r>
        <w:rPr>
          <w:rFonts w:eastAsia="楷体"/>
          <w:color w:val="auto"/>
          <w:sz w:val="28"/>
          <w:szCs w:val="28"/>
          <w:highlight w:val="none"/>
        </w:rPr>
        <w:t>人民政府防汛抗旱指挥部调度安排，水库具体应急措施包括：</w:t>
      </w:r>
    </w:p>
    <w:p w14:paraId="043A20AE">
      <w:pPr>
        <w:spacing w:line="520" w:lineRule="exact"/>
        <w:ind w:firstLine="560" w:firstLineChars="200"/>
        <w:rPr>
          <w:rFonts w:eastAsia="楷体"/>
          <w:color w:val="auto"/>
          <w:sz w:val="28"/>
          <w:szCs w:val="28"/>
          <w:highlight w:val="none"/>
        </w:rPr>
      </w:pPr>
      <w:r>
        <w:rPr>
          <w:rFonts w:eastAsia="楷体"/>
          <w:color w:val="auto"/>
          <w:sz w:val="28"/>
          <w:szCs w:val="28"/>
          <w:highlight w:val="none"/>
        </w:rPr>
        <w:t>1、水库有关全体人员24小时昼夜值班，领导带班，并确保与上级主管部门及有关防汛部门领导通讯畅通，加强对水库枢纽建筑物的检查与观测，及时掌握雨情水情，修订洪水预报结果及调洪方案，做好汛情通报，随时向上级主管部门汇报雨情、水情和工情；</w:t>
      </w:r>
    </w:p>
    <w:p w14:paraId="0A3DD94B">
      <w:pPr>
        <w:spacing w:line="520" w:lineRule="exact"/>
        <w:ind w:firstLine="560" w:firstLineChars="200"/>
        <w:rPr>
          <w:rFonts w:eastAsia="楷体"/>
          <w:color w:val="auto"/>
          <w:sz w:val="28"/>
          <w:szCs w:val="28"/>
          <w:highlight w:val="none"/>
        </w:rPr>
      </w:pPr>
      <w:r>
        <w:rPr>
          <w:rFonts w:eastAsia="楷体"/>
          <w:color w:val="auto"/>
          <w:sz w:val="28"/>
          <w:szCs w:val="28"/>
          <w:highlight w:val="none"/>
        </w:rPr>
        <w:t>2、提前2个小时通知下游的有关村落及有关单位等，主要是坑内村及前黄镇政府。</w:t>
      </w:r>
    </w:p>
    <w:p w14:paraId="05D5140A">
      <w:pPr>
        <w:spacing w:line="520" w:lineRule="exact"/>
        <w:ind w:firstLine="560" w:firstLineChars="200"/>
        <w:rPr>
          <w:rFonts w:eastAsia="楷体"/>
          <w:color w:val="auto"/>
          <w:sz w:val="28"/>
          <w:szCs w:val="28"/>
          <w:highlight w:val="none"/>
        </w:rPr>
      </w:pPr>
      <w:r>
        <w:rPr>
          <w:rFonts w:eastAsia="楷体"/>
          <w:color w:val="auto"/>
          <w:sz w:val="28"/>
          <w:szCs w:val="28"/>
          <w:highlight w:val="none"/>
        </w:rPr>
        <w:t>3、动员邻近乡村的抗洪抢险队伍编好梯队，并调动交通运输工具待命。</w:t>
      </w:r>
    </w:p>
    <w:p w14:paraId="2DB2D047">
      <w:pPr>
        <w:spacing w:line="520" w:lineRule="exact"/>
        <w:ind w:firstLine="562" w:firstLineChars="200"/>
        <w:rPr>
          <w:rFonts w:eastAsia="楷体"/>
          <w:bCs/>
          <w:color w:val="auto"/>
          <w:sz w:val="28"/>
          <w:szCs w:val="28"/>
          <w:highlight w:val="none"/>
        </w:rPr>
      </w:pPr>
      <w:r>
        <w:rPr>
          <w:rFonts w:eastAsia="楷体"/>
          <w:b/>
          <w:bCs/>
          <w:color w:val="auto"/>
          <w:sz w:val="28"/>
          <w:szCs w:val="28"/>
          <w:highlight w:val="none"/>
        </w:rPr>
        <w:t>防洪调度注意事项：</w:t>
      </w:r>
      <w:r>
        <w:rPr>
          <w:rFonts w:eastAsia="楷体"/>
          <w:bCs/>
          <w:color w:val="auto"/>
          <w:sz w:val="28"/>
          <w:szCs w:val="28"/>
          <w:highlight w:val="none"/>
        </w:rPr>
        <w:t>四清水库防洪调度注意事项：一是要严格执行上级防汛部门下达的调指</w:t>
      </w:r>
      <w:r>
        <w:rPr>
          <w:rFonts w:eastAsia="楷体"/>
          <w:color w:val="auto"/>
          <w:sz w:val="28"/>
          <w:szCs w:val="28"/>
          <w:highlight w:val="none"/>
        </w:rPr>
        <w:t>令；二是要</w:t>
      </w:r>
      <w:r>
        <w:rPr>
          <w:rFonts w:eastAsia="楷体"/>
          <w:bCs/>
          <w:color w:val="auto"/>
          <w:sz w:val="28"/>
          <w:szCs w:val="28"/>
          <w:highlight w:val="none"/>
        </w:rPr>
        <w:t>密切注意台风、暴雨的动态和降雨气象预报；三是要根据流域降雨汇流特性和水库水位以及上下游防洪排涝要求，对水库调度做科学研判，并制定预排预泄方案。四是要提早通知水库上下游防汛责任人，并做好记录。</w:t>
      </w:r>
    </w:p>
    <w:p w14:paraId="5D02AEC7">
      <w:pPr>
        <w:pStyle w:val="4"/>
        <w:rPr>
          <w:rFonts w:ascii="Times New Roman" w:hAnsi="Times New Roman" w:eastAsia="楷体"/>
          <w:color w:val="auto"/>
          <w:sz w:val="28"/>
          <w:szCs w:val="28"/>
          <w:highlight w:val="none"/>
        </w:rPr>
      </w:pPr>
      <w:bookmarkStart w:id="22" w:name="_Toc3500"/>
      <w:r>
        <w:rPr>
          <w:rFonts w:ascii="Times New Roman" w:hAnsi="Times New Roman" w:eastAsia="楷体"/>
          <w:color w:val="auto"/>
          <w:sz w:val="28"/>
          <w:szCs w:val="28"/>
          <w:highlight w:val="none"/>
        </w:rPr>
        <w:t>4.5汛期水库的管理工作</w:t>
      </w:r>
      <w:bookmarkEnd w:id="22"/>
    </w:p>
    <w:p w14:paraId="63D3B03E">
      <w:pPr>
        <w:spacing w:line="520" w:lineRule="exact"/>
        <w:ind w:firstLine="560" w:firstLineChars="200"/>
        <w:rPr>
          <w:rFonts w:hint="eastAsia" w:eastAsia="楷体"/>
          <w:color w:val="auto"/>
          <w:sz w:val="28"/>
          <w:szCs w:val="28"/>
          <w:highlight w:val="none"/>
        </w:rPr>
      </w:pPr>
      <w:r>
        <w:rPr>
          <w:rFonts w:eastAsia="楷体"/>
          <w:color w:val="auto"/>
          <w:sz w:val="28"/>
          <w:szCs w:val="28"/>
          <w:highlight w:val="none"/>
        </w:rPr>
        <w:t>为保障</w:t>
      </w:r>
      <w:r>
        <w:rPr>
          <w:rFonts w:hint="eastAsia" w:eastAsia="楷体"/>
          <w:color w:val="auto"/>
          <w:sz w:val="28"/>
          <w:szCs w:val="28"/>
          <w:highlight w:val="none"/>
          <w:lang w:eastAsia="zh-CN"/>
        </w:rPr>
        <w:t>四清</w:t>
      </w:r>
      <w:r>
        <w:rPr>
          <w:rFonts w:eastAsia="楷体"/>
          <w:color w:val="auto"/>
          <w:sz w:val="28"/>
          <w:szCs w:val="28"/>
          <w:highlight w:val="none"/>
        </w:rPr>
        <w:t>水库20</w:t>
      </w:r>
      <w:r>
        <w:rPr>
          <w:rFonts w:hint="eastAsia" w:eastAsia="楷体"/>
          <w:color w:val="auto"/>
          <w:sz w:val="28"/>
          <w:szCs w:val="28"/>
          <w:highlight w:val="none"/>
          <w:lang w:val="en-US" w:eastAsia="zh-CN"/>
        </w:rPr>
        <w:t>24</w:t>
      </w:r>
      <w:r>
        <w:rPr>
          <w:rFonts w:eastAsia="楷体"/>
          <w:color w:val="auto"/>
          <w:sz w:val="28"/>
          <w:szCs w:val="28"/>
          <w:highlight w:val="none"/>
        </w:rPr>
        <w:t>年防汛工作的顺利进行，成立</w:t>
      </w:r>
      <w:r>
        <w:rPr>
          <w:rFonts w:hint="eastAsia" w:eastAsia="楷体"/>
          <w:color w:val="auto"/>
          <w:sz w:val="28"/>
          <w:szCs w:val="28"/>
          <w:highlight w:val="none"/>
          <w:lang w:eastAsia="zh-CN"/>
        </w:rPr>
        <w:t>四清</w:t>
      </w:r>
      <w:r>
        <w:rPr>
          <w:rFonts w:eastAsia="楷体"/>
          <w:color w:val="auto"/>
          <w:sz w:val="28"/>
          <w:szCs w:val="28"/>
          <w:highlight w:val="none"/>
        </w:rPr>
        <w:t>水库大坝安全应急指挥部，</w:t>
      </w:r>
      <w:r>
        <w:rPr>
          <w:rFonts w:hint="eastAsia" w:eastAsia="楷体"/>
          <w:color w:val="auto"/>
          <w:sz w:val="28"/>
          <w:szCs w:val="28"/>
          <w:highlight w:val="none"/>
        </w:rPr>
        <w:t>明确水库防汛领导小组组长、副组长及成员单位负责人，明确实施《应急预案》的职责分工和工作方式。</w:t>
      </w:r>
    </w:p>
    <w:p w14:paraId="2BF3523C">
      <w:pPr>
        <w:widowControl/>
        <w:wordWrap/>
        <w:adjustRightInd/>
        <w:snapToGrid/>
        <w:spacing w:line="520" w:lineRule="exact"/>
        <w:ind w:left="0" w:leftChars="0" w:right="0" w:firstLine="0" w:firstLineChars="0"/>
        <w:jc w:val="center"/>
        <w:textAlignment w:val="auto"/>
        <w:outlineLvl w:val="9"/>
        <w:rPr>
          <w:rFonts w:hint="eastAsia" w:ascii="Times New Roman" w:hAnsi="Times New Roman" w:eastAsia="楷体" w:cs="Times New Roman"/>
          <w:b/>
          <w:bCs/>
          <w:color w:val="auto"/>
          <w:kern w:val="0"/>
          <w:sz w:val="28"/>
          <w:szCs w:val="28"/>
          <w:highlight w:val="none"/>
          <w:lang w:val="en-US" w:eastAsia="zh-CN"/>
        </w:rPr>
      </w:pPr>
      <w:r>
        <w:rPr>
          <w:rFonts w:hint="default" w:ascii="Times New Roman" w:hAnsi="Times New Roman" w:eastAsia="楷体" w:cs="Times New Roman"/>
          <w:b/>
          <w:bCs/>
          <w:color w:val="auto"/>
          <w:kern w:val="0"/>
          <w:sz w:val="28"/>
          <w:szCs w:val="28"/>
          <w:highlight w:val="none"/>
        </w:rPr>
        <w:t>表</w:t>
      </w:r>
      <w:r>
        <w:rPr>
          <w:rFonts w:hint="eastAsia" w:ascii="Times New Roman" w:hAnsi="Times New Roman" w:eastAsia="楷体" w:cs="Times New Roman"/>
          <w:b/>
          <w:bCs/>
          <w:color w:val="auto"/>
          <w:kern w:val="0"/>
          <w:sz w:val="28"/>
          <w:szCs w:val="28"/>
          <w:highlight w:val="none"/>
          <w:lang w:val="en-US" w:eastAsia="zh-CN"/>
        </w:rPr>
        <w:t>6-1</w:t>
      </w:r>
      <w:r>
        <w:rPr>
          <w:rFonts w:hint="default" w:ascii="Times New Roman" w:hAnsi="Times New Roman" w:eastAsia="楷体" w:cs="Times New Roman"/>
          <w:b/>
          <w:bCs/>
          <w:color w:val="auto"/>
          <w:kern w:val="0"/>
          <w:sz w:val="28"/>
          <w:szCs w:val="28"/>
          <w:highlight w:val="none"/>
          <w:lang w:val="en-US" w:eastAsia="zh-CN"/>
        </w:rPr>
        <w:t xml:space="preserve">      </w:t>
      </w:r>
      <w:r>
        <w:rPr>
          <w:rFonts w:hint="eastAsia" w:ascii="Times New Roman" w:hAnsi="Times New Roman" w:eastAsia="楷体" w:cs="Times New Roman"/>
          <w:b/>
          <w:bCs/>
          <w:color w:val="auto"/>
          <w:kern w:val="0"/>
          <w:sz w:val="28"/>
          <w:szCs w:val="28"/>
          <w:highlight w:val="none"/>
          <w:lang w:val="en-US" w:eastAsia="zh-CN"/>
        </w:rPr>
        <w:t xml:space="preserve">   防汛领导小组有关单位及责任人名单</w:t>
      </w:r>
    </w:p>
    <w:tbl>
      <w:tblPr>
        <w:tblStyle w:val="17"/>
        <w:tblW w:w="92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6"/>
        <w:gridCol w:w="1383"/>
        <w:gridCol w:w="2025"/>
        <w:gridCol w:w="2877"/>
        <w:gridCol w:w="1858"/>
      </w:tblGrid>
      <w:tr w14:paraId="2D7A9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1146" w:type="dxa"/>
            <w:vAlign w:val="center"/>
          </w:tcPr>
          <w:p w14:paraId="2F36C58A">
            <w:pPr>
              <w:wordWrap/>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序号</w:t>
            </w:r>
          </w:p>
        </w:tc>
        <w:tc>
          <w:tcPr>
            <w:tcW w:w="1383" w:type="dxa"/>
            <w:vAlign w:val="center"/>
          </w:tcPr>
          <w:p w14:paraId="32131C8D">
            <w:pPr>
              <w:wordWrap/>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单位</w:t>
            </w:r>
          </w:p>
        </w:tc>
        <w:tc>
          <w:tcPr>
            <w:tcW w:w="2025" w:type="dxa"/>
            <w:vAlign w:val="center"/>
          </w:tcPr>
          <w:p w14:paraId="3A7602F0">
            <w:pPr>
              <w:wordWrap/>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防汛责任人</w:t>
            </w:r>
          </w:p>
        </w:tc>
        <w:tc>
          <w:tcPr>
            <w:tcW w:w="2877" w:type="dxa"/>
            <w:vAlign w:val="center"/>
          </w:tcPr>
          <w:p w14:paraId="30FC9E8E">
            <w:pPr>
              <w:wordWrap/>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职务</w:t>
            </w:r>
          </w:p>
        </w:tc>
        <w:tc>
          <w:tcPr>
            <w:tcW w:w="1858" w:type="dxa"/>
            <w:vAlign w:val="center"/>
          </w:tcPr>
          <w:p w14:paraId="59F59E52">
            <w:pPr>
              <w:wordWrap/>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联系电话</w:t>
            </w:r>
          </w:p>
        </w:tc>
      </w:tr>
      <w:tr w14:paraId="1FFFC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vAlign w:val="center"/>
          </w:tcPr>
          <w:p w14:paraId="35FCE216">
            <w:pPr>
              <w:wordWrap/>
              <w:adjustRightInd/>
              <w:snapToGrid/>
              <w:spacing w:line="440" w:lineRule="exact"/>
              <w:ind w:firstLine="480" w:firstLineChars="200"/>
              <w:jc w:val="both"/>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1</w:t>
            </w:r>
          </w:p>
        </w:tc>
        <w:tc>
          <w:tcPr>
            <w:tcW w:w="1383" w:type="dxa"/>
            <w:vAlign w:val="center"/>
          </w:tcPr>
          <w:p w14:paraId="3E156BFF">
            <w:pPr>
              <w:wordWrap/>
              <w:adjustRightInd/>
              <w:snapToGrid/>
              <w:spacing w:line="440" w:lineRule="exact"/>
              <w:ind w:left="0" w:leftChars="0" w:firstLine="240" w:firstLineChars="100"/>
              <w:jc w:val="both"/>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前黄镇</w:t>
            </w:r>
          </w:p>
        </w:tc>
        <w:tc>
          <w:tcPr>
            <w:tcW w:w="2025" w:type="dxa"/>
            <w:vAlign w:val="center"/>
          </w:tcPr>
          <w:p w14:paraId="09846266">
            <w:pPr>
              <w:widowControl/>
              <w:wordWrap/>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rPr>
              <w:t>郭小国</w:t>
            </w:r>
          </w:p>
        </w:tc>
        <w:tc>
          <w:tcPr>
            <w:tcW w:w="2877" w:type="dxa"/>
            <w:vAlign w:val="center"/>
          </w:tcPr>
          <w:p w14:paraId="0E83EC1D">
            <w:pPr>
              <w:widowControl/>
              <w:wordWrap/>
              <w:adjustRightInd/>
              <w:snapToGrid/>
              <w:spacing w:line="440" w:lineRule="exact"/>
              <w:ind w:left="0" w:leftChars="0" w:firstLine="0" w:firstLineChars="0"/>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rPr>
              <w:t>镇党委副书记、政法委员</w:t>
            </w:r>
          </w:p>
        </w:tc>
        <w:tc>
          <w:tcPr>
            <w:tcW w:w="1858" w:type="dxa"/>
            <w:vAlign w:val="center"/>
          </w:tcPr>
          <w:p w14:paraId="3442747B">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87966506</w:t>
            </w:r>
          </w:p>
        </w:tc>
      </w:tr>
      <w:tr w14:paraId="6EA6F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vAlign w:val="center"/>
          </w:tcPr>
          <w:p w14:paraId="305C4DD3">
            <w:pPr>
              <w:wordWrap/>
              <w:adjustRightInd/>
              <w:snapToGrid/>
              <w:spacing w:line="440" w:lineRule="exact"/>
              <w:ind w:firstLine="480" w:firstLineChars="200"/>
              <w:jc w:val="both"/>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2</w:t>
            </w:r>
          </w:p>
        </w:tc>
        <w:tc>
          <w:tcPr>
            <w:tcW w:w="1383" w:type="dxa"/>
            <w:vAlign w:val="center"/>
          </w:tcPr>
          <w:p w14:paraId="01B4607A">
            <w:pPr>
              <w:wordWrap/>
              <w:adjustRightInd/>
              <w:snapToGrid/>
              <w:spacing w:line="440" w:lineRule="exact"/>
              <w:ind w:left="0" w:leftChars="0" w:firstLine="240" w:firstLineChars="100"/>
              <w:jc w:val="both"/>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前黄镇</w:t>
            </w:r>
          </w:p>
        </w:tc>
        <w:tc>
          <w:tcPr>
            <w:tcW w:w="2025" w:type="dxa"/>
            <w:vAlign w:val="center"/>
          </w:tcPr>
          <w:p w14:paraId="66BDA891">
            <w:pPr>
              <w:widowControl/>
              <w:wordWrap/>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吴谋冻</w:t>
            </w:r>
          </w:p>
        </w:tc>
        <w:tc>
          <w:tcPr>
            <w:tcW w:w="2877" w:type="dxa"/>
            <w:vAlign w:val="center"/>
          </w:tcPr>
          <w:p w14:paraId="6793A416">
            <w:pPr>
              <w:widowControl/>
              <w:wordWrap/>
              <w:adjustRightInd/>
              <w:snapToGrid/>
              <w:spacing w:line="440" w:lineRule="exact"/>
              <w:ind w:left="0" w:leftChars="0" w:firstLine="0" w:firstLineChars="0"/>
              <w:jc w:val="center"/>
              <w:textAlignment w:val="center"/>
              <w:rPr>
                <w:rFonts w:hint="default" w:ascii="Times New Roman" w:hAnsi="Times New Roman" w:eastAsia="楷体" w:cs="Times New Roman"/>
                <w:color w:val="auto"/>
                <w:sz w:val="24"/>
                <w:szCs w:val="24"/>
                <w:highlight w:val="none"/>
              </w:rPr>
            </w:pPr>
            <w:r>
              <w:rPr>
                <w:rFonts w:hint="eastAsia" w:eastAsia="楷体" w:cs="Times New Roman"/>
                <w:i w:val="0"/>
                <w:color w:val="auto"/>
                <w:kern w:val="0"/>
                <w:sz w:val="24"/>
                <w:szCs w:val="24"/>
                <w:highlight w:val="none"/>
                <w:u w:val="none"/>
                <w:lang w:val="en-US" w:eastAsia="zh-CN"/>
              </w:rPr>
              <w:t>镇党委委员、人武部部长、副镇长</w:t>
            </w:r>
          </w:p>
        </w:tc>
        <w:tc>
          <w:tcPr>
            <w:tcW w:w="1858" w:type="dxa"/>
            <w:vAlign w:val="center"/>
          </w:tcPr>
          <w:p w14:paraId="5B4E833A">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87966218</w:t>
            </w:r>
          </w:p>
        </w:tc>
      </w:tr>
      <w:tr w14:paraId="74312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vAlign w:val="center"/>
          </w:tcPr>
          <w:p w14:paraId="7D74DA55">
            <w:pPr>
              <w:wordWrap/>
              <w:adjustRightInd/>
              <w:snapToGrid/>
              <w:spacing w:line="440" w:lineRule="exact"/>
              <w:ind w:firstLine="480" w:firstLineChars="200"/>
              <w:jc w:val="both"/>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3</w:t>
            </w:r>
          </w:p>
        </w:tc>
        <w:tc>
          <w:tcPr>
            <w:tcW w:w="1383" w:type="dxa"/>
            <w:vAlign w:val="center"/>
          </w:tcPr>
          <w:p w14:paraId="6BE90EAF">
            <w:pPr>
              <w:wordWrap/>
              <w:adjustRightInd/>
              <w:snapToGrid/>
              <w:spacing w:line="440" w:lineRule="exact"/>
              <w:ind w:left="0" w:leftChars="0" w:firstLine="240" w:firstLineChars="100"/>
              <w:jc w:val="both"/>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前黄镇</w:t>
            </w:r>
          </w:p>
        </w:tc>
        <w:tc>
          <w:tcPr>
            <w:tcW w:w="2025" w:type="dxa"/>
            <w:vAlign w:val="center"/>
          </w:tcPr>
          <w:p w14:paraId="37CC4136">
            <w:pPr>
              <w:widowControl/>
              <w:wordWrap/>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highlight w:val="none"/>
              </w:rPr>
            </w:pPr>
            <w:r>
              <w:rPr>
                <w:rFonts w:hint="eastAsia" w:eastAsia="楷体" w:cs="Times New Roman"/>
                <w:i w:val="0"/>
                <w:color w:val="auto"/>
                <w:kern w:val="0"/>
                <w:sz w:val="24"/>
                <w:szCs w:val="24"/>
                <w:highlight w:val="none"/>
                <w:u w:val="none"/>
                <w:lang w:val="en-US" w:eastAsia="zh-CN"/>
              </w:rPr>
              <w:t>林小波</w:t>
            </w:r>
          </w:p>
        </w:tc>
        <w:tc>
          <w:tcPr>
            <w:tcW w:w="2877" w:type="dxa"/>
            <w:vAlign w:val="center"/>
          </w:tcPr>
          <w:p w14:paraId="363E9C3E">
            <w:pPr>
              <w:widowControl/>
              <w:wordWrap/>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rPr>
              <w:t>镇党委二级主任科员</w:t>
            </w:r>
          </w:p>
        </w:tc>
        <w:tc>
          <w:tcPr>
            <w:tcW w:w="1858" w:type="dxa"/>
            <w:vAlign w:val="center"/>
          </w:tcPr>
          <w:p w14:paraId="40939FA1">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87966580</w:t>
            </w:r>
          </w:p>
        </w:tc>
      </w:tr>
      <w:tr w14:paraId="2E00C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vAlign w:val="center"/>
          </w:tcPr>
          <w:p w14:paraId="1CD080DD">
            <w:pPr>
              <w:wordWrap/>
              <w:adjustRightInd/>
              <w:snapToGrid/>
              <w:spacing w:line="440" w:lineRule="exact"/>
              <w:ind w:firstLine="480" w:firstLineChars="200"/>
              <w:jc w:val="both"/>
              <w:rPr>
                <w:rFonts w:hint="default" w:ascii="Times New Roman" w:hAnsi="Times New Roman" w:eastAsia="楷体" w:cs="Times New Roman"/>
                <w:color w:val="auto"/>
                <w:sz w:val="24"/>
                <w:szCs w:val="24"/>
                <w:highlight w:val="none"/>
                <w:lang w:val="en-US" w:eastAsia="zh-CN"/>
              </w:rPr>
            </w:pPr>
            <w:r>
              <w:rPr>
                <w:rFonts w:hint="eastAsia" w:eastAsia="楷体" w:cs="Times New Roman"/>
                <w:color w:val="auto"/>
                <w:sz w:val="24"/>
                <w:szCs w:val="24"/>
                <w:highlight w:val="none"/>
                <w:lang w:val="en-US" w:eastAsia="zh-CN"/>
              </w:rPr>
              <w:t>4</w:t>
            </w:r>
          </w:p>
        </w:tc>
        <w:tc>
          <w:tcPr>
            <w:tcW w:w="1383" w:type="dxa"/>
            <w:vAlign w:val="center"/>
          </w:tcPr>
          <w:p w14:paraId="71CE9001">
            <w:pPr>
              <w:wordWrap/>
              <w:adjustRightInd/>
              <w:snapToGrid/>
              <w:spacing w:line="440" w:lineRule="exact"/>
              <w:ind w:left="0" w:leftChars="0" w:firstLine="240" w:firstLineChars="100"/>
              <w:jc w:val="both"/>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前黄镇</w:t>
            </w:r>
          </w:p>
        </w:tc>
        <w:tc>
          <w:tcPr>
            <w:tcW w:w="2025" w:type="dxa"/>
            <w:vAlign w:val="center"/>
          </w:tcPr>
          <w:p w14:paraId="1BA2E4B2">
            <w:pPr>
              <w:widowControl/>
              <w:wordWrap/>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庄小强</w:t>
            </w:r>
          </w:p>
        </w:tc>
        <w:tc>
          <w:tcPr>
            <w:tcW w:w="2877" w:type="dxa"/>
            <w:vAlign w:val="center"/>
          </w:tcPr>
          <w:p w14:paraId="49F9F191">
            <w:pPr>
              <w:widowControl/>
              <w:wordWrap/>
              <w:adjustRightInd/>
              <w:snapToGrid/>
              <w:spacing w:line="440" w:lineRule="exact"/>
              <w:ind w:firstLine="480" w:firstLineChars="200"/>
              <w:jc w:val="center"/>
              <w:textAlignment w:val="center"/>
              <w:rPr>
                <w:rFonts w:hint="eastAsia" w:eastAsia="楷体" w:cs="Times New Roman"/>
                <w:i w:val="0"/>
                <w:color w:val="auto"/>
                <w:kern w:val="0"/>
                <w:sz w:val="24"/>
                <w:szCs w:val="24"/>
                <w:highlight w:val="none"/>
                <w:u w:val="none"/>
                <w:lang w:val="en-US" w:eastAsia="zh-CN"/>
              </w:rPr>
            </w:pPr>
            <w:r>
              <w:rPr>
                <w:rFonts w:hint="eastAsia" w:eastAsia="楷体" w:cs="Times New Roman"/>
                <w:i w:val="0"/>
                <w:color w:val="auto"/>
                <w:kern w:val="0"/>
                <w:sz w:val="24"/>
                <w:szCs w:val="24"/>
                <w:highlight w:val="none"/>
                <w:u w:val="none"/>
                <w:lang w:val="en-US" w:eastAsia="zh-CN"/>
              </w:rPr>
              <w:t>镇副镇长</w:t>
            </w:r>
          </w:p>
        </w:tc>
        <w:tc>
          <w:tcPr>
            <w:tcW w:w="1858" w:type="dxa"/>
            <w:vAlign w:val="center"/>
          </w:tcPr>
          <w:p w14:paraId="245B46AE">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87966183</w:t>
            </w:r>
          </w:p>
        </w:tc>
      </w:tr>
      <w:tr w14:paraId="5C67C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vAlign w:val="center"/>
          </w:tcPr>
          <w:p w14:paraId="40926584">
            <w:pPr>
              <w:wordWrap/>
              <w:adjustRightInd/>
              <w:snapToGrid/>
              <w:spacing w:line="440" w:lineRule="exact"/>
              <w:ind w:firstLine="480" w:firstLineChars="200"/>
              <w:jc w:val="both"/>
              <w:rPr>
                <w:rFonts w:hint="default" w:ascii="Times New Roman" w:hAnsi="Times New Roman" w:eastAsia="楷体" w:cs="Times New Roman"/>
                <w:color w:val="auto"/>
                <w:sz w:val="24"/>
                <w:szCs w:val="24"/>
                <w:highlight w:val="none"/>
                <w:lang w:val="en-US" w:eastAsia="zh-CN"/>
              </w:rPr>
            </w:pPr>
            <w:r>
              <w:rPr>
                <w:rFonts w:hint="eastAsia" w:eastAsia="楷体" w:cs="Times New Roman"/>
                <w:color w:val="auto"/>
                <w:sz w:val="24"/>
                <w:szCs w:val="24"/>
                <w:highlight w:val="none"/>
                <w:lang w:val="en-US" w:eastAsia="zh-CN"/>
              </w:rPr>
              <w:t>5</w:t>
            </w:r>
          </w:p>
        </w:tc>
        <w:tc>
          <w:tcPr>
            <w:tcW w:w="1383" w:type="dxa"/>
            <w:vAlign w:val="center"/>
          </w:tcPr>
          <w:p w14:paraId="1371B114">
            <w:pPr>
              <w:wordWrap/>
              <w:adjustRightInd/>
              <w:snapToGrid/>
              <w:spacing w:line="440" w:lineRule="exact"/>
              <w:ind w:left="0" w:leftChars="0" w:firstLine="240" w:firstLineChars="100"/>
              <w:jc w:val="both"/>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前黄镇</w:t>
            </w:r>
          </w:p>
        </w:tc>
        <w:tc>
          <w:tcPr>
            <w:tcW w:w="2025" w:type="dxa"/>
            <w:vAlign w:val="center"/>
          </w:tcPr>
          <w:p w14:paraId="2281C3EE">
            <w:pPr>
              <w:widowControl/>
              <w:wordWrap/>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钟凤平</w:t>
            </w:r>
          </w:p>
        </w:tc>
        <w:tc>
          <w:tcPr>
            <w:tcW w:w="2877" w:type="dxa"/>
            <w:vAlign w:val="center"/>
          </w:tcPr>
          <w:p w14:paraId="21BA232F">
            <w:pPr>
              <w:widowControl/>
              <w:wordWrap/>
              <w:adjustRightInd/>
              <w:snapToGrid/>
              <w:spacing w:line="440" w:lineRule="exact"/>
              <w:ind w:left="0" w:leftChars="0" w:firstLine="0" w:firstLineChars="0"/>
              <w:jc w:val="center"/>
              <w:textAlignment w:val="center"/>
              <w:rPr>
                <w:rFonts w:hint="eastAsia" w:eastAsia="楷体" w:cs="Times New Roman"/>
                <w:i w:val="0"/>
                <w:color w:val="auto"/>
                <w:kern w:val="0"/>
                <w:sz w:val="24"/>
                <w:szCs w:val="24"/>
                <w:highlight w:val="none"/>
                <w:u w:val="none"/>
                <w:lang w:val="en-US" w:eastAsia="zh-CN"/>
              </w:rPr>
            </w:pPr>
            <w:r>
              <w:rPr>
                <w:rFonts w:hint="eastAsia" w:eastAsia="楷体" w:cs="Times New Roman"/>
                <w:i w:val="0"/>
                <w:color w:val="auto"/>
                <w:kern w:val="0"/>
                <w:sz w:val="24"/>
                <w:szCs w:val="24"/>
                <w:highlight w:val="none"/>
                <w:u w:val="none"/>
                <w:lang w:val="en-US" w:eastAsia="zh-CN"/>
              </w:rPr>
              <w:t>前黄镇社会服务中心主任</w:t>
            </w:r>
          </w:p>
        </w:tc>
        <w:tc>
          <w:tcPr>
            <w:tcW w:w="1858" w:type="dxa"/>
            <w:vAlign w:val="center"/>
          </w:tcPr>
          <w:p w14:paraId="12C9A71D">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87966086</w:t>
            </w:r>
          </w:p>
        </w:tc>
      </w:tr>
    </w:tbl>
    <w:p w14:paraId="40E2438C">
      <w:pPr>
        <w:spacing w:line="520" w:lineRule="exact"/>
        <w:ind w:firstLine="560" w:firstLineChars="200"/>
        <w:rPr>
          <w:rFonts w:eastAsia="楷体"/>
          <w:color w:val="auto"/>
          <w:sz w:val="28"/>
          <w:szCs w:val="28"/>
          <w:highlight w:val="none"/>
        </w:rPr>
      </w:pPr>
      <w:r>
        <w:rPr>
          <w:rFonts w:eastAsia="楷体"/>
          <w:color w:val="auto"/>
          <w:sz w:val="28"/>
          <w:szCs w:val="28"/>
          <w:highlight w:val="none"/>
        </w:rPr>
        <w:t>水库管理单位要主动与各相关单位加强联系，确保各部门通力协作；完善防汛值班人员岗位责任制和信息反馈制度。同时，水库各职能部门要以防汛工作为重点，做到目标明确，任务落实，责任到人。</w:t>
      </w:r>
    </w:p>
    <w:p w14:paraId="1293D019">
      <w:pPr>
        <w:spacing w:line="520" w:lineRule="exact"/>
        <w:ind w:firstLine="560" w:firstLineChars="200"/>
        <w:rPr>
          <w:rFonts w:eastAsia="楷体"/>
          <w:bCs/>
          <w:color w:val="auto"/>
          <w:sz w:val="28"/>
          <w:szCs w:val="28"/>
          <w:highlight w:val="none"/>
        </w:rPr>
      </w:pPr>
      <w:r>
        <w:rPr>
          <w:rFonts w:eastAsia="楷体"/>
          <w:bCs/>
          <w:color w:val="auto"/>
          <w:sz w:val="28"/>
          <w:szCs w:val="28"/>
          <w:highlight w:val="none"/>
        </w:rPr>
        <w:t>要制定汛期值班和工程的巡查制度，关注气象预报，掌握雨情、水情变化情况，认真执行本防洪调度方案措施。</w:t>
      </w:r>
    </w:p>
    <w:p w14:paraId="6CAFB9E8">
      <w:pPr>
        <w:spacing w:line="520" w:lineRule="exact"/>
        <w:ind w:firstLine="560" w:firstLineChars="200"/>
        <w:rPr>
          <w:rFonts w:eastAsia="楷体"/>
          <w:bCs/>
          <w:color w:val="auto"/>
          <w:sz w:val="28"/>
          <w:szCs w:val="28"/>
          <w:highlight w:val="none"/>
        </w:rPr>
      </w:pPr>
    </w:p>
    <w:p w14:paraId="7DBF911C">
      <w:pPr>
        <w:autoSpaceDE w:val="0"/>
        <w:autoSpaceDN w:val="0"/>
        <w:adjustRightInd w:val="0"/>
        <w:ind w:firstLine="964"/>
        <w:jc w:val="center"/>
        <w:rPr>
          <w:rFonts w:hint="eastAsia" w:eastAsia="楷体"/>
          <w:b/>
          <w:bCs/>
          <w:shadow/>
          <w:color w:val="auto"/>
          <w:sz w:val="48"/>
          <w:szCs w:val="52"/>
          <w:highlight w:val="none"/>
          <w:lang w:val="zh-CN" w:eastAsia="zh-CN"/>
        </w:rPr>
      </w:pPr>
    </w:p>
    <w:p w14:paraId="6FC9BA55">
      <w:pPr>
        <w:autoSpaceDE w:val="0"/>
        <w:autoSpaceDN w:val="0"/>
        <w:adjustRightInd w:val="0"/>
        <w:ind w:firstLine="964"/>
        <w:jc w:val="center"/>
        <w:rPr>
          <w:rFonts w:eastAsia="楷体"/>
          <w:b/>
          <w:bCs/>
          <w:shadow/>
          <w:color w:val="auto"/>
          <w:sz w:val="48"/>
          <w:szCs w:val="52"/>
          <w:highlight w:val="none"/>
          <w:lang w:val="zh-CN"/>
        </w:rPr>
      </w:pPr>
    </w:p>
    <w:p w14:paraId="346A6A6C">
      <w:pPr>
        <w:spacing w:line="360" w:lineRule="auto"/>
        <w:jc w:val="center"/>
        <w:rPr>
          <w:rFonts w:eastAsia="楷体"/>
          <w:b/>
          <w:color w:val="auto"/>
          <w:kern w:val="0"/>
          <w:sz w:val="52"/>
          <w:szCs w:val="52"/>
          <w:highlight w:val="none"/>
        </w:rPr>
      </w:pPr>
      <w:r>
        <w:rPr>
          <w:rFonts w:hint="eastAsia" w:eastAsia="楷体"/>
          <w:b/>
          <w:color w:val="auto"/>
          <w:kern w:val="0"/>
          <w:sz w:val="52"/>
          <w:szCs w:val="52"/>
          <w:highlight w:val="none"/>
          <w:lang w:eastAsia="zh-CN"/>
        </w:rPr>
        <w:t>前黄镇</w:t>
      </w:r>
      <w:r>
        <w:rPr>
          <w:rFonts w:eastAsia="楷体"/>
          <w:b/>
          <w:color w:val="auto"/>
          <w:kern w:val="0"/>
          <w:sz w:val="52"/>
          <w:szCs w:val="52"/>
          <w:highlight w:val="none"/>
        </w:rPr>
        <w:t>四清水库防洪抢险应急预案</w:t>
      </w:r>
    </w:p>
    <w:p w14:paraId="74B44D0D">
      <w:pPr>
        <w:spacing w:line="360" w:lineRule="auto"/>
        <w:ind w:firstLine="880"/>
        <w:jc w:val="center"/>
        <w:rPr>
          <w:rFonts w:eastAsia="楷体"/>
          <w:b/>
          <w:color w:val="auto"/>
          <w:kern w:val="0"/>
          <w:sz w:val="44"/>
          <w:szCs w:val="44"/>
          <w:highlight w:val="none"/>
        </w:rPr>
      </w:pPr>
    </w:p>
    <w:p w14:paraId="4322060E">
      <w:pPr>
        <w:spacing w:line="360" w:lineRule="auto"/>
        <w:ind w:firstLine="1040"/>
        <w:jc w:val="center"/>
        <w:rPr>
          <w:rFonts w:eastAsia="楷体"/>
          <w:b/>
          <w:color w:val="auto"/>
          <w:kern w:val="0"/>
          <w:sz w:val="52"/>
          <w:szCs w:val="52"/>
          <w:highlight w:val="none"/>
        </w:rPr>
      </w:pPr>
    </w:p>
    <w:p w14:paraId="507395F7">
      <w:pPr>
        <w:spacing w:line="360" w:lineRule="auto"/>
        <w:ind w:firstLine="1040"/>
        <w:jc w:val="center"/>
        <w:rPr>
          <w:rFonts w:eastAsia="楷体"/>
          <w:b/>
          <w:color w:val="auto"/>
          <w:kern w:val="0"/>
          <w:sz w:val="52"/>
          <w:szCs w:val="52"/>
          <w:highlight w:val="none"/>
        </w:rPr>
      </w:pPr>
    </w:p>
    <w:p w14:paraId="4BFC9EDC">
      <w:pPr>
        <w:spacing w:line="360" w:lineRule="auto"/>
        <w:ind w:firstLine="1040"/>
        <w:jc w:val="center"/>
        <w:rPr>
          <w:rFonts w:eastAsia="楷体"/>
          <w:b/>
          <w:color w:val="auto"/>
          <w:kern w:val="0"/>
          <w:sz w:val="52"/>
          <w:szCs w:val="52"/>
          <w:highlight w:val="none"/>
        </w:rPr>
      </w:pPr>
    </w:p>
    <w:p w14:paraId="304FE8F1">
      <w:pPr>
        <w:spacing w:line="360" w:lineRule="auto"/>
        <w:ind w:firstLine="1040"/>
        <w:jc w:val="center"/>
        <w:rPr>
          <w:rFonts w:eastAsia="楷体"/>
          <w:b/>
          <w:color w:val="auto"/>
          <w:kern w:val="0"/>
          <w:sz w:val="52"/>
          <w:szCs w:val="52"/>
          <w:highlight w:val="none"/>
        </w:rPr>
      </w:pPr>
    </w:p>
    <w:p w14:paraId="63998F33">
      <w:pPr>
        <w:spacing w:line="360" w:lineRule="auto"/>
        <w:ind w:firstLine="1040"/>
        <w:jc w:val="center"/>
        <w:rPr>
          <w:rFonts w:eastAsia="楷体"/>
          <w:b/>
          <w:color w:val="auto"/>
          <w:kern w:val="0"/>
          <w:sz w:val="52"/>
          <w:szCs w:val="52"/>
          <w:highlight w:val="none"/>
        </w:rPr>
      </w:pPr>
    </w:p>
    <w:p w14:paraId="425DBC95">
      <w:pPr>
        <w:spacing w:line="360" w:lineRule="auto"/>
        <w:ind w:firstLine="1040"/>
        <w:jc w:val="center"/>
        <w:rPr>
          <w:rFonts w:eastAsia="楷体"/>
          <w:b/>
          <w:color w:val="auto"/>
          <w:kern w:val="0"/>
          <w:sz w:val="52"/>
          <w:szCs w:val="52"/>
          <w:highlight w:val="none"/>
        </w:rPr>
      </w:pPr>
    </w:p>
    <w:p w14:paraId="3F2C4EA7">
      <w:pPr>
        <w:spacing w:line="360" w:lineRule="auto"/>
        <w:ind w:firstLine="1040"/>
        <w:jc w:val="center"/>
        <w:rPr>
          <w:rFonts w:eastAsia="楷体"/>
          <w:b/>
          <w:color w:val="auto"/>
          <w:kern w:val="0"/>
          <w:sz w:val="52"/>
          <w:szCs w:val="52"/>
          <w:highlight w:val="none"/>
        </w:rPr>
      </w:pPr>
    </w:p>
    <w:p w14:paraId="7C46250F">
      <w:pPr>
        <w:spacing w:line="360" w:lineRule="auto"/>
        <w:ind w:firstLine="1040"/>
        <w:jc w:val="center"/>
        <w:rPr>
          <w:rFonts w:eastAsia="楷体"/>
          <w:b/>
          <w:color w:val="auto"/>
          <w:kern w:val="0"/>
          <w:sz w:val="52"/>
          <w:szCs w:val="52"/>
          <w:highlight w:val="none"/>
        </w:rPr>
      </w:pPr>
    </w:p>
    <w:p w14:paraId="203D45F0">
      <w:pPr>
        <w:spacing w:line="360" w:lineRule="auto"/>
        <w:ind w:firstLine="1040"/>
        <w:jc w:val="center"/>
        <w:rPr>
          <w:rFonts w:eastAsia="楷体"/>
          <w:b/>
          <w:color w:val="auto"/>
          <w:kern w:val="0"/>
          <w:sz w:val="52"/>
          <w:szCs w:val="52"/>
          <w:highlight w:val="none"/>
        </w:rPr>
      </w:pPr>
    </w:p>
    <w:p w14:paraId="05C80F90">
      <w:pPr>
        <w:spacing w:line="360" w:lineRule="auto"/>
        <w:ind w:firstLine="1040"/>
        <w:jc w:val="center"/>
        <w:rPr>
          <w:rFonts w:eastAsia="楷体"/>
          <w:b/>
          <w:color w:val="auto"/>
          <w:kern w:val="0"/>
          <w:sz w:val="52"/>
          <w:szCs w:val="52"/>
          <w:highlight w:val="none"/>
        </w:rPr>
      </w:pPr>
    </w:p>
    <w:p w14:paraId="3CBC8FE8">
      <w:pPr>
        <w:spacing w:line="360" w:lineRule="auto"/>
        <w:ind w:firstLine="1040"/>
        <w:jc w:val="center"/>
        <w:rPr>
          <w:rFonts w:eastAsia="楷体"/>
          <w:b/>
          <w:color w:val="auto"/>
          <w:kern w:val="0"/>
          <w:sz w:val="52"/>
          <w:szCs w:val="52"/>
          <w:highlight w:val="none"/>
        </w:rPr>
      </w:pPr>
    </w:p>
    <w:p w14:paraId="531A0C98">
      <w:pPr>
        <w:spacing w:line="360" w:lineRule="auto"/>
        <w:ind w:firstLine="1040"/>
        <w:jc w:val="center"/>
        <w:rPr>
          <w:rFonts w:eastAsia="楷体"/>
          <w:b/>
          <w:color w:val="auto"/>
          <w:kern w:val="0"/>
          <w:sz w:val="52"/>
          <w:szCs w:val="52"/>
          <w:highlight w:val="none"/>
        </w:rPr>
      </w:pPr>
    </w:p>
    <w:p w14:paraId="628F28AD">
      <w:pPr>
        <w:spacing w:line="360" w:lineRule="auto"/>
        <w:ind w:firstLine="1040"/>
        <w:jc w:val="center"/>
        <w:rPr>
          <w:rFonts w:eastAsia="楷体"/>
          <w:b/>
          <w:color w:val="auto"/>
          <w:kern w:val="0"/>
          <w:sz w:val="52"/>
          <w:szCs w:val="52"/>
          <w:highlight w:val="none"/>
        </w:rPr>
      </w:pPr>
    </w:p>
    <w:p w14:paraId="4FEE7DDA">
      <w:pPr>
        <w:spacing w:line="360" w:lineRule="auto"/>
        <w:ind w:firstLine="1040"/>
        <w:jc w:val="center"/>
        <w:rPr>
          <w:rFonts w:eastAsia="楷体"/>
          <w:b/>
          <w:color w:val="auto"/>
          <w:kern w:val="0"/>
          <w:sz w:val="52"/>
          <w:szCs w:val="52"/>
          <w:highlight w:val="none"/>
        </w:rPr>
      </w:pPr>
    </w:p>
    <w:p w14:paraId="689989CF">
      <w:pPr>
        <w:spacing w:line="360" w:lineRule="auto"/>
        <w:jc w:val="center"/>
        <w:rPr>
          <w:rFonts w:hint="default" w:eastAsia="楷体"/>
          <w:b/>
          <w:color w:val="auto"/>
          <w:sz w:val="36"/>
          <w:szCs w:val="36"/>
          <w:highlight w:val="none"/>
          <w:lang w:val="en-US" w:eastAsia="zh-CN"/>
        </w:rPr>
      </w:pPr>
      <w:r>
        <w:rPr>
          <w:rFonts w:hint="eastAsia" w:eastAsia="楷体"/>
          <w:b/>
          <w:color w:val="auto"/>
          <w:sz w:val="36"/>
          <w:szCs w:val="36"/>
          <w:highlight w:val="none"/>
          <w:lang w:val="en-US" w:eastAsia="zh-CN"/>
        </w:rPr>
        <w:t>前黄镇人民政府</w:t>
      </w:r>
    </w:p>
    <w:p w14:paraId="15A8BFC4">
      <w:pPr>
        <w:spacing w:line="360" w:lineRule="auto"/>
        <w:jc w:val="center"/>
        <w:rPr>
          <w:rFonts w:eastAsia="楷体"/>
          <w:b/>
          <w:color w:val="auto"/>
          <w:kern w:val="0"/>
          <w:sz w:val="32"/>
          <w:szCs w:val="32"/>
          <w:highlight w:val="none"/>
        </w:rPr>
      </w:pPr>
      <w:r>
        <w:rPr>
          <w:rFonts w:eastAsia="楷体"/>
          <w:b/>
          <w:color w:val="auto"/>
          <w:kern w:val="0"/>
          <w:sz w:val="32"/>
          <w:szCs w:val="32"/>
          <w:highlight w:val="none"/>
        </w:rPr>
        <w:t>20</w:t>
      </w:r>
      <w:r>
        <w:rPr>
          <w:rFonts w:hint="eastAsia" w:eastAsia="楷体"/>
          <w:b/>
          <w:color w:val="auto"/>
          <w:kern w:val="0"/>
          <w:sz w:val="32"/>
          <w:szCs w:val="32"/>
          <w:highlight w:val="none"/>
          <w:lang w:val="en-US" w:eastAsia="zh-CN"/>
        </w:rPr>
        <w:t>24</w:t>
      </w:r>
      <w:r>
        <w:rPr>
          <w:rFonts w:eastAsia="楷体"/>
          <w:b/>
          <w:color w:val="auto"/>
          <w:kern w:val="0"/>
          <w:sz w:val="32"/>
          <w:szCs w:val="32"/>
          <w:highlight w:val="none"/>
        </w:rPr>
        <w:t>年</w:t>
      </w:r>
      <w:r>
        <w:rPr>
          <w:rFonts w:hint="eastAsia" w:eastAsia="楷体"/>
          <w:b/>
          <w:color w:val="auto"/>
          <w:kern w:val="0"/>
          <w:sz w:val="32"/>
          <w:szCs w:val="32"/>
          <w:highlight w:val="none"/>
          <w:lang w:val="en-US" w:eastAsia="zh-CN"/>
        </w:rPr>
        <w:t>2</w:t>
      </w:r>
      <w:r>
        <w:rPr>
          <w:rFonts w:eastAsia="楷体"/>
          <w:b/>
          <w:color w:val="auto"/>
          <w:kern w:val="0"/>
          <w:sz w:val="32"/>
          <w:szCs w:val="32"/>
          <w:highlight w:val="none"/>
        </w:rPr>
        <w:t>月</w:t>
      </w:r>
    </w:p>
    <w:p w14:paraId="0E087E6B">
      <w:pPr>
        <w:spacing w:line="360" w:lineRule="auto"/>
        <w:jc w:val="center"/>
        <w:rPr>
          <w:rFonts w:eastAsia="楷体"/>
          <w:b/>
          <w:color w:val="auto"/>
          <w:kern w:val="0"/>
          <w:sz w:val="32"/>
          <w:szCs w:val="32"/>
          <w:highlight w:val="none"/>
        </w:rPr>
      </w:pPr>
    </w:p>
    <w:p w14:paraId="0A08B0E5">
      <w:pPr>
        <w:spacing w:before="156" w:beforeLines="50" w:after="156" w:afterLines="50" w:line="360" w:lineRule="auto"/>
        <w:ind w:firstLine="640"/>
        <w:jc w:val="center"/>
        <w:rPr>
          <w:rFonts w:eastAsia="楷体"/>
          <w:b/>
          <w:color w:val="auto"/>
          <w:kern w:val="0"/>
          <w:sz w:val="32"/>
          <w:szCs w:val="32"/>
          <w:highlight w:val="none"/>
        </w:rPr>
      </w:pPr>
      <w:r>
        <w:rPr>
          <w:rFonts w:eastAsia="楷体"/>
          <w:b/>
          <w:color w:val="auto"/>
          <w:kern w:val="0"/>
          <w:sz w:val="32"/>
          <w:szCs w:val="32"/>
          <w:highlight w:val="none"/>
        </w:rPr>
        <w:t>目  录</w:t>
      </w:r>
    </w:p>
    <w:p w14:paraId="22F493E4">
      <w:pPr>
        <w:pStyle w:val="13"/>
        <w:tabs>
          <w:tab w:val="right" w:leader="dot" w:pos="8306"/>
          <w:tab w:val="clear" w:pos="8296"/>
        </w:tabs>
        <w:spacing w:line="520" w:lineRule="exact"/>
        <w:ind w:firstLine="562"/>
        <w:rPr>
          <w:rFonts w:ascii="Times New Roman" w:eastAsia="楷体"/>
          <w:color w:val="auto"/>
          <w:highlight w:val="none"/>
        </w:rPr>
      </w:pPr>
      <w:r>
        <w:rPr>
          <w:rFonts w:ascii="Times New Roman" w:eastAsia="楷体"/>
          <w:color w:val="auto"/>
          <w:kern w:val="0"/>
          <w:highlight w:val="none"/>
        </w:rPr>
        <w:fldChar w:fldCharType="begin"/>
      </w:r>
      <w:r>
        <w:rPr>
          <w:rFonts w:ascii="Times New Roman" w:eastAsia="楷体"/>
          <w:color w:val="auto"/>
          <w:kern w:val="0"/>
          <w:highlight w:val="none"/>
        </w:rPr>
        <w:instrText xml:space="preserve"> TOC \o "1-2" \h \z \u </w:instrText>
      </w:r>
      <w:r>
        <w:rPr>
          <w:rFonts w:ascii="Times New Roman" w:eastAsia="楷体"/>
          <w:color w:val="auto"/>
          <w:kern w:val="0"/>
          <w:highlight w:val="none"/>
        </w:rPr>
        <w:fldChar w:fldCharType="separate"/>
      </w:r>
      <w:r>
        <w:rPr>
          <w:rFonts w:ascii="Times New Roman" w:eastAsia="楷体"/>
          <w:color w:val="auto"/>
          <w:kern w:val="0"/>
          <w:highlight w:val="none"/>
        </w:rPr>
        <w:fldChar w:fldCharType="begin"/>
      </w:r>
      <w:r>
        <w:rPr>
          <w:rFonts w:ascii="Times New Roman" w:eastAsia="楷体"/>
          <w:color w:val="auto"/>
          <w:kern w:val="0"/>
          <w:highlight w:val="none"/>
        </w:rPr>
        <w:instrText xml:space="preserve"> HYPERLINK \l _Toc32304 </w:instrText>
      </w:r>
      <w:r>
        <w:rPr>
          <w:rFonts w:ascii="Times New Roman" w:eastAsia="楷体"/>
          <w:color w:val="auto"/>
          <w:kern w:val="0"/>
          <w:highlight w:val="none"/>
        </w:rPr>
        <w:fldChar w:fldCharType="separate"/>
      </w:r>
      <w:r>
        <w:rPr>
          <w:rFonts w:ascii="Times New Roman" w:eastAsia="楷体"/>
          <w:color w:val="auto"/>
          <w:highlight w:val="none"/>
        </w:rPr>
        <w:t>1 总则</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_Toc32304 </w:instrText>
      </w:r>
      <w:r>
        <w:rPr>
          <w:rFonts w:ascii="Times New Roman" w:eastAsia="楷体"/>
          <w:color w:val="auto"/>
          <w:highlight w:val="none"/>
        </w:rPr>
        <w:fldChar w:fldCharType="separate"/>
      </w:r>
      <w:r>
        <w:rPr>
          <w:rFonts w:ascii="Times New Roman" w:eastAsia="楷体"/>
          <w:color w:val="auto"/>
          <w:highlight w:val="none"/>
        </w:rPr>
        <w:t>- 251 -</w:t>
      </w:r>
      <w:r>
        <w:rPr>
          <w:rFonts w:ascii="Times New Roman" w:eastAsia="楷体"/>
          <w:color w:val="auto"/>
          <w:highlight w:val="none"/>
        </w:rPr>
        <w:fldChar w:fldCharType="end"/>
      </w:r>
      <w:r>
        <w:rPr>
          <w:rFonts w:ascii="Times New Roman" w:eastAsia="楷体"/>
          <w:color w:val="auto"/>
          <w:kern w:val="0"/>
          <w:highlight w:val="none"/>
        </w:rPr>
        <w:fldChar w:fldCharType="end"/>
      </w:r>
    </w:p>
    <w:p w14:paraId="4E48D5D2">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_Toc10067 </w:instrText>
      </w:r>
      <w:r>
        <w:rPr>
          <w:rFonts w:eastAsia="楷体"/>
          <w:bCs/>
          <w:color w:val="auto"/>
          <w:kern w:val="0"/>
          <w:szCs w:val="28"/>
          <w:highlight w:val="none"/>
        </w:rPr>
        <w:fldChar w:fldCharType="separate"/>
      </w:r>
      <w:r>
        <w:rPr>
          <w:rFonts w:eastAsia="楷体"/>
          <w:bCs/>
          <w:color w:val="auto"/>
          <w:highlight w:val="none"/>
        </w:rPr>
        <w:t>1.1 目的</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_Toc10067 </w:instrText>
      </w:r>
      <w:r>
        <w:rPr>
          <w:rFonts w:eastAsia="楷体"/>
          <w:bCs/>
          <w:color w:val="auto"/>
          <w:highlight w:val="none"/>
        </w:rPr>
        <w:fldChar w:fldCharType="separate"/>
      </w:r>
      <w:r>
        <w:rPr>
          <w:rFonts w:eastAsia="楷体"/>
          <w:bCs/>
          <w:color w:val="auto"/>
          <w:highlight w:val="none"/>
        </w:rPr>
        <w:t>- 251 -</w:t>
      </w:r>
      <w:r>
        <w:rPr>
          <w:rFonts w:eastAsia="楷体"/>
          <w:bCs/>
          <w:color w:val="auto"/>
          <w:highlight w:val="none"/>
        </w:rPr>
        <w:fldChar w:fldCharType="end"/>
      </w:r>
      <w:r>
        <w:rPr>
          <w:rFonts w:eastAsia="楷体"/>
          <w:bCs/>
          <w:color w:val="auto"/>
          <w:kern w:val="0"/>
          <w:szCs w:val="28"/>
          <w:highlight w:val="none"/>
        </w:rPr>
        <w:fldChar w:fldCharType="end"/>
      </w:r>
    </w:p>
    <w:p w14:paraId="4B0AF46C">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_Toc19894 </w:instrText>
      </w:r>
      <w:r>
        <w:rPr>
          <w:rFonts w:eastAsia="楷体"/>
          <w:bCs/>
          <w:color w:val="auto"/>
          <w:kern w:val="0"/>
          <w:szCs w:val="28"/>
          <w:highlight w:val="none"/>
        </w:rPr>
        <w:fldChar w:fldCharType="separate"/>
      </w:r>
      <w:r>
        <w:rPr>
          <w:rFonts w:eastAsia="楷体"/>
          <w:bCs/>
          <w:color w:val="auto"/>
          <w:highlight w:val="none"/>
        </w:rPr>
        <w:t>1.2 编制依据</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_Toc19894 </w:instrText>
      </w:r>
      <w:r>
        <w:rPr>
          <w:rFonts w:eastAsia="楷体"/>
          <w:bCs/>
          <w:color w:val="auto"/>
          <w:highlight w:val="none"/>
        </w:rPr>
        <w:fldChar w:fldCharType="separate"/>
      </w:r>
      <w:r>
        <w:rPr>
          <w:rFonts w:eastAsia="楷体"/>
          <w:bCs/>
          <w:color w:val="auto"/>
          <w:highlight w:val="none"/>
        </w:rPr>
        <w:t>- 251 -</w:t>
      </w:r>
      <w:r>
        <w:rPr>
          <w:rFonts w:eastAsia="楷体"/>
          <w:bCs/>
          <w:color w:val="auto"/>
          <w:highlight w:val="none"/>
        </w:rPr>
        <w:fldChar w:fldCharType="end"/>
      </w:r>
      <w:r>
        <w:rPr>
          <w:rFonts w:eastAsia="楷体"/>
          <w:bCs/>
          <w:color w:val="auto"/>
          <w:kern w:val="0"/>
          <w:szCs w:val="28"/>
          <w:highlight w:val="none"/>
        </w:rPr>
        <w:fldChar w:fldCharType="end"/>
      </w:r>
    </w:p>
    <w:p w14:paraId="1565179F">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_Toc30233 </w:instrText>
      </w:r>
      <w:r>
        <w:rPr>
          <w:rFonts w:eastAsia="楷体"/>
          <w:bCs/>
          <w:color w:val="auto"/>
          <w:kern w:val="0"/>
          <w:szCs w:val="28"/>
          <w:highlight w:val="none"/>
        </w:rPr>
        <w:fldChar w:fldCharType="separate"/>
      </w:r>
      <w:r>
        <w:rPr>
          <w:rFonts w:eastAsia="楷体"/>
          <w:bCs/>
          <w:color w:val="auto"/>
          <w:szCs w:val="30"/>
          <w:highlight w:val="none"/>
        </w:rPr>
        <w:t>1.3 工作原则</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_Toc30233 </w:instrText>
      </w:r>
      <w:r>
        <w:rPr>
          <w:rFonts w:eastAsia="楷体"/>
          <w:bCs/>
          <w:color w:val="auto"/>
          <w:highlight w:val="none"/>
        </w:rPr>
        <w:fldChar w:fldCharType="separate"/>
      </w:r>
      <w:r>
        <w:rPr>
          <w:rFonts w:eastAsia="楷体"/>
          <w:bCs/>
          <w:color w:val="auto"/>
          <w:highlight w:val="none"/>
        </w:rPr>
        <w:t>- 251 -</w:t>
      </w:r>
      <w:r>
        <w:rPr>
          <w:rFonts w:eastAsia="楷体"/>
          <w:bCs/>
          <w:color w:val="auto"/>
          <w:highlight w:val="none"/>
        </w:rPr>
        <w:fldChar w:fldCharType="end"/>
      </w:r>
      <w:r>
        <w:rPr>
          <w:rFonts w:eastAsia="楷体"/>
          <w:bCs/>
          <w:color w:val="auto"/>
          <w:kern w:val="0"/>
          <w:szCs w:val="28"/>
          <w:highlight w:val="none"/>
        </w:rPr>
        <w:fldChar w:fldCharType="end"/>
      </w:r>
    </w:p>
    <w:p w14:paraId="79809141">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_Toc26488 </w:instrText>
      </w:r>
      <w:r>
        <w:rPr>
          <w:rFonts w:eastAsia="楷体"/>
          <w:bCs/>
          <w:color w:val="auto"/>
          <w:kern w:val="0"/>
          <w:szCs w:val="28"/>
          <w:highlight w:val="none"/>
        </w:rPr>
        <w:fldChar w:fldCharType="separate"/>
      </w:r>
      <w:r>
        <w:rPr>
          <w:rFonts w:eastAsia="楷体"/>
          <w:bCs/>
          <w:color w:val="auto"/>
          <w:szCs w:val="30"/>
          <w:highlight w:val="none"/>
        </w:rPr>
        <w:t>1.4 适用范围</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_Toc26488 </w:instrText>
      </w:r>
      <w:r>
        <w:rPr>
          <w:rFonts w:eastAsia="楷体"/>
          <w:bCs/>
          <w:color w:val="auto"/>
          <w:highlight w:val="none"/>
        </w:rPr>
        <w:fldChar w:fldCharType="separate"/>
      </w:r>
      <w:r>
        <w:rPr>
          <w:rFonts w:eastAsia="楷体"/>
          <w:bCs/>
          <w:color w:val="auto"/>
          <w:highlight w:val="none"/>
        </w:rPr>
        <w:t>- 252 -</w:t>
      </w:r>
      <w:r>
        <w:rPr>
          <w:rFonts w:eastAsia="楷体"/>
          <w:bCs/>
          <w:color w:val="auto"/>
          <w:highlight w:val="none"/>
        </w:rPr>
        <w:fldChar w:fldCharType="end"/>
      </w:r>
      <w:r>
        <w:rPr>
          <w:rFonts w:eastAsia="楷体"/>
          <w:bCs/>
          <w:color w:val="auto"/>
          <w:kern w:val="0"/>
          <w:szCs w:val="28"/>
          <w:highlight w:val="none"/>
        </w:rPr>
        <w:fldChar w:fldCharType="end"/>
      </w:r>
    </w:p>
    <w:p w14:paraId="4F2183DC">
      <w:pPr>
        <w:pStyle w:val="13"/>
        <w:tabs>
          <w:tab w:val="right" w:leader="dot" w:pos="8306"/>
          <w:tab w:val="clear" w:pos="8296"/>
        </w:tabs>
        <w:spacing w:line="520" w:lineRule="exact"/>
        <w:ind w:firstLine="562"/>
        <w:rPr>
          <w:rFonts w:ascii="Times New Roman" w:eastAsia="楷体"/>
          <w:color w:val="auto"/>
          <w:highlight w:val="none"/>
        </w:rPr>
      </w:pPr>
      <w:r>
        <w:rPr>
          <w:rFonts w:ascii="Times New Roman" w:eastAsia="楷体"/>
          <w:color w:val="auto"/>
          <w:kern w:val="0"/>
          <w:highlight w:val="none"/>
        </w:rPr>
        <w:fldChar w:fldCharType="begin"/>
      </w:r>
      <w:r>
        <w:rPr>
          <w:rFonts w:ascii="Times New Roman" w:eastAsia="楷体"/>
          <w:color w:val="auto"/>
          <w:kern w:val="0"/>
          <w:highlight w:val="none"/>
        </w:rPr>
        <w:instrText xml:space="preserve"> HYPERLINK \l _Toc23606 </w:instrText>
      </w:r>
      <w:r>
        <w:rPr>
          <w:rFonts w:ascii="Times New Roman" w:eastAsia="楷体"/>
          <w:color w:val="auto"/>
          <w:kern w:val="0"/>
          <w:highlight w:val="none"/>
        </w:rPr>
        <w:fldChar w:fldCharType="separate"/>
      </w:r>
      <w:r>
        <w:rPr>
          <w:rFonts w:ascii="Times New Roman" w:eastAsia="楷体"/>
          <w:color w:val="auto"/>
          <w:szCs w:val="30"/>
          <w:highlight w:val="none"/>
        </w:rPr>
        <w:t>2 工程概况</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_Toc23606 </w:instrText>
      </w:r>
      <w:r>
        <w:rPr>
          <w:rFonts w:ascii="Times New Roman" w:eastAsia="楷体"/>
          <w:color w:val="auto"/>
          <w:highlight w:val="none"/>
        </w:rPr>
        <w:fldChar w:fldCharType="separate"/>
      </w:r>
      <w:r>
        <w:rPr>
          <w:rFonts w:ascii="Times New Roman" w:eastAsia="楷体"/>
          <w:color w:val="auto"/>
          <w:highlight w:val="none"/>
        </w:rPr>
        <w:t>- 253 -</w:t>
      </w:r>
      <w:r>
        <w:rPr>
          <w:rFonts w:ascii="Times New Roman" w:eastAsia="楷体"/>
          <w:color w:val="auto"/>
          <w:highlight w:val="none"/>
        </w:rPr>
        <w:fldChar w:fldCharType="end"/>
      </w:r>
      <w:r>
        <w:rPr>
          <w:rFonts w:ascii="Times New Roman" w:eastAsia="楷体"/>
          <w:color w:val="auto"/>
          <w:kern w:val="0"/>
          <w:highlight w:val="none"/>
        </w:rPr>
        <w:fldChar w:fldCharType="end"/>
      </w:r>
    </w:p>
    <w:p w14:paraId="1B74D828">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_Toc18975 </w:instrText>
      </w:r>
      <w:r>
        <w:rPr>
          <w:rFonts w:eastAsia="楷体"/>
          <w:bCs/>
          <w:color w:val="auto"/>
          <w:kern w:val="0"/>
          <w:szCs w:val="28"/>
          <w:highlight w:val="none"/>
        </w:rPr>
        <w:fldChar w:fldCharType="separate"/>
      </w:r>
      <w:r>
        <w:rPr>
          <w:rFonts w:eastAsia="楷体"/>
          <w:bCs/>
          <w:color w:val="auto"/>
          <w:szCs w:val="30"/>
          <w:highlight w:val="none"/>
        </w:rPr>
        <w:t>2.1 流域概况</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_Toc18975 </w:instrText>
      </w:r>
      <w:r>
        <w:rPr>
          <w:rFonts w:eastAsia="楷体"/>
          <w:bCs/>
          <w:color w:val="auto"/>
          <w:highlight w:val="none"/>
        </w:rPr>
        <w:fldChar w:fldCharType="separate"/>
      </w:r>
      <w:r>
        <w:rPr>
          <w:rFonts w:eastAsia="楷体"/>
          <w:bCs/>
          <w:color w:val="auto"/>
          <w:highlight w:val="none"/>
        </w:rPr>
        <w:t>- 253 -</w:t>
      </w:r>
      <w:r>
        <w:rPr>
          <w:rFonts w:eastAsia="楷体"/>
          <w:bCs/>
          <w:color w:val="auto"/>
          <w:highlight w:val="none"/>
        </w:rPr>
        <w:fldChar w:fldCharType="end"/>
      </w:r>
      <w:r>
        <w:rPr>
          <w:rFonts w:eastAsia="楷体"/>
          <w:bCs/>
          <w:color w:val="auto"/>
          <w:kern w:val="0"/>
          <w:szCs w:val="28"/>
          <w:highlight w:val="none"/>
        </w:rPr>
        <w:fldChar w:fldCharType="end"/>
      </w:r>
    </w:p>
    <w:p w14:paraId="270CD3A8">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_Toc26605 </w:instrText>
      </w:r>
      <w:r>
        <w:rPr>
          <w:rFonts w:eastAsia="楷体"/>
          <w:bCs/>
          <w:color w:val="auto"/>
          <w:kern w:val="0"/>
          <w:szCs w:val="28"/>
          <w:highlight w:val="none"/>
        </w:rPr>
        <w:fldChar w:fldCharType="separate"/>
      </w:r>
      <w:r>
        <w:rPr>
          <w:rFonts w:eastAsia="楷体"/>
          <w:bCs/>
          <w:color w:val="auto"/>
          <w:szCs w:val="30"/>
          <w:highlight w:val="none"/>
        </w:rPr>
        <w:t>2.2 工程基本情况</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_Toc26605 </w:instrText>
      </w:r>
      <w:r>
        <w:rPr>
          <w:rFonts w:eastAsia="楷体"/>
          <w:bCs/>
          <w:color w:val="auto"/>
          <w:highlight w:val="none"/>
        </w:rPr>
        <w:fldChar w:fldCharType="separate"/>
      </w:r>
      <w:r>
        <w:rPr>
          <w:rFonts w:eastAsia="楷体"/>
          <w:bCs/>
          <w:color w:val="auto"/>
          <w:highlight w:val="none"/>
        </w:rPr>
        <w:t>- 253 -</w:t>
      </w:r>
      <w:r>
        <w:rPr>
          <w:rFonts w:eastAsia="楷体"/>
          <w:bCs/>
          <w:color w:val="auto"/>
          <w:highlight w:val="none"/>
        </w:rPr>
        <w:fldChar w:fldCharType="end"/>
      </w:r>
      <w:r>
        <w:rPr>
          <w:rFonts w:eastAsia="楷体"/>
          <w:bCs/>
          <w:color w:val="auto"/>
          <w:kern w:val="0"/>
          <w:szCs w:val="28"/>
          <w:highlight w:val="none"/>
        </w:rPr>
        <w:fldChar w:fldCharType="end"/>
      </w:r>
    </w:p>
    <w:p w14:paraId="3A95E790">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_Toc13333 </w:instrText>
      </w:r>
      <w:r>
        <w:rPr>
          <w:rFonts w:eastAsia="楷体"/>
          <w:bCs/>
          <w:color w:val="auto"/>
          <w:kern w:val="0"/>
          <w:szCs w:val="28"/>
          <w:highlight w:val="none"/>
        </w:rPr>
        <w:fldChar w:fldCharType="separate"/>
      </w:r>
      <w:r>
        <w:rPr>
          <w:rFonts w:eastAsia="楷体"/>
          <w:bCs/>
          <w:color w:val="auto"/>
          <w:szCs w:val="30"/>
          <w:highlight w:val="none"/>
        </w:rPr>
        <w:t>2.3 水文</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_Toc13333 </w:instrText>
      </w:r>
      <w:r>
        <w:rPr>
          <w:rFonts w:eastAsia="楷体"/>
          <w:bCs/>
          <w:color w:val="auto"/>
          <w:highlight w:val="none"/>
        </w:rPr>
        <w:fldChar w:fldCharType="separate"/>
      </w:r>
      <w:r>
        <w:rPr>
          <w:rFonts w:eastAsia="楷体"/>
          <w:bCs/>
          <w:color w:val="auto"/>
          <w:highlight w:val="none"/>
        </w:rPr>
        <w:t>- 257 -</w:t>
      </w:r>
      <w:r>
        <w:rPr>
          <w:rFonts w:eastAsia="楷体"/>
          <w:bCs/>
          <w:color w:val="auto"/>
          <w:highlight w:val="none"/>
        </w:rPr>
        <w:fldChar w:fldCharType="end"/>
      </w:r>
      <w:r>
        <w:rPr>
          <w:rFonts w:eastAsia="楷体"/>
          <w:bCs/>
          <w:color w:val="auto"/>
          <w:kern w:val="0"/>
          <w:szCs w:val="28"/>
          <w:highlight w:val="none"/>
        </w:rPr>
        <w:fldChar w:fldCharType="end"/>
      </w:r>
    </w:p>
    <w:p w14:paraId="5F2A0492">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_Toc2641 </w:instrText>
      </w:r>
      <w:r>
        <w:rPr>
          <w:rFonts w:eastAsia="楷体"/>
          <w:bCs/>
          <w:color w:val="auto"/>
          <w:kern w:val="0"/>
          <w:szCs w:val="28"/>
          <w:highlight w:val="none"/>
        </w:rPr>
        <w:fldChar w:fldCharType="separate"/>
      </w:r>
      <w:r>
        <w:rPr>
          <w:rFonts w:eastAsia="楷体"/>
          <w:bCs/>
          <w:color w:val="auto"/>
          <w:szCs w:val="30"/>
          <w:highlight w:val="none"/>
        </w:rPr>
        <w:t>2.4  工程安全监测</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_Toc2641 </w:instrText>
      </w:r>
      <w:r>
        <w:rPr>
          <w:rFonts w:eastAsia="楷体"/>
          <w:bCs/>
          <w:color w:val="auto"/>
          <w:highlight w:val="none"/>
        </w:rPr>
        <w:fldChar w:fldCharType="separate"/>
      </w:r>
      <w:r>
        <w:rPr>
          <w:rFonts w:eastAsia="楷体"/>
          <w:bCs/>
          <w:color w:val="auto"/>
          <w:highlight w:val="none"/>
        </w:rPr>
        <w:t>- 259 -</w:t>
      </w:r>
      <w:r>
        <w:rPr>
          <w:rFonts w:eastAsia="楷体"/>
          <w:bCs/>
          <w:color w:val="auto"/>
          <w:highlight w:val="none"/>
        </w:rPr>
        <w:fldChar w:fldCharType="end"/>
      </w:r>
      <w:r>
        <w:rPr>
          <w:rFonts w:eastAsia="楷体"/>
          <w:bCs/>
          <w:color w:val="auto"/>
          <w:kern w:val="0"/>
          <w:szCs w:val="28"/>
          <w:highlight w:val="none"/>
        </w:rPr>
        <w:fldChar w:fldCharType="end"/>
      </w:r>
    </w:p>
    <w:p w14:paraId="7EBEA6BB">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_Toc5426 </w:instrText>
      </w:r>
      <w:r>
        <w:rPr>
          <w:rFonts w:eastAsia="楷体"/>
          <w:bCs/>
          <w:color w:val="auto"/>
          <w:kern w:val="0"/>
          <w:szCs w:val="28"/>
          <w:highlight w:val="none"/>
        </w:rPr>
        <w:fldChar w:fldCharType="separate"/>
      </w:r>
      <w:r>
        <w:rPr>
          <w:rFonts w:eastAsia="楷体"/>
          <w:bCs/>
          <w:color w:val="auto"/>
          <w:szCs w:val="30"/>
          <w:highlight w:val="none"/>
        </w:rPr>
        <w:t>2.5 水库汛期调度运用计划</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_Toc5426 </w:instrText>
      </w:r>
      <w:r>
        <w:rPr>
          <w:rFonts w:eastAsia="楷体"/>
          <w:bCs/>
          <w:color w:val="auto"/>
          <w:highlight w:val="none"/>
        </w:rPr>
        <w:fldChar w:fldCharType="separate"/>
      </w:r>
      <w:r>
        <w:rPr>
          <w:rFonts w:eastAsia="楷体"/>
          <w:bCs/>
          <w:color w:val="auto"/>
          <w:highlight w:val="none"/>
        </w:rPr>
        <w:t>- 260 -</w:t>
      </w:r>
      <w:r>
        <w:rPr>
          <w:rFonts w:eastAsia="楷体"/>
          <w:bCs/>
          <w:color w:val="auto"/>
          <w:highlight w:val="none"/>
        </w:rPr>
        <w:fldChar w:fldCharType="end"/>
      </w:r>
      <w:r>
        <w:rPr>
          <w:rFonts w:eastAsia="楷体"/>
          <w:bCs/>
          <w:color w:val="auto"/>
          <w:kern w:val="0"/>
          <w:szCs w:val="28"/>
          <w:highlight w:val="none"/>
        </w:rPr>
        <w:fldChar w:fldCharType="end"/>
      </w:r>
    </w:p>
    <w:p w14:paraId="6187B241">
      <w:pPr>
        <w:pStyle w:val="13"/>
        <w:tabs>
          <w:tab w:val="right" w:leader="dot" w:pos="8306"/>
          <w:tab w:val="clear" w:pos="8296"/>
        </w:tabs>
        <w:spacing w:line="520" w:lineRule="exact"/>
        <w:ind w:firstLine="562"/>
        <w:rPr>
          <w:rFonts w:ascii="Times New Roman" w:eastAsia="楷体"/>
          <w:color w:val="auto"/>
          <w:highlight w:val="none"/>
        </w:rPr>
      </w:pPr>
      <w:r>
        <w:rPr>
          <w:rFonts w:ascii="Times New Roman" w:eastAsia="楷体"/>
          <w:color w:val="auto"/>
          <w:kern w:val="0"/>
          <w:highlight w:val="none"/>
        </w:rPr>
        <w:fldChar w:fldCharType="begin"/>
      </w:r>
      <w:r>
        <w:rPr>
          <w:rFonts w:ascii="Times New Roman" w:eastAsia="楷体"/>
          <w:color w:val="auto"/>
          <w:kern w:val="0"/>
          <w:highlight w:val="none"/>
        </w:rPr>
        <w:instrText xml:space="preserve"> HYPERLINK \l _Toc21184 </w:instrText>
      </w:r>
      <w:r>
        <w:rPr>
          <w:rFonts w:ascii="Times New Roman" w:eastAsia="楷体"/>
          <w:color w:val="auto"/>
          <w:kern w:val="0"/>
          <w:highlight w:val="none"/>
        </w:rPr>
        <w:fldChar w:fldCharType="separate"/>
      </w:r>
      <w:r>
        <w:rPr>
          <w:rFonts w:ascii="Times New Roman" w:eastAsia="楷体"/>
          <w:color w:val="auto"/>
          <w:szCs w:val="30"/>
          <w:highlight w:val="none"/>
        </w:rPr>
        <w:t>3突发事件危害性分析</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_Toc21184 </w:instrText>
      </w:r>
      <w:r>
        <w:rPr>
          <w:rFonts w:ascii="Times New Roman" w:eastAsia="楷体"/>
          <w:color w:val="auto"/>
          <w:highlight w:val="none"/>
        </w:rPr>
        <w:fldChar w:fldCharType="separate"/>
      </w:r>
      <w:r>
        <w:rPr>
          <w:rFonts w:ascii="Times New Roman" w:eastAsia="楷体"/>
          <w:color w:val="auto"/>
          <w:highlight w:val="none"/>
        </w:rPr>
        <w:t>- 265 -</w:t>
      </w:r>
      <w:r>
        <w:rPr>
          <w:rFonts w:ascii="Times New Roman" w:eastAsia="楷体"/>
          <w:color w:val="auto"/>
          <w:highlight w:val="none"/>
        </w:rPr>
        <w:fldChar w:fldCharType="end"/>
      </w:r>
      <w:r>
        <w:rPr>
          <w:rFonts w:ascii="Times New Roman" w:eastAsia="楷体"/>
          <w:color w:val="auto"/>
          <w:kern w:val="0"/>
          <w:highlight w:val="none"/>
        </w:rPr>
        <w:fldChar w:fldCharType="end"/>
      </w:r>
    </w:p>
    <w:p w14:paraId="43DE646C">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_Toc10930 </w:instrText>
      </w:r>
      <w:r>
        <w:rPr>
          <w:rFonts w:eastAsia="楷体"/>
          <w:bCs/>
          <w:color w:val="auto"/>
          <w:kern w:val="0"/>
          <w:szCs w:val="28"/>
          <w:highlight w:val="none"/>
        </w:rPr>
        <w:fldChar w:fldCharType="separate"/>
      </w:r>
      <w:r>
        <w:rPr>
          <w:rFonts w:eastAsia="楷体"/>
          <w:bCs/>
          <w:color w:val="auto"/>
          <w:szCs w:val="30"/>
          <w:highlight w:val="none"/>
        </w:rPr>
        <w:t>3.1 重大工程险情分析</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_Toc10930 </w:instrText>
      </w:r>
      <w:r>
        <w:rPr>
          <w:rFonts w:eastAsia="楷体"/>
          <w:bCs/>
          <w:color w:val="auto"/>
          <w:highlight w:val="none"/>
        </w:rPr>
        <w:fldChar w:fldCharType="separate"/>
      </w:r>
      <w:r>
        <w:rPr>
          <w:rFonts w:eastAsia="楷体"/>
          <w:bCs/>
          <w:color w:val="auto"/>
          <w:highlight w:val="none"/>
        </w:rPr>
        <w:t>- 265 -</w:t>
      </w:r>
      <w:r>
        <w:rPr>
          <w:rFonts w:eastAsia="楷体"/>
          <w:bCs/>
          <w:color w:val="auto"/>
          <w:highlight w:val="none"/>
        </w:rPr>
        <w:fldChar w:fldCharType="end"/>
      </w:r>
      <w:r>
        <w:rPr>
          <w:rFonts w:eastAsia="楷体"/>
          <w:bCs/>
          <w:color w:val="auto"/>
          <w:kern w:val="0"/>
          <w:szCs w:val="28"/>
          <w:highlight w:val="none"/>
        </w:rPr>
        <w:fldChar w:fldCharType="end"/>
      </w:r>
    </w:p>
    <w:p w14:paraId="4874BF9C">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_Toc12151 </w:instrText>
      </w:r>
      <w:r>
        <w:rPr>
          <w:rFonts w:eastAsia="楷体"/>
          <w:bCs/>
          <w:color w:val="auto"/>
          <w:kern w:val="0"/>
          <w:szCs w:val="28"/>
          <w:highlight w:val="none"/>
        </w:rPr>
        <w:fldChar w:fldCharType="separate"/>
      </w:r>
      <w:r>
        <w:rPr>
          <w:rFonts w:eastAsia="楷体"/>
          <w:bCs/>
          <w:color w:val="auto"/>
          <w:szCs w:val="30"/>
          <w:highlight w:val="none"/>
        </w:rPr>
        <w:t>3.2 突发事件（溃坝）危害性分析</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_Toc12151 </w:instrText>
      </w:r>
      <w:r>
        <w:rPr>
          <w:rFonts w:eastAsia="楷体"/>
          <w:bCs/>
          <w:color w:val="auto"/>
          <w:highlight w:val="none"/>
        </w:rPr>
        <w:fldChar w:fldCharType="separate"/>
      </w:r>
      <w:r>
        <w:rPr>
          <w:rFonts w:eastAsia="楷体"/>
          <w:bCs/>
          <w:color w:val="auto"/>
          <w:highlight w:val="none"/>
        </w:rPr>
        <w:t>- 265 -</w:t>
      </w:r>
      <w:r>
        <w:rPr>
          <w:rFonts w:eastAsia="楷体"/>
          <w:bCs/>
          <w:color w:val="auto"/>
          <w:highlight w:val="none"/>
        </w:rPr>
        <w:fldChar w:fldCharType="end"/>
      </w:r>
      <w:r>
        <w:rPr>
          <w:rFonts w:eastAsia="楷体"/>
          <w:bCs/>
          <w:color w:val="auto"/>
          <w:kern w:val="0"/>
          <w:szCs w:val="28"/>
          <w:highlight w:val="none"/>
        </w:rPr>
        <w:fldChar w:fldCharType="end"/>
      </w:r>
    </w:p>
    <w:p w14:paraId="23D7DE07">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_Toc13 </w:instrText>
      </w:r>
      <w:r>
        <w:rPr>
          <w:rFonts w:eastAsia="楷体"/>
          <w:bCs/>
          <w:color w:val="auto"/>
          <w:kern w:val="0"/>
          <w:szCs w:val="28"/>
          <w:highlight w:val="none"/>
        </w:rPr>
        <w:fldChar w:fldCharType="separate"/>
      </w:r>
      <w:r>
        <w:rPr>
          <w:rFonts w:eastAsia="楷体"/>
          <w:bCs/>
          <w:color w:val="auto"/>
          <w:szCs w:val="30"/>
          <w:highlight w:val="none"/>
        </w:rPr>
        <w:t>3.3 溃坝失事造成下游经济和社会损失影响分析</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_Toc13 </w:instrText>
      </w:r>
      <w:r>
        <w:rPr>
          <w:rFonts w:eastAsia="楷体"/>
          <w:bCs/>
          <w:color w:val="auto"/>
          <w:highlight w:val="none"/>
        </w:rPr>
        <w:fldChar w:fldCharType="separate"/>
      </w:r>
      <w:r>
        <w:rPr>
          <w:rFonts w:eastAsia="楷体"/>
          <w:bCs/>
          <w:color w:val="auto"/>
          <w:highlight w:val="none"/>
        </w:rPr>
        <w:t>- 265 -</w:t>
      </w:r>
      <w:r>
        <w:rPr>
          <w:rFonts w:eastAsia="楷体"/>
          <w:bCs/>
          <w:color w:val="auto"/>
          <w:highlight w:val="none"/>
        </w:rPr>
        <w:fldChar w:fldCharType="end"/>
      </w:r>
      <w:r>
        <w:rPr>
          <w:rFonts w:eastAsia="楷体"/>
          <w:bCs/>
          <w:color w:val="auto"/>
          <w:kern w:val="0"/>
          <w:szCs w:val="28"/>
          <w:highlight w:val="none"/>
        </w:rPr>
        <w:fldChar w:fldCharType="end"/>
      </w:r>
    </w:p>
    <w:p w14:paraId="0BB55252">
      <w:pPr>
        <w:pStyle w:val="13"/>
        <w:tabs>
          <w:tab w:val="right" w:leader="dot" w:pos="8306"/>
          <w:tab w:val="clear" w:pos="8296"/>
        </w:tabs>
        <w:spacing w:line="520" w:lineRule="exact"/>
        <w:ind w:firstLine="562"/>
        <w:rPr>
          <w:rFonts w:ascii="Times New Roman" w:eastAsia="楷体"/>
          <w:color w:val="auto"/>
          <w:highlight w:val="none"/>
        </w:rPr>
      </w:pPr>
      <w:r>
        <w:rPr>
          <w:rFonts w:ascii="Times New Roman" w:eastAsia="楷体"/>
          <w:color w:val="auto"/>
          <w:kern w:val="0"/>
          <w:highlight w:val="none"/>
        </w:rPr>
        <w:fldChar w:fldCharType="begin"/>
      </w:r>
      <w:r>
        <w:rPr>
          <w:rFonts w:ascii="Times New Roman" w:eastAsia="楷体"/>
          <w:color w:val="auto"/>
          <w:kern w:val="0"/>
          <w:highlight w:val="none"/>
        </w:rPr>
        <w:instrText xml:space="preserve"> HYPERLINK \l _Toc9103 </w:instrText>
      </w:r>
      <w:r>
        <w:rPr>
          <w:rFonts w:ascii="Times New Roman" w:eastAsia="楷体"/>
          <w:color w:val="auto"/>
          <w:kern w:val="0"/>
          <w:highlight w:val="none"/>
        </w:rPr>
        <w:fldChar w:fldCharType="separate"/>
      </w:r>
      <w:r>
        <w:rPr>
          <w:rFonts w:ascii="Times New Roman" w:eastAsia="楷体"/>
          <w:color w:val="auto"/>
          <w:szCs w:val="30"/>
          <w:highlight w:val="none"/>
        </w:rPr>
        <w:t>4 险情监测与报告</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_Toc9103 </w:instrText>
      </w:r>
      <w:r>
        <w:rPr>
          <w:rFonts w:ascii="Times New Roman" w:eastAsia="楷体"/>
          <w:color w:val="auto"/>
          <w:highlight w:val="none"/>
        </w:rPr>
        <w:fldChar w:fldCharType="separate"/>
      </w:r>
      <w:r>
        <w:rPr>
          <w:rFonts w:ascii="Times New Roman" w:eastAsia="楷体"/>
          <w:color w:val="auto"/>
          <w:highlight w:val="none"/>
        </w:rPr>
        <w:t>- 267 -</w:t>
      </w:r>
      <w:r>
        <w:rPr>
          <w:rFonts w:ascii="Times New Roman" w:eastAsia="楷体"/>
          <w:color w:val="auto"/>
          <w:highlight w:val="none"/>
        </w:rPr>
        <w:fldChar w:fldCharType="end"/>
      </w:r>
      <w:r>
        <w:rPr>
          <w:rFonts w:ascii="Times New Roman" w:eastAsia="楷体"/>
          <w:color w:val="auto"/>
          <w:kern w:val="0"/>
          <w:highlight w:val="none"/>
        </w:rPr>
        <w:fldChar w:fldCharType="end"/>
      </w:r>
    </w:p>
    <w:p w14:paraId="1711740B">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_Toc9065 </w:instrText>
      </w:r>
      <w:r>
        <w:rPr>
          <w:rFonts w:eastAsia="楷体"/>
          <w:bCs/>
          <w:color w:val="auto"/>
          <w:kern w:val="0"/>
          <w:szCs w:val="28"/>
          <w:highlight w:val="none"/>
        </w:rPr>
        <w:fldChar w:fldCharType="separate"/>
      </w:r>
      <w:r>
        <w:rPr>
          <w:rFonts w:eastAsia="楷体"/>
          <w:bCs/>
          <w:color w:val="auto"/>
          <w:szCs w:val="30"/>
          <w:highlight w:val="none"/>
        </w:rPr>
        <w:t>4.1险情监测和巡视</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_Toc9065 </w:instrText>
      </w:r>
      <w:r>
        <w:rPr>
          <w:rFonts w:eastAsia="楷体"/>
          <w:bCs/>
          <w:color w:val="auto"/>
          <w:highlight w:val="none"/>
        </w:rPr>
        <w:fldChar w:fldCharType="separate"/>
      </w:r>
      <w:r>
        <w:rPr>
          <w:rFonts w:eastAsia="楷体"/>
          <w:bCs/>
          <w:color w:val="auto"/>
          <w:highlight w:val="none"/>
        </w:rPr>
        <w:t>- 267 -</w:t>
      </w:r>
      <w:r>
        <w:rPr>
          <w:rFonts w:eastAsia="楷体"/>
          <w:bCs/>
          <w:color w:val="auto"/>
          <w:highlight w:val="none"/>
        </w:rPr>
        <w:fldChar w:fldCharType="end"/>
      </w:r>
      <w:r>
        <w:rPr>
          <w:rFonts w:eastAsia="楷体"/>
          <w:bCs/>
          <w:color w:val="auto"/>
          <w:kern w:val="0"/>
          <w:szCs w:val="28"/>
          <w:highlight w:val="none"/>
        </w:rPr>
        <w:fldChar w:fldCharType="end"/>
      </w:r>
    </w:p>
    <w:p w14:paraId="0B4C5CC1">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_Toc9767 </w:instrText>
      </w:r>
      <w:r>
        <w:rPr>
          <w:rFonts w:eastAsia="楷体"/>
          <w:bCs/>
          <w:color w:val="auto"/>
          <w:kern w:val="0"/>
          <w:szCs w:val="28"/>
          <w:highlight w:val="none"/>
        </w:rPr>
        <w:fldChar w:fldCharType="separate"/>
      </w:r>
      <w:r>
        <w:rPr>
          <w:rFonts w:eastAsia="楷体"/>
          <w:bCs/>
          <w:color w:val="auto"/>
          <w:szCs w:val="30"/>
          <w:highlight w:val="none"/>
        </w:rPr>
        <w:t>4.2 险情上报与通报</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_Toc9767 </w:instrText>
      </w:r>
      <w:r>
        <w:rPr>
          <w:rFonts w:eastAsia="楷体"/>
          <w:bCs/>
          <w:color w:val="auto"/>
          <w:highlight w:val="none"/>
        </w:rPr>
        <w:fldChar w:fldCharType="separate"/>
      </w:r>
      <w:r>
        <w:rPr>
          <w:rFonts w:eastAsia="楷体"/>
          <w:bCs/>
          <w:color w:val="auto"/>
          <w:highlight w:val="none"/>
        </w:rPr>
        <w:t>- 268 -</w:t>
      </w:r>
      <w:r>
        <w:rPr>
          <w:rFonts w:eastAsia="楷体"/>
          <w:bCs/>
          <w:color w:val="auto"/>
          <w:highlight w:val="none"/>
        </w:rPr>
        <w:fldChar w:fldCharType="end"/>
      </w:r>
      <w:r>
        <w:rPr>
          <w:rFonts w:eastAsia="楷体"/>
          <w:bCs/>
          <w:color w:val="auto"/>
          <w:kern w:val="0"/>
          <w:szCs w:val="28"/>
          <w:highlight w:val="none"/>
        </w:rPr>
        <w:fldChar w:fldCharType="end"/>
      </w:r>
    </w:p>
    <w:p w14:paraId="15F00524">
      <w:pPr>
        <w:pStyle w:val="13"/>
        <w:tabs>
          <w:tab w:val="right" w:leader="dot" w:pos="8306"/>
          <w:tab w:val="clear" w:pos="8296"/>
        </w:tabs>
        <w:spacing w:line="520" w:lineRule="exact"/>
        <w:ind w:firstLine="562"/>
        <w:rPr>
          <w:rFonts w:ascii="Times New Roman" w:eastAsia="楷体"/>
          <w:color w:val="auto"/>
          <w:highlight w:val="none"/>
        </w:rPr>
      </w:pPr>
      <w:r>
        <w:rPr>
          <w:rFonts w:ascii="Times New Roman" w:eastAsia="楷体"/>
          <w:color w:val="auto"/>
          <w:kern w:val="0"/>
          <w:highlight w:val="none"/>
        </w:rPr>
        <w:fldChar w:fldCharType="begin"/>
      </w:r>
      <w:r>
        <w:rPr>
          <w:rFonts w:ascii="Times New Roman" w:eastAsia="楷体"/>
          <w:color w:val="auto"/>
          <w:kern w:val="0"/>
          <w:highlight w:val="none"/>
        </w:rPr>
        <w:instrText xml:space="preserve"> HYPERLINK \l _Toc4797 </w:instrText>
      </w:r>
      <w:r>
        <w:rPr>
          <w:rFonts w:ascii="Times New Roman" w:eastAsia="楷体"/>
          <w:color w:val="auto"/>
          <w:kern w:val="0"/>
          <w:highlight w:val="none"/>
        </w:rPr>
        <w:fldChar w:fldCharType="separate"/>
      </w:r>
      <w:r>
        <w:rPr>
          <w:rFonts w:ascii="Times New Roman" w:eastAsia="楷体"/>
          <w:color w:val="auto"/>
          <w:szCs w:val="30"/>
          <w:highlight w:val="none"/>
        </w:rPr>
        <w:t>5 险情抢护</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_Toc4797 </w:instrText>
      </w:r>
      <w:r>
        <w:rPr>
          <w:rFonts w:ascii="Times New Roman" w:eastAsia="楷体"/>
          <w:color w:val="auto"/>
          <w:highlight w:val="none"/>
        </w:rPr>
        <w:fldChar w:fldCharType="separate"/>
      </w:r>
      <w:r>
        <w:rPr>
          <w:rFonts w:ascii="Times New Roman" w:eastAsia="楷体"/>
          <w:color w:val="auto"/>
          <w:highlight w:val="none"/>
        </w:rPr>
        <w:t>- 269 -</w:t>
      </w:r>
      <w:r>
        <w:rPr>
          <w:rFonts w:ascii="Times New Roman" w:eastAsia="楷体"/>
          <w:color w:val="auto"/>
          <w:highlight w:val="none"/>
        </w:rPr>
        <w:fldChar w:fldCharType="end"/>
      </w:r>
      <w:r>
        <w:rPr>
          <w:rFonts w:ascii="Times New Roman" w:eastAsia="楷体"/>
          <w:color w:val="auto"/>
          <w:kern w:val="0"/>
          <w:highlight w:val="none"/>
        </w:rPr>
        <w:fldChar w:fldCharType="end"/>
      </w:r>
    </w:p>
    <w:p w14:paraId="4CE2C2A2">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_Toc15232 </w:instrText>
      </w:r>
      <w:r>
        <w:rPr>
          <w:rFonts w:eastAsia="楷体"/>
          <w:bCs/>
          <w:color w:val="auto"/>
          <w:kern w:val="0"/>
          <w:szCs w:val="28"/>
          <w:highlight w:val="none"/>
        </w:rPr>
        <w:fldChar w:fldCharType="separate"/>
      </w:r>
      <w:r>
        <w:rPr>
          <w:rFonts w:eastAsia="楷体"/>
          <w:bCs/>
          <w:color w:val="auto"/>
          <w:szCs w:val="30"/>
          <w:highlight w:val="none"/>
        </w:rPr>
        <w:t>5.1 抢险调度</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_Toc15232 </w:instrText>
      </w:r>
      <w:r>
        <w:rPr>
          <w:rFonts w:eastAsia="楷体"/>
          <w:bCs/>
          <w:color w:val="auto"/>
          <w:highlight w:val="none"/>
        </w:rPr>
        <w:fldChar w:fldCharType="separate"/>
      </w:r>
      <w:r>
        <w:rPr>
          <w:rFonts w:eastAsia="楷体"/>
          <w:bCs/>
          <w:color w:val="auto"/>
          <w:highlight w:val="none"/>
        </w:rPr>
        <w:t>- 269 -</w:t>
      </w:r>
      <w:r>
        <w:rPr>
          <w:rFonts w:eastAsia="楷体"/>
          <w:bCs/>
          <w:color w:val="auto"/>
          <w:highlight w:val="none"/>
        </w:rPr>
        <w:fldChar w:fldCharType="end"/>
      </w:r>
      <w:r>
        <w:rPr>
          <w:rFonts w:eastAsia="楷体"/>
          <w:bCs/>
          <w:color w:val="auto"/>
          <w:kern w:val="0"/>
          <w:szCs w:val="28"/>
          <w:highlight w:val="none"/>
        </w:rPr>
        <w:fldChar w:fldCharType="end"/>
      </w:r>
    </w:p>
    <w:p w14:paraId="5BEB2FD9">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_Toc20185 </w:instrText>
      </w:r>
      <w:r>
        <w:rPr>
          <w:rFonts w:eastAsia="楷体"/>
          <w:bCs/>
          <w:color w:val="auto"/>
          <w:kern w:val="0"/>
          <w:szCs w:val="28"/>
          <w:highlight w:val="none"/>
        </w:rPr>
        <w:fldChar w:fldCharType="separate"/>
      </w:r>
      <w:r>
        <w:rPr>
          <w:rFonts w:eastAsia="楷体"/>
          <w:bCs/>
          <w:color w:val="auto"/>
          <w:szCs w:val="30"/>
          <w:highlight w:val="none"/>
        </w:rPr>
        <w:t>5.2抢险措施</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_Toc20185 </w:instrText>
      </w:r>
      <w:r>
        <w:rPr>
          <w:rFonts w:eastAsia="楷体"/>
          <w:bCs/>
          <w:color w:val="auto"/>
          <w:highlight w:val="none"/>
        </w:rPr>
        <w:fldChar w:fldCharType="separate"/>
      </w:r>
      <w:r>
        <w:rPr>
          <w:rFonts w:eastAsia="楷体"/>
          <w:bCs/>
          <w:color w:val="auto"/>
          <w:highlight w:val="none"/>
        </w:rPr>
        <w:t>- 269 -</w:t>
      </w:r>
      <w:r>
        <w:rPr>
          <w:rFonts w:eastAsia="楷体"/>
          <w:bCs/>
          <w:color w:val="auto"/>
          <w:highlight w:val="none"/>
        </w:rPr>
        <w:fldChar w:fldCharType="end"/>
      </w:r>
      <w:r>
        <w:rPr>
          <w:rFonts w:eastAsia="楷体"/>
          <w:bCs/>
          <w:color w:val="auto"/>
          <w:kern w:val="0"/>
          <w:szCs w:val="28"/>
          <w:highlight w:val="none"/>
        </w:rPr>
        <w:fldChar w:fldCharType="end"/>
      </w:r>
    </w:p>
    <w:p w14:paraId="53DCC3E3">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_Toc8277 </w:instrText>
      </w:r>
      <w:r>
        <w:rPr>
          <w:rFonts w:eastAsia="楷体"/>
          <w:bCs/>
          <w:color w:val="auto"/>
          <w:kern w:val="0"/>
          <w:szCs w:val="28"/>
          <w:highlight w:val="none"/>
        </w:rPr>
        <w:fldChar w:fldCharType="separate"/>
      </w:r>
      <w:r>
        <w:rPr>
          <w:rFonts w:eastAsia="楷体"/>
          <w:bCs/>
          <w:color w:val="auto"/>
          <w:szCs w:val="30"/>
          <w:highlight w:val="none"/>
        </w:rPr>
        <w:t>5.3 应急转移</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_Toc8277 </w:instrText>
      </w:r>
      <w:r>
        <w:rPr>
          <w:rFonts w:eastAsia="楷体"/>
          <w:bCs/>
          <w:color w:val="auto"/>
          <w:highlight w:val="none"/>
        </w:rPr>
        <w:fldChar w:fldCharType="separate"/>
      </w:r>
      <w:r>
        <w:rPr>
          <w:rFonts w:eastAsia="楷体"/>
          <w:bCs/>
          <w:color w:val="auto"/>
          <w:highlight w:val="none"/>
        </w:rPr>
        <w:t>- 271 -</w:t>
      </w:r>
      <w:r>
        <w:rPr>
          <w:rFonts w:eastAsia="楷体"/>
          <w:bCs/>
          <w:color w:val="auto"/>
          <w:highlight w:val="none"/>
        </w:rPr>
        <w:fldChar w:fldCharType="end"/>
      </w:r>
      <w:r>
        <w:rPr>
          <w:rFonts w:eastAsia="楷体"/>
          <w:bCs/>
          <w:color w:val="auto"/>
          <w:kern w:val="0"/>
          <w:szCs w:val="28"/>
          <w:highlight w:val="none"/>
        </w:rPr>
        <w:fldChar w:fldCharType="end"/>
      </w:r>
    </w:p>
    <w:p w14:paraId="25FFB165">
      <w:pPr>
        <w:pStyle w:val="13"/>
        <w:tabs>
          <w:tab w:val="right" w:leader="dot" w:pos="8306"/>
          <w:tab w:val="clear" w:pos="8296"/>
        </w:tabs>
        <w:spacing w:line="520" w:lineRule="exact"/>
        <w:ind w:firstLine="562"/>
        <w:rPr>
          <w:rFonts w:ascii="Times New Roman" w:eastAsia="楷体"/>
          <w:color w:val="auto"/>
          <w:highlight w:val="none"/>
        </w:rPr>
      </w:pPr>
      <w:r>
        <w:rPr>
          <w:rFonts w:ascii="Times New Roman" w:eastAsia="楷体"/>
          <w:color w:val="auto"/>
          <w:kern w:val="0"/>
          <w:highlight w:val="none"/>
        </w:rPr>
        <w:fldChar w:fldCharType="begin"/>
      </w:r>
      <w:r>
        <w:rPr>
          <w:rFonts w:ascii="Times New Roman" w:eastAsia="楷体"/>
          <w:color w:val="auto"/>
          <w:kern w:val="0"/>
          <w:highlight w:val="none"/>
        </w:rPr>
        <w:instrText xml:space="preserve"> HYPERLINK \l _Toc11254 </w:instrText>
      </w:r>
      <w:r>
        <w:rPr>
          <w:rFonts w:ascii="Times New Roman" w:eastAsia="楷体"/>
          <w:color w:val="auto"/>
          <w:kern w:val="0"/>
          <w:highlight w:val="none"/>
        </w:rPr>
        <w:fldChar w:fldCharType="separate"/>
      </w:r>
      <w:r>
        <w:rPr>
          <w:rFonts w:ascii="Times New Roman" w:eastAsia="楷体"/>
          <w:color w:val="auto"/>
          <w:szCs w:val="30"/>
          <w:highlight w:val="none"/>
        </w:rPr>
        <w:t>6 应急保障</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_Toc11254 </w:instrText>
      </w:r>
      <w:r>
        <w:rPr>
          <w:rFonts w:ascii="Times New Roman" w:eastAsia="楷体"/>
          <w:color w:val="auto"/>
          <w:highlight w:val="none"/>
        </w:rPr>
        <w:fldChar w:fldCharType="separate"/>
      </w:r>
      <w:r>
        <w:rPr>
          <w:rFonts w:ascii="Times New Roman" w:eastAsia="楷体"/>
          <w:color w:val="auto"/>
          <w:highlight w:val="none"/>
        </w:rPr>
        <w:t>- 273 -</w:t>
      </w:r>
      <w:r>
        <w:rPr>
          <w:rFonts w:ascii="Times New Roman" w:eastAsia="楷体"/>
          <w:color w:val="auto"/>
          <w:highlight w:val="none"/>
        </w:rPr>
        <w:fldChar w:fldCharType="end"/>
      </w:r>
      <w:r>
        <w:rPr>
          <w:rFonts w:ascii="Times New Roman" w:eastAsia="楷体"/>
          <w:color w:val="auto"/>
          <w:kern w:val="0"/>
          <w:highlight w:val="none"/>
        </w:rPr>
        <w:fldChar w:fldCharType="end"/>
      </w:r>
    </w:p>
    <w:p w14:paraId="02761FD5">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_Toc24772 </w:instrText>
      </w:r>
      <w:r>
        <w:rPr>
          <w:rFonts w:eastAsia="楷体"/>
          <w:bCs/>
          <w:color w:val="auto"/>
          <w:kern w:val="0"/>
          <w:szCs w:val="28"/>
          <w:highlight w:val="none"/>
        </w:rPr>
        <w:fldChar w:fldCharType="separate"/>
      </w:r>
      <w:r>
        <w:rPr>
          <w:rFonts w:eastAsia="楷体"/>
          <w:bCs/>
          <w:color w:val="auto"/>
          <w:szCs w:val="30"/>
          <w:highlight w:val="none"/>
        </w:rPr>
        <w:t>6.1 组织保障</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_Toc24772 </w:instrText>
      </w:r>
      <w:r>
        <w:rPr>
          <w:rFonts w:eastAsia="楷体"/>
          <w:bCs/>
          <w:color w:val="auto"/>
          <w:highlight w:val="none"/>
        </w:rPr>
        <w:fldChar w:fldCharType="separate"/>
      </w:r>
      <w:r>
        <w:rPr>
          <w:rFonts w:eastAsia="楷体"/>
          <w:bCs/>
          <w:color w:val="auto"/>
          <w:highlight w:val="none"/>
        </w:rPr>
        <w:t>- 273 -</w:t>
      </w:r>
      <w:r>
        <w:rPr>
          <w:rFonts w:eastAsia="楷体"/>
          <w:bCs/>
          <w:color w:val="auto"/>
          <w:highlight w:val="none"/>
        </w:rPr>
        <w:fldChar w:fldCharType="end"/>
      </w:r>
      <w:r>
        <w:rPr>
          <w:rFonts w:eastAsia="楷体"/>
          <w:bCs/>
          <w:color w:val="auto"/>
          <w:kern w:val="0"/>
          <w:szCs w:val="28"/>
          <w:highlight w:val="none"/>
        </w:rPr>
        <w:fldChar w:fldCharType="end"/>
      </w:r>
    </w:p>
    <w:p w14:paraId="52F53E3B">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_Toc29561 </w:instrText>
      </w:r>
      <w:r>
        <w:rPr>
          <w:rFonts w:eastAsia="楷体"/>
          <w:bCs/>
          <w:color w:val="auto"/>
          <w:kern w:val="0"/>
          <w:szCs w:val="28"/>
          <w:highlight w:val="none"/>
        </w:rPr>
        <w:fldChar w:fldCharType="separate"/>
      </w:r>
      <w:r>
        <w:rPr>
          <w:rFonts w:eastAsia="楷体"/>
          <w:bCs/>
          <w:color w:val="auto"/>
          <w:szCs w:val="30"/>
          <w:highlight w:val="none"/>
        </w:rPr>
        <w:t>6.2 队伍保障</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_Toc29561 </w:instrText>
      </w:r>
      <w:r>
        <w:rPr>
          <w:rFonts w:eastAsia="楷体"/>
          <w:bCs/>
          <w:color w:val="auto"/>
          <w:highlight w:val="none"/>
        </w:rPr>
        <w:fldChar w:fldCharType="separate"/>
      </w:r>
      <w:r>
        <w:rPr>
          <w:rFonts w:eastAsia="楷体"/>
          <w:bCs/>
          <w:color w:val="auto"/>
          <w:highlight w:val="none"/>
        </w:rPr>
        <w:t>- 275 -</w:t>
      </w:r>
      <w:r>
        <w:rPr>
          <w:rFonts w:eastAsia="楷体"/>
          <w:bCs/>
          <w:color w:val="auto"/>
          <w:highlight w:val="none"/>
        </w:rPr>
        <w:fldChar w:fldCharType="end"/>
      </w:r>
      <w:r>
        <w:rPr>
          <w:rFonts w:eastAsia="楷体"/>
          <w:bCs/>
          <w:color w:val="auto"/>
          <w:kern w:val="0"/>
          <w:szCs w:val="28"/>
          <w:highlight w:val="none"/>
        </w:rPr>
        <w:fldChar w:fldCharType="end"/>
      </w:r>
    </w:p>
    <w:p w14:paraId="07637E07">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_Toc16237 </w:instrText>
      </w:r>
      <w:r>
        <w:rPr>
          <w:rFonts w:eastAsia="楷体"/>
          <w:bCs/>
          <w:color w:val="auto"/>
          <w:kern w:val="0"/>
          <w:szCs w:val="28"/>
          <w:highlight w:val="none"/>
        </w:rPr>
        <w:fldChar w:fldCharType="separate"/>
      </w:r>
      <w:r>
        <w:rPr>
          <w:rFonts w:eastAsia="楷体"/>
          <w:bCs/>
          <w:color w:val="auto"/>
          <w:szCs w:val="30"/>
          <w:highlight w:val="none"/>
        </w:rPr>
        <w:t>6.3 物资保障</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_Toc16237 </w:instrText>
      </w:r>
      <w:r>
        <w:rPr>
          <w:rFonts w:eastAsia="楷体"/>
          <w:bCs/>
          <w:color w:val="auto"/>
          <w:highlight w:val="none"/>
        </w:rPr>
        <w:fldChar w:fldCharType="separate"/>
      </w:r>
      <w:r>
        <w:rPr>
          <w:rFonts w:eastAsia="楷体"/>
          <w:bCs/>
          <w:color w:val="auto"/>
          <w:highlight w:val="none"/>
        </w:rPr>
        <w:t>- 275 -</w:t>
      </w:r>
      <w:r>
        <w:rPr>
          <w:rFonts w:eastAsia="楷体"/>
          <w:bCs/>
          <w:color w:val="auto"/>
          <w:highlight w:val="none"/>
        </w:rPr>
        <w:fldChar w:fldCharType="end"/>
      </w:r>
      <w:r>
        <w:rPr>
          <w:rFonts w:eastAsia="楷体"/>
          <w:bCs/>
          <w:color w:val="auto"/>
          <w:kern w:val="0"/>
          <w:szCs w:val="28"/>
          <w:highlight w:val="none"/>
        </w:rPr>
        <w:fldChar w:fldCharType="end"/>
      </w:r>
    </w:p>
    <w:p w14:paraId="2A534483">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_Toc14017 </w:instrText>
      </w:r>
      <w:r>
        <w:rPr>
          <w:rFonts w:eastAsia="楷体"/>
          <w:bCs/>
          <w:color w:val="auto"/>
          <w:kern w:val="0"/>
          <w:szCs w:val="28"/>
          <w:highlight w:val="none"/>
        </w:rPr>
        <w:fldChar w:fldCharType="separate"/>
      </w:r>
      <w:r>
        <w:rPr>
          <w:rFonts w:eastAsia="楷体"/>
          <w:bCs/>
          <w:color w:val="auto"/>
          <w:szCs w:val="30"/>
          <w:highlight w:val="none"/>
        </w:rPr>
        <w:t>6.4通讯保障</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_Toc14017 </w:instrText>
      </w:r>
      <w:r>
        <w:rPr>
          <w:rFonts w:eastAsia="楷体"/>
          <w:bCs/>
          <w:color w:val="auto"/>
          <w:highlight w:val="none"/>
        </w:rPr>
        <w:fldChar w:fldCharType="separate"/>
      </w:r>
      <w:r>
        <w:rPr>
          <w:rFonts w:eastAsia="楷体"/>
          <w:bCs/>
          <w:color w:val="auto"/>
          <w:highlight w:val="none"/>
        </w:rPr>
        <w:t>- 276 -</w:t>
      </w:r>
      <w:r>
        <w:rPr>
          <w:rFonts w:eastAsia="楷体"/>
          <w:bCs/>
          <w:color w:val="auto"/>
          <w:highlight w:val="none"/>
        </w:rPr>
        <w:fldChar w:fldCharType="end"/>
      </w:r>
      <w:r>
        <w:rPr>
          <w:rFonts w:eastAsia="楷体"/>
          <w:bCs/>
          <w:color w:val="auto"/>
          <w:kern w:val="0"/>
          <w:szCs w:val="28"/>
          <w:highlight w:val="none"/>
        </w:rPr>
        <w:fldChar w:fldCharType="end"/>
      </w:r>
    </w:p>
    <w:p w14:paraId="4E2A0B11">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_Toc5419 </w:instrText>
      </w:r>
      <w:r>
        <w:rPr>
          <w:rFonts w:eastAsia="楷体"/>
          <w:bCs/>
          <w:color w:val="auto"/>
          <w:kern w:val="0"/>
          <w:szCs w:val="28"/>
          <w:highlight w:val="none"/>
        </w:rPr>
        <w:fldChar w:fldCharType="separate"/>
      </w:r>
      <w:r>
        <w:rPr>
          <w:rFonts w:eastAsia="楷体"/>
          <w:bCs/>
          <w:color w:val="auto"/>
          <w:szCs w:val="30"/>
          <w:highlight w:val="none"/>
        </w:rPr>
        <w:t>6.5其他保障</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_Toc5419 </w:instrText>
      </w:r>
      <w:r>
        <w:rPr>
          <w:rFonts w:eastAsia="楷体"/>
          <w:bCs/>
          <w:color w:val="auto"/>
          <w:highlight w:val="none"/>
        </w:rPr>
        <w:fldChar w:fldCharType="separate"/>
      </w:r>
      <w:r>
        <w:rPr>
          <w:rFonts w:eastAsia="楷体"/>
          <w:bCs/>
          <w:color w:val="auto"/>
          <w:highlight w:val="none"/>
        </w:rPr>
        <w:t>- 276 -</w:t>
      </w:r>
      <w:r>
        <w:rPr>
          <w:rFonts w:eastAsia="楷体"/>
          <w:bCs/>
          <w:color w:val="auto"/>
          <w:highlight w:val="none"/>
        </w:rPr>
        <w:fldChar w:fldCharType="end"/>
      </w:r>
      <w:r>
        <w:rPr>
          <w:rFonts w:eastAsia="楷体"/>
          <w:bCs/>
          <w:color w:val="auto"/>
          <w:kern w:val="0"/>
          <w:szCs w:val="28"/>
          <w:highlight w:val="none"/>
        </w:rPr>
        <w:fldChar w:fldCharType="end"/>
      </w:r>
    </w:p>
    <w:p w14:paraId="19A1FAFE">
      <w:pPr>
        <w:pStyle w:val="13"/>
        <w:tabs>
          <w:tab w:val="right" w:leader="dot" w:pos="8306"/>
          <w:tab w:val="clear" w:pos="8296"/>
        </w:tabs>
        <w:spacing w:line="520" w:lineRule="exact"/>
        <w:ind w:firstLine="562"/>
        <w:rPr>
          <w:rFonts w:ascii="Times New Roman" w:eastAsia="楷体"/>
          <w:color w:val="auto"/>
          <w:highlight w:val="none"/>
        </w:rPr>
      </w:pPr>
      <w:r>
        <w:rPr>
          <w:rFonts w:ascii="Times New Roman" w:eastAsia="楷体"/>
          <w:color w:val="auto"/>
          <w:kern w:val="0"/>
          <w:highlight w:val="none"/>
        </w:rPr>
        <w:fldChar w:fldCharType="begin"/>
      </w:r>
      <w:r>
        <w:rPr>
          <w:rFonts w:ascii="Times New Roman" w:eastAsia="楷体"/>
          <w:color w:val="auto"/>
          <w:kern w:val="0"/>
          <w:highlight w:val="none"/>
        </w:rPr>
        <w:instrText xml:space="preserve"> HYPERLINK \l _Toc28054 </w:instrText>
      </w:r>
      <w:r>
        <w:rPr>
          <w:rFonts w:ascii="Times New Roman" w:eastAsia="楷体"/>
          <w:color w:val="auto"/>
          <w:kern w:val="0"/>
          <w:highlight w:val="none"/>
        </w:rPr>
        <w:fldChar w:fldCharType="separate"/>
      </w:r>
      <w:r>
        <w:rPr>
          <w:rFonts w:ascii="Times New Roman" w:eastAsia="楷体"/>
          <w:color w:val="auto"/>
          <w:szCs w:val="30"/>
          <w:highlight w:val="none"/>
        </w:rPr>
        <w:t>7 《应急预案》启动和结束</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_Toc28054 </w:instrText>
      </w:r>
      <w:r>
        <w:rPr>
          <w:rFonts w:ascii="Times New Roman" w:eastAsia="楷体"/>
          <w:color w:val="auto"/>
          <w:highlight w:val="none"/>
        </w:rPr>
        <w:fldChar w:fldCharType="separate"/>
      </w:r>
      <w:r>
        <w:rPr>
          <w:rFonts w:ascii="Times New Roman" w:eastAsia="楷体"/>
          <w:color w:val="auto"/>
          <w:highlight w:val="none"/>
        </w:rPr>
        <w:t>- 278 -</w:t>
      </w:r>
      <w:r>
        <w:rPr>
          <w:rFonts w:ascii="Times New Roman" w:eastAsia="楷体"/>
          <w:color w:val="auto"/>
          <w:highlight w:val="none"/>
        </w:rPr>
        <w:fldChar w:fldCharType="end"/>
      </w:r>
      <w:r>
        <w:rPr>
          <w:rFonts w:ascii="Times New Roman" w:eastAsia="楷体"/>
          <w:color w:val="auto"/>
          <w:kern w:val="0"/>
          <w:highlight w:val="none"/>
        </w:rPr>
        <w:fldChar w:fldCharType="end"/>
      </w:r>
    </w:p>
    <w:p w14:paraId="40FE2B1D">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_Toc2574 </w:instrText>
      </w:r>
      <w:r>
        <w:rPr>
          <w:rFonts w:eastAsia="楷体"/>
          <w:bCs/>
          <w:color w:val="auto"/>
          <w:kern w:val="0"/>
          <w:szCs w:val="28"/>
          <w:highlight w:val="none"/>
        </w:rPr>
        <w:fldChar w:fldCharType="separate"/>
      </w:r>
      <w:r>
        <w:rPr>
          <w:rFonts w:eastAsia="楷体"/>
          <w:bCs/>
          <w:color w:val="auto"/>
          <w:highlight w:val="none"/>
        </w:rPr>
        <w:t>7.1 启动与结束条件</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_Toc2574 </w:instrText>
      </w:r>
      <w:r>
        <w:rPr>
          <w:rFonts w:eastAsia="楷体"/>
          <w:bCs/>
          <w:color w:val="auto"/>
          <w:highlight w:val="none"/>
        </w:rPr>
        <w:fldChar w:fldCharType="separate"/>
      </w:r>
      <w:r>
        <w:rPr>
          <w:rFonts w:eastAsia="楷体"/>
          <w:bCs/>
          <w:color w:val="auto"/>
          <w:highlight w:val="none"/>
        </w:rPr>
        <w:t>- 278 -</w:t>
      </w:r>
      <w:r>
        <w:rPr>
          <w:rFonts w:eastAsia="楷体"/>
          <w:bCs/>
          <w:color w:val="auto"/>
          <w:highlight w:val="none"/>
        </w:rPr>
        <w:fldChar w:fldCharType="end"/>
      </w:r>
      <w:r>
        <w:rPr>
          <w:rFonts w:eastAsia="楷体"/>
          <w:bCs/>
          <w:color w:val="auto"/>
          <w:kern w:val="0"/>
          <w:szCs w:val="28"/>
          <w:highlight w:val="none"/>
        </w:rPr>
        <w:fldChar w:fldCharType="end"/>
      </w:r>
    </w:p>
    <w:p w14:paraId="291708DF">
      <w:pPr>
        <w:pStyle w:val="14"/>
        <w:tabs>
          <w:tab w:val="right" w:leader="dot" w:pos="8306"/>
        </w:tabs>
        <w:spacing w:line="520" w:lineRule="exact"/>
        <w:ind w:firstLine="560"/>
        <w:rPr>
          <w:rFonts w:eastAsia="楷体"/>
          <w:bCs/>
          <w:color w:val="auto"/>
          <w:highlight w:val="none"/>
        </w:rPr>
      </w:pPr>
      <w:r>
        <w:rPr>
          <w:rFonts w:eastAsia="楷体"/>
          <w:bCs/>
          <w:color w:val="auto"/>
          <w:kern w:val="0"/>
          <w:szCs w:val="28"/>
          <w:highlight w:val="none"/>
        </w:rPr>
        <w:fldChar w:fldCharType="begin"/>
      </w:r>
      <w:r>
        <w:rPr>
          <w:rFonts w:eastAsia="楷体"/>
          <w:bCs/>
          <w:color w:val="auto"/>
          <w:kern w:val="0"/>
          <w:szCs w:val="28"/>
          <w:highlight w:val="none"/>
        </w:rPr>
        <w:instrText xml:space="preserve"> HYPERLINK \l _Toc369 </w:instrText>
      </w:r>
      <w:r>
        <w:rPr>
          <w:rFonts w:eastAsia="楷体"/>
          <w:bCs/>
          <w:color w:val="auto"/>
          <w:kern w:val="0"/>
          <w:szCs w:val="28"/>
          <w:highlight w:val="none"/>
        </w:rPr>
        <w:fldChar w:fldCharType="separate"/>
      </w:r>
      <w:r>
        <w:rPr>
          <w:rFonts w:eastAsia="楷体"/>
          <w:bCs/>
          <w:color w:val="auto"/>
          <w:highlight w:val="none"/>
        </w:rPr>
        <w:t>7.2 决策机构与程序</w:t>
      </w:r>
      <w:r>
        <w:rPr>
          <w:rFonts w:eastAsia="楷体"/>
          <w:bCs/>
          <w:color w:val="auto"/>
          <w:highlight w:val="none"/>
        </w:rPr>
        <w:tab/>
      </w:r>
      <w:r>
        <w:rPr>
          <w:rFonts w:eastAsia="楷体"/>
          <w:bCs/>
          <w:color w:val="auto"/>
          <w:highlight w:val="none"/>
        </w:rPr>
        <w:fldChar w:fldCharType="begin"/>
      </w:r>
      <w:r>
        <w:rPr>
          <w:rFonts w:eastAsia="楷体"/>
          <w:bCs/>
          <w:color w:val="auto"/>
          <w:highlight w:val="none"/>
        </w:rPr>
        <w:instrText xml:space="preserve"> PAGEREF _Toc369 </w:instrText>
      </w:r>
      <w:r>
        <w:rPr>
          <w:rFonts w:eastAsia="楷体"/>
          <w:bCs/>
          <w:color w:val="auto"/>
          <w:highlight w:val="none"/>
        </w:rPr>
        <w:fldChar w:fldCharType="separate"/>
      </w:r>
      <w:r>
        <w:rPr>
          <w:rFonts w:eastAsia="楷体"/>
          <w:bCs/>
          <w:color w:val="auto"/>
          <w:highlight w:val="none"/>
        </w:rPr>
        <w:t>- 278 -</w:t>
      </w:r>
      <w:r>
        <w:rPr>
          <w:rFonts w:eastAsia="楷体"/>
          <w:bCs/>
          <w:color w:val="auto"/>
          <w:highlight w:val="none"/>
        </w:rPr>
        <w:fldChar w:fldCharType="end"/>
      </w:r>
      <w:r>
        <w:rPr>
          <w:rFonts w:eastAsia="楷体"/>
          <w:bCs/>
          <w:color w:val="auto"/>
          <w:kern w:val="0"/>
          <w:szCs w:val="28"/>
          <w:highlight w:val="none"/>
        </w:rPr>
        <w:fldChar w:fldCharType="end"/>
      </w:r>
    </w:p>
    <w:p w14:paraId="76FD5EBF">
      <w:pPr>
        <w:pStyle w:val="13"/>
        <w:tabs>
          <w:tab w:val="right" w:leader="dot" w:pos="8306"/>
          <w:tab w:val="clear" w:pos="8296"/>
        </w:tabs>
        <w:spacing w:line="520" w:lineRule="exact"/>
        <w:ind w:firstLine="562"/>
        <w:rPr>
          <w:rFonts w:ascii="Times New Roman" w:eastAsia="楷体"/>
          <w:color w:val="auto"/>
          <w:highlight w:val="none"/>
        </w:rPr>
      </w:pPr>
      <w:r>
        <w:rPr>
          <w:rFonts w:ascii="Times New Roman" w:eastAsia="楷体"/>
          <w:color w:val="auto"/>
          <w:kern w:val="0"/>
          <w:highlight w:val="none"/>
        </w:rPr>
        <w:fldChar w:fldCharType="begin"/>
      </w:r>
      <w:r>
        <w:rPr>
          <w:rFonts w:ascii="Times New Roman" w:eastAsia="楷体"/>
          <w:color w:val="auto"/>
          <w:kern w:val="0"/>
          <w:highlight w:val="none"/>
        </w:rPr>
        <w:instrText xml:space="preserve"> HYPERLINK \l _Toc15125 </w:instrText>
      </w:r>
      <w:r>
        <w:rPr>
          <w:rFonts w:ascii="Times New Roman" w:eastAsia="楷体"/>
          <w:color w:val="auto"/>
          <w:kern w:val="0"/>
          <w:highlight w:val="none"/>
        </w:rPr>
        <w:fldChar w:fldCharType="separate"/>
      </w:r>
      <w:r>
        <w:rPr>
          <w:rFonts w:ascii="Times New Roman" w:eastAsia="楷体"/>
          <w:color w:val="auto"/>
          <w:szCs w:val="32"/>
          <w:highlight w:val="none"/>
        </w:rPr>
        <w:t>8 附件</w:t>
      </w:r>
      <w:r>
        <w:rPr>
          <w:rFonts w:ascii="Times New Roman" w:eastAsia="楷体"/>
          <w:color w:val="auto"/>
          <w:highlight w:val="none"/>
        </w:rPr>
        <w:tab/>
      </w:r>
      <w:r>
        <w:rPr>
          <w:rFonts w:ascii="Times New Roman" w:eastAsia="楷体"/>
          <w:color w:val="auto"/>
          <w:highlight w:val="none"/>
        </w:rPr>
        <w:fldChar w:fldCharType="begin"/>
      </w:r>
      <w:r>
        <w:rPr>
          <w:rFonts w:ascii="Times New Roman" w:eastAsia="楷体"/>
          <w:color w:val="auto"/>
          <w:highlight w:val="none"/>
        </w:rPr>
        <w:instrText xml:space="preserve"> PAGEREF _Toc15125 </w:instrText>
      </w:r>
      <w:r>
        <w:rPr>
          <w:rFonts w:ascii="Times New Roman" w:eastAsia="楷体"/>
          <w:color w:val="auto"/>
          <w:highlight w:val="none"/>
        </w:rPr>
        <w:fldChar w:fldCharType="separate"/>
      </w:r>
      <w:r>
        <w:rPr>
          <w:rFonts w:ascii="Times New Roman" w:eastAsia="楷体"/>
          <w:color w:val="auto"/>
          <w:highlight w:val="none"/>
        </w:rPr>
        <w:t>- 279 -</w:t>
      </w:r>
      <w:r>
        <w:rPr>
          <w:rFonts w:ascii="Times New Roman" w:eastAsia="楷体"/>
          <w:color w:val="auto"/>
          <w:highlight w:val="none"/>
        </w:rPr>
        <w:fldChar w:fldCharType="end"/>
      </w:r>
      <w:r>
        <w:rPr>
          <w:rFonts w:ascii="Times New Roman" w:eastAsia="楷体"/>
          <w:color w:val="auto"/>
          <w:kern w:val="0"/>
          <w:highlight w:val="none"/>
        </w:rPr>
        <w:fldChar w:fldCharType="end"/>
      </w:r>
    </w:p>
    <w:p w14:paraId="09A8F95E">
      <w:pPr>
        <w:spacing w:line="480" w:lineRule="exact"/>
        <w:rPr>
          <w:rFonts w:eastAsia="楷体"/>
          <w:b/>
          <w:color w:val="auto"/>
          <w:kern w:val="0"/>
          <w:szCs w:val="28"/>
          <w:highlight w:val="none"/>
        </w:rPr>
      </w:pPr>
      <w:r>
        <w:rPr>
          <w:rFonts w:eastAsia="楷体"/>
          <w:b/>
          <w:color w:val="auto"/>
          <w:kern w:val="0"/>
          <w:szCs w:val="28"/>
          <w:highlight w:val="none"/>
        </w:rPr>
        <w:fldChar w:fldCharType="end"/>
      </w:r>
    </w:p>
    <w:p w14:paraId="1C6769B2">
      <w:pPr>
        <w:rPr>
          <w:rStyle w:val="45"/>
          <w:rFonts w:ascii="Times New Roman" w:hAnsi="Times New Roman" w:eastAsia="楷体"/>
          <w:b/>
          <w:bCs/>
          <w:color w:val="auto"/>
          <w:sz w:val="36"/>
          <w:szCs w:val="36"/>
          <w:highlight w:val="none"/>
        </w:rPr>
        <w:sectPr>
          <w:headerReference r:id="rId7" w:type="default"/>
          <w:footerReference r:id="rId8" w:type="default"/>
          <w:pgSz w:w="11906" w:h="16838"/>
          <w:pgMar w:top="1440" w:right="1800" w:bottom="1440" w:left="1800" w:header="851" w:footer="992" w:gutter="0"/>
          <w:pgNumType w:fmt="numberInDash"/>
          <w:cols w:space="720" w:num="1"/>
          <w:docGrid w:type="lines" w:linePitch="312" w:charSpace="0"/>
        </w:sectPr>
      </w:pPr>
    </w:p>
    <w:p w14:paraId="62EAB437">
      <w:pPr>
        <w:rPr>
          <w:rStyle w:val="46"/>
          <w:rFonts w:eastAsia="楷体"/>
          <w:color w:val="auto"/>
          <w:sz w:val="24"/>
          <w:highlight w:val="none"/>
        </w:rPr>
      </w:pPr>
    </w:p>
    <w:p w14:paraId="664A3F78">
      <w:pPr>
        <w:adjustRightInd w:val="0"/>
        <w:snapToGrid w:val="0"/>
        <w:spacing w:line="520" w:lineRule="exact"/>
        <w:jc w:val="center"/>
        <w:outlineLvl w:val="0"/>
        <w:rPr>
          <w:rStyle w:val="46"/>
          <w:rFonts w:eastAsia="楷体"/>
          <w:b/>
          <w:bCs/>
          <w:color w:val="auto"/>
          <w:sz w:val="36"/>
          <w:szCs w:val="36"/>
          <w:highlight w:val="none"/>
        </w:rPr>
      </w:pPr>
      <w:bookmarkStart w:id="23" w:name="_Toc32304"/>
      <w:r>
        <w:rPr>
          <w:rStyle w:val="46"/>
          <w:rFonts w:eastAsia="楷体"/>
          <w:b/>
          <w:bCs/>
          <w:color w:val="auto"/>
          <w:sz w:val="36"/>
          <w:szCs w:val="36"/>
          <w:highlight w:val="none"/>
        </w:rPr>
        <w:t>1 总则</w:t>
      </w:r>
      <w:bookmarkEnd w:id="23"/>
    </w:p>
    <w:p w14:paraId="5F0330AC">
      <w:pPr>
        <w:adjustRightInd w:val="0"/>
        <w:snapToGrid w:val="0"/>
        <w:spacing w:before="156" w:beforeLines="50" w:after="156" w:afterLines="50" w:line="360" w:lineRule="auto"/>
        <w:outlineLvl w:val="1"/>
        <w:rPr>
          <w:rFonts w:eastAsia="楷体"/>
          <w:color w:val="auto"/>
          <w:sz w:val="32"/>
          <w:szCs w:val="20"/>
          <w:highlight w:val="none"/>
        </w:rPr>
      </w:pPr>
      <w:bookmarkStart w:id="24" w:name="_Toc10067"/>
      <w:r>
        <w:rPr>
          <w:rStyle w:val="46"/>
          <w:rFonts w:eastAsia="楷体"/>
          <w:b/>
          <w:bCs/>
          <w:color w:val="auto"/>
          <w:sz w:val="32"/>
          <w:highlight w:val="none"/>
        </w:rPr>
        <w:t>1.1 目的</w:t>
      </w:r>
      <w:bookmarkEnd w:id="24"/>
    </w:p>
    <w:p w14:paraId="592241C6">
      <w:pPr>
        <w:spacing w:line="520" w:lineRule="exact"/>
        <w:ind w:firstLine="560" w:firstLineChars="200"/>
        <w:rPr>
          <w:rFonts w:eastAsia="楷体"/>
          <w:color w:val="auto"/>
          <w:sz w:val="28"/>
          <w:szCs w:val="28"/>
          <w:highlight w:val="none"/>
        </w:rPr>
      </w:pPr>
      <w:r>
        <w:rPr>
          <w:rFonts w:eastAsia="楷体"/>
          <w:color w:val="auto"/>
          <w:sz w:val="28"/>
          <w:szCs w:val="28"/>
          <w:highlight w:val="none"/>
        </w:rPr>
        <w:t>为提高四清水库突发事件应对能力，切实做好四清水库遭遇突发事件的防洪抢险调度和险情抢护工作，力保四清水库工程安全，最大程度保障人民群众生命安全，减少损失，结合实际运行情况，编制《四清水库防洪抢险应急预案》（以下简称《应急预案》）。</w:t>
      </w:r>
    </w:p>
    <w:p w14:paraId="25924D56">
      <w:pPr>
        <w:adjustRightInd w:val="0"/>
        <w:snapToGrid w:val="0"/>
        <w:spacing w:before="156" w:beforeLines="50" w:after="156" w:afterLines="50" w:line="360" w:lineRule="auto"/>
        <w:outlineLvl w:val="1"/>
        <w:rPr>
          <w:rStyle w:val="46"/>
          <w:rFonts w:eastAsia="楷体"/>
          <w:b/>
          <w:bCs/>
          <w:color w:val="auto"/>
          <w:sz w:val="32"/>
          <w:highlight w:val="none"/>
        </w:rPr>
      </w:pPr>
      <w:bookmarkStart w:id="25" w:name="_Toc19894"/>
      <w:r>
        <w:rPr>
          <w:rStyle w:val="46"/>
          <w:rFonts w:eastAsia="楷体"/>
          <w:b/>
          <w:bCs/>
          <w:color w:val="auto"/>
          <w:sz w:val="32"/>
          <w:highlight w:val="none"/>
        </w:rPr>
        <w:t>1.2 编制依据</w:t>
      </w:r>
      <w:bookmarkEnd w:id="25"/>
    </w:p>
    <w:p w14:paraId="7C2E9FAA">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根据省防指《福建省水库大坝汛期防洪调度运用计划和防洪抢险应急预案审批管理办法（试行）》（闽防〔2010〕1号）文件，编制《应急预案》。主要依据的法律法规和文件有：</w:t>
      </w:r>
    </w:p>
    <w:p w14:paraId="51FDF3FC">
      <w:pPr>
        <w:spacing w:line="520" w:lineRule="exact"/>
        <w:ind w:firstLine="560" w:firstLineChars="200"/>
        <w:rPr>
          <w:rFonts w:eastAsia="楷体"/>
          <w:color w:val="auto"/>
          <w:sz w:val="28"/>
          <w:szCs w:val="28"/>
          <w:highlight w:val="none"/>
        </w:rPr>
      </w:pPr>
      <w:r>
        <w:rPr>
          <w:rFonts w:eastAsia="楷体"/>
          <w:color w:val="auto"/>
          <w:sz w:val="28"/>
          <w:szCs w:val="28"/>
          <w:highlight w:val="none"/>
        </w:rPr>
        <w:t>1.《水库防汛抢险应急预案编制大纲》</w:t>
      </w:r>
    </w:p>
    <w:p w14:paraId="12795780">
      <w:pPr>
        <w:spacing w:line="520" w:lineRule="exact"/>
        <w:ind w:firstLine="560" w:firstLineChars="200"/>
        <w:rPr>
          <w:rFonts w:eastAsia="楷体"/>
          <w:color w:val="auto"/>
          <w:sz w:val="28"/>
          <w:szCs w:val="28"/>
          <w:highlight w:val="none"/>
        </w:rPr>
      </w:pPr>
      <w:r>
        <w:rPr>
          <w:rFonts w:eastAsia="楷体"/>
          <w:color w:val="auto"/>
          <w:sz w:val="28"/>
          <w:szCs w:val="28"/>
          <w:highlight w:val="none"/>
        </w:rPr>
        <w:t>2.《福建省水库大坝安全管理规定（试行）》（闽政〔2009〕24号）；</w:t>
      </w:r>
    </w:p>
    <w:p w14:paraId="2616DB98">
      <w:pPr>
        <w:spacing w:line="520" w:lineRule="exact"/>
        <w:ind w:firstLine="560" w:firstLineChars="200"/>
        <w:rPr>
          <w:rFonts w:eastAsia="楷体"/>
          <w:color w:val="auto"/>
          <w:sz w:val="28"/>
          <w:szCs w:val="28"/>
          <w:highlight w:val="none"/>
        </w:rPr>
      </w:pPr>
      <w:r>
        <w:rPr>
          <w:rFonts w:eastAsia="楷体"/>
          <w:color w:val="auto"/>
          <w:sz w:val="28"/>
          <w:szCs w:val="28"/>
          <w:highlight w:val="none"/>
        </w:rPr>
        <w:t>3.《中华人民共和国防洪法》；</w:t>
      </w:r>
    </w:p>
    <w:p w14:paraId="5C166015">
      <w:pPr>
        <w:spacing w:line="520" w:lineRule="exact"/>
        <w:ind w:firstLine="560" w:firstLineChars="200"/>
        <w:rPr>
          <w:rFonts w:eastAsia="楷体"/>
          <w:color w:val="auto"/>
          <w:sz w:val="28"/>
          <w:szCs w:val="28"/>
          <w:highlight w:val="none"/>
        </w:rPr>
      </w:pPr>
      <w:r>
        <w:rPr>
          <w:rFonts w:eastAsia="楷体"/>
          <w:color w:val="auto"/>
          <w:sz w:val="28"/>
          <w:szCs w:val="28"/>
          <w:highlight w:val="none"/>
        </w:rPr>
        <w:t>4.《</w:t>
      </w:r>
      <w:r>
        <w:rPr>
          <w:rFonts w:hint="eastAsia" w:eastAsia="楷体"/>
          <w:color w:val="auto"/>
          <w:sz w:val="28"/>
          <w:szCs w:val="28"/>
          <w:highlight w:val="none"/>
          <w:lang w:eastAsia="zh-CN"/>
        </w:rPr>
        <w:t>中华人民共和国防汛条例</w:t>
      </w:r>
      <w:r>
        <w:rPr>
          <w:rFonts w:eastAsia="楷体"/>
          <w:color w:val="auto"/>
          <w:sz w:val="28"/>
          <w:szCs w:val="28"/>
          <w:highlight w:val="none"/>
        </w:rPr>
        <w:t>》；</w:t>
      </w:r>
    </w:p>
    <w:p w14:paraId="761E9CDC">
      <w:pPr>
        <w:spacing w:line="520" w:lineRule="exact"/>
        <w:ind w:firstLine="560" w:firstLineChars="200"/>
        <w:rPr>
          <w:rFonts w:eastAsia="楷体"/>
          <w:color w:val="auto"/>
          <w:sz w:val="28"/>
          <w:szCs w:val="28"/>
          <w:highlight w:val="none"/>
        </w:rPr>
      </w:pPr>
      <w:r>
        <w:rPr>
          <w:rFonts w:eastAsia="楷体"/>
          <w:color w:val="auto"/>
          <w:sz w:val="28"/>
          <w:szCs w:val="28"/>
          <w:highlight w:val="none"/>
        </w:rPr>
        <w:t>5.《综合利用水库调度通则》；</w:t>
      </w:r>
    </w:p>
    <w:p w14:paraId="369E4401">
      <w:pPr>
        <w:spacing w:line="520" w:lineRule="exact"/>
        <w:ind w:firstLine="560" w:firstLineChars="200"/>
        <w:rPr>
          <w:rFonts w:eastAsia="楷体"/>
          <w:color w:val="auto"/>
          <w:sz w:val="28"/>
          <w:szCs w:val="28"/>
          <w:highlight w:val="none"/>
        </w:rPr>
      </w:pPr>
      <w:r>
        <w:rPr>
          <w:rFonts w:eastAsia="楷体"/>
          <w:color w:val="auto"/>
          <w:sz w:val="28"/>
          <w:szCs w:val="28"/>
          <w:highlight w:val="none"/>
        </w:rPr>
        <w:t>6.《防洪标准》（GB50201-2014）；</w:t>
      </w:r>
    </w:p>
    <w:p w14:paraId="2974A375">
      <w:pPr>
        <w:widowControl/>
        <w:spacing w:line="520" w:lineRule="exact"/>
        <w:ind w:firstLine="560" w:firstLineChars="200"/>
        <w:jc w:val="left"/>
        <w:rPr>
          <w:rFonts w:eastAsia="楷体"/>
          <w:color w:val="auto"/>
          <w:sz w:val="28"/>
          <w:szCs w:val="28"/>
          <w:highlight w:val="none"/>
        </w:rPr>
      </w:pPr>
      <w:r>
        <w:rPr>
          <w:rFonts w:eastAsia="楷体"/>
          <w:color w:val="auto"/>
          <w:sz w:val="28"/>
          <w:szCs w:val="28"/>
          <w:highlight w:val="none"/>
        </w:rPr>
        <w:t>7.《水利水电工程等级划分及洪水标准》（SL252-20</w:t>
      </w:r>
      <w:r>
        <w:rPr>
          <w:rFonts w:hint="eastAsia" w:eastAsia="楷体"/>
          <w:color w:val="auto"/>
          <w:sz w:val="28"/>
          <w:szCs w:val="28"/>
          <w:highlight w:val="none"/>
        </w:rPr>
        <w:t>17</w:t>
      </w:r>
      <w:r>
        <w:rPr>
          <w:rFonts w:eastAsia="楷体"/>
          <w:color w:val="auto"/>
          <w:sz w:val="28"/>
          <w:szCs w:val="28"/>
          <w:highlight w:val="none"/>
        </w:rPr>
        <w:t>）；</w:t>
      </w:r>
    </w:p>
    <w:p w14:paraId="717E2CC2">
      <w:pPr>
        <w:widowControl/>
        <w:spacing w:line="520" w:lineRule="exact"/>
        <w:ind w:firstLine="560" w:firstLineChars="200"/>
        <w:jc w:val="left"/>
        <w:rPr>
          <w:rFonts w:eastAsia="楷体"/>
          <w:color w:val="auto"/>
          <w:kern w:val="0"/>
          <w:sz w:val="28"/>
          <w:szCs w:val="28"/>
          <w:highlight w:val="none"/>
        </w:rPr>
      </w:pPr>
      <w:r>
        <w:rPr>
          <w:rFonts w:eastAsia="楷体"/>
          <w:color w:val="auto"/>
          <w:sz w:val="28"/>
          <w:szCs w:val="28"/>
          <w:highlight w:val="none"/>
        </w:rPr>
        <w:t>8.《福建省防洪条例》。</w:t>
      </w:r>
    </w:p>
    <w:p w14:paraId="472FC796">
      <w:pPr>
        <w:adjustRightInd w:val="0"/>
        <w:snapToGrid w:val="0"/>
        <w:spacing w:before="156" w:beforeLines="50" w:after="156" w:afterLines="50" w:line="360" w:lineRule="auto"/>
        <w:outlineLvl w:val="1"/>
        <w:rPr>
          <w:rStyle w:val="46"/>
          <w:rFonts w:eastAsia="楷体"/>
          <w:b/>
          <w:bCs/>
          <w:color w:val="auto"/>
          <w:sz w:val="32"/>
          <w:highlight w:val="none"/>
        </w:rPr>
      </w:pPr>
      <w:bookmarkStart w:id="26" w:name="_Toc30233"/>
      <w:r>
        <w:rPr>
          <w:rStyle w:val="46"/>
          <w:rFonts w:eastAsia="楷体"/>
          <w:b/>
          <w:bCs/>
          <w:color w:val="auto"/>
          <w:sz w:val="32"/>
          <w:highlight w:val="none"/>
        </w:rPr>
        <w:t>1.3 工作原则</w:t>
      </w:r>
      <w:bookmarkEnd w:id="26"/>
    </w:p>
    <w:p w14:paraId="73910E83">
      <w:pPr>
        <w:widowControl/>
        <w:spacing w:line="520" w:lineRule="exact"/>
        <w:ind w:firstLine="560" w:firstLineChars="200"/>
        <w:jc w:val="left"/>
        <w:rPr>
          <w:rFonts w:eastAsia="楷体"/>
          <w:color w:val="auto"/>
          <w:sz w:val="32"/>
          <w:szCs w:val="32"/>
          <w:highlight w:val="none"/>
        </w:rPr>
      </w:pPr>
      <w:r>
        <w:rPr>
          <w:rFonts w:eastAsia="楷体"/>
          <w:color w:val="auto"/>
          <w:sz w:val="28"/>
          <w:szCs w:val="28"/>
          <w:highlight w:val="none"/>
        </w:rPr>
        <w:t>《应急预案》的编制应坚持“安全第一、常备不懈、以防为主、全力抢险”的防洪工作方针，围绕“准备充分、调度科学、反应迅速、决策准确、保障有力”的总体要求，防洪工作实行全面规划、统筹兼顾、预防为主、综合治理、局部利益服从全局利益的原则；贯彻行政首长负责制，以防为主，防抢结合；全面部署，保证重点，统一指挥，统一调度，服从大局，团结抗洪；明确职责，规范工作；工程措施和非工程措施相结合，调动一切力量防洪抗灾，以确保人民群众生命安全为首要目标，最大限度地降低洪涝灾害造成的损失。</w:t>
      </w:r>
    </w:p>
    <w:p w14:paraId="043282F6">
      <w:pPr>
        <w:adjustRightInd w:val="0"/>
        <w:snapToGrid w:val="0"/>
        <w:spacing w:before="156" w:beforeLines="50" w:after="156" w:afterLines="50"/>
        <w:outlineLvl w:val="1"/>
        <w:rPr>
          <w:rFonts w:eastAsia="楷体"/>
          <w:b/>
          <w:color w:val="auto"/>
          <w:sz w:val="32"/>
          <w:szCs w:val="30"/>
          <w:highlight w:val="none"/>
        </w:rPr>
      </w:pPr>
      <w:bookmarkStart w:id="27" w:name="_Toc26488"/>
      <w:r>
        <w:rPr>
          <w:rFonts w:eastAsia="楷体"/>
          <w:b/>
          <w:color w:val="auto"/>
          <w:sz w:val="32"/>
          <w:szCs w:val="30"/>
          <w:highlight w:val="none"/>
        </w:rPr>
        <w:t>1.4 适用范围</w:t>
      </w:r>
      <w:bookmarkEnd w:id="27"/>
    </w:p>
    <w:p w14:paraId="634A8478">
      <w:pPr>
        <w:widowControl/>
        <w:spacing w:line="520" w:lineRule="exact"/>
        <w:ind w:firstLine="560" w:firstLineChars="200"/>
        <w:jc w:val="left"/>
        <w:rPr>
          <w:rFonts w:eastAsia="楷体"/>
          <w:color w:val="auto"/>
          <w:sz w:val="28"/>
          <w:szCs w:val="28"/>
          <w:highlight w:val="none"/>
        </w:rPr>
      </w:pPr>
      <w:r>
        <w:rPr>
          <w:rFonts w:eastAsia="楷体"/>
          <w:color w:val="auto"/>
          <w:sz w:val="28"/>
          <w:szCs w:val="28"/>
          <w:highlight w:val="none"/>
        </w:rPr>
        <w:t>当水库遭遇以下突发事件而使水库工程出现险情时，启动本预案进行抗洪抢险。</w:t>
      </w:r>
    </w:p>
    <w:p w14:paraId="612A6DB0">
      <w:pPr>
        <w:numPr>
          <w:ilvl w:val="0"/>
          <w:numId w:val="7"/>
        </w:numPr>
        <w:spacing w:line="520" w:lineRule="exact"/>
        <w:ind w:firstLine="560" w:firstLineChars="200"/>
        <w:rPr>
          <w:rFonts w:eastAsia="楷体"/>
          <w:color w:val="auto"/>
          <w:sz w:val="28"/>
          <w:szCs w:val="28"/>
          <w:highlight w:val="none"/>
        </w:rPr>
      </w:pPr>
      <w:r>
        <w:rPr>
          <w:rFonts w:eastAsia="楷体"/>
          <w:color w:val="auto"/>
          <w:sz w:val="28"/>
          <w:szCs w:val="28"/>
          <w:highlight w:val="none"/>
        </w:rPr>
        <w:t>工程隐患，主要体现在①挡水建筑物：发生严重的大坝裂缝、滑坡、管涌以及漏水、大面积散渗、集中渗流、决口等危及大坝安全的险情。②泄水建筑物：紧急泄洪时溢洪道启闭设备失灵，侧墙倒塌，底部严重冲刷等危及大坝安全的险情。③放水涵洞出现严重断裂或堵塞，大量漏水，启闭设备失灵等可能危及大坝安全的险情。（2）遭遇超标准洪水；（3）库区水面附近山体的滑坡和塌方等地质灾害；（4）地震灾害；（5）上游水库溃坝；（6）上游大体积漂移物的撞击事件；（7）战争或恐怖事件；（8）其它突发事件。</w:t>
      </w:r>
    </w:p>
    <w:p w14:paraId="1CB065B5">
      <w:pPr>
        <w:spacing w:line="360" w:lineRule="auto"/>
        <w:rPr>
          <w:rFonts w:eastAsia="楷体"/>
          <w:color w:val="auto"/>
          <w:sz w:val="32"/>
          <w:szCs w:val="32"/>
          <w:highlight w:val="none"/>
        </w:rPr>
      </w:pPr>
    </w:p>
    <w:p w14:paraId="1B6F84F4">
      <w:pPr>
        <w:spacing w:line="360" w:lineRule="auto"/>
        <w:rPr>
          <w:rFonts w:eastAsia="楷体"/>
          <w:color w:val="auto"/>
          <w:sz w:val="32"/>
          <w:szCs w:val="32"/>
          <w:highlight w:val="none"/>
        </w:rPr>
      </w:pPr>
    </w:p>
    <w:p w14:paraId="65B50565">
      <w:pPr>
        <w:spacing w:line="360" w:lineRule="auto"/>
        <w:rPr>
          <w:rFonts w:eastAsia="楷体"/>
          <w:color w:val="auto"/>
          <w:sz w:val="32"/>
          <w:szCs w:val="32"/>
          <w:highlight w:val="none"/>
        </w:rPr>
      </w:pPr>
    </w:p>
    <w:p w14:paraId="328791E4">
      <w:pPr>
        <w:spacing w:line="360" w:lineRule="auto"/>
        <w:rPr>
          <w:rFonts w:eastAsia="楷体"/>
          <w:color w:val="auto"/>
          <w:sz w:val="32"/>
          <w:szCs w:val="32"/>
          <w:highlight w:val="none"/>
        </w:rPr>
      </w:pPr>
    </w:p>
    <w:p w14:paraId="3F08E024">
      <w:pPr>
        <w:spacing w:line="360" w:lineRule="auto"/>
        <w:rPr>
          <w:rFonts w:eastAsia="楷体"/>
          <w:color w:val="auto"/>
          <w:sz w:val="32"/>
          <w:szCs w:val="32"/>
          <w:highlight w:val="none"/>
        </w:rPr>
      </w:pPr>
    </w:p>
    <w:p w14:paraId="1E581177">
      <w:pPr>
        <w:spacing w:line="360" w:lineRule="auto"/>
        <w:rPr>
          <w:rFonts w:eastAsia="楷体"/>
          <w:color w:val="auto"/>
          <w:sz w:val="32"/>
          <w:szCs w:val="32"/>
          <w:highlight w:val="none"/>
        </w:rPr>
      </w:pPr>
    </w:p>
    <w:p w14:paraId="1209A05F">
      <w:pPr>
        <w:spacing w:line="360" w:lineRule="auto"/>
        <w:rPr>
          <w:rFonts w:eastAsia="楷体"/>
          <w:color w:val="auto"/>
          <w:sz w:val="32"/>
          <w:szCs w:val="32"/>
          <w:highlight w:val="none"/>
        </w:rPr>
      </w:pPr>
    </w:p>
    <w:p w14:paraId="6D8C2865">
      <w:pPr>
        <w:spacing w:line="360" w:lineRule="auto"/>
        <w:rPr>
          <w:rFonts w:eastAsia="楷体"/>
          <w:color w:val="auto"/>
          <w:sz w:val="32"/>
          <w:szCs w:val="32"/>
          <w:highlight w:val="none"/>
        </w:rPr>
      </w:pPr>
    </w:p>
    <w:p w14:paraId="1C3C26F3">
      <w:pPr>
        <w:spacing w:line="360" w:lineRule="auto"/>
        <w:rPr>
          <w:rFonts w:eastAsia="楷体"/>
          <w:color w:val="auto"/>
          <w:sz w:val="32"/>
          <w:szCs w:val="32"/>
          <w:highlight w:val="none"/>
        </w:rPr>
      </w:pPr>
    </w:p>
    <w:p w14:paraId="76C72928">
      <w:pPr>
        <w:adjustRightInd w:val="0"/>
        <w:snapToGrid w:val="0"/>
        <w:spacing w:line="520" w:lineRule="exact"/>
        <w:jc w:val="center"/>
        <w:outlineLvl w:val="0"/>
        <w:rPr>
          <w:rFonts w:eastAsia="楷体"/>
          <w:b/>
          <w:color w:val="auto"/>
          <w:sz w:val="36"/>
          <w:szCs w:val="36"/>
          <w:highlight w:val="none"/>
        </w:rPr>
      </w:pPr>
      <w:bookmarkStart w:id="28" w:name="_Toc23606"/>
      <w:r>
        <w:rPr>
          <w:rFonts w:eastAsia="楷体"/>
          <w:b/>
          <w:color w:val="auto"/>
          <w:sz w:val="36"/>
          <w:szCs w:val="36"/>
          <w:highlight w:val="none"/>
        </w:rPr>
        <w:t>2 工程概况</w:t>
      </w:r>
      <w:bookmarkEnd w:id="28"/>
    </w:p>
    <w:p w14:paraId="4E4A5FDF">
      <w:pPr>
        <w:adjustRightInd w:val="0"/>
        <w:snapToGrid w:val="0"/>
        <w:spacing w:before="156" w:beforeLines="50" w:after="156" w:afterLines="50"/>
        <w:outlineLvl w:val="1"/>
        <w:rPr>
          <w:rFonts w:eastAsia="楷体"/>
          <w:b/>
          <w:color w:val="auto"/>
          <w:sz w:val="32"/>
          <w:szCs w:val="30"/>
          <w:highlight w:val="none"/>
        </w:rPr>
      </w:pPr>
      <w:bookmarkStart w:id="29" w:name="_Toc18975"/>
      <w:r>
        <w:rPr>
          <w:rFonts w:eastAsia="楷体"/>
          <w:b/>
          <w:color w:val="auto"/>
          <w:sz w:val="32"/>
          <w:szCs w:val="30"/>
          <w:highlight w:val="none"/>
        </w:rPr>
        <w:t>2.1 流域概况</w:t>
      </w:r>
      <w:bookmarkEnd w:id="29"/>
    </w:p>
    <w:p w14:paraId="465B74D9">
      <w:pPr>
        <w:spacing w:line="520" w:lineRule="exact"/>
        <w:ind w:firstLine="560" w:firstLineChars="200"/>
        <w:rPr>
          <w:rFonts w:eastAsia="楷体"/>
          <w:color w:val="auto"/>
          <w:sz w:val="28"/>
          <w:szCs w:val="28"/>
          <w:highlight w:val="none"/>
        </w:rPr>
      </w:pPr>
      <w:r>
        <w:rPr>
          <w:rFonts w:eastAsia="楷体"/>
          <w:color w:val="auto"/>
          <w:sz w:val="28"/>
          <w:szCs w:val="28"/>
          <w:highlight w:val="none"/>
        </w:rPr>
        <w:t>四清水库位于泉港区前黄镇坑内村，系属坝头溪支流，是一座以农业灌溉为主，结合防洪、养殖等综合利用的小（2）型水库。四清水库始建于1964年2月，1966年8月竣工并投入运行。</w:t>
      </w:r>
    </w:p>
    <w:p w14:paraId="6535DCDF">
      <w:pPr>
        <w:spacing w:line="520" w:lineRule="exact"/>
        <w:ind w:firstLine="561"/>
        <w:rPr>
          <w:rFonts w:hint="eastAsia" w:eastAsia="楷体"/>
          <w:color w:val="auto"/>
          <w:sz w:val="28"/>
          <w:szCs w:val="28"/>
          <w:highlight w:val="none"/>
        </w:rPr>
      </w:pPr>
      <w:r>
        <w:rPr>
          <w:rFonts w:eastAsia="楷体"/>
          <w:color w:val="auto"/>
          <w:sz w:val="28"/>
          <w:szCs w:val="28"/>
          <w:highlight w:val="none"/>
        </w:rPr>
        <w:t>该工程自建成投效以来，以农业灌溉为主，结合防洪、养殖等多方面中充分发挥了本工程的效益。水库</w:t>
      </w:r>
      <w:r>
        <w:rPr>
          <w:rFonts w:hint="eastAsia" w:eastAsia="楷体"/>
          <w:color w:val="auto"/>
          <w:sz w:val="28"/>
          <w:szCs w:val="28"/>
          <w:highlight w:val="none"/>
        </w:rPr>
        <w:t>有效</w:t>
      </w:r>
      <w:r>
        <w:rPr>
          <w:rFonts w:eastAsia="楷体"/>
          <w:color w:val="auto"/>
          <w:sz w:val="28"/>
          <w:szCs w:val="28"/>
          <w:highlight w:val="none"/>
        </w:rPr>
        <w:t>灌溉面积</w:t>
      </w:r>
      <w:r>
        <w:rPr>
          <w:rFonts w:hint="eastAsia" w:eastAsia="楷体"/>
          <w:color w:val="auto"/>
          <w:sz w:val="28"/>
          <w:szCs w:val="28"/>
          <w:highlight w:val="none"/>
        </w:rPr>
        <w:t>7</w:t>
      </w:r>
      <w:r>
        <w:rPr>
          <w:rFonts w:eastAsia="楷体"/>
          <w:color w:val="auto"/>
          <w:sz w:val="28"/>
          <w:szCs w:val="28"/>
          <w:highlight w:val="none"/>
        </w:rPr>
        <w:t>00亩</w:t>
      </w:r>
      <w:r>
        <w:rPr>
          <w:rFonts w:hint="eastAsia" w:eastAsia="楷体"/>
          <w:color w:val="auto"/>
          <w:sz w:val="28"/>
          <w:szCs w:val="28"/>
          <w:highlight w:val="none"/>
        </w:rPr>
        <w:t>，最大实灌面积700亩，</w:t>
      </w:r>
      <w:r>
        <w:rPr>
          <w:rFonts w:eastAsia="楷体"/>
          <w:color w:val="auto"/>
          <w:sz w:val="28"/>
          <w:szCs w:val="28"/>
          <w:highlight w:val="none"/>
        </w:rPr>
        <w:t>下游涉及保护人口2</w:t>
      </w:r>
      <w:r>
        <w:rPr>
          <w:rFonts w:hint="eastAsia" w:eastAsia="楷体"/>
          <w:color w:val="auto"/>
          <w:sz w:val="28"/>
          <w:szCs w:val="28"/>
          <w:highlight w:val="none"/>
        </w:rPr>
        <w:t>5</w:t>
      </w:r>
      <w:r>
        <w:rPr>
          <w:rFonts w:eastAsia="楷体"/>
          <w:color w:val="auto"/>
          <w:sz w:val="28"/>
          <w:szCs w:val="28"/>
          <w:highlight w:val="none"/>
        </w:rPr>
        <w:t>00人，为当地农业生产和保证人民生命财产安全发挥了重要的作用。</w:t>
      </w:r>
    </w:p>
    <w:p w14:paraId="47ECD591">
      <w:pPr>
        <w:spacing w:line="520" w:lineRule="exact"/>
        <w:ind w:firstLine="561"/>
        <w:rPr>
          <w:rFonts w:hint="eastAsia" w:eastAsia="楷体"/>
          <w:color w:val="auto"/>
          <w:sz w:val="28"/>
          <w:szCs w:val="28"/>
          <w:highlight w:val="none"/>
        </w:rPr>
      </w:pPr>
      <w:r>
        <w:rPr>
          <w:rFonts w:hint="eastAsia" w:hAnsi="楷体" w:eastAsia="楷体"/>
          <w:color w:val="auto"/>
          <w:sz w:val="28"/>
          <w:szCs w:val="28"/>
          <w:highlight w:val="none"/>
        </w:rPr>
        <w:t>四清水库位于泉港区前黄镇坑内村，所属河流发源于南埔镇天湖村东南部的天湖岩山（海拔121.3m），自北向南经天湖村、坑内村、凤姿村后，于风山村西部汇入坝头溪。大坝位于东经118°53'29.10"，北纬25°10'10.96"，是一座以灌溉为主，结合防洪、养殖等综合利用的小（2）型水库。四清水库坝址以上集水面积为0.47km</w:t>
      </w:r>
      <w:r>
        <w:rPr>
          <w:rFonts w:hint="eastAsia" w:hAnsi="楷体" w:eastAsia="楷体"/>
          <w:color w:val="auto"/>
          <w:sz w:val="28"/>
          <w:szCs w:val="28"/>
          <w:highlight w:val="none"/>
          <w:vertAlign w:val="superscript"/>
        </w:rPr>
        <w:t>2</w:t>
      </w:r>
      <w:r>
        <w:rPr>
          <w:rFonts w:hint="eastAsia" w:hAnsi="楷体" w:eastAsia="楷体"/>
          <w:color w:val="auto"/>
          <w:sz w:val="28"/>
          <w:szCs w:val="28"/>
          <w:highlight w:val="none"/>
        </w:rPr>
        <w:t>，主河道河长0.9km，主河道平均坡降39.89‰，所在流域为扇形水系。</w:t>
      </w:r>
    </w:p>
    <w:p w14:paraId="7866914E">
      <w:pPr>
        <w:adjustRightInd w:val="0"/>
        <w:snapToGrid w:val="0"/>
        <w:spacing w:line="520" w:lineRule="exact"/>
        <w:outlineLvl w:val="1"/>
        <w:rPr>
          <w:rFonts w:eastAsia="楷体"/>
          <w:b/>
          <w:color w:val="auto"/>
          <w:sz w:val="32"/>
          <w:szCs w:val="30"/>
          <w:highlight w:val="none"/>
        </w:rPr>
      </w:pPr>
      <w:bookmarkStart w:id="30" w:name="_Toc26605"/>
      <w:r>
        <w:rPr>
          <w:rFonts w:eastAsia="楷体"/>
          <w:b/>
          <w:color w:val="auto"/>
          <w:sz w:val="32"/>
          <w:szCs w:val="30"/>
          <w:highlight w:val="none"/>
        </w:rPr>
        <w:t>2.2 工程基本情况</w:t>
      </w:r>
      <w:bookmarkEnd w:id="30"/>
    </w:p>
    <w:p w14:paraId="589EC3C4">
      <w:pPr>
        <w:spacing w:line="520" w:lineRule="exact"/>
        <w:outlineLvl w:val="2"/>
        <w:rPr>
          <w:rFonts w:eastAsia="楷体"/>
          <w:b/>
          <w:bCs/>
          <w:color w:val="auto"/>
          <w:sz w:val="32"/>
          <w:szCs w:val="30"/>
          <w:highlight w:val="none"/>
        </w:rPr>
      </w:pPr>
      <w:r>
        <w:rPr>
          <w:rFonts w:eastAsia="楷体"/>
          <w:b/>
          <w:bCs/>
          <w:color w:val="auto"/>
          <w:sz w:val="32"/>
          <w:szCs w:val="30"/>
          <w:highlight w:val="none"/>
        </w:rPr>
        <w:t>2.2.1 水库枢纽工程基本情况</w:t>
      </w:r>
    </w:p>
    <w:p w14:paraId="7F5319B8">
      <w:pPr>
        <w:spacing w:line="520" w:lineRule="exact"/>
        <w:ind w:firstLine="560" w:firstLineChars="200"/>
        <w:rPr>
          <w:rFonts w:eastAsia="楷体"/>
          <w:color w:val="auto"/>
          <w:sz w:val="28"/>
          <w:szCs w:val="28"/>
          <w:highlight w:val="none"/>
        </w:rPr>
      </w:pPr>
      <w:r>
        <w:rPr>
          <w:rFonts w:eastAsia="楷体"/>
          <w:color w:val="auto"/>
          <w:sz w:val="28"/>
          <w:szCs w:val="28"/>
          <w:highlight w:val="none"/>
        </w:rPr>
        <w:t>四清水库位于泉港区前黄镇坑内村，系属坝头溪支流，是一座以农业灌溉为主，结合防洪、养殖等综合利用的小（2）型水库。四清水库始建于1964年2月，1966年8月竣工并投入运行。</w:t>
      </w:r>
    </w:p>
    <w:p w14:paraId="42DC6C0F">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大坝坝址以上控制流域面积为0.47km</w:t>
      </w:r>
      <w:r>
        <w:rPr>
          <w:rFonts w:eastAsia="楷体"/>
          <w:color w:val="auto"/>
          <w:sz w:val="28"/>
          <w:szCs w:val="28"/>
          <w:highlight w:val="none"/>
          <w:vertAlign w:val="superscript"/>
        </w:rPr>
        <w:t>2</w:t>
      </w:r>
      <w:r>
        <w:rPr>
          <w:rFonts w:eastAsia="楷体"/>
          <w:color w:val="auto"/>
          <w:sz w:val="28"/>
          <w:szCs w:val="28"/>
          <w:highlight w:val="none"/>
        </w:rPr>
        <w:t>，</w:t>
      </w:r>
      <w:r>
        <w:rPr>
          <w:rFonts w:hint="eastAsia" w:eastAsia="楷体"/>
          <w:color w:val="auto"/>
          <w:sz w:val="28"/>
          <w:szCs w:val="28"/>
          <w:highlight w:val="none"/>
        </w:rPr>
        <w:t>主河道河长</w:t>
      </w:r>
      <w:r>
        <w:rPr>
          <w:rFonts w:eastAsia="楷体"/>
          <w:color w:val="auto"/>
          <w:sz w:val="28"/>
          <w:szCs w:val="28"/>
          <w:highlight w:val="none"/>
        </w:rPr>
        <w:t>0.9km，</w:t>
      </w:r>
      <w:r>
        <w:rPr>
          <w:rFonts w:hint="eastAsia" w:eastAsia="楷体"/>
          <w:color w:val="auto"/>
          <w:sz w:val="28"/>
          <w:szCs w:val="28"/>
          <w:highlight w:val="none"/>
        </w:rPr>
        <w:t>主河道平均坡降39.89</w:t>
      </w:r>
      <w:r>
        <w:rPr>
          <w:rFonts w:eastAsia="楷体"/>
          <w:color w:val="auto"/>
          <w:sz w:val="28"/>
          <w:szCs w:val="28"/>
          <w:highlight w:val="none"/>
        </w:rPr>
        <w:t>‰，</w:t>
      </w:r>
      <w:r>
        <w:rPr>
          <w:rFonts w:hint="eastAsia" w:eastAsia="楷体"/>
          <w:color w:val="auto"/>
          <w:sz w:val="28"/>
          <w:szCs w:val="28"/>
          <w:highlight w:val="none"/>
        </w:rPr>
        <w:t>最大坝高17.49m，坝项宽4.0m，坝顶长200m。正常蓄水位28.040m，死水位21.70m，设计洪水位（P=5.0%）28.560m，校核洪水位（P=0.33%）28.810m，水库总库容30.87万m</w:t>
      </w:r>
      <w:r>
        <w:rPr>
          <w:rFonts w:hint="eastAsia" w:eastAsia="楷体"/>
          <w:color w:val="auto"/>
          <w:sz w:val="28"/>
          <w:szCs w:val="28"/>
          <w:highlight w:val="none"/>
          <w:vertAlign w:val="superscript"/>
        </w:rPr>
        <w:t>3</w:t>
      </w:r>
      <w:r>
        <w:rPr>
          <w:rFonts w:hint="eastAsia" w:eastAsia="楷体"/>
          <w:color w:val="auto"/>
          <w:sz w:val="28"/>
          <w:szCs w:val="28"/>
          <w:highlight w:val="none"/>
        </w:rPr>
        <w:t>，兴利库容22.82万m</w:t>
      </w:r>
      <w:r>
        <w:rPr>
          <w:rFonts w:hint="eastAsia" w:eastAsia="楷体"/>
          <w:color w:val="auto"/>
          <w:sz w:val="28"/>
          <w:szCs w:val="28"/>
          <w:highlight w:val="none"/>
          <w:vertAlign w:val="superscript"/>
        </w:rPr>
        <w:t>3</w:t>
      </w:r>
      <w:r>
        <w:rPr>
          <w:rFonts w:hint="eastAsia" w:eastAsia="楷体"/>
          <w:color w:val="auto"/>
          <w:sz w:val="28"/>
          <w:szCs w:val="28"/>
          <w:highlight w:val="none"/>
        </w:rPr>
        <w:t>，调洪库容3.95万m</w:t>
      </w:r>
      <w:r>
        <w:rPr>
          <w:rFonts w:hint="eastAsia" w:eastAsia="楷体"/>
          <w:color w:val="auto"/>
          <w:sz w:val="28"/>
          <w:szCs w:val="28"/>
          <w:highlight w:val="none"/>
          <w:vertAlign w:val="superscript"/>
        </w:rPr>
        <w:t>3</w:t>
      </w:r>
      <w:r>
        <w:rPr>
          <w:rFonts w:hint="eastAsia" w:eastAsia="楷体"/>
          <w:color w:val="auto"/>
          <w:sz w:val="28"/>
          <w:szCs w:val="28"/>
          <w:highlight w:val="none"/>
        </w:rPr>
        <w:t>，死库容4.10万m</w:t>
      </w:r>
      <w:r>
        <w:rPr>
          <w:rFonts w:hint="eastAsia" w:eastAsia="楷体"/>
          <w:color w:val="auto"/>
          <w:sz w:val="28"/>
          <w:szCs w:val="28"/>
          <w:highlight w:val="none"/>
          <w:vertAlign w:val="superscript"/>
        </w:rPr>
        <w:t>3</w:t>
      </w:r>
      <w:r>
        <w:rPr>
          <w:rFonts w:hint="eastAsia" w:eastAsia="楷体"/>
          <w:color w:val="auto"/>
          <w:sz w:val="28"/>
          <w:szCs w:val="28"/>
          <w:highlight w:val="none"/>
        </w:rPr>
        <w:t>。</w:t>
      </w:r>
    </w:p>
    <w:p w14:paraId="4A91F792">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水库枢纽主要由大坝、溢洪道、输水涵洞组成，具体如下：</w:t>
      </w:r>
    </w:p>
    <w:p w14:paraId="0114C20D">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（1）大坝</w:t>
      </w:r>
    </w:p>
    <w:p w14:paraId="02BB720F">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四清水库大坝为均质土坝，根据2014年2月实测，大坝最大坝高17.49m，坝顶高程30.58m，坝顶总长度200m，坝项宽度4.0m（含防浪墙宽0.2m）。大坝迎水坡为干砌块石护坡，水泥砂浆勾缝，高程22.84m设有一道宽为0.8m的平台，平台以上坝坡坡比为1:1.9，平台以下坝坡坡比为1:1.8；背水坡坡比1:1.5，采用草皮护坡。</w:t>
      </w:r>
    </w:p>
    <w:p w14:paraId="6303D366">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（2）溢洪道</w:t>
      </w:r>
    </w:p>
    <w:p w14:paraId="3ACBF89B">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溢洪道位于大坝左坝肩，溢流堰型式为宽顶堰，堰顶高程为28.040m，堰顶净宽5.0m。溢洪道全长117.5m，由进口段、控制段、泄槽段组成，溢洪道进口段（Y0+000.0~Y0+035.1）长35.1m，宽5.0m；控制段（Y0+035.1~Y0+038.4）长3.3m，净宽5.0m；泄槽段（Y0+038.4~Y0+117.5）长61.6m，净宽3.9m~5.0m，底坡0.004~0.2171。最大下泄流量10.61m</w:t>
      </w:r>
      <w:r>
        <w:rPr>
          <w:rFonts w:hint="eastAsia" w:eastAsia="楷体"/>
          <w:color w:val="auto"/>
          <w:sz w:val="28"/>
          <w:szCs w:val="28"/>
          <w:highlight w:val="none"/>
          <w:vertAlign w:val="superscript"/>
        </w:rPr>
        <w:t>3</w:t>
      </w:r>
      <w:r>
        <w:rPr>
          <w:rFonts w:hint="eastAsia" w:eastAsia="楷体"/>
          <w:color w:val="auto"/>
          <w:sz w:val="28"/>
          <w:szCs w:val="28"/>
          <w:highlight w:val="none"/>
        </w:rPr>
        <w:t>/s。溢洪道左侧墙与右侧墙均采用浆砌块石砌筑。进口段底板采用砼板护底，控制段与泄槽段采用浆砌块石护底。</w:t>
      </w:r>
    </w:p>
    <w:p w14:paraId="4B85DD24">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（3）输水涵洞</w:t>
      </w:r>
    </w:p>
    <w:p w14:paraId="1DE92DE3">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四清水库的输水涵洞位于大坝左侧，为条石无压箱涵，断面净尺寸为0.5×0.8m（宽×高）。进口底高程为21.70m，出口底高程为21.69m，全长约为35.0m。启闭设备为卷扬式启闭机，进水设施为转动门盖。</w:t>
      </w:r>
    </w:p>
    <w:p w14:paraId="55B0630A">
      <w:pPr>
        <w:spacing w:line="520" w:lineRule="exact"/>
        <w:ind w:firstLine="601"/>
        <w:rPr>
          <w:rFonts w:eastAsia="楷体"/>
          <w:color w:val="auto"/>
          <w:sz w:val="28"/>
          <w:szCs w:val="28"/>
          <w:highlight w:val="none"/>
        </w:rPr>
      </w:pPr>
      <w:r>
        <w:rPr>
          <w:rFonts w:eastAsia="楷体"/>
          <w:color w:val="auto"/>
          <w:sz w:val="28"/>
          <w:szCs w:val="28"/>
          <w:highlight w:val="none"/>
        </w:rPr>
        <w:t>该工程自建成投效以来，以农业灌溉为主，结合防洪、养殖等多方面中充分发挥了本工程的效益。水库</w:t>
      </w:r>
      <w:r>
        <w:rPr>
          <w:rFonts w:hint="eastAsia" w:eastAsia="楷体"/>
          <w:color w:val="auto"/>
          <w:sz w:val="28"/>
          <w:szCs w:val="28"/>
          <w:highlight w:val="none"/>
        </w:rPr>
        <w:t>有效</w:t>
      </w:r>
      <w:r>
        <w:rPr>
          <w:rFonts w:eastAsia="楷体"/>
          <w:color w:val="auto"/>
          <w:sz w:val="28"/>
          <w:szCs w:val="28"/>
          <w:highlight w:val="none"/>
        </w:rPr>
        <w:t>灌溉面积</w:t>
      </w:r>
      <w:r>
        <w:rPr>
          <w:rFonts w:hint="eastAsia" w:eastAsia="楷体"/>
          <w:color w:val="auto"/>
          <w:sz w:val="28"/>
          <w:szCs w:val="28"/>
          <w:highlight w:val="none"/>
        </w:rPr>
        <w:t>7</w:t>
      </w:r>
      <w:r>
        <w:rPr>
          <w:rFonts w:eastAsia="楷体"/>
          <w:color w:val="auto"/>
          <w:sz w:val="28"/>
          <w:szCs w:val="28"/>
          <w:highlight w:val="none"/>
        </w:rPr>
        <w:t>00亩</w:t>
      </w:r>
      <w:r>
        <w:rPr>
          <w:rFonts w:hint="eastAsia" w:eastAsia="楷体"/>
          <w:color w:val="auto"/>
          <w:sz w:val="28"/>
          <w:szCs w:val="28"/>
          <w:highlight w:val="none"/>
        </w:rPr>
        <w:t>，最大实灌面积700亩，</w:t>
      </w:r>
      <w:r>
        <w:rPr>
          <w:rFonts w:eastAsia="楷体"/>
          <w:color w:val="auto"/>
          <w:sz w:val="28"/>
          <w:szCs w:val="28"/>
          <w:highlight w:val="none"/>
        </w:rPr>
        <w:t>下游涉及保护人口2</w:t>
      </w:r>
      <w:r>
        <w:rPr>
          <w:rFonts w:hint="eastAsia" w:eastAsia="楷体"/>
          <w:color w:val="auto"/>
          <w:sz w:val="28"/>
          <w:szCs w:val="28"/>
          <w:highlight w:val="none"/>
        </w:rPr>
        <w:t>5</w:t>
      </w:r>
      <w:r>
        <w:rPr>
          <w:rFonts w:eastAsia="楷体"/>
          <w:color w:val="auto"/>
          <w:sz w:val="28"/>
          <w:szCs w:val="28"/>
          <w:highlight w:val="none"/>
        </w:rPr>
        <w:t>00人，为当地农业生产和保证人民生命财产安全发挥了重要的作用。</w:t>
      </w:r>
    </w:p>
    <w:p w14:paraId="6037B3FF">
      <w:pPr>
        <w:spacing w:line="520" w:lineRule="exact"/>
        <w:outlineLvl w:val="2"/>
        <w:rPr>
          <w:rFonts w:eastAsia="楷体"/>
          <w:b/>
          <w:bCs/>
          <w:color w:val="auto"/>
          <w:sz w:val="32"/>
          <w:szCs w:val="30"/>
          <w:highlight w:val="none"/>
        </w:rPr>
      </w:pPr>
      <w:r>
        <w:rPr>
          <w:rFonts w:eastAsia="楷体"/>
          <w:b/>
          <w:bCs/>
          <w:color w:val="auto"/>
          <w:sz w:val="32"/>
          <w:szCs w:val="30"/>
          <w:highlight w:val="none"/>
        </w:rPr>
        <w:t>2.2.2 水库有关技术参数及泄流曲线、库容曲线</w:t>
      </w:r>
    </w:p>
    <w:p w14:paraId="67DE9AFD">
      <w:pPr>
        <w:autoSpaceDE w:val="0"/>
        <w:autoSpaceDN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（1）四清水库库容曲线</w:t>
      </w:r>
    </w:p>
    <w:p w14:paraId="21C7BC1D">
      <w:pPr>
        <w:autoSpaceDE w:val="0"/>
        <w:autoSpaceDN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根据</w:t>
      </w:r>
      <w:r>
        <w:rPr>
          <w:rFonts w:hint="eastAsia" w:eastAsia="楷体"/>
          <w:color w:val="auto"/>
          <w:sz w:val="28"/>
          <w:szCs w:val="28"/>
          <w:highlight w:val="none"/>
        </w:rPr>
        <w:t>《泉港区前黄镇四清水库除险加固工程初步设计报告（报批稿）》（泉州市水利水电勘测设计院，2014年9月）</w:t>
      </w:r>
      <w:r>
        <w:rPr>
          <w:rFonts w:eastAsia="楷体"/>
          <w:color w:val="auto"/>
          <w:sz w:val="28"/>
          <w:szCs w:val="28"/>
          <w:highlight w:val="none"/>
        </w:rPr>
        <w:t>，四清水库坝址水位库容关系曲线见表2-1。</w:t>
      </w:r>
    </w:p>
    <w:p w14:paraId="20E7CF1B">
      <w:pPr>
        <w:pStyle w:val="28"/>
        <w:jc w:val="both"/>
        <w:rPr>
          <w:rFonts w:eastAsia="楷体"/>
          <w:b/>
          <w:bCs/>
          <w:color w:val="auto"/>
          <w:sz w:val="28"/>
          <w:szCs w:val="28"/>
          <w:highlight w:val="none"/>
        </w:rPr>
      </w:pPr>
      <w:r>
        <w:rPr>
          <w:rFonts w:eastAsia="楷体"/>
          <w:b/>
          <w:bCs/>
          <w:color w:val="auto"/>
          <w:sz w:val="28"/>
          <w:szCs w:val="28"/>
          <w:highlight w:val="none"/>
        </w:rPr>
        <w:t xml:space="preserve">表2-1   </w:t>
      </w:r>
      <w:r>
        <w:rPr>
          <w:rFonts w:hint="eastAsia" w:eastAsia="楷体"/>
          <w:b/>
          <w:bCs/>
          <w:color w:val="auto"/>
          <w:sz w:val="28"/>
          <w:szCs w:val="28"/>
          <w:highlight w:val="none"/>
        </w:rPr>
        <w:t xml:space="preserve">             </w:t>
      </w:r>
      <w:r>
        <w:rPr>
          <w:rFonts w:eastAsia="楷体"/>
          <w:b/>
          <w:bCs/>
          <w:color w:val="auto"/>
          <w:sz w:val="28"/>
          <w:szCs w:val="28"/>
          <w:highlight w:val="none"/>
        </w:rPr>
        <w:t>坝址水位库容关系曲线表</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49CA8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6ACBBA20">
            <w:pPr>
              <w:pStyle w:val="25"/>
              <w:spacing w:line="460" w:lineRule="exact"/>
              <w:ind w:firstLine="420"/>
              <w:rPr>
                <w:rFonts w:ascii="Times New Roman" w:hAnsi="Times New Roman" w:eastAsia="楷体"/>
                <w:bCs/>
                <w:color w:val="auto"/>
                <w:highlight w:val="none"/>
              </w:rPr>
            </w:pPr>
            <w:r>
              <w:rPr>
                <w:rFonts w:ascii="Times New Roman" w:hAnsi="Times New Roman" w:eastAsia="楷体"/>
                <w:bCs/>
                <w:color w:val="auto"/>
                <w:highlight w:val="none"/>
              </w:rPr>
              <w:t>高程(m)</w:t>
            </w:r>
          </w:p>
        </w:tc>
        <w:tc>
          <w:tcPr>
            <w:tcW w:w="4644" w:type="dxa"/>
            <w:noWrap w:val="0"/>
            <w:vAlign w:val="center"/>
          </w:tcPr>
          <w:p w14:paraId="45864193">
            <w:pPr>
              <w:pStyle w:val="25"/>
              <w:spacing w:line="460" w:lineRule="exact"/>
              <w:ind w:firstLine="360"/>
              <w:rPr>
                <w:rFonts w:ascii="Times New Roman" w:hAnsi="Times New Roman" w:eastAsia="楷体"/>
                <w:bCs/>
                <w:color w:val="auto"/>
                <w:highlight w:val="none"/>
              </w:rPr>
            </w:pPr>
            <w:r>
              <w:rPr>
                <w:rFonts w:ascii="Times New Roman" w:hAnsi="Times New Roman" w:eastAsia="楷体"/>
                <w:bCs/>
                <w:color w:val="auto"/>
                <w:highlight w:val="none"/>
              </w:rPr>
              <w:t>库容(万m</w:t>
            </w:r>
            <w:r>
              <w:rPr>
                <w:rFonts w:ascii="Times New Roman" w:hAnsi="Times New Roman" w:eastAsia="楷体"/>
                <w:bCs/>
                <w:color w:val="auto"/>
                <w:highlight w:val="none"/>
                <w:vertAlign w:val="superscript"/>
              </w:rPr>
              <w:t>3</w:t>
            </w:r>
            <w:r>
              <w:rPr>
                <w:rFonts w:ascii="Times New Roman" w:hAnsi="Times New Roman" w:eastAsia="楷体"/>
                <w:bCs/>
                <w:color w:val="auto"/>
                <w:highlight w:val="none"/>
              </w:rPr>
              <w:t>)</w:t>
            </w:r>
          </w:p>
        </w:tc>
      </w:tr>
      <w:tr w14:paraId="38714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2529FA2C">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17.00</w:t>
            </w:r>
          </w:p>
        </w:tc>
        <w:tc>
          <w:tcPr>
            <w:tcW w:w="4644" w:type="dxa"/>
            <w:noWrap w:val="0"/>
            <w:vAlign w:val="center"/>
          </w:tcPr>
          <w:p w14:paraId="38343F34">
            <w:pPr>
              <w:pStyle w:val="25"/>
              <w:spacing w:line="460" w:lineRule="exact"/>
              <w:rPr>
                <w:rFonts w:ascii="Times New Roman" w:hAnsi="Times New Roman" w:eastAsia="楷体"/>
                <w:color w:val="auto"/>
                <w:highlight w:val="none"/>
              </w:rPr>
            </w:pPr>
            <w:r>
              <w:rPr>
                <w:rFonts w:ascii="Times New Roman" w:hAnsi="Times New Roman" w:eastAsia="楷体"/>
                <w:color w:val="auto"/>
                <w:highlight w:val="none"/>
              </w:rPr>
              <w:t>0</w:t>
            </w:r>
          </w:p>
        </w:tc>
      </w:tr>
      <w:tr w14:paraId="29D3E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3509071C">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21.00</w:t>
            </w:r>
          </w:p>
        </w:tc>
        <w:tc>
          <w:tcPr>
            <w:tcW w:w="4644" w:type="dxa"/>
            <w:noWrap w:val="0"/>
            <w:vAlign w:val="center"/>
          </w:tcPr>
          <w:p w14:paraId="65457E19">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2.12</w:t>
            </w:r>
          </w:p>
        </w:tc>
      </w:tr>
      <w:tr w14:paraId="5C7B8B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29BE872F">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22.00</w:t>
            </w:r>
          </w:p>
        </w:tc>
        <w:tc>
          <w:tcPr>
            <w:tcW w:w="4644" w:type="dxa"/>
            <w:noWrap w:val="0"/>
            <w:vAlign w:val="center"/>
          </w:tcPr>
          <w:p w14:paraId="4DDFE843">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4.16</w:t>
            </w:r>
          </w:p>
        </w:tc>
      </w:tr>
      <w:tr w14:paraId="57024A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19BE405F">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23.00</w:t>
            </w:r>
          </w:p>
        </w:tc>
        <w:tc>
          <w:tcPr>
            <w:tcW w:w="4644" w:type="dxa"/>
            <w:noWrap w:val="0"/>
            <w:vAlign w:val="center"/>
          </w:tcPr>
          <w:p w14:paraId="412B6AB8">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6.94</w:t>
            </w:r>
          </w:p>
        </w:tc>
      </w:tr>
      <w:tr w14:paraId="137E18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43D3C59A">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24.00</w:t>
            </w:r>
          </w:p>
        </w:tc>
        <w:tc>
          <w:tcPr>
            <w:tcW w:w="4644" w:type="dxa"/>
            <w:noWrap w:val="0"/>
            <w:vAlign w:val="center"/>
          </w:tcPr>
          <w:p w14:paraId="0C653E79">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10.21</w:t>
            </w:r>
          </w:p>
        </w:tc>
      </w:tr>
      <w:tr w14:paraId="58C32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6E78FF0E">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25.00</w:t>
            </w:r>
          </w:p>
        </w:tc>
        <w:tc>
          <w:tcPr>
            <w:tcW w:w="4644" w:type="dxa"/>
            <w:noWrap w:val="0"/>
            <w:vAlign w:val="center"/>
          </w:tcPr>
          <w:p w14:paraId="28F3DA15">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13.84</w:t>
            </w:r>
            <w:r>
              <w:rPr>
                <w:rFonts w:ascii="Times New Roman" w:hAnsi="Times New Roman" w:eastAsia="楷体"/>
                <w:color w:val="auto"/>
                <w:highlight w:val="none"/>
              </w:rPr>
              <w:t xml:space="preserve"> </w:t>
            </w:r>
          </w:p>
        </w:tc>
      </w:tr>
      <w:tr w14:paraId="41AD9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295BBC46">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26.00</w:t>
            </w:r>
          </w:p>
        </w:tc>
        <w:tc>
          <w:tcPr>
            <w:tcW w:w="4644" w:type="dxa"/>
            <w:noWrap w:val="0"/>
            <w:vAlign w:val="center"/>
          </w:tcPr>
          <w:p w14:paraId="46808A6E">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17.80</w:t>
            </w:r>
          </w:p>
        </w:tc>
      </w:tr>
      <w:tr w14:paraId="52EFD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6FE9DF98">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27.00</w:t>
            </w:r>
          </w:p>
        </w:tc>
        <w:tc>
          <w:tcPr>
            <w:tcW w:w="4644" w:type="dxa"/>
            <w:noWrap w:val="0"/>
            <w:vAlign w:val="center"/>
          </w:tcPr>
          <w:p w14:paraId="72A9A955">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22.09</w:t>
            </w:r>
          </w:p>
        </w:tc>
      </w:tr>
      <w:tr w14:paraId="03F3A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0679E8CD">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28.00</w:t>
            </w:r>
          </w:p>
        </w:tc>
        <w:tc>
          <w:tcPr>
            <w:tcW w:w="4644" w:type="dxa"/>
            <w:noWrap w:val="0"/>
            <w:vAlign w:val="center"/>
          </w:tcPr>
          <w:p w14:paraId="33756D8B">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26.74</w:t>
            </w:r>
          </w:p>
        </w:tc>
      </w:tr>
      <w:tr w14:paraId="28625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38EDA1D7">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29.00</w:t>
            </w:r>
          </w:p>
        </w:tc>
        <w:tc>
          <w:tcPr>
            <w:tcW w:w="4644" w:type="dxa"/>
            <w:noWrap w:val="0"/>
            <w:vAlign w:val="center"/>
          </w:tcPr>
          <w:p w14:paraId="51E7878A">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31.91</w:t>
            </w:r>
          </w:p>
        </w:tc>
      </w:tr>
      <w:tr w14:paraId="6D8CA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3" w:type="dxa"/>
            <w:noWrap w:val="0"/>
            <w:vAlign w:val="center"/>
          </w:tcPr>
          <w:p w14:paraId="065801B4">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30.00</w:t>
            </w:r>
          </w:p>
        </w:tc>
        <w:tc>
          <w:tcPr>
            <w:tcW w:w="4644" w:type="dxa"/>
            <w:noWrap w:val="0"/>
            <w:vAlign w:val="center"/>
          </w:tcPr>
          <w:p w14:paraId="1170FE52">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37.63</w:t>
            </w:r>
          </w:p>
        </w:tc>
      </w:tr>
    </w:tbl>
    <w:p w14:paraId="783006F5">
      <w:pPr>
        <w:autoSpaceDE w:val="0"/>
        <w:autoSpaceDN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（2）四清水库泄流曲线</w:t>
      </w:r>
    </w:p>
    <w:p w14:paraId="169A0596">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 xml:space="preserve">根据现场踏勘的四清水库实际情况及1：1000测量图可知，四清水库通过大坝左岸的箱涵进行泄洪，箱涵尺寸为5m×2m（宽×高），底高程28.04m，长132m。根据《水力计算手册》中关于箱涵的泄流量计算方法可知，当水库水位大于28.04m而小于30.44m时，箱涵流态为无压流，箱涵长度为132m，其泄流能力受洞长影响，因此，先求得下游桩号K0+161.49处的水位~流量关系曲线，并由该断面向上游至箱涵起始处（桩号K0+035.1）推算水面曲线，求得起始断面处的水库水位，描绘水位~流量关系曲线，K0+161.49处临界水深的计算公式如下： </w:t>
      </w:r>
    </w:p>
    <w:p w14:paraId="27B8DC1C">
      <w:pPr>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color w:val="auto"/>
          <w:sz w:val="28"/>
          <w:szCs w:val="28"/>
          <w:highlight w:val="none"/>
        </w:rPr>
        <w:object>
          <v:shape id="_x0000_i1046" o:spt="75" type="#_x0000_t75" style="height:36pt;width:54pt;" o:ole="t" filled="f" stroked="f" coordsize="21600,21600">
            <v:path/>
            <v:fill on="f" focussize="0,0"/>
            <v:stroke on="f"/>
            <v:imagedata r:id="rId12" o:title=""/>
            <o:lock v:ext="edit" grouping="f" rotation="f" text="f" aspectratio="t"/>
            <w10:wrap type="none"/>
            <w10:anchorlock/>
          </v:shape>
          <o:OLEObject Type="Embed" ProgID="Equation.DSMT4" ShapeID="_x0000_i1046" DrawAspect="Content" ObjectID="_1468075746" r:id="rId53">
            <o:LockedField>false</o:LockedField>
          </o:OLEObject>
        </w:object>
      </w:r>
    </w:p>
    <w:p w14:paraId="483B9549">
      <w:pPr>
        <w:spacing w:line="520" w:lineRule="exact"/>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式中：</w:t>
      </w:r>
      <w:r>
        <w:rPr>
          <w:rFonts w:hint="default" w:ascii="Times New Roman" w:hAnsi="Times New Roman" w:eastAsia="楷体" w:cs="Times New Roman"/>
          <w:color w:val="auto"/>
          <w:sz w:val="28"/>
          <w:szCs w:val="28"/>
          <w:highlight w:val="none"/>
        </w:rPr>
        <w:object>
          <v:shape id="_x0000_i1047" o:spt="75" type="#_x0000_t75" style="height:19pt;width:15pt;" o:ole="t" filled="f" stroked="f" coordsize="21600,21600">
            <v:path/>
            <v:fill on="f" focussize="0,0"/>
            <v:stroke on="f"/>
            <v:imagedata r:id="rId14" o:title=""/>
            <o:lock v:ext="edit" grouping="f" rotation="f" text="f" aspectratio="t"/>
            <w10:wrap type="none"/>
            <w10:anchorlock/>
          </v:shape>
          <o:OLEObject Type="Embed" ProgID="Equation.DSMT4" ShapeID="_x0000_i1047" DrawAspect="Content" ObjectID="_1468075747" r:id="rId54">
            <o:LockedField>false</o:LockedField>
          </o:OLEObject>
        </w:object>
      </w:r>
      <w:r>
        <w:rPr>
          <w:rFonts w:hint="default" w:ascii="Times New Roman" w:hAnsi="Times New Roman" w:eastAsia="楷体" w:cs="Times New Roman"/>
          <w:color w:val="auto"/>
          <w:sz w:val="28"/>
          <w:szCs w:val="28"/>
          <w:highlight w:val="none"/>
        </w:rPr>
        <w:t>——临界水深对应的过流面积（m</w:t>
      </w:r>
      <w:r>
        <w:rPr>
          <w:rFonts w:hint="default" w:ascii="Times New Roman" w:hAnsi="Times New Roman" w:eastAsia="楷体" w:cs="Times New Roman"/>
          <w:color w:val="auto"/>
          <w:sz w:val="28"/>
          <w:szCs w:val="28"/>
          <w:highlight w:val="none"/>
          <w:vertAlign w:val="superscript"/>
        </w:rPr>
        <w:t>2</w:t>
      </w:r>
      <w:r>
        <w:rPr>
          <w:rFonts w:hint="default" w:ascii="Times New Roman" w:hAnsi="Times New Roman" w:eastAsia="楷体" w:cs="Times New Roman"/>
          <w:color w:val="auto"/>
          <w:sz w:val="28"/>
          <w:szCs w:val="28"/>
          <w:highlight w:val="none"/>
        </w:rPr>
        <w:t>）；</w:t>
      </w:r>
    </w:p>
    <w:p w14:paraId="07AB2C56">
      <w:pPr>
        <w:spacing w:line="520" w:lineRule="exact"/>
        <w:ind w:firstLine="840" w:firstLineChars="3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object>
          <v:shape id="_x0000_i1048" o:spt="75" type="#_x0000_t75" style="height:18pt;width:15pt;" o:ole="t" filled="f" stroked="f" coordsize="21600,21600">
            <v:path/>
            <v:fill on="f" focussize="0,0"/>
            <v:stroke on="f"/>
            <v:imagedata r:id="rId16" o:title=""/>
            <o:lock v:ext="edit" grouping="f" rotation="f" text="f" aspectratio="t"/>
            <w10:wrap type="none"/>
            <w10:anchorlock/>
          </v:shape>
          <o:OLEObject Type="Embed" ProgID="Equation.DSMT4" ShapeID="_x0000_i1048" DrawAspect="Content" ObjectID="_1468075748" r:id="rId55">
            <o:LockedField>false</o:LockedField>
          </o:OLEObject>
        </w:object>
      </w:r>
      <w:r>
        <w:rPr>
          <w:rFonts w:hint="default" w:ascii="Times New Roman" w:hAnsi="Times New Roman" w:eastAsia="楷体" w:cs="Times New Roman"/>
          <w:color w:val="auto"/>
          <w:sz w:val="28"/>
          <w:szCs w:val="28"/>
          <w:highlight w:val="none"/>
        </w:rPr>
        <w:t>——临界水深对应的水面宽度（m）。</w:t>
      </w:r>
    </w:p>
    <w:p w14:paraId="106C3F75">
      <w:pPr>
        <w:spacing w:line="520" w:lineRule="exact"/>
        <w:ind w:firstLine="700" w:firstLineChars="25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水面线的计算公式为：</w:t>
      </w:r>
    </w:p>
    <w:p w14:paraId="38AB6BAC">
      <w:pPr>
        <w:ind w:firstLine="1400" w:firstLineChars="5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object>
          <v:shape id="_x0000_i1049" o:spt="75" type="#_x0000_t75" style="height:23.5pt;width:261.6pt;" o:ole="t" filled="f" stroked="f" coordsize="21600,21600">
            <v:path/>
            <v:fill on="f" focussize="0,0"/>
            <v:stroke on="f"/>
            <v:imagedata r:id="rId18" o:title=""/>
            <o:lock v:ext="edit" grouping="f" rotation="f" text="f" aspectratio="t"/>
            <w10:wrap type="none"/>
            <w10:anchorlock/>
          </v:shape>
          <o:OLEObject Type="Embed" ProgID="Equation.DSMT4" ShapeID="_x0000_i1049" DrawAspect="Content" ObjectID="_1468075749" r:id="rId56">
            <o:LockedField>false</o:LockedField>
          </o:OLEObject>
        </w:object>
      </w:r>
    </w:p>
    <w:p w14:paraId="597F8E57">
      <w:pPr>
        <w:spacing w:line="520" w:lineRule="exact"/>
        <w:ind w:firstLine="56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 xml:space="preserve">式中： </w:t>
      </w:r>
      <w:r>
        <w:rPr>
          <w:rFonts w:hint="default" w:ascii="Times New Roman" w:hAnsi="Times New Roman" w:eastAsia="楷体" w:cs="Times New Roman"/>
          <w:color w:val="auto"/>
          <w:sz w:val="28"/>
          <w:szCs w:val="28"/>
          <w:highlight w:val="none"/>
        </w:rPr>
        <w:object>
          <v:shape id="_x0000_i1050" o:spt="75" type="#_x0000_t75" style="height:18pt;width:13.95pt;" o:ole="t" filled="f" stroked="f" coordsize="21600,21600">
            <v:path/>
            <v:fill on="f" focussize="0,0"/>
            <v:stroke on="f"/>
            <v:imagedata r:id="rId20" o:title=""/>
            <o:lock v:ext="edit" grouping="f" rotation="f" text="f" aspectratio="t"/>
            <w10:wrap type="none"/>
            <w10:anchorlock/>
          </v:shape>
          <o:OLEObject Type="Embed" ProgID="Equation.DSMT4" ShapeID="_x0000_i1050" DrawAspect="Content" ObjectID="_1468075750" r:id="rId57">
            <o:LockedField>false</o:LockedField>
          </o:OLEObject>
        </w:object>
      </w:r>
      <w:r>
        <w:rPr>
          <w:rFonts w:hint="default" w:ascii="Times New Roman" w:hAnsi="Times New Roman" w:eastAsia="楷体" w:cs="Times New Roman"/>
          <w:color w:val="auto"/>
          <w:sz w:val="28"/>
          <w:szCs w:val="28"/>
          <w:highlight w:val="none"/>
        </w:rPr>
        <w:t>、</w:t>
      </w:r>
      <w:r>
        <w:rPr>
          <w:rFonts w:hint="default" w:ascii="Times New Roman" w:hAnsi="Times New Roman" w:eastAsia="楷体" w:cs="Times New Roman"/>
          <w:color w:val="auto"/>
          <w:sz w:val="28"/>
          <w:szCs w:val="28"/>
          <w:highlight w:val="none"/>
        </w:rPr>
        <w:object>
          <v:shape id="_x0000_i1051" o:spt="75" type="#_x0000_t75" style="height:18pt;width:15pt;" o:ole="t" filled="f" stroked="f" coordsize="21600,21600">
            <v:path/>
            <v:fill on="f" focussize="0,0"/>
            <v:stroke on="f"/>
            <v:imagedata r:id="rId22" o:title=""/>
            <o:lock v:ext="edit" grouping="f" rotation="f" text="f" aspectratio="t"/>
            <w10:wrap type="none"/>
            <w10:anchorlock/>
          </v:shape>
          <o:OLEObject Type="Embed" ProgID="Equation.DSMT4" ShapeID="_x0000_i1051" DrawAspect="Content" ObjectID="_1468075751" r:id="rId58">
            <o:LockedField>false</o:LockedField>
          </o:OLEObject>
        </w:object>
      </w:r>
      <w:r>
        <w:rPr>
          <w:rFonts w:hint="default" w:ascii="Times New Roman" w:hAnsi="Times New Roman" w:eastAsia="楷体" w:cs="Times New Roman"/>
          <w:color w:val="auto"/>
          <w:sz w:val="28"/>
          <w:szCs w:val="28"/>
          <w:highlight w:val="none"/>
        </w:rPr>
        <w:t>——上、下断面的水位（m）；</w:t>
      </w:r>
    </w:p>
    <w:p w14:paraId="05C21D92">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color w:val="auto"/>
          <w:sz w:val="28"/>
          <w:szCs w:val="28"/>
          <w:highlight w:val="none"/>
        </w:rPr>
        <w:object>
          <v:shape id="_x0000_i1052" o:spt="75" type="#_x0000_t75" style="height:13.95pt;width:6.95pt;" o:ole="t" filled="f" stroked="f" coordsize="21600,21600">
            <v:path/>
            <v:fill on="f" focussize="0,0"/>
            <v:stroke on="f"/>
            <v:imagedata r:id="rId24" o:title=""/>
            <o:lock v:ext="edit" grouping="f" rotation="f" text="f" aspectratio="t"/>
            <w10:wrap type="none"/>
            <w10:anchorlock/>
          </v:shape>
          <o:OLEObject Type="Embed" ProgID="Equation.DSMT4" ShapeID="_x0000_i1052" DrawAspect="Content" ObjectID="_1468075752" r:id="rId59">
            <o:LockedField>false</o:LockedField>
          </o:OLEObject>
        </w:object>
      </w:r>
      <w:r>
        <w:rPr>
          <w:rFonts w:hint="default" w:ascii="Times New Roman" w:hAnsi="Times New Roman" w:eastAsia="楷体" w:cs="Times New Roman"/>
          <w:color w:val="auto"/>
          <w:sz w:val="28"/>
          <w:szCs w:val="28"/>
          <w:highlight w:val="none"/>
        </w:rPr>
        <w:t xml:space="preserve">  —— 上、下断面之间的河段长度（m）；</w:t>
      </w:r>
    </w:p>
    <w:p w14:paraId="543EF5EC">
      <w:pPr>
        <w:spacing w:line="520" w:lineRule="exact"/>
        <w:ind w:firstLine="1120" w:firstLineChars="4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object>
          <v:shape id="_x0000_i1053" o:spt="75" type="#_x0000_t75" style="height:18pt;width:31pt;" o:ole="t" filled="f" stroked="f" coordsize="21600,21600">
            <v:path/>
            <v:fill on="f" focussize="0,0"/>
            <v:stroke on="f"/>
            <v:imagedata r:id="rId26" o:title=""/>
            <o:lock v:ext="edit" grouping="f" rotation="f" text="f" aspectratio="t"/>
            <w10:wrap type="none"/>
            <w10:anchorlock/>
          </v:shape>
          <o:OLEObject Type="Embed" ProgID="Equation.DSMT4" ShapeID="_x0000_i1053" DrawAspect="Content" ObjectID="_1468075753" r:id="rId60">
            <o:LockedField>false</o:LockedField>
          </o:OLEObject>
        </w:object>
      </w:r>
      <w:r>
        <w:rPr>
          <w:rFonts w:hint="default" w:ascii="Times New Roman" w:hAnsi="Times New Roman" w:eastAsia="楷体" w:cs="Times New Roman"/>
          <w:color w:val="auto"/>
          <w:sz w:val="28"/>
          <w:szCs w:val="28"/>
          <w:highlight w:val="none"/>
        </w:rPr>
        <w:t xml:space="preserve"> —— 上、下断面的水流平均速度；</w:t>
      </w:r>
    </w:p>
    <w:p w14:paraId="01370382">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color w:val="auto"/>
          <w:sz w:val="28"/>
          <w:szCs w:val="28"/>
          <w:highlight w:val="none"/>
        </w:rPr>
        <w:object>
          <v:shape id="_x0000_i1054" o:spt="75" type="#_x0000_t75" style="height:18pt;width:35pt;" o:ole="t" filled="f" stroked="f" coordsize="21600,21600">
            <v:path/>
            <v:fill on="f" focussize="0,0"/>
            <v:stroke on="f"/>
            <v:imagedata r:id="rId28" o:title=""/>
            <o:lock v:ext="edit" grouping="f" rotation="f" text="f" aspectratio="t"/>
            <w10:wrap type="none"/>
            <w10:anchorlock/>
          </v:shape>
          <o:OLEObject Type="Embed" ProgID="Equation.DSMT4" ShapeID="_x0000_i1054" DrawAspect="Content" ObjectID="_1468075754" r:id="rId61">
            <o:LockedField>false</o:LockedField>
          </o:OLEObject>
        </w:object>
      </w:r>
      <w:r>
        <w:rPr>
          <w:rFonts w:hint="default" w:ascii="Times New Roman" w:hAnsi="Times New Roman" w:eastAsia="楷体" w:cs="Times New Roman"/>
          <w:color w:val="auto"/>
          <w:sz w:val="28"/>
          <w:szCs w:val="28"/>
          <w:highlight w:val="none"/>
        </w:rPr>
        <w:t xml:space="preserve"> —— 上、下断面的水力半径；</w:t>
      </w:r>
    </w:p>
    <w:p w14:paraId="752BBAA5">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color w:val="auto"/>
          <w:sz w:val="28"/>
          <w:szCs w:val="28"/>
          <w:highlight w:val="none"/>
        </w:rPr>
        <w:object>
          <v:shape id="_x0000_i1055" o:spt="75" type="#_x0000_t75" style="height:16pt;width:10pt;" o:ole="t" filled="f" stroked="f" coordsize="21600,21600">
            <v:path/>
            <v:fill on="f" focussize="0,0"/>
            <v:stroke on="f"/>
            <v:imagedata r:id="rId30" o:title=""/>
            <o:lock v:ext="edit" grouping="f" rotation="f" text="f" aspectratio="t"/>
            <w10:wrap type="none"/>
            <w10:anchorlock/>
          </v:shape>
          <o:OLEObject Type="Embed" ProgID="Equation.DSMT4" ShapeID="_x0000_i1055" DrawAspect="Content" ObjectID="_1468075755" r:id="rId62">
            <o:LockedField>false</o:LockedField>
          </o:OLEObject>
        </w:object>
      </w:r>
      <w:r>
        <w:rPr>
          <w:rFonts w:hint="default" w:ascii="Times New Roman" w:hAnsi="Times New Roman" w:eastAsia="楷体" w:cs="Times New Roman"/>
          <w:color w:val="auto"/>
          <w:sz w:val="28"/>
          <w:szCs w:val="28"/>
          <w:highlight w:val="none"/>
        </w:rPr>
        <w:t xml:space="preserve"> ——扩散、收缩的水头损失系数；</w:t>
      </w:r>
    </w:p>
    <w:p w14:paraId="1A54D2AD">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color w:val="auto"/>
          <w:sz w:val="28"/>
          <w:szCs w:val="28"/>
          <w:highlight w:val="none"/>
        </w:rPr>
        <w:object>
          <v:shape id="_x0000_i1056" o:spt="75" type="#_x0000_t75" style="height:13pt;width:11pt;" o:ole="t" filled="f" stroked="f" coordsize="21600,21600">
            <v:path/>
            <v:fill on="f" focussize="0,0"/>
            <v:stroke on="f"/>
            <v:imagedata r:id="rId32" o:title=""/>
            <o:lock v:ext="edit" grouping="f" rotation="f" text="f" aspectratio="t"/>
            <w10:wrap type="none"/>
            <w10:anchorlock/>
          </v:shape>
          <o:OLEObject Type="Embed" ProgID="Equation.DSMT4" ShapeID="_x0000_i1056" DrawAspect="Content" ObjectID="_1468075756" r:id="rId63">
            <o:LockedField>false</o:LockedField>
          </o:OLEObject>
        </w:object>
      </w:r>
      <w:r>
        <w:rPr>
          <w:rFonts w:hint="default" w:ascii="Times New Roman" w:hAnsi="Times New Roman" w:eastAsia="楷体" w:cs="Times New Roman"/>
          <w:color w:val="auto"/>
          <w:sz w:val="28"/>
          <w:szCs w:val="28"/>
          <w:highlight w:val="none"/>
        </w:rPr>
        <w:t xml:space="preserve"> ——  重力加速度。</w:t>
      </w:r>
    </w:p>
    <w:p w14:paraId="7766E4EF">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根据以上几个公式计算求得四清水库水位～泄流关系曲线如下表</w:t>
      </w:r>
      <w:r>
        <w:rPr>
          <w:rFonts w:hint="eastAsia" w:ascii="Times New Roman" w:hAnsi="Times New Roman" w:eastAsia="楷体" w:cs="Times New Roman"/>
          <w:color w:val="auto"/>
          <w:sz w:val="28"/>
          <w:szCs w:val="28"/>
          <w:highlight w:val="none"/>
          <w:lang w:val="en-US" w:eastAsia="zh-CN"/>
        </w:rPr>
        <w:t>2</w:t>
      </w:r>
      <w:r>
        <w:rPr>
          <w:rFonts w:hint="default" w:ascii="Times New Roman" w:hAnsi="Times New Roman" w:eastAsia="楷体" w:cs="Times New Roman"/>
          <w:color w:val="auto"/>
          <w:sz w:val="28"/>
          <w:szCs w:val="28"/>
          <w:highlight w:val="none"/>
        </w:rPr>
        <w:t>-</w:t>
      </w:r>
      <w:r>
        <w:rPr>
          <w:rFonts w:hint="eastAsia" w:ascii="Times New Roman" w:hAnsi="Times New Roman" w:eastAsia="楷体" w:cs="Times New Roman"/>
          <w:color w:val="auto"/>
          <w:sz w:val="28"/>
          <w:szCs w:val="28"/>
          <w:highlight w:val="none"/>
          <w:lang w:val="en-US" w:eastAsia="zh-CN"/>
        </w:rPr>
        <w:t>2</w:t>
      </w:r>
      <w:r>
        <w:rPr>
          <w:rFonts w:hint="default" w:ascii="Times New Roman" w:hAnsi="Times New Roman" w:eastAsia="楷体" w:cs="Times New Roman"/>
          <w:color w:val="auto"/>
          <w:sz w:val="28"/>
          <w:szCs w:val="28"/>
          <w:highlight w:val="none"/>
        </w:rPr>
        <w:t>所示：</w:t>
      </w:r>
    </w:p>
    <w:p w14:paraId="02719047">
      <w:pPr>
        <w:spacing w:before="156" w:beforeLines="50"/>
        <w:rPr>
          <w:rFonts w:eastAsia="楷体"/>
          <w:b/>
          <w:color w:val="auto"/>
          <w:sz w:val="28"/>
          <w:szCs w:val="28"/>
          <w:highlight w:val="none"/>
        </w:rPr>
      </w:pPr>
      <w:r>
        <w:rPr>
          <w:rFonts w:eastAsia="楷体"/>
          <w:b/>
          <w:color w:val="auto"/>
          <w:sz w:val="28"/>
          <w:szCs w:val="28"/>
          <w:highlight w:val="none"/>
        </w:rPr>
        <w:t>表</w:t>
      </w:r>
      <w:r>
        <w:rPr>
          <w:rFonts w:hint="eastAsia" w:eastAsia="楷体"/>
          <w:b/>
          <w:color w:val="auto"/>
          <w:sz w:val="28"/>
          <w:szCs w:val="28"/>
          <w:highlight w:val="none"/>
        </w:rPr>
        <w:t>2</w:t>
      </w:r>
      <w:r>
        <w:rPr>
          <w:rFonts w:eastAsia="楷体"/>
          <w:b/>
          <w:color w:val="auto"/>
          <w:sz w:val="28"/>
          <w:szCs w:val="28"/>
          <w:highlight w:val="none"/>
        </w:rPr>
        <w:t>-2            四清水库水位～下泄流量关系曲线</w:t>
      </w:r>
    </w:p>
    <w:tbl>
      <w:tblPr>
        <w:tblStyle w:val="17"/>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2760"/>
        <w:gridCol w:w="1171"/>
        <w:gridCol w:w="1293"/>
        <w:gridCol w:w="1293"/>
        <w:gridCol w:w="1292"/>
        <w:gridCol w:w="1292"/>
      </w:tblGrid>
      <w:tr w14:paraId="39C766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2760" w:type="dxa"/>
            <w:noWrap w:val="0"/>
            <w:vAlign w:val="center"/>
          </w:tcPr>
          <w:p w14:paraId="0BDE1946">
            <w:pPr>
              <w:widowControl/>
              <w:jc w:val="center"/>
              <w:textAlignment w:val="center"/>
              <w:rPr>
                <w:rFonts w:eastAsia="楷体"/>
                <w:color w:val="auto"/>
                <w:sz w:val="24"/>
                <w:highlight w:val="none"/>
              </w:rPr>
            </w:pPr>
            <w:r>
              <w:rPr>
                <w:rFonts w:eastAsia="楷体"/>
                <w:color w:val="auto"/>
                <w:kern w:val="0"/>
                <w:sz w:val="24"/>
                <w:highlight w:val="none"/>
                <w:lang w:bidi="ar"/>
              </w:rPr>
              <w:t>水库水位(m)</w:t>
            </w:r>
          </w:p>
        </w:tc>
        <w:tc>
          <w:tcPr>
            <w:tcW w:w="1171" w:type="dxa"/>
            <w:noWrap w:val="0"/>
            <w:vAlign w:val="center"/>
          </w:tcPr>
          <w:p w14:paraId="0CCDC547">
            <w:pPr>
              <w:widowControl/>
              <w:jc w:val="center"/>
              <w:textAlignment w:val="center"/>
              <w:rPr>
                <w:rFonts w:eastAsia="楷体"/>
                <w:color w:val="auto"/>
                <w:sz w:val="24"/>
                <w:highlight w:val="none"/>
              </w:rPr>
            </w:pPr>
            <w:r>
              <w:rPr>
                <w:rFonts w:hint="eastAsia" w:eastAsia="楷体"/>
                <w:color w:val="auto"/>
                <w:kern w:val="0"/>
                <w:sz w:val="24"/>
                <w:highlight w:val="none"/>
                <w:lang w:bidi="ar"/>
              </w:rPr>
              <w:t>28.04</w:t>
            </w:r>
          </w:p>
        </w:tc>
        <w:tc>
          <w:tcPr>
            <w:tcW w:w="1293" w:type="dxa"/>
            <w:noWrap w:val="0"/>
            <w:vAlign w:val="center"/>
          </w:tcPr>
          <w:p w14:paraId="4AD54382">
            <w:pPr>
              <w:widowControl/>
              <w:jc w:val="center"/>
              <w:textAlignment w:val="center"/>
              <w:rPr>
                <w:rFonts w:eastAsia="楷体"/>
                <w:color w:val="auto"/>
                <w:sz w:val="24"/>
                <w:highlight w:val="none"/>
              </w:rPr>
            </w:pPr>
            <w:r>
              <w:rPr>
                <w:rFonts w:hint="eastAsia" w:eastAsia="楷体"/>
                <w:color w:val="auto"/>
                <w:kern w:val="0"/>
                <w:sz w:val="24"/>
                <w:highlight w:val="none"/>
                <w:lang w:bidi="ar"/>
              </w:rPr>
              <w:t>28.16</w:t>
            </w:r>
          </w:p>
        </w:tc>
        <w:tc>
          <w:tcPr>
            <w:tcW w:w="1293" w:type="dxa"/>
            <w:noWrap w:val="0"/>
            <w:vAlign w:val="center"/>
          </w:tcPr>
          <w:p w14:paraId="740AE9EB">
            <w:pPr>
              <w:widowControl/>
              <w:jc w:val="center"/>
              <w:textAlignment w:val="center"/>
              <w:rPr>
                <w:rFonts w:eastAsia="楷体"/>
                <w:color w:val="auto"/>
                <w:sz w:val="24"/>
                <w:highlight w:val="none"/>
              </w:rPr>
            </w:pPr>
            <w:r>
              <w:rPr>
                <w:rFonts w:hint="eastAsia" w:eastAsia="楷体"/>
                <w:color w:val="auto"/>
                <w:kern w:val="0"/>
                <w:sz w:val="24"/>
                <w:highlight w:val="none"/>
                <w:lang w:bidi="ar"/>
              </w:rPr>
              <w:t>28.20</w:t>
            </w:r>
          </w:p>
        </w:tc>
        <w:tc>
          <w:tcPr>
            <w:tcW w:w="1292" w:type="dxa"/>
            <w:noWrap w:val="0"/>
            <w:vAlign w:val="center"/>
          </w:tcPr>
          <w:p w14:paraId="65BF7CB9">
            <w:pPr>
              <w:widowControl/>
              <w:jc w:val="center"/>
              <w:textAlignment w:val="center"/>
              <w:rPr>
                <w:rFonts w:eastAsia="楷体"/>
                <w:color w:val="auto"/>
                <w:sz w:val="24"/>
                <w:highlight w:val="none"/>
              </w:rPr>
            </w:pPr>
            <w:r>
              <w:rPr>
                <w:rFonts w:hint="eastAsia" w:eastAsia="楷体"/>
                <w:color w:val="auto"/>
                <w:kern w:val="0"/>
                <w:sz w:val="24"/>
                <w:highlight w:val="none"/>
                <w:lang w:bidi="ar"/>
              </w:rPr>
              <w:t>28.30</w:t>
            </w:r>
          </w:p>
        </w:tc>
        <w:tc>
          <w:tcPr>
            <w:tcW w:w="1292" w:type="dxa"/>
            <w:noWrap w:val="0"/>
            <w:vAlign w:val="center"/>
          </w:tcPr>
          <w:p w14:paraId="231E7602">
            <w:pPr>
              <w:widowControl/>
              <w:jc w:val="center"/>
              <w:textAlignment w:val="center"/>
              <w:rPr>
                <w:rFonts w:eastAsia="楷体"/>
                <w:color w:val="auto"/>
                <w:sz w:val="24"/>
                <w:highlight w:val="none"/>
              </w:rPr>
            </w:pPr>
            <w:r>
              <w:rPr>
                <w:rFonts w:hint="eastAsia" w:eastAsia="楷体"/>
                <w:color w:val="auto"/>
                <w:kern w:val="0"/>
                <w:sz w:val="24"/>
                <w:highlight w:val="none"/>
                <w:lang w:bidi="ar"/>
              </w:rPr>
              <w:t>28.37</w:t>
            </w:r>
          </w:p>
        </w:tc>
      </w:tr>
      <w:tr w14:paraId="5BDB91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2760" w:type="dxa"/>
            <w:noWrap w:val="0"/>
            <w:vAlign w:val="center"/>
          </w:tcPr>
          <w:p w14:paraId="736BE408">
            <w:pPr>
              <w:widowControl/>
              <w:jc w:val="center"/>
              <w:textAlignment w:val="center"/>
              <w:rPr>
                <w:rFonts w:eastAsia="楷体"/>
                <w:color w:val="auto"/>
                <w:sz w:val="24"/>
                <w:highlight w:val="none"/>
              </w:rPr>
            </w:pPr>
            <w:r>
              <w:rPr>
                <w:rFonts w:eastAsia="楷体"/>
                <w:color w:val="auto"/>
                <w:kern w:val="0"/>
                <w:sz w:val="24"/>
                <w:highlight w:val="none"/>
                <w:lang w:bidi="ar"/>
              </w:rPr>
              <w:t>对应下泄流量（m</w:t>
            </w:r>
            <w:r>
              <w:rPr>
                <w:rFonts w:eastAsia="楷体"/>
                <w:color w:val="auto"/>
                <w:kern w:val="0"/>
                <w:sz w:val="24"/>
                <w:highlight w:val="none"/>
                <w:vertAlign w:val="superscript"/>
                <w:lang w:bidi="ar"/>
              </w:rPr>
              <w:t>3</w:t>
            </w:r>
            <w:r>
              <w:rPr>
                <w:rFonts w:eastAsia="楷体"/>
                <w:color w:val="auto"/>
                <w:kern w:val="0"/>
                <w:sz w:val="24"/>
                <w:highlight w:val="none"/>
                <w:lang w:bidi="ar"/>
              </w:rPr>
              <w:t>/s）</w:t>
            </w:r>
          </w:p>
        </w:tc>
        <w:tc>
          <w:tcPr>
            <w:tcW w:w="1171" w:type="dxa"/>
            <w:noWrap w:val="0"/>
            <w:vAlign w:val="center"/>
          </w:tcPr>
          <w:p w14:paraId="23572D34">
            <w:pPr>
              <w:widowControl/>
              <w:jc w:val="center"/>
              <w:textAlignment w:val="center"/>
              <w:rPr>
                <w:rFonts w:eastAsia="楷体"/>
                <w:color w:val="auto"/>
                <w:sz w:val="24"/>
                <w:highlight w:val="none"/>
              </w:rPr>
            </w:pPr>
            <w:r>
              <w:rPr>
                <w:rFonts w:eastAsia="楷体"/>
                <w:color w:val="auto"/>
                <w:kern w:val="0"/>
                <w:sz w:val="24"/>
                <w:highlight w:val="none"/>
                <w:lang w:bidi="ar"/>
              </w:rPr>
              <w:t>0</w:t>
            </w:r>
          </w:p>
        </w:tc>
        <w:tc>
          <w:tcPr>
            <w:tcW w:w="1293" w:type="dxa"/>
            <w:noWrap w:val="0"/>
            <w:vAlign w:val="center"/>
          </w:tcPr>
          <w:p w14:paraId="172FAC85">
            <w:pPr>
              <w:widowControl/>
              <w:jc w:val="center"/>
              <w:textAlignment w:val="center"/>
              <w:rPr>
                <w:rFonts w:eastAsia="楷体"/>
                <w:color w:val="auto"/>
                <w:sz w:val="24"/>
                <w:highlight w:val="none"/>
              </w:rPr>
            </w:pPr>
            <w:r>
              <w:rPr>
                <w:rFonts w:hint="eastAsia" w:eastAsia="楷体"/>
                <w:color w:val="auto"/>
                <w:kern w:val="0"/>
                <w:sz w:val="24"/>
                <w:highlight w:val="none"/>
                <w:lang w:bidi="ar"/>
              </w:rPr>
              <w:t>0.5</w:t>
            </w:r>
          </w:p>
        </w:tc>
        <w:tc>
          <w:tcPr>
            <w:tcW w:w="1293" w:type="dxa"/>
            <w:noWrap w:val="0"/>
            <w:vAlign w:val="center"/>
          </w:tcPr>
          <w:p w14:paraId="5EE1DF64">
            <w:pPr>
              <w:widowControl/>
              <w:jc w:val="center"/>
              <w:textAlignment w:val="center"/>
              <w:rPr>
                <w:rFonts w:eastAsia="楷体"/>
                <w:color w:val="auto"/>
                <w:sz w:val="24"/>
                <w:highlight w:val="none"/>
              </w:rPr>
            </w:pPr>
            <w:r>
              <w:rPr>
                <w:rFonts w:hint="eastAsia" w:eastAsia="楷体"/>
                <w:color w:val="auto"/>
                <w:kern w:val="0"/>
                <w:sz w:val="24"/>
                <w:highlight w:val="none"/>
                <w:lang w:bidi="ar"/>
              </w:rPr>
              <w:t>1</w:t>
            </w:r>
          </w:p>
        </w:tc>
        <w:tc>
          <w:tcPr>
            <w:tcW w:w="1292" w:type="dxa"/>
            <w:noWrap w:val="0"/>
            <w:vAlign w:val="center"/>
          </w:tcPr>
          <w:p w14:paraId="29E15D6C">
            <w:pPr>
              <w:widowControl/>
              <w:jc w:val="center"/>
              <w:textAlignment w:val="center"/>
              <w:rPr>
                <w:rFonts w:eastAsia="楷体"/>
                <w:color w:val="auto"/>
                <w:sz w:val="24"/>
                <w:highlight w:val="none"/>
              </w:rPr>
            </w:pPr>
            <w:r>
              <w:rPr>
                <w:rFonts w:hint="eastAsia" w:eastAsia="楷体"/>
                <w:color w:val="auto"/>
                <w:kern w:val="0"/>
                <w:sz w:val="24"/>
                <w:highlight w:val="none"/>
                <w:lang w:bidi="ar"/>
              </w:rPr>
              <w:t>2</w:t>
            </w:r>
          </w:p>
        </w:tc>
        <w:tc>
          <w:tcPr>
            <w:tcW w:w="1292" w:type="dxa"/>
            <w:noWrap w:val="0"/>
            <w:vAlign w:val="center"/>
          </w:tcPr>
          <w:p w14:paraId="3A7154CB">
            <w:pPr>
              <w:widowControl/>
              <w:jc w:val="center"/>
              <w:textAlignment w:val="center"/>
              <w:rPr>
                <w:rFonts w:eastAsia="楷体"/>
                <w:color w:val="auto"/>
                <w:sz w:val="24"/>
                <w:highlight w:val="none"/>
              </w:rPr>
            </w:pPr>
            <w:r>
              <w:rPr>
                <w:rFonts w:hint="eastAsia" w:eastAsia="楷体"/>
                <w:color w:val="auto"/>
                <w:kern w:val="0"/>
                <w:sz w:val="24"/>
                <w:highlight w:val="none"/>
                <w:lang w:bidi="ar"/>
              </w:rPr>
              <w:t>3</w:t>
            </w:r>
          </w:p>
        </w:tc>
      </w:tr>
      <w:tr w14:paraId="07C5BC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2760" w:type="dxa"/>
            <w:noWrap w:val="0"/>
            <w:vAlign w:val="center"/>
          </w:tcPr>
          <w:p w14:paraId="5754A797">
            <w:pPr>
              <w:widowControl/>
              <w:jc w:val="center"/>
              <w:textAlignment w:val="center"/>
              <w:rPr>
                <w:rFonts w:eastAsia="楷体"/>
                <w:color w:val="auto"/>
                <w:sz w:val="24"/>
                <w:highlight w:val="none"/>
              </w:rPr>
            </w:pPr>
            <w:r>
              <w:rPr>
                <w:rFonts w:eastAsia="楷体"/>
                <w:color w:val="auto"/>
                <w:kern w:val="0"/>
                <w:sz w:val="24"/>
                <w:highlight w:val="none"/>
                <w:lang w:bidi="ar"/>
              </w:rPr>
              <w:t>水库水位(m)</w:t>
            </w:r>
          </w:p>
        </w:tc>
        <w:tc>
          <w:tcPr>
            <w:tcW w:w="1171" w:type="dxa"/>
            <w:noWrap w:val="0"/>
            <w:vAlign w:val="center"/>
          </w:tcPr>
          <w:p w14:paraId="40E99384">
            <w:pPr>
              <w:widowControl/>
              <w:jc w:val="center"/>
              <w:textAlignment w:val="center"/>
              <w:rPr>
                <w:rFonts w:eastAsia="楷体"/>
                <w:color w:val="auto"/>
                <w:sz w:val="24"/>
                <w:highlight w:val="none"/>
              </w:rPr>
            </w:pPr>
            <w:r>
              <w:rPr>
                <w:rFonts w:hint="eastAsia" w:eastAsia="楷体"/>
                <w:color w:val="auto"/>
                <w:kern w:val="0"/>
                <w:sz w:val="24"/>
                <w:highlight w:val="none"/>
                <w:lang w:bidi="ar"/>
              </w:rPr>
              <w:t>28.51</w:t>
            </w:r>
          </w:p>
        </w:tc>
        <w:tc>
          <w:tcPr>
            <w:tcW w:w="1293" w:type="dxa"/>
            <w:noWrap w:val="0"/>
            <w:vAlign w:val="center"/>
          </w:tcPr>
          <w:p w14:paraId="530A0DD0">
            <w:pPr>
              <w:widowControl/>
              <w:jc w:val="center"/>
              <w:textAlignment w:val="center"/>
              <w:rPr>
                <w:rFonts w:eastAsia="楷体"/>
                <w:color w:val="auto"/>
                <w:sz w:val="24"/>
                <w:highlight w:val="none"/>
              </w:rPr>
            </w:pPr>
            <w:r>
              <w:rPr>
                <w:rFonts w:hint="eastAsia" w:eastAsia="楷体"/>
                <w:color w:val="auto"/>
                <w:kern w:val="0"/>
                <w:sz w:val="24"/>
                <w:highlight w:val="none"/>
                <w:lang w:bidi="ar"/>
              </w:rPr>
              <w:t>28.62</w:t>
            </w:r>
          </w:p>
        </w:tc>
        <w:tc>
          <w:tcPr>
            <w:tcW w:w="1293" w:type="dxa"/>
            <w:noWrap w:val="0"/>
            <w:vAlign w:val="center"/>
          </w:tcPr>
          <w:p w14:paraId="4C3AC99B">
            <w:pPr>
              <w:widowControl/>
              <w:jc w:val="center"/>
              <w:textAlignment w:val="center"/>
              <w:rPr>
                <w:rFonts w:eastAsia="楷体"/>
                <w:color w:val="auto"/>
                <w:sz w:val="24"/>
                <w:highlight w:val="none"/>
              </w:rPr>
            </w:pPr>
            <w:r>
              <w:rPr>
                <w:rFonts w:hint="eastAsia" w:eastAsia="楷体"/>
                <w:color w:val="auto"/>
                <w:kern w:val="0"/>
                <w:sz w:val="24"/>
                <w:highlight w:val="none"/>
                <w:lang w:bidi="ar"/>
              </w:rPr>
              <w:t>28.78</w:t>
            </w:r>
          </w:p>
        </w:tc>
        <w:tc>
          <w:tcPr>
            <w:tcW w:w="1292" w:type="dxa"/>
            <w:noWrap w:val="0"/>
            <w:vAlign w:val="center"/>
          </w:tcPr>
          <w:p w14:paraId="0F6B9219">
            <w:pPr>
              <w:widowControl/>
              <w:jc w:val="center"/>
              <w:textAlignment w:val="center"/>
              <w:rPr>
                <w:rFonts w:eastAsia="楷体"/>
                <w:color w:val="auto"/>
                <w:sz w:val="24"/>
                <w:highlight w:val="none"/>
              </w:rPr>
            </w:pPr>
            <w:r>
              <w:rPr>
                <w:rFonts w:hint="eastAsia" w:eastAsia="楷体"/>
                <w:color w:val="auto"/>
                <w:kern w:val="0"/>
                <w:sz w:val="24"/>
                <w:highlight w:val="none"/>
                <w:lang w:bidi="ar"/>
              </w:rPr>
              <w:t>29.01</w:t>
            </w:r>
          </w:p>
        </w:tc>
        <w:tc>
          <w:tcPr>
            <w:tcW w:w="1292" w:type="dxa"/>
            <w:noWrap w:val="0"/>
            <w:vAlign w:val="center"/>
          </w:tcPr>
          <w:p w14:paraId="14B5A2BF">
            <w:pPr>
              <w:widowControl/>
              <w:jc w:val="center"/>
              <w:textAlignment w:val="center"/>
              <w:rPr>
                <w:rFonts w:eastAsia="楷体"/>
                <w:color w:val="auto"/>
                <w:sz w:val="24"/>
                <w:highlight w:val="none"/>
              </w:rPr>
            </w:pPr>
          </w:p>
        </w:tc>
      </w:tr>
      <w:tr w14:paraId="331184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2760" w:type="dxa"/>
            <w:noWrap w:val="0"/>
            <w:vAlign w:val="center"/>
          </w:tcPr>
          <w:p w14:paraId="58BBFAA4">
            <w:pPr>
              <w:widowControl/>
              <w:jc w:val="center"/>
              <w:textAlignment w:val="center"/>
              <w:rPr>
                <w:rFonts w:eastAsia="楷体"/>
                <w:color w:val="auto"/>
                <w:sz w:val="24"/>
                <w:highlight w:val="none"/>
              </w:rPr>
            </w:pPr>
            <w:r>
              <w:rPr>
                <w:rFonts w:eastAsia="楷体"/>
                <w:color w:val="auto"/>
                <w:kern w:val="0"/>
                <w:sz w:val="24"/>
                <w:highlight w:val="none"/>
                <w:lang w:bidi="ar"/>
              </w:rPr>
              <w:t>对应下泄流量（m</w:t>
            </w:r>
            <w:r>
              <w:rPr>
                <w:rFonts w:eastAsia="楷体"/>
                <w:color w:val="auto"/>
                <w:kern w:val="0"/>
                <w:sz w:val="24"/>
                <w:highlight w:val="none"/>
                <w:vertAlign w:val="superscript"/>
                <w:lang w:bidi="ar"/>
              </w:rPr>
              <w:t>3</w:t>
            </w:r>
            <w:r>
              <w:rPr>
                <w:rFonts w:eastAsia="楷体"/>
                <w:color w:val="auto"/>
                <w:kern w:val="0"/>
                <w:sz w:val="24"/>
                <w:highlight w:val="none"/>
                <w:lang w:bidi="ar"/>
              </w:rPr>
              <w:t>/s）</w:t>
            </w:r>
          </w:p>
        </w:tc>
        <w:tc>
          <w:tcPr>
            <w:tcW w:w="1171" w:type="dxa"/>
            <w:noWrap w:val="0"/>
            <w:vAlign w:val="center"/>
          </w:tcPr>
          <w:p w14:paraId="5093340C">
            <w:pPr>
              <w:widowControl/>
              <w:jc w:val="center"/>
              <w:textAlignment w:val="center"/>
              <w:rPr>
                <w:rFonts w:eastAsia="楷体"/>
                <w:color w:val="auto"/>
                <w:sz w:val="24"/>
                <w:highlight w:val="none"/>
              </w:rPr>
            </w:pPr>
            <w:r>
              <w:rPr>
                <w:rFonts w:hint="eastAsia" w:eastAsia="楷体"/>
                <w:color w:val="auto"/>
                <w:kern w:val="0"/>
                <w:sz w:val="24"/>
                <w:highlight w:val="none"/>
                <w:lang w:bidi="ar"/>
              </w:rPr>
              <w:t>5</w:t>
            </w:r>
          </w:p>
        </w:tc>
        <w:tc>
          <w:tcPr>
            <w:tcW w:w="1293" w:type="dxa"/>
            <w:noWrap w:val="0"/>
            <w:vAlign w:val="center"/>
          </w:tcPr>
          <w:p w14:paraId="17C6DAE7">
            <w:pPr>
              <w:widowControl/>
              <w:jc w:val="center"/>
              <w:textAlignment w:val="center"/>
              <w:rPr>
                <w:rFonts w:eastAsia="楷体"/>
                <w:color w:val="auto"/>
                <w:sz w:val="24"/>
                <w:highlight w:val="none"/>
              </w:rPr>
            </w:pPr>
            <w:r>
              <w:rPr>
                <w:rFonts w:hint="eastAsia" w:eastAsia="楷体"/>
                <w:color w:val="auto"/>
                <w:kern w:val="0"/>
                <w:sz w:val="24"/>
                <w:highlight w:val="none"/>
                <w:lang w:bidi="ar"/>
              </w:rPr>
              <w:t>7</w:t>
            </w:r>
          </w:p>
        </w:tc>
        <w:tc>
          <w:tcPr>
            <w:tcW w:w="1293" w:type="dxa"/>
            <w:noWrap w:val="0"/>
            <w:vAlign w:val="center"/>
          </w:tcPr>
          <w:p w14:paraId="31C4E5A6">
            <w:pPr>
              <w:widowControl/>
              <w:jc w:val="center"/>
              <w:textAlignment w:val="center"/>
              <w:rPr>
                <w:rFonts w:eastAsia="楷体"/>
                <w:color w:val="auto"/>
                <w:sz w:val="24"/>
                <w:highlight w:val="none"/>
              </w:rPr>
            </w:pPr>
            <w:r>
              <w:rPr>
                <w:rFonts w:hint="eastAsia" w:eastAsia="楷体"/>
                <w:color w:val="auto"/>
                <w:kern w:val="0"/>
                <w:sz w:val="24"/>
                <w:highlight w:val="none"/>
                <w:lang w:bidi="ar"/>
              </w:rPr>
              <w:t>10</w:t>
            </w:r>
          </w:p>
        </w:tc>
        <w:tc>
          <w:tcPr>
            <w:tcW w:w="1292" w:type="dxa"/>
            <w:noWrap w:val="0"/>
            <w:vAlign w:val="center"/>
          </w:tcPr>
          <w:p w14:paraId="15D47297">
            <w:pPr>
              <w:widowControl/>
              <w:jc w:val="center"/>
              <w:textAlignment w:val="center"/>
              <w:rPr>
                <w:rFonts w:eastAsia="楷体"/>
                <w:color w:val="auto"/>
                <w:sz w:val="24"/>
                <w:highlight w:val="none"/>
              </w:rPr>
            </w:pPr>
            <w:r>
              <w:rPr>
                <w:rFonts w:hint="eastAsia" w:eastAsia="楷体"/>
                <w:color w:val="auto"/>
                <w:kern w:val="0"/>
                <w:sz w:val="24"/>
                <w:highlight w:val="none"/>
                <w:lang w:bidi="ar"/>
              </w:rPr>
              <w:t>15</w:t>
            </w:r>
          </w:p>
        </w:tc>
        <w:tc>
          <w:tcPr>
            <w:tcW w:w="1292" w:type="dxa"/>
            <w:noWrap w:val="0"/>
            <w:vAlign w:val="center"/>
          </w:tcPr>
          <w:p w14:paraId="455473CD">
            <w:pPr>
              <w:widowControl/>
              <w:jc w:val="center"/>
              <w:textAlignment w:val="center"/>
              <w:rPr>
                <w:rFonts w:eastAsia="楷体"/>
                <w:color w:val="auto"/>
                <w:sz w:val="24"/>
                <w:highlight w:val="none"/>
              </w:rPr>
            </w:pPr>
          </w:p>
        </w:tc>
      </w:tr>
    </w:tbl>
    <w:p w14:paraId="4D28CB1C">
      <w:pPr>
        <w:spacing w:line="520" w:lineRule="exact"/>
        <w:outlineLvl w:val="2"/>
        <w:rPr>
          <w:rFonts w:eastAsia="楷体"/>
          <w:b/>
          <w:bCs/>
          <w:color w:val="auto"/>
          <w:sz w:val="32"/>
          <w:szCs w:val="30"/>
          <w:highlight w:val="none"/>
        </w:rPr>
      </w:pPr>
      <w:r>
        <w:rPr>
          <w:rFonts w:eastAsia="楷体"/>
          <w:b/>
          <w:bCs/>
          <w:color w:val="auto"/>
          <w:sz w:val="32"/>
          <w:szCs w:val="30"/>
          <w:highlight w:val="none"/>
        </w:rPr>
        <w:t>2.2.3 水库枢纽工程历次重大改建、扩建、加固基本情况</w:t>
      </w:r>
    </w:p>
    <w:p w14:paraId="17A7ADCB">
      <w:pPr>
        <w:spacing w:line="520" w:lineRule="exact"/>
        <w:ind w:firstLine="560" w:firstLineChars="200"/>
        <w:rPr>
          <w:rFonts w:eastAsia="楷体"/>
          <w:color w:val="auto"/>
          <w:sz w:val="28"/>
          <w:szCs w:val="28"/>
          <w:highlight w:val="none"/>
        </w:rPr>
      </w:pPr>
      <w:r>
        <w:rPr>
          <w:rFonts w:eastAsia="楷体"/>
          <w:color w:val="auto"/>
          <w:sz w:val="28"/>
          <w:szCs w:val="28"/>
          <w:highlight w:val="none"/>
        </w:rPr>
        <w:t>2</w:t>
      </w:r>
      <w:r>
        <w:rPr>
          <w:rFonts w:hint="eastAsia" w:eastAsia="楷体"/>
          <w:color w:val="auto"/>
          <w:sz w:val="28"/>
          <w:szCs w:val="28"/>
          <w:highlight w:val="none"/>
        </w:rPr>
        <w:t>014</w:t>
      </w:r>
      <w:r>
        <w:rPr>
          <w:rFonts w:eastAsia="楷体"/>
          <w:color w:val="auto"/>
          <w:sz w:val="28"/>
          <w:szCs w:val="28"/>
          <w:highlight w:val="none"/>
        </w:rPr>
        <w:t>年</w:t>
      </w:r>
      <w:r>
        <w:rPr>
          <w:rFonts w:hint="eastAsia" w:eastAsia="楷体"/>
          <w:color w:val="auto"/>
          <w:sz w:val="28"/>
          <w:szCs w:val="28"/>
          <w:highlight w:val="none"/>
        </w:rPr>
        <w:t>8月，泉港区农林水局组织对四清水库进行安全鉴定，鉴定结论为三类坝；2012年3月，泉港区农林水库委托设计单位进行水库大坝除险加固工程设计</w:t>
      </w:r>
      <w:r>
        <w:rPr>
          <w:rFonts w:eastAsia="楷体"/>
          <w:color w:val="auto"/>
          <w:sz w:val="28"/>
          <w:szCs w:val="28"/>
          <w:highlight w:val="none"/>
        </w:rPr>
        <w:t>；</w:t>
      </w:r>
      <w:r>
        <w:rPr>
          <w:rFonts w:hint="eastAsia" w:eastAsia="楷体"/>
          <w:color w:val="auto"/>
          <w:sz w:val="28"/>
          <w:szCs w:val="28"/>
          <w:highlight w:val="none"/>
        </w:rPr>
        <w:t>2014年12月～2015年10月进行水库除险加固施工，主要工程措施：</w:t>
      </w:r>
    </w:p>
    <w:p w14:paraId="3B6C8425">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（1）大坝</w:t>
      </w:r>
    </w:p>
    <w:p w14:paraId="1D185661">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1）坝体防渗加固：坝体采用全断而充填灌浆防渗（桩号范围B0+000.0~B0+200.0），在坝顶布置双排灌浆孔，灌浆孔距3.0m，排距3.0m，两排孔呈梅花形布置，灌浆顶高程28.810m，钻孔深至坝基接触面以下2m范围，共布136孔，分两序施工。</w:t>
      </w:r>
    </w:p>
    <w:p w14:paraId="081B8567">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2）坝坡加固</w:t>
      </w:r>
    </w:p>
    <w:p w14:paraId="22E1139D">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迎水坡：正常蓄水位（28. 040m）以上坝坡清除杂草并勾缝。</w:t>
      </w:r>
    </w:p>
    <w:p w14:paraId="2C04CE8F">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背水坡：按1:2.0坡比进行修整；桩号B0+050.0~B0+095.0高程21.500m以下新建贴坡排水；岸坡结合部位及坝脚设纵、横向排水沟，在坝坡中间位置设置水库名称字体；桩号B0+100.0新建下坝台阶；坡面均采用草皮护坡。</w:t>
      </w:r>
    </w:p>
    <w:p w14:paraId="6C80A9B2">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3）坝顶</w:t>
      </w:r>
    </w:p>
    <w:p w14:paraId="06E9C620">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拆除防浪墙，修整坝顶路面，统一高程至30.580m，上游侧新建防护栏杆，下游侧新建路肩，采用混凝土硬化路面；左、右两端设车辆限行墩。</w:t>
      </w:r>
    </w:p>
    <w:p w14:paraId="5F6D9B40">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2）溢洪道：重建交通桥；清除桩号Y0+038.4~Y0+117.5淤积的砂土及灌木、乔木，对已建成的浆砌石挡墙及底板重新勾缝；修复桩号Y0+100.0~Y0+117.5左侧、Y0+098.0~Y0+117.5右侧已损坏的侧墙；开挖被填堵的（桩号渠0+000.0～渠0+045.0）排洪渠，在桩号渠0+000.0~渠0+011.0新建消力池，桩号渠0+011.0~渠0+045.0新建盖板涵与下游已建明渠衔接。</w:t>
      </w:r>
    </w:p>
    <w:p w14:paraId="18894A70">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（3）输水涵洞及金属结构</w:t>
      </w:r>
    </w:p>
    <w:p w14:paraId="174B964F">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拆除原进水口，新建消力井，配套相应的转动门盖、拦污栅、拉杆及3t手动卷扬机；涵洞清淤；涵洞出口引水渠衬砌。</w:t>
      </w:r>
    </w:p>
    <w:p w14:paraId="67FC8559">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（4）其它</w:t>
      </w:r>
    </w:p>
    <w:p w14:paraId="2DC65B61">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在迎水坡台阶旁设置一组搪瓷水位观测尺；硬化防汛道路；白蚂蚁防治；拆除坝顶右端废弃房子。</w:t>
      </w:r>
    </w:p>
    <w:p w14:paraId="484787AD">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泉港区前黄镇</w:t>
      </w:r>
      <w:r>
        <w:rPr>
          <w:rFonts w:eastAsia="楷体"/>
          <w:color w:val="auto"/>
          <w:sz w:val="28"/>
          <w:szCs w:val="28"/>
          <w:highlight w:val="none"/>
        </w:rPr>
        <w:t>四清水库</w:t>
      </w:r>
      <w:r>
        <w:rPr>
          <w:rFonts w:hint="eastAsia" w:eastAsia="楷体"/>
          <w:color w:val="auto"/>
          <w:sz w:val="28"/>
          <w:szCs w:val="28"/>
          <w:highlight w:val="none"/>
        </w:rPr>
        <w:t>除险加固</w:t>
      </w:r>
      <w:r>
        <w:rPr>
          <w:rFonts w:eastAsia="楷体"/>
          <w:color w:val="auto"/>
          <w:sz w:val="28"/>
          <w:szCs w:val="28"/>
          <w:highlight w:val="none"/>
        </w:rPr>
        <w:t>工程于201</w:t>
      </w:r>
      <w:r>
        <w:rPr>
          <w:rFonts w:hint="eastAsia" w:eastAsia="楷体"/>
          <w:color w:val="auto"/>
          <w:sz w:val="28"/>
          <w:szCs w:val="28"/>
          <w:highlight w:val="none"/>
        </w:rPr>
        <w:t>5</w:t>
      </w:r>
      <w:r>
        <w:rPr>
          <w:rFonts w:eastAsia="楷体"/>
          <w:color w:val="auto"/>
          <w:sz w:val="28"/>
          <w:szCs w:val="28"/>
          <w:highlight w:val="none"/>
        </w:rPr>
        <w:t>年</w:t>
      </w:r>
      <w:r>
        <w:rPr>
          <w:rFonts w:hint="eastAsia" w:eastAsia="楷体"/>
          <w:color w:val="auto"/>
          <w:sz w:val="28"/>
          <w:szCs w:val="28"/>
          <w:highlight w:val="none"/>
        </w:rPr>
        <w:t>12</w:t>
      </w:r>
      <w:r>
        <w:rPr>
          <w:rFonts w:eastAsia="楷体"/>
          <w:color w:val="auto"/>
          <w:sz w:val="28"/>
          <w:szCs w:val="28"/>
          <w:highlight w:val="none"/>
        </w:rPr>
        <w:t>月通过了法人主持的完工验收。</w:t>
      </w:r>
    </w:p>
    <w:p w14:paraId="5B8AEE50">
      <w:pPr>
        <w:widowControl/>
        <w:spacing w:line="520" w:lineRule="exact"/>
        <w:ind w:firstLine="560" w:firstLineChars="200"/>
        <w:contextualSpacing/>
        <w:rPr>
          <w:rFonts w:eastAsia="楷体"/>
          <w:color w:val="auto"/>
          <w:kern w:val="0"/>
          <w:sz w:val="28"/>
          <w:szCs w:val="28"/>
          <w:highlight w:val="none"/>
        </w:rPr>
      </w:pPr>
      <w:bookmarkStart w:id="31" w:name="_Toc13333"/>
      <w:r>
        <w:rPr>
          <w:rFonts w:eastAsia="楷体"/>
          <w:color w:val="auto"/>
          <w:kern w:val="0"/>
          <w:sz w:val="28"/>
          <w:szCs w:val="28"/>
          <w:highlight w:val="none"/>
        </w:rPr>
        <w:t>20</w:t>
      </w:r>
      <w:r>
        <w:rPr>
          <w:rFonts w:hint="eastAsia" w:eastAsia="楷体"/>
          <w:color w:val="auto"/>
          <w:kern w:val="0"/>
          <w:sz w:val="28"/>
          <w:szCs w:val="28"/>
          <w:highlight w:val="none"/>
          <w:lang w:val="en-US" w:eastAsia="zh-CN"/>
        </w:rPr>
        <w:t>22</w:t>
      </w:r>
      <w:r>
        <w:rPr>
          <w:rFonts w:eastAsia="楷体"/>
          <w:color w:val="auto"/>
          <w:kern w:val="0"/>
          <w:sz w:val="28"/>
          <w:szCs w:val="28"/>
          <w:highlight w:val="none"/>
        </w:rPr>
        <w:t>年</w:t>
      </w:r>
      <w:r>
        <w:rPr>
          <w:rFonts w:hint="eastAsia" w:eastAsia="楷体"/>
          <w:color w:val="auto"/>
          <w:kern w:val="0"/>
          <w:sz w:val="28"/>
          <w:szCs w:val="28"/>
          <w:highlight w:val="none"/>
          <w:lang w:val="en-US" w:eastAsia="zh-CN"/>
        </w:rPr>
        <w:t>12</w:t>
      </w:r>
      <w:r>
        <w:rPr>
          <w:rFonts w:eastAsia="楷体"/>
          <w:color w:val="auto"/>
          <w:kern w:val="0"/>
          <w:sz w:val="28"/>
          <w:szCs w:val="28"/>
          <w:highlight w:val="none"/>
        </w:rPr>
        <w:t>月，</w:t>
      </w:r>
      <w:r>
        <w:rPr>
          <w:rFonts w:hint="eastAsia" w:eastAsia="楷体"/>
          <w:color w:val="auto"/>
          <w:sz w:val="28"/>
          <w:szCs w:val="28"/>
          <w:highlight w:val="none"/>
        </w:rPr>
        <w:t>泉港区农水局组织对四清水库进行安全鉴定</w:t>
      </w:r>
      <w:r>
        <w:rPr>
          <w:rFonts w:eastAsia="楷体"/>
          <w:color w:val="auto"/>
          <w:kern w:val="0"/>
          <w:sz w:val="28"/>
          <w:szCs w:val="28"/>
          <w:highlight w:val="none"/>
        </w:rPr>
        <w:t>，安全鉴定主要结论如下：</w:t>
      </w:r>
    </w:p>
    <w:p w14:paraId="70AB09FA">
      <w:pPr>
        <w:spacing w:line="520" w:lineRule="exact"/>
        <w:ind w:firstLine="560" w:firstLineChars="200"/>
        <w:rPr>
          <w:rFonts w:eastAsia="楷体"/>
          <w:color w:val="auto"/>
          <w:sz w:val="28"/>
          <w:szCs w:val="28"/>
          <w:highlight w:val="none"/>
        </w:rPr>
      </w:pPr>
      <w:r>
        <w:rPr>
          <w:rFonts w:eastAsia="楷体"/>
          <w:color w:val="auto"/>
          <w:sz w:val="28"/>
          <w:szCs w:val="28"/>
          <w:highlight w:val="none"/>
        </w:rPr>
        <w:t>（1）</w:t>
      </w:r>
      <w:r>
        <w:rPr>
          <w:rFonts w:hint="eastAsia" w:eastAsia="楷体"/>
          <w:color w:val="auto"/>
          <w:sz w:val="28"/>
          <w:szCs w:val="28"/>
          <w:highlight w:val="none"/>
        </w:rPr>
        <w:t>工程</w:t>
      </w:r>
      <w:r>
        <w:rPr>
          <w:rFonts w:hint="eastAsia" w:eastAsia="楷体"/>
          <w:color w:val="auto"/>
          <w:sz w:val="28"/>
          <w:szCs w:val="28"/>
          <w:highlight w:val="none"/>
          <w:lang w:eastAsia="zh-CN"/>
        </w:rPr>
        <w:t>检查情况如下</w:t>
      </w:r>
      <w:r>
        <w:rPr>
          <w:rFonts w:hint="eastAsia" w:eastAsia="楷体"/>
          <w:color w:val="auto"/>
          <w:sz w:val="28"/>
          <w:szCs w:val="28"/>
          <w:highlight w:val="none"/>
        </w:rPr>
        <w:t>：</w:t>
      </w:r>
    </w:p>
    <w:p w14:paraId="3C6C6098">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大坝：迎水坡为干砌块石护坡，坡面平整，无隆起、塌坑、滑动的现象，近坝水面无冒泡、漩涡等异常现象。背水坡坡面稳定，但草皮养护不当，局部土体裸露，多处有雨淋沟，有白蚁活动痕迹。坝脚排水沟淤积、长有杂草，根据向管理员了解，水库高水位运行时坝脚排水沟未发现渗漏现象，大坝两侧未发现渗漏现象。大坝设有位移沉降观测设施。</w:t>
      </w:r>
    </w:p>
    <w:p w14:paraId="606EAFBE">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溢洪道：溢洪道的进口段底板砼护底结构完整，未发现脱落、老化:控制段、滑槽、消能坎浆确石结构完整，未发现损坏、沉降:侧墙的浆砌块石结构完整稳定，未发现变形。但桩号0+60-0+68m</w:t>
      </w:r>
      <w:r>
        <w:rPr>
          <w:rFonts w:hint="eastAsia" w:eastAsia="楷体"/>
          <w:color w:val="auto"/>
          <w:sz w:val="28"/>
          <w:szCs w:val="28"/>
          <w:highlight w:val="none"/>
          <w:lang w:eastAsia="zh-CN"/>
        </w:rPr>
        <w:t>，</w:t>
      </w:r>
      <w:r>
        <w:rPr>
          <w:rFonts w:hint="eastAsia" w:eastAsia="楷体"/>
          <w:color w:val="auto"/>
          <w:sz w:val="28"/>
          <w:szCs w:val="28"/>
          <w:highlight w:val="none"/>
        </w:rPr>
        <w:t>违章建设两层石混线构民房，墙体直接砌筑在溢洪道</w:t>
      </w:r>
      <w:r>
        <w:rPr>
          <w:rFonts w:hint="eastAsia" w:eastAsia="楷体"/>
          <w:color w:val="auto"/>
          <w:sz w:val="28"/>
          <w:szCs w:val="28"/>
          <w:highlight w:val="none"/>
          <w:lang w:eastAsia="zh-CN"/>
        </w:rPr>
        <w:t>泄</w:t>
      </w:r>
      <w:r>
        <w:rPr>
          <w:rFonts w:hint="eastAsia" w:eastAsia="楷体"/>
          <w:color w:val="auto"/>
          <w:sz w:val="28"/>
          <w:szCs w:val="28"/>
          <w:highlight w:val="none"/>
        </w:rPr>
        <w:t>槽侧墙上</w:t>
      </w:r>
      <w:r>
        <w:rPr>
          <w:rFonts w:hint="eastAsia" w:eastAsia="楷体"/>
          <w:color w:val="auto"/>
          <w:sz w:val="28"/>
          <w:szCs w:val="28"/>
          <w:highlight w:val="none"/>
          <w:lang w:eastAsia="zh-CN"/>
        </w:rPr>
        <w:t>，</w:t>
      </w:r>
      <w:r>
        <w:rPr>
          <w:rFonts w:hint="eastAsia" w:eastAsia="楷体"/>
          <w:color w:val="auto"/>
          <w:sz w:val="28"/>
          <w:szCs w:val="28"/>
          <w:highlight w:val="none"/>
        </w:rPr>
        <w:t>且在泄槽翻筑台阶，并拆除侧墙砌体，安装地下室铁门，影响侧墙稳定安全、溢洪道</w:t>
      </w:r>
      <w:r>
        <w:rPr>
          <w:rFonts w:hint="eastAsia" w:eastAsia="楷体"/>
          <w:color w:val="auto"/>
          <w:sz w:val="28"/>
          <w:szCs w:val="28"/>
          <w:highlight w:val="none"/>
          <w:lang w:eastAsia="zh-CN"/>
        </w:rPr>
        <w:t>泄洪</w:t>
      </w:r>
      <w:r>
        <w:rPr>
          <w:rFonts w:hint="eastAsia" w:eastAsia="楷体"/>
          <w:color w:val="auto"/>
          <w:sz w:val="28"/>
          <w:szCs w:val="28"/>
          <w:highlight w:val="none"/>
        </w:rPr>
        <w:t>安全</w:t>
      </w:r>
      <w:r>
        <w:rPr>
          <w:rFonts w:hint="eastAsia" w:eastAsia="楷体"/>
          <w:color w:val="auto"/>
          <w:sz w:val="28"/>
          <w:szCs w:val="28"/>
          <w:highlight w:val="none"/>
          <w:lang w:eastAsia="zh-CN"/>
        </w:rPr>
        <w:t>，</w:t>
      </w:r>
      <w:r>
        <w:rPr>
          <w:rFonts w:hint="eastAsia" w:eastAsia="楷体"/>
          <w:color w:val="auto"/>
          <w:sz w:val="28"/>
          <w:szCs w:val="28"/>
          <w:highlight w:val="none"/>
        </w:rPr>
        <w:t>并存在重大安全隐患。</w:t>
      </w:r>
    </w:p>
    <w:p w14:paraId="4A990DE4">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lang w:eastAsia="zh-CN"/>
        </w:rPr>
        <w:t>输</w:t>
      </w:r>
      <w:r>
        <w:rPr>
          <w:rFonts w:hint="eastAsia" w:eastAsia="楷体"/>
          <w:color w:val="auto"/>
          <w:sz w:val="28"/>
          <w:szCs w:val="28"/>
          <w:highlight w:val="none"/>
        </w:rPr>
        <w:t>水涵洞：通过机器人进入输水涌洞察看，</w:t>
      </w:r>
      <w:r>
        <w:rPr>
          <w:rFonts w:hint="eastAsia" w:eastAsia="楷体"/>
          <w:color w:val="auto"/>
          <w:sz w:val="28"/>
          <w:szCs w:val="28"/>
          <w:highlight w:val="none"/>
          <w:lang w:eastAsia="zh-CN"/>
        </w:rPr>
        <w:t>洞</w:t>
      </w:r>
      <w:r>
        <w:rPr>
          <w:rFonts w:hint="eastAsia" w:eastAsia="楷体"/>
          <w:color w:val="auto"/>
          <w:sz w:val="28"/>
          <w:szCs w:val="28"/>
          <w:highlight w:val="none"/>
        </w:rPr>
        <w:t>身</w:t>
      </w:r>
      <w:r>
        <w:rPr>
          <w:rFonts w:hint="eastAsia" w:eastAsia="楷体"/>
          <w:color w:val="auto"/>
          <w:sz w:val="28"/>
          <w:szCs w:val="28"/>
          <w:highlight w:val="none"/>
          <w:lang w:eastAsia="zh-CN"/>
        </w:rPr>
        <w:t>砌</w:t>
      </w:r>
      <w:r>
        <w:rPr>
          <w:rFonts w:hint="eastAsia" w:eastAsia="楷体"/>
          <w:color w:val="auto"/>
          <w:sz w:val="28"/>
          <w:szCs w:val="28"/>
          <w:highlight w:val="none"/>
        </w:rPr>
        <w:t>体完整</w:t>
      </w:r>
      <w:r>
        <w:rPr>
          <w:rFonts w:hint="eastAsia" w:eastAsia="楷体"/>
          <w:color w:val="auto"/>
          <w:sz w:val="28"/>
          <w:szCs w:val="28"/>
          <w:highlight w:val="none"/>
          <w:lang w:eastAsia="zh-CN"/>
        </w:rPr>
        <w:t>，距洞</w:t>
      </w:r>
      <w:r>
        <w:rPr>
          <w:rFonts w:hint="eastAsia" w:eastAsia="楷体"/>
          <w:color w:val="auto"/>
          <w:sz w:val="28"/>
          <w:szCs w:val="28"/>
          <w:highlight w:val="none"/>
        </w:rPr>
        <w:t>口7</w:t>
      </w:r>
      <w:r>
        <w:rPr>
          <w:rFonts w:hint="eastAsia" w:eastAsia="楷体"/>
          <w:color w:val="auto"/>
          <w:sz w:val="28"/>
          <w:szCs w:val="28"/>
          <w:highlight w:val="none"/>
          <w:lang w:val="en-US" w:eastAsia="zh-CN"/>
        </w:rPr>
        <w:t>.7</w:t>
      </w:r>
      <w:r>
        <w:rPr>
          <w:rFonts w:hint="eastAsia" w:eastAsia="楷体"/>
          <w:color w:val="auto"/>
          <w:sz w:val="28"/>
          <w:szCs w:val="28"/>
          <w:highlight w:val="none"/>
        </w:rPr>
        <w:t>4</w:t>
      </w:r>
      <w:r>
        <w:rPr>
          <w:rFonts w:hint="eastAsia" w:eastAsia="楷体"/>
          <w:color w:val="auto"/>
          <w:sz w:val="28"/>
          <w:szCs w:val="28"/>
          <w:highlight w:val="none"/>
          <w:lang w:val="en-US" w:eastAsia="zh-CN"/>
        </w:rPr>
        <w:t>m</w:t>
      </w:r>
      <w:r>
        <w:rPr>
          <w:rFonts w:hint="eastAsia" w:eastAsia="楷体"/>
          <w:color w:val="auto"/>
          <w:sz w:val="28"/>
          <w:szCs w:val="28"/>
          <w:highlight w:val="none"/>
        </w:rPr>
        <w:t>处有</w:t>
      </w:r>
      <w:r>
        <w:rPr>
          <w:rFonts w:hint="eastAsia" w:eastAsia="楷体"/>
          <w:color w:val="auto"/>
          <w:sz w:val="28"/>
          <w:szCs w:val="28"/>
          <w:highlight w:val="none"/>
          <w:lang w:eastAsia="zh-CN"/>
        </w:rPr>
        <w:t>一</w:t>
      </w:r>
      <w:r>
        <w:rPr>
          <w:rFonts w:hint="eastAsia" w:eastAsia="楷体"/>
          <w:color w:val="auto"/>
          <w:sz w:val="28"/>
          <w:szCs w:val="28"/>
          <w:highlight w:val="none"/>
        </w:rPr>
        <w:t>处</w:t>
      </w:r>
      <w:r>
        <w:rPr>
          <w:rFonts w:hint="eastAsia" w:eastAsia="楷体"/>
          <w:color w:val="auto"/>
          <w:sz w:val="28"/>
          <w:szCs w:val="28"/>
          <w:highlight w:val="none"/>
          <w:lang w:eastAsia="zh-CN"/>
        </w:rPr>
        <w:t>渗漏滴</w:t>
      </w:r>
      <w:r>
        <w:rPr>
          <w:rFonts w:hint="eastAsia" w:eastAsia="楷体"/>
          <w:color w:val="auto"/>
          <w:sz w:val="28"/>
          <w:szCs w:val="28"/>
          <w:highlight w:val="none"/>
        </w:rPr>
        <w:t>水、</w:t>
      </w:r>
      <w:r>
        <w:rPr>
          <w:rFonts w:hint="eastAsia" w:eastAsia="楷体"/>
          <w:color w:val="auto"/>
          <w:sz w:val="28"/>
          <w:szCs w:val="28"/>
          <w:highlight w:val="none"/>
          <w:lang w:val="en-US" w:eastAsia="zh-CN"/>
        </w:rPr>
        <w:t>1</w:t>
      </w:r>
      <w:r>
        <w:rPr>
          <w:rFonts w:hint="eastAsia" w:eastAsia="楷体"/>
          <w:color w:val="auto"/>
          <w:sz w:val="28"/>
          <w:szCs w:val="28"/>
          <w:highlight w:val="none"/>
        </w:rPr>
        <w:t>1.86</w:t>
      </w:r>
      <w:r>
        <w:rPr>
          <w:rFonts w:hint="eastAsia" w:eastAsia="楷体"/>
          <w:color w:val="auto"/>
          <w:sz w:val="28"/>
          <w:szCs w:val="28"/>
          <w:highlight w:val="none"/>
          <w:lang w:val="en-US" w:eastAsia="zh-CN"/>
        </w:rPr>
        <w:t>m有</w:t>
      </w:r>
      <w:r>
        <w:rPr>
          <w:rFonts w:hint="eastAsia" w:eastAsia="楷体"/>
          <w:color w:val="auto"/>
          <w:sz w:val="28"/>
          <w:szCs w:val="28"/>
          <w:highlight w:val="none"/>
        </w:rPr>
        <w:t>一处小沉积。输水涵</w:t>
      </w:r>
      <w:r>
        <w:rPr>
          <w:rFonts w:hint="eastAsia" w:eastAsia="楷体"/>
          <w:color w:val="auto"/>
          <w:sz w:val="28"/>
          <w:szCs w:val="28"/>
          <w:highlight w:val="none"/>
          <w:lang w:eastAsia="zh-CN"/>
        </w:rPr>
        <w:t>洞</w:t>
      </w:r>
      <w:r>
        <w:rPr>
          <w:rFonts w:hint="eastAsia" w:eastAsia="楷体"/>
          <w:color w:val="auto"/>
          <w:sz w:val="28"/>
          <w:szCs w:val="28"/>
          <w:highlight w:val="none"/>
        </w:rPr>
        <w:t>出口长满杂草、</w:t>
      </w:r>
      <w:r>
        <w:rPr>
          <w:rFonts w:hint="eastAsia" w:eastAsia="楷体"/>
          <w:color w:val="auto"/>
          <w:sz w:val="28"/>
          <w:szCs w:val="28"/>
          <w:highlight w:val="none"/>
          <w:lang w:eastAsia="zh-CN"/>
        </w:rPr>
        <w:t>灌</w:t>
      </w:r>
      <w:r>
        <w:rPr>
          <w:rFonts w:hint="eastAsia" w:eastAsia="楷体"/>
          <w:color w:val="auto"/>
          <w:sz w:val="28"/>
          <w:szCs w:val="28"/>
          <w:highlight w:val="none"/>
        </w:rPr>
        <w:t>木，影响输水。启闭机、钢</w:t>
      </w:r>
      <w:r>
        <w:rPr>
          <w:rFonts w:hint="eastAsia" w:eastAsia="楷体"/>
          <w:color w:val="auto"/>
          <w:sz w:val="28"/>
          <w:szCs w:val="28"/>
          <w:highlight w:val="none"/>
          <w:lang w:eastAsia="zh-CN"/>
        </w:rPr>
        <w:t>丝</w:t>
      </w:r>
      <w:r>
        <w:rPr>
          <w:rFonts w:hint="eastAsia" w:eastAsia="楷体"/>
          <w:color w:val="auto"/>
          <w:sz w:val="28"/>
          <w:szCs w:val="28"/>
          <w:highlight w:val="none"/>
        </w:rPr>
        <w:t>绳、</w:t>
      </w:r>
      <w:r>
        <w:rPr>
          <w:rFonts w:hint="eastAsia" w:eastAsia="楷体"/>
          <w:color w:val="auto"/>
          <w:sz w:val="28"/>
          <w:szCs w:val="28"/>
          <w:highlight w:val="none"/>
          <w:lang w:eastAsia="zh-CN"/>
        </w:rPr>
        <w:t>拉杆</w:t>
      </w:r>
      <w:r>
        <w:rPr>
          <w:rFonts w:hint="eastAsia" w:eastAsia="楷体"/>
          <w:color w:val="auto"/>
          <w:sz w:val="28"/>
          <w:szCs w:val="28"/>
          <w:highlight w:val="none"/>
        </w:rPr>
        <w:t>维护</w:t>
      </w:r>
      <w:r>
        <w:rPr>
          <w:rFonts w:hint="eastAsia" w:eastAsia="楷体"/>
          <w:color w:val="auto"/>
          <w:sz w:val="28"/>
          <w:szCs w:val="28"/>
          <w:highlight w:val="none"/>
          <w:lang w:eastAsia="zh-CN"/>
        </w:rPr>
        <w:t>较</w:t>
      </w:r>
      <w:r>
        <w:rPr>
          <w:rFonts w:hint="eastAsia" w:eastAsia="楷体"/>
          <w:color w:val="auto"/>
          <w:sz w:val="28"/>
          <w:szCs w:val="28"/>
          <w:highlight w:val="none"/>
        </w:rPr>
        <w:t>好</w:t>
      </w:r>
      <w:r>
        <w:rPr>
          <w:rFonts w:hint="eastAsia" w:eastAsia="楷体"/>
          <w:color w:val="auto"/>
          <w:sz w:val="28"/>
          <w:szCs w:val="28"/>
          <w:highlight w:val="none"/>
          <w:lang w:eastAsia="zh-CN"/>
        </w:rPr>
        <w:t>，据</w:t>
      </w:r>
      <w:r>
        <w:rPr>
          <w:rFonts w:hint="eastAsia" w:eastAsia="楷体"/>
          <w:color w:val="auto"/>
          <w:sz w:val="28"/>
          <w:szCs w:val="28"/>
          <w:highlight w:val="none"/>
        </w:rPr>
        <w:t>管理人员</w:t>
      </w:r>
      <w:r>
        <w:rPr>
          <w:rFonts w:hint="eastAsia" w:eastAsia="楷体"/>
          <w:color w:val="auto"/>
          <w:sz w:val="28"/>
          <w:szCs w:val="28"/>
          <w:highlight w:val="none"/>
          <w:lang w:eastAsia="zh-CN"/>
        </w:rPr>
        <w:t>介绍</w:t>
      </w:r>
      <w:r>
        <w:rPr>
          <w:rFonts w:hint="eastAsia" w:eastAsia="楷体"/>
          <w:color w:val="auto"/>
          <w:sz w:val="28"/>
          <w:szCs w:val="28"/>
          <w:highlight w:val="none"/>
        </w:rPr>
        <w:t>，</w:t>
      </w:r>
      <w:r>
        <w:rPr>
          <w:rFonts w:hint="eastAsia" w:eastAsia="楷体"/>
          <w:color w:val="auto"/>
          <w:sz w:val="28"/>
          <w:szCs w:val="28"/>
          <w:highlight w:val="none"/>
          <w:lang w:eastAsia="zh-CN"/>
        </w:rPr>
        <w:t>库</w:t>
      </w:r>
      <w:r>
        <w:rPr>
          <w:rFonts w:hint="eastAsia" w:eastAsia="楷体"/>
          <w:color w:val="auto"/>
          <w:sz w:val="28"/>
          <w:szCs w:val="28"/>
          <w:highlight w:val="none"/>
        </w:rPr>
        <w:t>水位</w:t>
      </w:r>
      <w:r>
        <w:rPr>
          <w:rFonts w:hint="eastAsia" w:eastAsia="楷体"/>
          <w:color w:val="auto"/>
          <w:sz w:val="28"/>
          <w:szCs w:val="28"/>
          <w:highlight w:val="none"/>
          <w:lang w:eastAsia="zh-CN"/>
        </w:rPr>
        <w:t>较高</w:t>
      </w:r>
      <w:r>
        <w:rPr>
          <w:rFonts w:hint="eastAsia" w:eastAsia="楷体"/>
          <w:color w:val="auto"/>
          <w:sz w:val="28"/>
          <w:szCs w:val="28"/>
          <w:highlight w:val="none"/>
        </w:rPr>
        <w:t>时</w:t>
      </w:r>
      <w:r>
        <w:rPr>
          <w:rFonts w:hint="eastAsia" w:eastAsia="楷体"/>
          <w:color w:val="auto"/>
          <w:sz w:val="28"/>
          <w:szCs w:val="28"/>
          <w:highlight w:val="none"/>
          <w:lang w:eastAsia="zh-CN"/>
        </w:rPr>
        <w:t>，启闭</w:t>
      </w:r>
      <w:r>
        <w:rPr>
          <w:rFonts w:hint="eastAsia" w:eastAsia="楷体"/>
          <w:color w:val="auto"/>
          <w:sz w:val="28"/>
          <w:szCs w:val="28"/>
          <w:highlight w:val="none"/>
        </w:rPr>
        <w:t>机</w:t>
      </w:r>
      <w:r>
        <w:rPr>
          <w:rFonts w:hint="eastAsia" w:eastAsia="楷体"/>
          <w:color w:val="auto"/>
          <w:sz w:val="28"/>
          <w:szCs w:val="28"/>
          <w:highlight w:val="none"/>
          <w:lang w:eastAsia="zh-CN"/>
        </w:rPr>
        <w:t>手动操</w:t>
      </w:r>
      <w:r>
        <w:rPr>
          <w:rFonts w:hint="eastAsia" w:eastAsia="楷体"/>
          <w:color w:val="auto"/>
          <w:sz w:val="28"/>
          <w:szCs w:val="28"/>
          <w:highlight w:val="none"/>
        </w:rPr>
        <w:t>作</w:t>
      </w:r>
      <w:r>
        <w:rPr>
          <w:rFonts w:hint="eastAsia" w:eastAsia="楷体"/>
          <w:color w:val="auto"/>
          <w:sz w:val="28"/>
          <w:szCs w:val="28"/>
          <w:highlight w:val="none"/>
          <w:lang w:eastAsia="zh-CN"/>
        </w:rPr>
        <w:t>较困难</w:t>
      </w:r>
      <w:r>
        <w:rPr>
          <w:rFonts w:hint="eastAsia" w:eastAsia="楷体"/>
          <w:color w:val="auto"/>
          <w:sz w:val="28"/>
          <w:szCs w:val="28"/>
          <w:highlight w:val="none"/>
        </w:rPr>
        <w:t>。</w:t>
      </w:r>
    </w:p>
    <w:p w14:paraId="6A62356C">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lang w:eastAsia="zh-CN"/>
        </w:rPr>
        <w:t>库区</w:t>
      </w:r>
      <w:r>
        <w:rPr>
          <w:rFonts w:hint="eastAsia" w:eastAsia="楷体"/>
          <w:color w:val="auto"/>
          <w:sz w:val="28"/>
          <w:szCs w:val="28"/>
          <w:highlight w:val="none"/>
        </w:rPr>
        <w:t>：</w:t>
      </w:r>
      <w:r>
        <w:rPr>
          <w:rFonts w:hint="eastAsia" w:eastAsia="楷体"/>
          <w:color w:val="auto"/>
          <w:sz w:val="28"/>
          <w:szCs w:val="28"/>
          <w:highlight w:val="none"/>
          <w:lang w:eastAsia="zh-CN"/>
        </w:rPr>
        <w:t>库区山体岸坡植被较好，水库库岸总体稳定</w:t>
      </w:r>
      <w:r>
        <w:rPr>
          <w:rFonts w:hint="eastAsia" w:eastAsia="楷体"/>
          <w:color w:val="auto"/>
          <w:sz w:val="28"/>
          <w:szCs w:val="28"/>
          <w:highlight w:val="none"/>
        </w:rPr>
        <w:t>。</w:t>
      </w:r>
    </w:p>
    <w:p w14:paraId="1A6EF788">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（2）</w:t>
      </w:r>
      <w:r>
        <w:rPr>
          <w:rFonts w:hint="eastAsia" w:eastAsia="楷体"/>
          <w:color w:val="auto"/>
          <w:sz w:val="28"/>
          <w:szCs w:val="28"/>
          <w:highlight w:val="none"/>
          <w:lang w:eastAsia="zh-CN"/>
        </w:rPr>
        <w:t>工程运行管理评价情况如下</w:t>
      </w:r>
      <w:r>
        <w:rPr>
          <w:rFonts w:hint="eastAsia" w:eastAsia="楷体"/>
          <w:color w:val="auto"/>
          <w:sz w:val="28"/>
          <w:szCs w:val="28"/>
          <w:highlight w:val="none"/>
        </w:rPr>
        <w:t>：</w:t>
      </w:r>
    </w:p>
    <w:p w14:paraId="437ECFD7">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1）水库的各项运行管理规章制度较齐</w:t>
      </w:r>
      <w:r>
        <w:rPr>
          <w:rFonts w:hint="eastAsia" w:eastAsia="楷体"/>
          <w:color w:val="auto"/>
          <w:sz w:val="28"/>
          <w:szCs w:val="28"/>
          <w:highlight w:val="none"/>
          <w:lang w:eastAsia="zh-CN"/>
        </w:rPr>
        <w:t>全</w:t>
      </w:r>
      <w:r>
        <w:rPr>
          <w:rFonts w:hint="eastAsia" w:eastAsia="楷体"/>
          <w:color w:val="auto"/>
          <w:sz w:val="28"/>
          <w:szCs w:val="28"/>
          <w:highlight w:val="none"/>
        </w:rPr>
        <w:t>；</w:t>
      </w:r>
    </w:p>
    <w:p w14:paraId="5E8C0486">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2）按批复的运用调度计划运行，并按规定开展日常巡视、检查和养护等工作；</w:t>
      </w:r>
    </w:p>
    <w:p w14:paraId="1DCDE921">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3）水库安装水雨情自动检测系统，布设位移沉降观测点；</w:t>
      </w:r>
    </w:p>
    <w:p w14:paraId="15B71169">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4）但水库无管理房，台风暴雨值守不便；未开展大坝沉降位移观测；</w:t>
      </w:r>
    </w:p>
    <w:p w14:paraId="5B750BC3">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5）滥洪道桩号0+60-0+68m</w:t>
      </w:r>
      <w:r>
        <w:rPr>
          <w:rFonts w:hint="eastAsia" w:eastAsia="楷体"/>
          <w:color w:val="auto"/>
          <w:sz w:val="28"/>
          <w:szCs w:val="28"/>
          <w:highlight w:val="none"/>
          <w:lang w:eastAsia="zh-CN"/>
        </w:rPr>
        <w:t>，</w:t>
      </w:r>
      <w:r>
        <w:rPr>
          <w:rFonts w:hint="eastAsia" w:eastAsia="楷体"/>
          <w:color w:val="auto"/>
          <w:sz w:val="28"/>
          <w:szCs w:val="28"/>
          <w:highlight w:val="none"/>
        </w:rPr>
        <w:t>违章建设石混结构民房，墙体直接砌筑在溢洪道泄槽侧墙上，且在泄槽砌筑台阶，并</w:t>
      </w:r>
      <w:r>
        <w:rPr>
          <w:rFonts w:hint="eastAsia" w:eastAsia="楷体"/>
          <w:color w:val="auto"/>
          <w:sz w:val="28"/>
          <w:szCs w:val="28"/>
          <w:highlight w:val="none"/>
          <w:lang w:eastAsia="zh-CN"/>
        </w:rPr>
        <w:t>拆</w:t>
      </w:r>
      <w:r>
        <w:rPr>
          <w:rFonts w:hint="eastAsia" w:eastAsia="楷体"/>
          <w:color w:val="auto"/>
          <w:sz w:val="28"/>
          <w:szCs w:val="28"/>
          <w:highlight w:val="none"/>
        </w:rPr>
        <w:t>除侧墙砌体，安装地下空铁门，影响侧墙稳定安全、</w:t>
      </w:r>
      <w:r>
        <w:rPr>
          <w:rFonts w:hint="eastAsia" w:eastAsia="楷体"/>
          <w:color w:val="auto"/>
          <w:sz w:val="28"/>
          <w:szCs w:val="28"/>
          <w:highlight w:val="none"/>
          <w:lang w:eastAsia="zh-CN"/>
        </w:rPr>
        <w:t>溢</w:t>
      </w:r>
      <w:r>
        <w:rPr>
          <w:rFonts w:hint="eastAsia" w:eastAsia="楷体"/>
          <w:color w:val="auto"/>
          <w:sz w:val="28"/>
          <w:szCs w:val="28"/>
          <w:highlight w:val="none"/>
        </w:rPr>
        <w:t xml:space="preserve">洪道泄洪安全，并存在重大安全隐患； </w:t>
      </w:r>
    </w:p>
    <w:p w14:paraId="4F28F538">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6）根据</w:t>
      </w:r>
      <w:r>
        <w:rPr>
          <w:rFonts w:hint="eastAsia" w:eastAsia="楷体"/>
          <w:color w:val="auto"/>
          <w:sz w:val="28"/>
          <w:szCs w:val="28"/>
          <w:highlight w:val="none"/>
          <w:lang w:eastAsia="zh-CN"/>
        </w:rPr>
        <w:t>《</w:t>
      </w:r>
      <w:r>
        <w:rPr>
          <w:rFonts w:hint="eastAsia" w:eastAsia="楷体"/>
          <w:color w:val="auto"/>
          <w:sz w:val="28"/>
          <w:szCs w:val="28"/>
          <w:highlight w:val="none"/>
        </w:rPr>
        <w:t>水库大坝安全评价导则》(SL2</w:t>
      </w:r>
      <w:r>
        <w:rPr>
          <w:rFonts w:hint="eastAsia" w:eastAsia="楷体"/>
          <w:color w:val="auto"/>
          <w:sz w:val="28"/>
          <w:szCs w:val="28"/>
          <w:highlight w:val="none"/>
          <w:lang w:val="en-US" w:eastAsia="zh-CN"/>
        </w:rPr>
        <w:t>5</w:t>
      </w:r>
      <w:r>
        <w:rPr>
          <w:rFonts w:hint="eastAsia" w:eastAsia="楷体"/>
          <w:color w:val="auto"/>
          <w:sz w:val="28"/>
          <w:szCs w:val="28"/>
          <w:highlight w:val="none"/>
        </w:rPr>
        <w:t>8</w:t>
      </w:r>
      <w:r>
        <w:rPr>
          <w:rFonts w:hint="eastAsia" w:eastAsia="楷体"/>
          <w:color w:val="auto"/>
          <w:sz w:val="28"/>
          <w:szCs w:val="28"/>
          <w:highlight w:val="none"/>
          <w:lang w:val="en-US" w:eastAsia="zh-CN"/>
        </w:rPr>
        <w:t>-</w:t>
      </w:r>
      <w:r>
        <w:rPr>
          <w:rFonts w:hint="eastAsia" w:eastAsia="楷体"/>
          <w:color w:val="auto"/>
          <w:sz w:val="28"/>
          <w:szCs w:val="28"/>
          <w:highlight w:val="none"/>
        </w:rPr>
        <w:t xml:space="preserve"> 2017)，大坝运行管理评价为不规范</w:t>
      </w:r>
      <w:r>
        <w:rPr>
          <w:rFonts w:hint="eastAsia" w:eastAsia="楷体"/>
          <w:color w:val="auto"/>
          <w:sz w:val="28"/>
          <w:szCs w:val="28"/>
          <w:highlight w:val="none"/>
          <w:lang w:eastAsia="zh-CN"/>
        </w:rPr>
        <w:t>。</w:t>
      </w:r>
    </w:p>
    <w:p w14:paraId="6F1B684A">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（3）安全鉴定结论：</w:t>
      </w:r>
    </w:p>
    <w:p w14:paraId="033E241B">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四清水库大坝经各专项分析评价，结论如下：</w:t>
      </w:r>
    </w:p>
    <w:p w14:paraId="0F8DE544">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1）工程质量评价为合格。</w:t>
      </w:r>
    </w:p>
    <w:p w14:paraId="52794891">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2）运行管理评价为</w:t>
      </w:r>
      <w:r>
        <w:rPr>
          <w:rFonts w:hint="eastAsia" w:eastAsia="楷体"/>
          <w:color w:val="auto"/>
          <w:sz w:val="28"/>
          <w:szCs w:val="28"/>
          <w:highlight w:val="none"/>
          <w:lang w:eastAsia="zh-CN"/>
        </w:rPr>
        <w:t>不规范</w:t>
      </w:r>
      <w:r>
        <w:rPr>
          <w:rFonts w:hint="eastAsia" w:eastAsia="楷体"/>
          <w:color w:val="auto"/>
          <w:sz w:val="28"/>
          <w:szCs w:val="28"/>
          <w:highlight w:val="none"/>
        </w:rPr>
        <w:t>。</w:t>
      </w:r>
    </w:p>
    <w:p w14:paraId="6626C758">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3）防洪安全性评价为B级。</w:t>
      </w:r>
    </w:p>
    <w:p w14:paraId="77A26E54">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4）渗流安全评价为</w:t>
      </w:r>
      <w:r>
        <w:rPr>
          <w:rFonts w:hint="eastAsia" w:eastAsia="楷体"/>
          <w:color w:val="auto"/>
          <w:sz w:val="28"/>
          <w:szCs w:val="28"/>
          <w:highlight w:val="none"/>
          <w:lang w:val="en-US" w:eastAsia="zh-CN"/>
        </w:rPr>
        <w:t>A</w:t>
      </w:r>
      <w:r>
        <w:rPr>
          <w:rFonts w:hint="eastAsia" w:eastAsia="楷体"/>
          <w:color w:val="auto"/>
          <w:sz w:val="28"/>
          <w:szCs w:val="28"/>
          <w:highlight w:val="none"/>
        </w:rPr>
        <w:t>级。</w:t>
      </w:r>
    </w:p>
    <w:p w14:paraId="78BCF06A">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5）结构安全评价为</w:t>
      </w:r>
      <w:r>
        <w:rPr>
          <w:rFonts w:hint="eastAsia" w:eastAsia="楷体"/>
          <w:color w:val="auto"/>
          <w:sz w:val="28"/>
          <w:szCs w:val="28"/>
          <w:highlight w:val="none"/>
          <w:lang w:val="en-US" w:eastAsia="zh-CN"/>
        </w:rPr>
        <w:t>B</w:t>
      </w:r>
      <w:r>
        <w:rPr>
          <w:rFonts w:hint="eastAsia" w:eastAsia="楷体"/>
          <w:color w:val="auto"/>
          <w:sz w:val="28"/>
          <w:szCs w:val="28"/>
          <w:highlight w:val="none"/>
        </w:rPr>
        <w:t>级。</w:t>
      </w:r>
    </w:p>
    <w:p w14:paraId="26ABB1B3">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6）抗震安全评价为</w:t>
      </w:r>
      <w:r>
        <w:rPr>
          <w:rFonts w:hint="eastAsia" w:eastAsia="楷体"/>
          <w:color w:val="auto"/>
          <w:sz w:val="28"/>
          <w:szCs w:val="28"/>
          <w:highlight w:val="none"/>
          <w:lang w:val="en-US" w:eastAsia="zh-CN"/>
        </w:rPr>
        <w:t>A</w:t>
      </w:r>
      <w:r>
        <w:rPr>
          <w:rFonts w:hint="eastAsia" w:eastAsia="楷体"/>
          <w:color w:val="auto"/>
          <w:sz w:val="28"/>
          <w:szCs w:val="28"/>
          <w:highlight w:val="none"/>
        </w:rPr>
        <w:t>级。</w:t>
      </w:r>
    </w:p>
    <w:p w14:paraId="4AE4A154">
      <w:pPr>
        <w:spacing w:line="520" w:lineRule="exact"/>
        <w:ind w:firstLine="560" w:firstLineChars="200"/>
        <w:rPr>
          <w:rFonts w:eastAsia="楷体"/>
          <w:color w:val="auto"/>
          <w:sz w:val="28"/>
          <w:szCs w:val="28"/>
          <w:highlight w:val="none"/>
        </w:rPr>
      </w:pPr>
      <w:r>
        <w:rPr>
          <w:rFonts w:hint="eastAsia" w:eastAsia="楷体"/>
          <w:color w:val="auto"/>
          <w:sz w:val="28"/>
          <w:szCs w:val="28"/>
          <w:highlight w:val="none"/>
        </w:rPr>
        <w:t>7）金属</w:t>
      </w:r>
      <w:r>
        <w:rPr>
          <w:rFonts w:hint="eastAsia" w:eastAsia="楷体"/>
          <w:color w:val="auto"/>
          <w:sz w:val="28"/>
          <w:szCs w:val="28"/>
          <w:highlight w:val="none"/>
          <w:lang w:eastAsia="zh-CN"/>
        </w:rPr>
        <w:t>结构</w:t>
      </w:r>
      <w:r>
        <w:rPr>
          <w:rFonts w:hint="eastAsia" w:eastAsia="楷体"/>
          <w:color w:val="auto"/>
          <w:sz w:val="28"/>
          <w:szCs w:val="28"/>
          <w:highlight w:val="none"/>
        </w:rPr>
        <w:t>安全评价为B级。</w:t>
      </w:r>
    </w:p>
    <w:p w14:paraId="4E6E7CF5">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综</w:t>
      </w:r>
      <w:r>
        <w:rPr>
          <w:rFonts w:hint="eastAsia" w:eastAsia="楷体"/>
          <w:color w:val="auto"/>
          <w:sz w:val="28"/>
          <w:szCs w:val="28"/>
          <w:highlight w:val="none"/>
          <w:lang w:eastAsia="zh-CN"/>
        </w:rPr>
        <w:t>上所诉，在综合分析各评价报告后</w:t>
      </w:r>
      <w:r>
        <w:rPr>
          <w:rFonts w:hint="eastAsia" w:eastAsia="楷体"/>
          <w:color w:val="auto"/>
          <w:sz w:val="28"/>
          <w:szCs w:val="28"/>
          <w:highlight w:val="none"/>
        </w:rPr>
        <w:t>，</w:t>
      </w:r>
      <w:r>
        <w:rPr>
          <w:rFonts w:hint="eastAsia" w:eastAsia="楷体"/>
          <w:color w:val="auto"/>
          <w:sz w:val="28"/>
          <w:szCs w:val="28"/>
          <w:highlight w:val="none"/>
          <w:lang w:eastAsia="zh-CN"/>
        </w:rPr>
        <w:t>确定</w:t>
      </w:r>
      <w:r>
        <w:rPr>
          <w:rFonts w:hint="eastAsia" w:eastAsia="楷体"/>
          <w:color w:val="auto"/>
          <w:sz w:val="28"/>
          <w:szCs w:val="28"/>
          <w:highlight w:val="none"/>
        </w:rPr>
        <w:t>四清水库大坝为</w:t>
      </w:r>
      <w:r>
        <w:rPr>
          <w:rFonts w:hint="eastAsia" w:eastAsia="楷体"/>
          <w:color w:val="auto"/>
          <w:sz w:val="28"/>
          <w:szCs w:val="28"/>
          <w:highlight w:val="none"/>
          <w:lang w:eastAsia="zh-CN"/>
        </w:rPr>
        <w:t>二</w:t>
      </w:r>
      <w:r>
        <w:rPr>
          <w:rFonts w:hint="eastAsia" w:eastAsia="楷体"/>
          <w:color w:val="auto"/>
          <w:sz w:val="28"/>
          <w:szCs w:val="28"/>
          <w:highlight w:val="none"/>
        </w:rPr>
        <w:t>类坝。</w:t>
      </w:r>
    </w:p>
    <w:p w14:paraId="2B321475">
      <w:pPr>
        <w:adjustRightInd w:val="0"/>
        <w:snapToGrid w:val="0"/>
        <w:spacing w:line="520" w:lineRule="exact"/>
        <w:outlineLvl w:val="1"/>
        <w:rPr>
          <w:rFonts w:eastAsia="楷体"/>
          <w:b/>
          <w:color w:val="auto"/>
          <w:sz w:val="32"/>
          <w:szCs w:val="30"/>
          <w:highlight w:val="none"/>
        </w:rPr>
      </w:pPr>
      <w:r>
        <w:rPr>
          <w:rFonts w:eastAsia="楷体"/>
          <w:b/>
          <w:color w:val="auto"/>
          <w:sz w:val="32"/>
          <w:szCs w:val="30"/>
          <w:highlight w:val="none"/>
        </w:rPr>
        <w:t>2.3 水文</w:t>
      </w:r>
      <w:bookmarkEnd w:id="31"/>
    </w:p>
    <w:p w14:paraId="64ED0211">
      <w:pPr>
        <w:spacing w:line="520" w:lineRule="exact"/>
        <w:outlineLvl w:val="2"/>
        <w:rPr>
          <w:rFonts w:eastAsia="楷体"/>
          <w:b/>
          <w:bCs/>
          <w:color w:val="auto"/>
          <w:sz w:val="32"/>
          <w:szCs w:val="30"/>
          <w:highlight w:val="none"/>
        </w:rPr>
      </w:pPr>
      <w:r>
        <w:rPr>
          <w:rFonts w:eastAsia="楷体"/>
          <w:b/>
          <w:bCs/>
          <w:color w:val="auto"/>
          <w:sz w:val="32"/>
          <w:szCs w:val="30"/>
          <w:highlight w:val="none"/>
        </w:rPr>
        <w:t>2.3.1水库流域暴雨、洪水特征</w:t>
      </w:r>
    </w:p>
    <w:p w14:paraId="6A0C1376">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本地区属亚热带海洋性季风气候区，夏无酷暑，冬短无严寒，暖热湿润，温度日差较小，降雨量集中，季风明显，日照充足，蒸发量大，台风活动频繁。流域多年平均气温20.5℃，最热七月平均气温27.2℃，最冷一月份平均气温11.4℃，极端最高气温39℃（1996年8月），极端最低气温0.3℃（1957年2月），全年基本无霜。多年平均风速5.45m/s。年平均相对湿度77％，平均水气压19.9hPa；日照时数2150h，日照率48％；雾多发生于春季和秋季月份的下半夜到清晨，年平均雾日数约为6～7天。</w:t>
      </w:r>
    </w:p>
    <w:p w14:paraId="3FBEB3C9">
      <w:pPr>
        <w:spacing w:line="520" w:lineRule="exact"/>
        <w:ind w:firstLine="560" w:firstLineChars="200"/>
        <w:rPr>
          <w:rFonts w:hint="eastAsia" w:eastAsia="楷体"/>
          <w:color w:val="auto"/>
          <w:sz w:val="28"/>
          <w:szCs w:val="28"/>
          <w:highlight w:val="none"/>
        </w:rPr>
      </w:pPr>
      <w:r>
        <w:rPr>
          <w:rFonts w:hint="eastAsia" w:eastAsia="楷体"/>
          <w:color w:val="auto"/>
          <w:sz w:val="28"/>
          <w:szCs w:val="28"/>
          <w:highlight w:val="none"/>
        </w:rPr>
        <w:t>本地区属亚热带海洋性季风气候区，季风明显，气候温热，气温日差小，蒸发量大，降雨量集中在夏秋之间。</w:t>
      </w:r>
    </w:p>
    <w:p w14:paraId="6AF65286">
      <w:pPr>
        <w:spacing w:line="520" w:lineRule="exact"/>
        <w:ind w:firstLine="561"/>
        <w:rPr>
          <w:rFonts w:eastAsia="楷体"/>
          <w:color w:val="auto"/>
          <w:sz w:val="28"/>
          <w:szCs w:val="28"/>
          <w:highlight w:val="none"/>
        </w:rPr>
      </w:pPr>
      <w:r>
        <w:rPr>
          <w:rFonts w:hint="eastAsia" w:eastAsia="楷体"/>
          <w:color w:val="auto"/>
          <w:sz w:val="28"/>
          <w:szCs w:val="28"/>
          <w:highlight w:val="none"/>
        </w:rPr>
        <w:t>本流域受南亚热带海洋性季风影响，降水充沛，但存在明显的季节性变化。降水年际及年内变化大，最丰年份和最枯年份之比各站均在3倍左右。主要降水为3～4月的春雨、5～6月的锋面雨和8～9月的台风雨，平均每年有3～5次台风登陆或影响本流域。流域多年平均降水量1400mm，最大年降雨量1942.1mm（1973年），年降水日数158.7天，年内分配不均，全年降水的75%集中在汛期（4～9月），其中5～7月占全年总水量的60%。而10～2月干旱少雨，仅占年降水量的15.5%。</w:t>
      </w:r>
    </w:p>
    <w:p w14:paraId="4F349341">
      <w:pPr>
        <w:spacing w:line="520" w:lineRule="exact"/>
        <w:outlineLvl w:val="1"/>
        <w:rPr>
          <w:rFonts w:eastAsia="楷体"/>
          <w:b/>
          <w:color w:val="auto"/>
          <w:sz w:val="32"/>
          <w:szCs w:val="30"/>
          <w:highlight w:val="none"/>
        </w:rPr>
      </w:pPr>
      <w:bookmarkStart w:id="32" w:name="_Toc2641"/>
      <w:r>
        <w:rPr>
          <w:rFonts w:eastAsia="楷体"/>
          <w:b/>
          <w:color w:val="auto"/>
          <w:sz w:val="32"/>
          <w:szCs w:val="30"/>
          <w:highlight w:val="none"/>
        </w:rPr>
        <w:t>2.4  工程安全监测</w:t>
      </w:r>
      <w:bookmarkEnd w:id="32"/>
    </w:p>
    <w:p w14:paraId="38A07850">
      <w:pPr>
        <w:pStyle w:val="24"/>
        <w:spacing w:line="600" w:lineRule="exact"/>
        <w:ind w:firstLine="560"/>
        <w:rPr>
          <w:rFonts w:eastAsia="楷体"/>
          <w:color w:val="auto"/>
          <w:sz w:val="28"/>
          <w:szCs w:val="28"/>
          <w:highlight w:val="none"/>
        </w:rPr>
      </w:pPr>
      <w:r>
        <w:rPr>
          <w:rFonts w:eastAsia="楷体"/>
          <w:color w:val="auto"/>
          <w:sz w:val="28"/>
          <w:szCs w:val="28"/>
          <w:highlight w:val="none"/>
        </w:rPr>
        <w:t>四清水库</w:t>
      </w:r>
      <w:r>
        <w:rPr>
          <w:rFonts w:hint="eastAsia" w:ascii="Times New Roman" w:hAnsi="Times New Roman" w:eastAsia="楷体" w:cs="Times New Roman"/>
          <w:color w:val="auto"/>
          <w:sz w:val="28"/>
          <w:szCs w:val="28"/>
          <w:highlight w:val="none"/>
          <w:lang w:eastAsia="zh-CN"/>
        </w:rPr>
        <w:t>已设置自动监测雨量水位站</w:t>
      </w:r>
      <w:r>
        <w:rPr>
          <w:rFonts w:eastAsia="楷体"/>
          <w:color w:val="auto"/>
          <w:sz w:val="28"/>
          <w:szCs w:val="28"/>
          <w:highlight w:val="none"/>
        </w:rPr>
        <w:t>。</w:t>
      </w:r>
    </w:p>
    <w:p w14:paraId="668ECBE1">
      <w:pPr>
        <w:spacing w:line="520" w:lineRule="exact"/>
        <w:outlineLvl w:val="1"/>
        <w:rPr>
          <w:rFonts w:eastAsia="楷体"/>
          <w:b/>
          <w:color w:val="auto"/>
          <w:sz w:val="32"/>
          <w:szCs w:val="30"/>
          <w:highlight w:val="none"/>
        </w:rPr>
      </w:pPr>
      <w:bookmarkStart w:id="33" w:name="_Toc5426"/>
      <w:r>
        <w:rPr>
          <w:rFonts w:eastAsia="楷体"/>
          <w:b/>
          <w:color w:val="auto"/>
          <w:sz w:val="32"/>
          <w:szCs w:val="30"/>
          <w:highlight w:val="none"/>
        </w:rPr>
        <w:t>2.5 水库汛期调度运用计划</w:t>
      </w:r>
      <w:bookmarkEnd w:id="33"/>
    </w:p>
    <w:p w14:paraId="36AE84D0">
      <w:pPr>
        <w:outlineLvl w:val="2"/>
        <w:rPr>
          <w:rFonts w:eastAsia="楷体"/>
          <w:b/>
          <w:bCs/>
          <w:color w:val="auto"/>
          <w:sz w:val="32"/>
          <w:szCs w:val="30"/>
          <w:highlight w:val="none"/>
        </w:rPr>
      </w:pPr>
      <w:bookmarkStart w:id="34" w:name="_Toc477761804"/>
      <w:bookmarkStart w:id="35" w:name="_Toc11125"/>
      <w:r>
        <w:rPr>
          <w:rFonts w:eastAsia="楷体"/>
          <w:b/>
          <w:bCs/>
          <w:color w:val="auto"/>
          <w:sz w:val="32"/>
          <w:szCs w:val="30"/>
          <w:highlight w:val="none"/>
        </w:rPr>
        <w:t>2.5.1汛期划分</w:t>
      </w:r>
      <w:bookmarkEnd w:id="34"/>
    </w:p>
    <w:p w14:paraId="649441B0">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根据泉州市防洪防台风应急预案规定，4月1日至10月15日为汛期，其中前汛期为4月1日～6月30日，主汛期为7月1日～9月20日，后汛期为9月21日～10月15日。</w:t>
      </w:r>
    </w:p>
    <w:p w14:paraId="048AF8CF">
      <w:pPr>
        <w:outlineLvl w:val="2"/>
        <w:rPr>
          <w:rFonts w:eastAsia="楷体"/>
          <w:b/>
          <w:bCs/>
          <w:color w:val="auto"/>
          <w:sz w:val="32"/>
          <w:szCs w:val="30"/>
          <w:highlight w:val="none"/>
        </w:rPr>
      </w:pPr>
      <w:bookmarkStart w:id="36" w:name="_Toc477761805"/>
      <w:r>
        <w:rPr>
          <w:rFonts w:eastAsia="楷体"/>
          <w:b/>
          <w:bCs/>
          <w:color w:val="auto"/>
          <w:sz w:val="32"/>
          <w:szCs w:val="30"/>
          <w:highlight w:val="none"/>
        </w:rPr>
        <w:t>2.5.2 洪水调度原则</w:t>
      </w:r>
      <w:bookmarkEnd w:id="36"/>
    </w:p>
    <w:p w14:paraId="40A86B8A">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上级主管部门核定的水库安全标准和下游防护对象的防洪标准、防洪调度方式及各防洪特征水位对入库洪水进行调蓄，保障大坝、库区上游和下游防洪安全；当遭遇超标准洪水时，应力求保证大坝安全并尽量减轻下游的洪水灾害；在大坝安全的前提下，按照“整体照顾局部，防洪兼顾兴利”的原则，尽可能多地拦蓄、储备水源，发挥水资源综合效益；严格执行上级防汛部门下达调度指令。</w:t>
      </w:r>
    </w:p>
    <w:p w14:paraId="3B37EF4E">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根据时段不同，水库防洪调度原则如下：</w:t>
      </w:r>
    </w:p>
    <w:p w14:paraId="7393FDA1">
      <w:pPr>
        <w:numPr>
          <w:ilvl w:val="0"/>
          <w:numId w:val="1"/>
        </w:numPr>
        <w:spacing w:line="520" w:lineRule="exact"/>
        <w:ind w:firstLine="560" w:firstLineChars="200"/>
        <w:rPr>
          <w:rFonts w:eastAsia="楷体"/>
          <w:color w:val="auto"/>
          <w:sz w:val="28"/>
          <w:szCs w:val="28"/>
          <w:highlight w:val="none"/>
        </w:rPr>
      </w:pPr>
      <w:r>
        <w:rPr>
          <w:rFonts w:eastAsia="楷体"/>
          <w:color w:val="auto"/>
          <w:sz w:val="28"/>
          <w:szCs w:val="28"/>
          <w:highlight w:val="none"/>
        </w:rPr>
        <w:t>非汛期防洪调度</w:t>
      </w:r>
    </w:p>
    <w:p w14:paraId="58E1B77B">
      <w:pPr>
        <w:spacing w:line="520" w:lineRule="exact"/>
        <w:ind w:firstLine="560" w:firstLineChars="200"/>
        <w:rPr>
          <w:rFonts w:eastAsia="楷体"/>
          <w:color w:val="auto"/>
          <w:sz w:val="28"/>
          <w:szCs w:val="28"/>
          <w:highlight w:val="none"/>
        </w:rPr>
      </w:pPr>
      <w:r>
        <w:rPr>
          <w:rFonts w:eastAsia="楷体"/>
          <w:color w:val="auto"/>
          <w:sz w:val="28"/>
          <w:szCs w:val="28"/>
          <w:highlight w:val="none"/>
        </w:rPr>
        <w:t>1、根据气象部门的气象预报及降雨数据，采取径流系数估算入库洪水，分析次洪的洪峰流量及其峰现时间，从而推求最高库水位，采取适当的调度手段防洪，做到防洪与水库利用两不误。</w:t>
      </w:r>
    </w:p>
    <w:p w14:paraId="0D2E4D24">
      <w:pPr>
        <w:spacing w:line="520" w:lineRule="exact"/>
        <w:ind w:firstLine="560" w:firstLineChars="200"/>
        <w:rPr>
          <w:rFonts w:eastAsia="楷体"/>
          <w:color w:val="auto"/>
          <w:sz w:val="28"/>
          <w:szCs w:val="28"/>
          <w:highlight w:val="none"/>
        </w:rPr>
      </w:pPr>
      <w:r>
        <w:rPr>
          <w:rFonts w:eastAsia="楷体"/>
          <w:color w:val="auto"/>
          <w:sz w:val="28"/>
          <w:szCs w:val="28"/>
          <w:highlight w:val="none"/>
        </w:rPr>
        <w:t>2、加大工程巡查力度，对排洪启闭系统、通讯、交通、供电设备进行全面检查，始终保持良好状况，排除一切不安全因素，确保使用及时。</w:t>
      </w:r>
    </w:p>
    <w:p w14:paraId="0B559991">
      <w:pPr>
        <w:spacing w:line="520" w:lineRule="exact"/>
        <w:ind w:firstLine="560" w:firstLineChars="200"/>
        <w:rPr>
          <w:rFonts w:eastAsia="楷体"/>
          <w:color w:val="auto"/>
          <w:sz w:val="28"/>
          <w:szCs w:val="28"/>
          <w:highlight w:val="none"/>
        </w:rPr>
      </w:pPr>
      <w:r>
        <w:rPr>
          <w:rFonts w:eastAsia="楷体"/>
          <w:color w:val="auto"/>
          <w:sz w:val="28"/>
          <w:szCs w:val="28"/>
          <w:highlight w:val="none"/>
        </w:rPr>
        <w:t>（二）汛期防洪调度</w:t>
      </w:r>
    </w:p>
    <w:p w14:paraId="6E8FF611">
      <w:pPr>
        <w:spacing w:line="520" w:lineRule="exact"/>
        <w:ind w:firstLine="560" w:firstLineChars="200"/>
        <w:rPr>
          <w:rFonts w:eastAsia="楷体"/>
          <w:color w:val="auto"/>
          <w:sz w:val="28"/>
          <w:szCs w:val="28"/>
          <w:highlight w:val="none"/>
        </w:rPr>
      </w:pPr>
      <w:r>
        <w:rPr>
          <w:rFonts w:eastAsia="楷体"/>
          <w:color w:val="auto"/>
          <w:sz w:val="28"/>
          <w:szCs w:val="28"/>
          <w:highlight w:val="none"/>
        </w:rPr>
        <w:t>1、水库遭遇洪水时，要根据雨情分析，每半小时进行洪水预报，判别洪水标准，推求洪峰流量、洪水总量，进行科学合理调度。</w:t>
      </w:r>
    </w:p>
    <w:p w14:paraId="1C9C55AB">
      <w:pPr>
        <w:spacing w:line="520" w:lineRule="exact"/>
        <w:ind w:firstLine="560" w:firstLineChars="200"/>
        <w:rPr>
          <w:rFonts w:eastAsia="楷体"/>
          <w:color w:val="auto"/>
          <w:sz w:val="28"/>
          <w:szCs w:val="28"/>
          <w:highlight w:val="none"/>
        </w:rPr>
      </w:pPr>
      <w:r>
        <w:rPr>
          <w:rFonts w:eastAsia="楷体"/>
          <w:color w:val="auto"/>
          <w:sz w:val="28"/>
          <w:szCs w:val="28"/>
          <w:highlight w:val="none"/>
        </w:rPr>
        <w:t>2、提前2小时通知下游村落及相关单位做好水库排洪的准备。</w:t>
      </w:r>
    </w:p>
    <w:p w14:paraId="7C0FB8F8">
      <w:pPr>
        <w:spacing w:line="520" w:lineRule="exact"/>
        <w:ind w:firstLine="560" w:firstLineChars="200"/>
        <w:rPr>
          <w:rFonts w:eastAsia="楷体"/>
          <w:color w:val="auto"/>
          <w:sz w:val="28"/>
          <w:szCs w:val="28"/>
          <w:highlight w:val="none"/>
        </w:rPr>
      </w:pPr>
      <w:r>
        <w:rPr>
          <w:rFonts w:eastAsia="楷体"/>
          <w:color w:val="auto"/>
          <w:sz w:val="28"/>
          <w:szCs w:val="28"/>
          <w:highlight w:val="none"/>
        </w:rPr>
        <w:t>3、按照上级批准的调度计划进行调度，采用分段调洪方案，一是对于降雨强度不大，历时较短、降雨量不多的一般洪水（十年一遇以下洪水），控制原则为：在降雨产流阶段、洪峰来临之前，须及时通知下游村落做好防洪工作，水库准备小流量泄排洪。二是对于降雨强度大、历时长的暴雨调洪方案（十年至二十年一遇洪水）：根据采集的降雨资料进行分析，推算洪水量，采取有效措施，利用工程措施拦截一部分洪水，缓解下游河道过流能力的不足。结合气象部门降雨预报，及时掌握气象趋势，在上级防汛部门统一指挥下，以保证安全、减少损失为原则，进行科学调度。</w:t>
      </w:r>
    </w:p>
    <w:p w14:paraId="62126D35">
      <w:pPr>
        <w:outlineLvl w:val="2"/>
        <w:rPr>
          <w:rFonts w:eastAsia="楷体"/>
          <w:b/>
          <w:bCs/>
          <w:color w:val="auto"/>
          <w:sz w:val="32"/>
          <w:szCs w:val="30"/>
          <w:highlight w:val="none"/>
        </w:rPr>
      </w:pPr>
      <w:bookmarkStart w:id="37" w:name="_Toc477761806"/>
      <w:r>
        <w:rPr>
          <w:rFonts w:eastAsia="楷体"/>
          <w:b/>
          <w:bCs/>
          <w:color w:val="auto"/>
          <w:sz w:val="32"/>
          <w:szCs w:val="30"/>
          <w:highlight w:val="none"/>
        </w:rPr>
        <w:t>2.5.3 汛限水位确定</w:t>
      </w:r>
      <w:bookmarkEnd w:id="37"/>
    </w:p>
    <w:p w14:paraId="042AE682">
      <w:pPr>
        <w:spacing w:line="520" w:lineRule="exact"/>
        <w:ind w:firstLine="560" w:firstLineChars="200"/>
        <w:rPr>
          <w:rFonts w:hint="default" w:ascii="Times New Roman" w:hAnsi="Times New Roman" w:eastAsia="楷体" w:cs="Times New Roman"/>
          <w:color w:val="auto"/>
          <w:sz w:val="28"/>
          <w:szCs w:val="28"/>
          <w:highlight w:val="none"/>
        </w:rPr>
      </w:pPr>
      <w:bookmarkStart w:id="38" w:name="_Toc477761807"/>
      <w:r>
        <w:rPr>
          <w:rFonts w:hint="default" w:ascii="Times New Roman" w:hAnsi="Times New Roman" w:eastAsia="楷体" w:cs="Times New Roman"/>
          <w:color w:val="auto"/>
          <w:sz w:val="28"/>
          <w:szCs w:val="28"/>
          <w:highlight w:val="none"/>
        </w:rPr>
        <w:t>汛限水位的确定从以下几个方面来确定：</w:t>
      </w:r>
    </w:p>
    <w:p w14:paraId="7406D0AF">
      <w:pPr>
        <w:numPr>
          <w:ilvl w:val="0"/>
          <w:numId w:val="2"/>
        </w:num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根据《泉港区前黄镇</w:t>
      </w:r>
      <w:r>
        <w:rPr>
          <w:rFonts w:hint="eastAsia" w:ascii="Times New Roman" w:hAnsi="Times New Roman" w:eastAsia="楷体" w:cs="Times New Roman"/>
          <w:color w:val="auto"/>
          <w:sz w:val="28"/>
          <w:szCs w:val="28"/>
          <w:highlight w:val="none"/>
          <w:lang w:eastAsia="zh-CN"/>
        </w:rPr>
        <w:t>四清</w:t>
      </w:r>
      <w:r>
        <w:rPr>
          <w:rFonts w:hint="default" w:ascii="Times New Roman" w:hAnsi="Times New Roman" w:eastAsia="楷体" w:cs="Times New Roman"/>
          <w:color w:val="auto"/>
          <w:sz w:val="28"/>
          <w:szCs w:val="28"/>
          <w:highlight w:val="none"/>
        </w:rPr>
        <w:t>水库除险加固工程初步设计报告（报批稿）》（泉州市水利水电勘测设计院，2013年5月）的设计内容可知，</w:t>
      </w:r>
      <w:r>
        <w:rPr>
          <w:rFonts w:hint="eastAsia" w:ascii="Times New Roman" w:hAnsi="Times New Roman" w:eastAsia="楷体" w:cs="Times New Roman"/>
          <w:color w:val="auto"/>
          <w:sz w:val="28"/>
          <w:szCs w:val="28"/>
          <w:highlight w:val="none"/>
          <w:lang w:eastAsia="zh-CN"/>
        </w:rPr>
        <w:t>四清</w:t>
      </w:r>
      <w:r>
        <w:rPr>
          <w:rFonts w:hint="default" w:ascii="Times New Roman" w:hAnsi="Times New Roman" w:eastAsia="楷体" w:cs="Times New Roman"/>
          <w:color w:val="auto"/>
          <w:sz w:val="28"/>
          <w:szCs w:val="28"/>
          <w:highlight w:val="none"/>
        </w:rPr>
        <w:t>水库水位</w:t>
      </w:r>
      <w:r>
        <w:rPr>
          <w:rFonts w:hint="eastAsia" w:ascii="Times New Roman" w:hAnsi="Times New Roman" w:eastAsia="楷体" w:cs="Times New Roman"/>
          <w:color w:val="auto"/>
          <w:sz w:val="28"/>
          <w:szCs w:val="28"/>
          <w:highlight w:val="none"/>
          <w:lang w:eastAsia="zh-CN"/>
        </w:rPr>
        <w:t>28.04</w:t>
      </w:r>
      <w:r>
        <w:rPr>
          <w:rFonts w:hint="default" w:ascii="Times New Roman" w:hAnsi="Times New Roman" w:eastAsia="楷体" w:cs="Times New Roman"/>
          <w:color w:val="auto"/>
          <w:sz w:val="28"/>
          <w:szCs w:val="28"/>
          <w:highlight w:val="none"/>
        </w:rPr>
        <w:t>m对应的库容为</w:t>
      </w:r>
      <w:r>
        <w:rPr>
          <w:rFonts w:hint="eastAsia" w:ascii="Times New Roman" w:hAnsi="Times New Roman" w:eastAsia="楷体" w:cs="Times New Roman"/>
          <w:color w:val="auto"/>
          <w:sz w:val="28"/>
          <w:szCs w:val="28"/>
          <w:highlight w:val="none"/>
          <w:lang w:val="en-US" w:eastAsia="zh-CN"/>
        </w:rPr>
        <w:t>26.92</w:t>
      </w:r>
      <w:r>
        <w:rPr>
          <w:rFonts w:hint="default" w:ascii="Times New Roman" w:hAnsi="Times New Roman" w:eastAsia="楷体" w:cs="Times New Roman"/>
          <w:color w:val="auto"/>
          <w:sz w:val="28"/>
          <w:szCs w:val="28"/>
          <w:highlight w:val="none"/>
        </w:rPr>
        <w:t>万m</w:t>
      </w:r>
      <w:r>
        <w:rPr>
          <w:rFonts w:hint="default" w:ascii="Times New Roman" w:hAnsi="Times New Roman" w:eastAsia="楷体" w:cs="Times New Roman"/>
          <w:color w:val="auto"/>
          <w:sz w:val="28"/>
          <w:szCs w:val="28"/>
          <w:highlight w:val="none"/>
          <w:vertAlign w:val="superscript"/>
        </w:rPr>
        <w:t>3</w:t>
      </w:r>
      <w:r>
        <w:rPr>
          <w:rFonts w:hint="default" w:ascii="Times New Roman" w:hAnsi="Times New Roman" w:eastAsia="楷体" w:cs="Times New Roman"/>
          <w:color w:val="auto"/>
          <w:sz w:val="28"/>
          <w:szCs w:val="28"/>
          <w:highlight w:val="none"/>
        </w:rPr>
        <w:t>，20</w:t>
      </w:r>
      <w:r>
        <w:rPr>
          <w:rFonts w:hint="eastAsia" w:ascii="Times New Roman" w:hAnsi="Times New Roman" w:eastAsia="楷体" w:cs="Times New Roman"/>
          <w:color w:val="auto"/>
          <w:sz w:val="28"/>
          <w:szCs w:val="28"/>
          <w:highlight w:val="none"/>
          <w:lang w:val="en-US" w:eastAsia="zh-CN"/>
        </w:rPr>
        <w:t>23</w:t>
      </w:r>
      <w:r>
        <w:rPr>
          <w:rFonts w:hint="default" w:ascii="Times New Roman" w:hAnsi="Times New Roman" w:eastAsia="楷体" w:cs="Times New Roman"/>
          <w:color w:val="auto"/>
          <w:sz w:val="28"/>
          <w:szCs w:val="28"/>
          <w:highlight w:val="none"/>
        </w:rPr>
        <w:t>年</w:t>
      </w:r>
      <w:r>
        <w:rPr>
          <w:rFonts w:hint="eastAsia" w:ascii="Times New Roman" w:hAnsi="Times New Roman" w:eastAsia="楷体" w:cs="Times New Roman"/>
          <w:color w:val="auto"/>
          <w:sz w:val="28"/>
          <w:szCs w:val="28"/>
          <w:highlight w:val="none"/>
          <w:lang w:eastAsia="zh-CN"/>
        </w:rPr>
        <w:t>四清</w:t>
      </w:r>
      <w:r>
        <w:rPr>
          <w:rFonts w:hint="default" w:ascii="Times New Roman" w:hAnsi="Times New Roman" w:eastAsia="楷体" w:cs="Times New Roman"/>
          <w:color w:val="auto"/>
          <w:sz w:val="28"/>
          <w:szCs w:val="28"/>
          <w:highlight w:val="none"/>
        </w:rPr>
        <w:t>水库总体运行状况良好，即便在台风期，</w:t>
      </w:r>
      <w:r>
        <w:rPr>
          <w:rFonts w:hint="eastAsia" w:ascii="Times New Roman" w:hAnsi="Times New Roman" w:eastAsia="楷体" w:cs="Times New Roman"/>
          <w:color w:val="auto"/>
          <w:sz w:val="28"/>
          <w:szCs w:val="28"/>
          <w:highlight w:val="none"/>
          <w:lang w:eastAsia="zh-CN"/>
        </w:rPr>
        <w:t>四清</w:t>
      </w:r>
      <w:r>
        <w:rPr>
          <w:rFonts w:hint="default" w:ascii="Times New Roman" w:hAnsi="Times New Roman" w:eastAsia="楷体" w:cs="Times New Roman"/>
          <w:color w:val="auto"/>
          <w:sz w:val="28"/>
          <w:szCs w:val="28"/>
          <w:highlight w:val="none"/>
        </w:rPr>
        <w:t>水库仍很好的完成了防汛任务；</w:t>
      </w:r>
    </w:p>
    <w:p w14:paraId="28E20F08">
      <w:pPr>
        <w:spacing w:line="520" w:lineRule="exact"/>
        <w:ind w:firstLine="560" w:firstLineChars="200"/>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lang w:val="en-US" w:eastAsia="zh-CN"/>
        </w:rPr>
        <w:t>2</w:t>
      </w:r>
      <w:r>
        <w:rPr>
          <w:rFonts w:hint="default" w:ascii="Times New Roman" w:hAnsi="Times New Roman" w:eastAsia="楷体" w:cs="Times New Roman"/>
          <w:color w:val="auto"/>
          <w:sz w:val="28"/>
          <w:szCs w:val="28"/>
          <w:highlight w:val="none"/>
        </w:rPr>
        <w:t>、</w:t>
      </w:r>
      <w:r>
        <w:rPr>
          <w:rFonts w:hint="eastAsia" w:ascii="Times New Roman" w:hAnsi="Times New Roman" w:eastAsia="楷体" w:cs="Times New Roman"/>
          <w:color w:val="auto"/>
          <w:sz w:val="28"/>
          <w:szCs w:val="28"/>
          <w:highlight w:val="none"/>
          <w:lang w:eastAsia="zh-CN"/>
        </w:rPr>
        <w:t>四清</w:t>
      </w:r>
      <w:r>
        <w:rPr>
          <w:rFonts w:hint="default" w:ascii="Times New Roman" w:hAnsi="Times New Roman" w:eastAsia="楷体" w:cs="Times New Roman"/>
          <w:color w:val="auto"/>
          <w:sz w:val="28"/>
          <w:szCs w:val="28"/>
          <w:highlight w:val="none"/>
        </w:rPr>
        <w:t>水库的正常蓄水位为</w:t>
      </w:r>
      <w:r>
        <w:rPr>
          <w:rFonts w:hint="eastAsia" w:ascii="Times New Roman" w:hAnsi="Times New Roman" w:eastAsia="楷体" w:cs="Times New Roman"/>
          <w:color w:val="auto"/>
          <w:sz w:val="28"/>
          <w:szCs w:val="28"/>
          <w:highlight w:val="none"/>
          <w:lang w:val="en-US" w:eastAsia="zh-CN"/>
        </w:rPr>
        <w:t>28.04</w:t>
      </w:r>
      <w:r>
        <w:rPr>
          <w:rFonts w:hint="default" w:ascii="Times New Roman" w:hAnsi="Times New Roman" w:eastAsia="楷体" w:cs="Times New Roman"/>
          <w:color w:val="auto"/>
          <w:sz w:val="28"/>
          <w:szCs w:val="28"/>
          <w:highlight w:val="none"/>
        </w:rPr>
        <w:t>m，根据</w:t>
      </w:r>
      <w:r>
        <w:rPr>
          <w:rFonts w:hint="eastAsia" w:ascii="Times New Roman" w:hAnsi="Times New Roman" w:eastAsia="楷体" w:cs="Times New Roman"/>
          <w:color w:val="auto"/>
          <w:sz w:val="28"/>
          <w:szCs w:val="28"/>
          <w:highlight w:val="none"/>
          <w:lang w:eastAsia="zh-CN"/>
        </w:rPr>
        <w:t>四清</w:t>
      </w:r>
      <w:r>
        <w:rPr>
          <w:rFonts w:hint="default" w:ascii="Times New Roman" w:hAnsi="Times New Roman" w:eastAsia="楷体" w:cs="Times New Roman"/>
          <w:color w:val="auto"/>
          <w:sz w:val="28"/>
          <w:szCs w:val="28"/>
          <w:highlight w:val="none"/>
        </w:rPr>
        <w:t>水库初步设计中的设计要求，</w:t>
      </w:r>
      <w:r>
        <w:rPr>
          <w:rFonts w:hint="eastAsia" w:ascii="Times New Roman" w:hAnsi="Times New Roman" w:eastAsia="楷体" w:cs="Times New Roman"/>
          <w:color w:val="auto"/>
          <w:sz w:val="28"/>
          <w:szCs w:val="28"/>
          <w:highlight w:val="none"/>
          <w:lang w:eastAsia="zh-CN"/>
        </w:rPr>
        <w:t>四清</w:t>
      </w:r>
      <w:r>
        <w:rPr>
          <w:rFonts w:hint="default" w:ascii="Times New Roman" w:hAnsi="Times New Roman" w:eastAsia="楷体" w:cs="Times New Roman"/>
          <w:color w:val="auto"/>
          <w:sz w:val="28"/>
          <w:szCs w:val="28"/>
          <w:highlight w:val="none"/>
        </w:rPr>
        <w:t>水库汛限水位设置为</w:t>
      </w:r>
      <w:r>
        <w:rPr>
          <w:rFonts w:hint="eastAsia" w:ascii="Times New Roman" w:hAnsi="Times New Roman" w:eastAsia="楷体" w:cs="Times New Roman"/>
          <w:color w:val="auto"/>
          <w:sz w:val="28"/>
          <w:szCs w:val="28"/>
          <w:highlight w:val="none"/>
          <w:lang w:eastAsia="zh-CN"/>
        </w:rPr>
        <w:t>28.04</w:t>
      </w:r>
      <w:r>
        <w:rPr>
          <w:rFonts w:hint="default" w:ascii="Times New Roman" w:hAnsi="Times New Roman" w:eastAsia="楷体" w:cs="Times New Roman"/>
          <w:color w:val="auto"/>
          <w:sz w:val="28"/>
          <w:szCs w:val="28"/>
          <w:highlight w:val="none"/>
        </w:rPr>
        <w:t>m，既符合水库防洪要求，又保障了</w:t>
      </w:r>
      <w:r>
        <w:rPr>
          <w:rFonts w:hint="eastAsia" w:ascii="Times New Roman" w:hAnsi="Times New Roman" w:eastAsia="楷体" w:cs="Times New Roman"/>
          <w:color w:val="auto"/>
          <w:sz w:val="28"/>
          <w:szCs w:val="28"/>
          <w:highlight w:val="none"/>
          <w:lang w:eastAsia="zh-CN"/>
        </w:rPr>
        <w:t>四清</w:t>
      </w:r>
      <w:r>
        <w:rPr>
          <w:rFonts w:hint="default" w:ascii="Times New Roman" w:hAnsi="Times New Roman" w:eastAsia="楷体" w:cs="Times New Roman"/>
          <w:color w:val="auto"/>
          <w:sz w:val="28"/>
          <w:szCs w:val="28"/>
          <w:highlight w:val="none"/>
        </w:rPr>
        <w:t>水库的兴利功能要求。</w:t>
      </w:r>
    </w:p>
    <w:p w14:paraId="48D055F0">
      <w:pPr>
        <w:spacing w:line="520" w:lineRule="exact"/>
        <w:ind w:firstLine="560" w:firstLineChars="200"/>
        <w:rPr>
          <w:rFonts w:eastAsia="楷体"/>
          <w:color w:val="auto"/>
          <w:kern w:val="0"/>
          <w:sz w:val="28"/>
          <w:szCs w:val="28"/>
          <w:highlight w:val="none"/>
        </w:rPr>
      </w:pPr>
      <w:r>
        <w:rPr>
          <w:rFonts w:hint="default" w:ascii="Times New Roman" w:hAnsi="Times New Roman" w:eastAsia="楷体" w:cs="Times New Roman"/>
          <w:color w:val="auto"/>
          <w:sz w:val="28"/>
          <w:szCs w:val="28"/>
          <w:highlight w:val="none"/>
        </w:rPr>
        <w:t>因此，20</w:t>
      </w:r>
      <w:r>
        <w:rPr>
          <w:rFonts w:hint="eastAsia" w:ascii="Times New Roman" w:hAnsi="Times New Roman" w:eastAsia="楷体" w:cs="Times New Roman"/>
          <w:color w:val="auto"/>
          <w:sz w:val="28"/>
          <w:szCs w:val="28"/>
          <w:highlight w:val="none"/>
          <w:lang w:val="en-US" w:eastAsia="zh-CN"/>
        </w:rPr>
        <w:t>24</w:t>
      </w:r>
      <w:r>
        <w:rPr>
          <w:rFonts w:hint="default" w:ascii="Times New Roman" w:hAnsi="Times New Roman" w:eastAsia="楷体" w:cs="Times New Roman"/>
          <w:color w:val="auto"/>
          <w:sz w:val="28"/>
          <w:szCs w:val="28"/>
          <w:highlight w:val="none"/>
        </w:rPr>
        <w:t>年将</w:t>
      </w:r>
      <w:r>
        <w:rPr>
          <w:rFonts w:hint="eastAsia" w:ascii="Times New Roman" w:hAnsi="Times New Roman" w:eastAsia="楷体" w:cs="Times New Roman"/>
          <w:color w:val="auto"/>
          <w:sz w:val="28"/>
          <w:szCs w:val="28"/>
          <w:highlight w:val="none"/>
          <w:lang w:eastAsia="zh-CN"/>
        </w:rPr>
        <w:t>2</w:t>
      </w:r>
      <w:r>
        <w:rPr>
          <w:rFonts w:hint="eastAsia" w:ascii="Times New Roman" w:hAnsi="Times New Roman" w:eastAsia="楷体" w:cs="Times New Roman"/>
          <w:color w:val="auto"/>
          <w:sz w:val="28"/>
          <w:szCs w:val="28"/>
          <w:highlight w:val="none"/>
          <w:lang w:val="en-US" w:eastAsia="zh-CN"/>
        </w:rPr>
        <w:t>8</w:t>
      </w:r>
      <w:r>
        <w:rPr>
          <w:rFonts w:hint="eastAsia" w:ascii="Times New Roman" w:hAnsi="Times New Roman" w:eastAsia="楷体" w:cs="Times New Roman"/>
          <w:color w:val="auto"/>
          <w:sz w:val="28"/>
          <w:szCs w:val="28"/>
          <w:highlight w:val="none"/>
          <w:lang w:eastAsia="zh-CN"/>
        </w:rPr>
        <w:t>.04</w:t>
      </w:r>
      <w:r>
        <w:rPr>
          <w:rFonts w:hint="default" w:ascii="Times New Roman" w:hAnsi="Times New Roman" w:eastAsia="楷体" w:cs="Times New Roman"/>
          <w:color w:val="auto"/>
          <w:sz w:val="28"/>
          <w:szCs w:val="28"/>
          <w:highlight w:val="none"/>
        </w:rPr>
        <w:t>m作为</w:t>
      </w:r>
      <w:r>
        <w:rPr>
          <w:rFonts w:hint="eastAsia" w:ascii="Times New Roman" w:hAnsi="Times New Roman" w:eastAsia="楷体" w:cs="Times New Roman"/>
          <w:color w:val="auto"/>
          <w:sz w:val="28"/>
          <w:szCs w:val="28"/>
          <w:highlight w:val="none"/>
          <w:lang w:eastAsia="zh-CN"/>
        </w:rPr>
        <w:t>四清</w:t>
      </w:r>
      <w:r>
        <w:rPr>
          <w:rFonts w:hint="default" w:ascii="Times New Roman" w:hAnsi="Times New Roman" w:eastAsia="楷体" w:cs="Times New Roman"/>
          <w:color w:val="auto"/>
          <w:sz w:val="28"/>
          <w:szCs w:val="28"/>
          <w:highlight w:val="none"/>
        </w:rPr>
        <w:t>水库的汛限</w:t>
      </w:r>
      <w:r>
        <w:rPr>
          <w:rFonts w:hint="eastAsia" w:ascii="Times New Roman" w:hAnsi="Times New Roman" w:eastAsia="楷体" w:cs="Times New Roman"/>
          <w:color w:val="auto"/>
          <w:sz w:val="28"/>
          <w:szCs w:val="28"/>
          <w:highlight w:val="none"/>
          <w:lang w:eastAsia="zh-CN"/>
        </w:rPr>
        <w:t>水位</w:t>
      </w:r>
      <w:r>
        <w:rPr>
          <w:rFonts w:hint="default" w:ascii="Times New Roman" w:hAnsi="Times New Roman" w:eastAsia="楷体" w:cs="Times New Roman"/>
          <w:color w:val="auto"/>
          <w:sz w:val="28"/>
          <w:szCs w:val="28"/>
          <w:highlight w:val="none"/>
        </w:rPr>
        <w:t>。</w:t>
      </w:r>
    </w:p>
    <w:p w14:paraId="70842A2F">
      <w:pPr>
        <w:outlineLvl w:val="2"/>
        <w:rPr>
          <w:rFonts w:eastAsia="楷体"/>
          <w:b/>
          <w:bCs/>
          <w:color w:val="auto"/>
          <w:sz w:val="32"/>
          <w:szCs w:val="30"/>
          <w:highlight w:val="none"/>
        </w:rPr>
      </w:pPr>
      <w:r>
        <w:rPr>
          <w:rFonts w:eastAsia="楷体"/>
          <w:b/>
          <w:bCs/>
          <w:color w:val="auto"/>
          <w:sz w:val="32"/>
          <w:szCs w:val="30"/>
          <w:highlight w:val="none"/>
        </w:rPr>
        <w:t>2.5.4 汛期防洪调度方式</w:t>
      </w:r>
      <w:bookmarkEnd w:id="38"/>
    </w:p>
    <w:bookmarkEnd w:id="35"/>
    <w:p w14:paraId="357EDA35">
      <w:pPr>
        <w:spacing w:line="520" w:lineRule="exact"/>
        <w:ind w:left="420" w:leftChars="200"/>
        <w:rPr>
          <w:rFonts w:eastAsia="楷体"/>
          <w:b/>
          <w:bCs/>
          <w:color w:val="auto"/>
          <w:sz w:val="28"/>
          <w:szCs w:val="28"/>
          <w:highlight w:val="none"/>
        </w:rPr>
      </w:pPr>
      <w:r>
        <w:rPr>
          <w:rFonts w:eastAsia="楷体"/>
          <w:b/>
          <w:bCs/>
          <w:color w:val="auto"/>
          <w:sz w:val="28"/>
          <w:szCs w:val="28"/>
          <w:highlight w:val="none"/>
        </w:rPr>
        <w:t>（1）水库调洪演算</w:t>
      </w:r>
    </w:p>
    <w:p w14:paraId="5BFFC692">
      <w:pPr>
        <w:spacing w:line="520" w:lineRule="exact"/>
        <w:ind w:firstLine="640" w:firstLineChars="200"/>
        <w:rPr>
          <w:rFonts w:eastAsia="楷体"/>
          <w:color w:val="auto"/>
          <w:spacing w:val="20"/>
          <w:sz w:val="28"/>
          <w:szCs w:val="28"/>
          <w:highlight w:val="none"/>
        </w:rPr>
      </w:pPr>
      <w:r>
        <w:rPr>
          <w:rFonts w:eastAsia="楷体"/>
          <w:color w:val="auto"/>
          <w:spacing w:val="20"/>
          <w:sz w:val="28"/>
          <w:szCs w:val="28"/>
          <w:highlight w:val="none"/>
        </w:rPr>
        <w:t>调洪演算按水量平衡方程式逐时段进行试算，计算方程式如下：</w:t>
      </w:r>
    </w:p>
    <w:p w14:paraId="5228690F">
      <w:pPr>
        <w:ind w:firstLine="2520" w:firstLineChars="900"/>
        <w:rPr>
          <w:rFonts w:eastAsia="楷体"/>
          <w:color w:val="auto"/>
          <w:sz w:val="28"/>
          <w:szCs w:val="28"/>
          <w:highlight w:val="none"/>
        </w:rPr>
      </w:pPr>
      <w:r>
        <w:rPr>
          <w:rFonts w:eastAsia="楷体"/>
          <w:color w:val="auto"/>
          <w:position w:val="-24"/>
          <w:sz w:val="28"/>
          <w:szCs w:val="28"/>
          <w:highlight w:val="none"/>
        </w:rPr>
        <w:object>
          <v:shape id="_x0000_i1057" o:spt="75" type="#_x0000_t75" style="height:33.3pt;width:161.95pt;" o:ole="t" filled="f" stroked="f" coordsize="21600,21600">
            <v:path/>
            <v:fill on="f" focussize="0,0"/>
            <v:stroke on="f"/>
            <v:imagedata r:id="rId34" o:title=""/>
            <o:lock v:ext="edit" grouping="f" rotation="f" text="f" aspectratio="t"/>
            <w10:wrap type="none"/>
            <w10:anchorlock/>
          </v:shape>
          <o:OLEObject Type="Embed" ProgID="Equation.DSMT4" ShapeID="_x0000_i1057" DrawAspect="Content" ObjectID="_1468075757" r:id="rId64">
            <o:LockedField>false</o:LockedField>
          </o:OLEObject>
        </w:object>
      </w:r>
      <w:r>
        <w:rPr>
          <w:rFonts w:eastAsia="楷体"/>
          <w:color w:val="auto"/>
          <w:sz w:val="28"/>
          <w:szCs w:val="28"/>
          <w:highlight w:val="none"/>
        </w:rPr>
        <w:t xml:space="preserve">          </w:t>
      </w:r>
    </w:p>
    <w:p w14:paraId="41556D90">
      <w:pPr>
        <w:spacing w:line="520" w:lineRule="exact"/>
        <w:rPr>
          <w:rFonts w:eastAsia="楷体"/>
          <w:color w:val="auto"/>
          <w:sz w:val="28"/>
          <w:szCs w:val="28"/>
          <w:highlight w:val="none"/>
        </w:rPr>
      </w:pPr>
      <w:r>
        <w:rPr>
          <w:rFonts w:eastAsia="楷体"/>
          <w:color w:val="auto"/>
          <w:sz w:val="28"/>
          <w:szCs w:val="28"/>
          <w:highlight w:val="none"/>
        </w:rPr>
        <w:t>式中：</w:t>
      </w:r>
      <w:r>
        <w:rPr>
          <w:rFonts w:eastAsia="楷体"/>
          <w:color w:val="auto"/>
          <w:position w:val="-12"/>
          <w:sz w:val="28"/>
          <w:szCs w:val="28"/>
          <w:highlight w:val="none"/>
        </w:rPr>
        <w:object>
          <v:shape id="_x0000_i1058" o:spt="75" type="#_x0000_t75" style="height:18pt;width:37pt;" o:ole="t" filled="f" stroked="f" coordsize="21600,21600">
            <v:path/>
            <v:fill on="f" focussize="0,0"/>
            <v:stroke on="f"/>
            <v:imagedata r:id="rId36" o:title=""/>
            <o:lock v:ext="edit" grouping="f" rotation="f" text="f" aspectratio="t"/>
            <w10:wrap type="none"/>
            <w10:anchorlock/>
          </v:shape>
          <o:OLEObject Type="Embed" ProgID="Equation.DSMT4" ShapeID="_x0000_i1058" DrawAspect="Content" ObjectID="_1468075758" r:id="rId65">
            <o:LockedField>false</o:LockedField>
          </o:OLEObject>
        </w:object>
      </w:r>
      <w:r>
        <w:rPr>
          <w:rFonts w:eastAsia="楷体"/>
          <w:color w:val="auto"/>
          <w:sz w:val="28"/>
          <w:szCs w:val="28"/>
          <w:highlight w:val="none"/>
        </w:rPr>
        <w:t>——时段</w:t>
      </w:r>
      <w:r>
        <w:rPr>
          <w:rFonts w:eastAsia="楷体"/>
          <w:color w:val="auto"/>
          <w:position w:val="-6"/>
          <w:sz w:val="28"/>
          <w:szCs w:val="28"/>
          <w:highlight w:val="none"/>
        </w:rPr>
        <w:object>
          <v:shape id="_x0000_i1059" o:spt="75" type="#_x0000_t75" style="height:13.95pt;width:15pt;" o:ole="t" filled="f" stroked="f" coordsize="21600,21600">
            <v:path/>
            <v:fill on="f" focussize="0,0"/>
            <v:stroke on="f"/>
            <v:imagedata r:id="rId38" o:title=""/>
            <o:lock v:ext="edit" grouping="f" rotation="f" text="f" aspectratio="t"/>
            <w10:wrap type="none"/>
            <w10:anchorlock/>
          </v:shape>
          <o:OLEObject Type="Embed" ProgID="Equation.DSMT4" ShapeID="_x0000_i1059" DrawAspect="Content" ObjectID="_1468075759" r:id="rId66">
            <o:LockedField>false</o:LockedField>
          </o:OLEObject>
        </w:object>
      </w:r>
      <w:r>
        <w:rPr>
          <w:rFonts w:eastAsia="楷体"/>
          <w:color w:val="auto"/>
          <w:sz w:val="28"/>
          <w:szCs w:val="28"/>
          <w:highlight w:val="none"/>
        </w:rPr>
        <w:t>始、末的入库流量（</w:t>
      </w:r>
      <w:r>
        <w:rPr>
          <w:rFonts w:eastAsia="楷体"/>
          <w:color w:val="auto"/>
          <w:position w:val="-6"/>
          <w:sz w:val="28"/>
          <w:szCs w:val="28"/>
          <w:highlight w:val="none"/>
        </w:rPr>
        <w:object>
          <v:shape id="_x0000_i1060" o:spt="75" type="#_x0000_t75" style="height:16pt;width:30pt;" o:ole="t" filled="f" stroked="f" coordsize="21600,21600">
            <v:path/>
            <v:fill on="f" focussize="0,0"/>
            <v:stroke on="f"/>
            <v:imagedata r:id="rId40" o:title=""/>
            <o:lock v:ext="edit" grouping="f" rotation="f" text="f" aspectratio="t"/>
            <w10:wrap type="none"/>
            <w10:anchorlock/>
          </v:shape>
          <o:OLEObject Type="Embed" ProgID="Equation.DSMT4" ShapeID="_x0000_i1060" DrawAspect="Content" ObjectID="_1468075760" r:id="rId67">
            <o:LockedField>false</o:LockedField>
          </o:OLEObject>
        </w:object>
      </w:r>
      <w:r>
        <w:rPr>
          <w:rFonts w:eastAsia="楷体"/>
          <w:color w:val="auto"/>
          <w:sz w:val="28"/>
          <w:szCs w:val="28"/>
          <w:highlight w:val="none"/>
        </w:rPr>
        <w:t>）;</w:t>
      </w:r>
    </w:p>
    <w:p w14:paraId="36AA2146">
      <w:pPr>
        <w:spacing w:line="520" w:lineRule="exact"/>
        <w:rPr>
          <w:rFonts w:eastAsia="楷体"/>
          <w:color w:val="auto"/>
          <w:sz w:val="28"/>
          <w:szCs w:val="28"/>
          <w:highlight w:val="none"/>
        </w:rPr>
      </w:pPr>
      <w:r>
        <w:rPr>
          <w:rFonts w:eastAsia="楷体"/>
          <w:color w:val="auto"/>
          <w:sz w:val="28"/>
          <w:szCs w:val="28"/>
          <w:highlight w:val="none"/>
        </w:rPr>
        <w:t xml:space="preserve">      </w:t>
      </w:r>
      <w:r>
        <w:rPr>
          <w:rFonts w:eastAsia="楷体"/>
          <w:color w:val="auto"/>
          <w:position w:val="-12"/>
          <w:sz w:val="28"/>
          <w:szCs w:val="28"/>
          <w:highlight w:val="none"/>
        </w:rPr>
        <w:object>
          <v:shape id="_x0000_i1061" o:spt="75" type="#_x0000_t75" style="height:18pt;width:33pt;" o:ole="t" filled="f" stroked="f" coordsize="21600,21600">
            <v:path/>
            <v:fill on="f" focussize="0,0"/>
            <v:stroke on="f"/>
            <v:imagedata r:id="rId42" o:title=""/>
            <o:lock v:ext="edit" grouping="f" rotation="f" text="f" aspectratio="t"/>
            <w10:wrap type="none"/>
            <w10:anchorlock/>
          </v:shape>
          <o:OLEObject Type="Embed" ProgID="Equation.DSMT4" ShapeID="_x0000_i1061" DrawAspect="Content" ObjectID="_1468075761" r:id="rId68">
            <o:LockedField>false</o:LockedField>
          </o:OLEObject>
        </w:object>
      </w:r>
      <w:r>
        <w:rPr>
          <w:rFonts w:eastAsia="楷体"/>
          <w:color w:val="auto"/>
          <w:sz w:val="28"/>
          <w:szCs w:val="28"/>
          <w:highlight w:val="none"/>
        </w:rPr>
        <w:t>——时段</w:t>
      </w:r>
      <w:r>
        <w:rPr>
          <w:rFonts w:eastAsia="楷体"/>
          <w:color w:val="auto"/>
          <w:position w:val="-6"/>
          <w:sz w:val="28"/>
          <w:szCs w:val="28"/>
          <w:highlight w:val="none"/>
        </w:rPr>
        <w:object>
          <v:shape id="_x0000_i1062" o:spt="75" type="#_x0000_t75" style="height:13.95pt;width:15pt;" o:ole="t" filled="f" stroked="f" coordsize="21600,21600">
            <v:path/>
            <v:fill on="f" focussize="0,0"/>
            <v:stroke on="f"/>
            <v:imagedata r:id="rId44" o:title=""/>
            <o:lock v:ext="edit" grouping="f" rotation="f" text="f" aspectratio="t"/>
            <w10:wrap type="none"/>
            <w10:anchorlock/>
          </v:shape>
          <o:OLEObject Type="Embed" ProgID="Equation.DSMT4" ShapeID="_x0000_i1062" DrawAspect="Content" ObjectID="_1468075762" r:id="rId69">
            <o:LockedField>false</o:LockedField>
          </o:OLEObject>
        </w:object>
      </w:r>
      <w:r>
        <w:rPr>
          <w:rFonts w:eastAsia="楷体"/>
          <w:color w:val="auto"/>
          <w:sz w:val="28"/>
          <w:szCs w:val="28"/>
          <w:highlight w:val="none"/>
        </w:rPr>
        <w:t>始、末的出库流量（</w:t>
      </w:r>
      <w:r>
        <w:rPr>
          <w:rFonts w:eastAsia="楷体"/>
          <w:color w:val="auto"/>
          <w:position w:val="-6"/>
          <w:sz w:val="28"/>
          <w:szCs w:val="28"/>
          <w:highlight w:val="none"/>
        </w:rPr>
        <w:object>
          <v:shape id="_x0000_i1063" o:spt="75" type="#_x0000_t75" style="height:16pt;width:30pt;" o:ole="t" filled="f" stroked="f" coordsize="21600,21600">
            <v:path/>
            <v:fill on="f" focussize="0,0"/>
            <v:stroke on="f"/>
            <v:imagedata r:id="rId46" o:title=""/>
            <o:lock v:ext="edit" grouping="f" rotation="f" text="f" aspectratio="t"/>
            <w10:wrap type="none"/>
            <w10:anchorlock/>
          </v:shape>
          <o:OLEObject Type="Embed" ProgID="Equation.DSMT4" ShapeID="_x0000_i1063" DrawAspect="Content" ObjectID="_1468075763" r:id="rId70">
            <o:LockedField>false</o:LockedField>
          </o:OLEObject>
        </w:object>
      </w:r>
      <w:r>
        <w:rPr>
          <w:rFonts w:eastAsia="楷体"/>
          <w:color w:val="auto"/>
          <w:sz w:val="28"/>
          <w:szCs w:val="28"/>
          <w:highlight w:val="none"/>
        </w:rPr>
        <w:t>）;</w:t>
      </w:r>
    </w:p>
    <w:p w14:paraId="342406A2">
      <w:pPr>
        <w:spacing w:line="520" w:lineRule="exact"/>
        <w:rPr>
          <w:rFonts w:eastAsia="楷体"/>
          <w:color w:val="auto"/>
          <w:sz w:val="28"/>
          <w:szCs w:val="28"/>
          <w:highlight w:val="none"/>
        </w:rPr>
      </w:pPr>
      <w:r>
        <w:rPr>
          <w:rFonts w:eastAsia="楷体"/>
          <w:color w:val="auto"/>
          <w:sz w:val="28"/>
          <w:szCs w:val="28"/>
          <w:highlight w:val="none"/>
        </w:rPr>
        <w:t xml:space="preserve">      </w:t>
      </w:r>
      <w:r>
        <w:rPr>
          <w:rFonts w:eastAsia="楷体"/>
          <w:color w:val="auto"/>
          <w:position w:val="-12"/>
          <w:sz w:val="28"/>
          <w:szCs w:val="28"/>
          <w:highlight w:val="none"/>
        </w:rPr>
        <w:object>
          <v:shape id="_x0000_i1064" o:spt="75" type="#_x0000_t75" style="height:18pt;width:34pt;" o:ole="t" filled="f" stroked="f" coordsize="21600,21600">
            <v:path/>
            <v:fill on="f" focussize="0,0"/>
            <v:stroke on="f"/>
            <v:imagedata r:id="rId48" o:title=""/>
            <o:lock v:ext="edit" grouping="f" rotation="f" text="f" aspectratio="t"/>
            <w10:wrap type="none"/>
            <w10:anchorlock/>
          </v:shape>
          <o:OLEObject Type="Embed" ProgID="Equation.DSMT4" ShapeID="_x0000_i1064" DrawAspect="Content" ObjectID="_1468075764" r:id="rId71">
            <o:LockedField>false</o:LockedField>
          </o:OLEObject>
        </w:object>
      </w:r>
      <w:r>
        <w:rPr>
          <w:rFonts w:eastAsia="楷体"/>
          <w:color w:val="auto"/>
          <w:sz w:val="28"/>
          <w:szCs w:val="28"/>
          <w:highlight w:val="none"/>
        </w:rPr>
        <w:t>——时段</w:t>
      </w:r>
      <w:r>
        <w:rPr>
          <w:rFonts w:eastAsia="楷体"/>
          <w:color w:val="auto"/>
          <w:position w:val="-6"/>
          <w:sz w:val="28"/>
          <w:szCs w:val="28"/>
          <w:highlight w:val="none"/>
        </w:rPr>
        <w:object>
          <v:shape id="_x0000_i1065" o:spt="75" type="#_x0000_t75" style="height:13.95pt;width:15pt;" o:ole="t" filled="f" stroked="f" coordsize="21600,21600">
            <v:path/>
            <v:fill on="f" focussize="0,0"/>
            <v:stroke on="f"/>
            <v:imagedata r:id="rId50" o:title=""/>
            <o:lock v:ext="edit" grouping="f" rotation="f" text="f" aspectratio="t"/>
            <w10:wrap type="none"/>
            <w10:anchorlock/>
          </v:shape>
          <o:OLEObject Type="Embed" ProgID="Equation.DSMT4" ShapeID="_x0000_i1065" DrawAspect="Content" ObjectID="_1468075765" r:id="rId72">
            <o:LockedField>false</o:LockedField>
          </o:OLEObject>
        </w:object>
      </w:r>
      <w:r>
        <w:rPr>
          <w:rFonts w:eastAsia="楷体"/>
          <w:color w:val="auto"/>
          <w:sz w:val="28"/>
          <w:szCs w:val="28"/>
          <w:highlight w:val="none"/>
        </w:rPr>
        <w:t>始、末的库容（万</w:t>
      </w:r>
      <w:r>
        <w:rPr>
          <w:rFonts w:eastAsia="楷体"/>
          <w:i/>
          <w:color w:val="auto"/>
          <w:sz w:val="28"/>
          <w:szCs w:val="28"/>
          <w:highlight w:val="none"/>
        </w:rPr>
        <w:t xml:space="preserve"> </w:t>
      </w:r>
      <w:r>
        <w:rPr>
          <w:rFonts w:eastAsia="楷体"/>
          <w:color w:val="auto"/>
          <w:position w:val="-6"/>
          <w:sz w:val="28"/>
          <w:szCs w:val="28"/>
          <w:highlight w:val="none"/>
        </w:rPr>
        <w:object>
          <v:shape id="_x0000_i1066" o:spt="75" type="#_x0000_t75" style="height:16pt;width:16pt;" o:ole="t" filled="f" stroked="f" coordsize="21600,21600">
            <v:path/>
            <v:fill on="f" focussize="0,0"/>
            <v:stroke on="f"/>
            <v:imagedata r:id="rId52" o:title=""/>
            <o:lock v:ext="edit" grouping="f" rotation="f" text="f" aspectratio="t"/>
            <w10:wrap type="none"/>
            <w10:anchorlock/>
          </v:shape>
          <o:OLEObject Type="Embed" ProgID="Equation.DSMT4" ShapeID="_x0000_i1066" DrawAspect="Content" ObjectID="_1468075766" r:id="rId73">
            <o:LockedField>false</o:LockedField>
          </o:OLEObject>
        </w:object>
      </w:r>
      <w:r>
        <w:rPr>
          <w:rFonts w:eastAsia="楷体"/>
          <w:color w:val="auto"/>
          <w:sz w:val="28"/>
          <w:szCs w:val="28"/>
          <w:highlight w:val="none"/>
        </w:rPr>
        <w:t>）</w:t>
      </w:r>
    </w:p>
    <w:p w14:paraId="2A98CAC6">
      <w:pPr>
        <w:spacing w:line="520" w:lineRule="exact"/>
        <w:ind w:firstLine="560" w:firstLineChars="200"/>
        <w:rPr>
          <w:rFonts w:eastAsia="楷体"/>
          <w:color w:val="auto"/>
          <w:sz w:val="28"/>
          <w:szCs w:val="28"/>
          <w:highlight w:val="none"/>
        </w:rPr>
      </w:pPr>
      <w:r>
        <w:rPr>
          <w:rFonts w:eastAsia="楷体"/>
          <w:color w:val="auto"/>
          <w:sz w:val="28"/>
          <w:szCs w:val="28"/>
          <w:highlight w:val="none"/>
        </w:rPr>
        <w:t>四清水库的正常蓄水位为</w:t>
      </w:r>
      <w:r>
        <w:rPr>
          <w:rFonts w:hint="eastAsia" w:eastAsia="楷体"/>
          <w:color w:val="auto"/>
          <w:sz w:val="28"/>
          <w:szCs w:val="28"/>
          <w:highlight w:val="none"/>
          <w:lang w:val="en-US" w:eastAsia="zh-CN"/>
        </w:rPr>
        <w:t>28.04</w:t>
      </w:r>
      <w:r>
        <w:rPr>
          <w:rFonts w:eastAsia="楷体"/>
          <w:color w:val="auto"/>
          <w:sz w:val="28"/>
          <w:szCs w:val="28"/>
          <w:highlight w:val="none"/>
        </w:rPr>
        <w:t>m，汛期期间起调水位采用汛限水位</w:t>
      </w:r>
      <w:r>
        <w:rPr>
          <w:rFonts w:hint="eastAsia" w:eastAsia="楷体"/>
          <w:color w:val="auto"/>
          <w:sz w:val="28"/>
          <w:szCs w:val="28"/>
          <w:highlight w:val="none"/>
          <w:lang w:val="en-US" w:eastAsia="zh-CN"/>
        </w:rPr>
        <w:t>28.04</w:t>
      </w:r>
      <w:r>
        <w:rPr>
          <w:rFonts w:eastAsia="楷体"/>
          <w:color w:val="auto"/>
          <w:sz w:val="28"/>
          <w:szCs w:val="28"/>
          <w:highlight w:val="none"/>
        </w:rPr>
        <w:t>m，经调洪演算求得P=</w:t>
      </w:r>
      <w:r>
        <w:rPr>
          <w:rFonts w:hint="eastAsia" w:eastAsia="楷体"/>
          <w:color w:val="auto"/>
          <w:sz w:val="28"/>
          <w:szCs w:val="28"/>
          <w:highlight w:val="none"/>
          <w:lang w:val="en-US" w:eastAsia="zh-CN"/>
        </w:rPr>
        <w:t>5</w:t>
      </w:r>
      <w:r>
        <w:rPr>
          <w:rFonts w:eastAsia="楷体"/>
          <w:color w:val="auto"/>
          <w:sz w:val="28"/>
          <w:szCs w:val="28"/>
          <w:highlight w:val="none"/>
        </w:rPr>
        <w:t>%和P=0.</w:t>
      </w:r>
      <w:r>
        <w:rPr>
          <w:rFonts w:hint="eastAsia" w:eastAsia="楷体"/>
          <w:color w:val="auto"/>
          <w:sz w:val="28"/>
          <w:szCs w:val="28"/>
          <w:highlight w:val="none"/>
          <w:lang w:val="en-US" w:eastAsia="zh-CN"/>
        </w:rPr>
        <w:t>5</w:t>
      </w:r>
      <w:r>
        <w:rPr>
          <w:rFonts w:eastAsia="楷体"/>
          <w:color w:val="auto"/>
          <w:sz w:val="28"/>
          <w:szCs w:val="28"/>
          <w:highlight w:val="none"/>
        </w:rPr>
        <w:t>%两种设计频率洪水的调洪演算成果详见表</w:t>
      </w:r>
      <w:r>
        <w:rPr>
          <w:rFonts w:hint="eastAsia" w:eastAsia="楷体"/>
          <w:color w:val="auto"/>
          <w:sz w:val="28"/>
          <w:szCs w:val="28"/>
          <w:highlight w:val="none"/>
          <w:lang w:val="en-US" w:eastAsia="zh-CN"/>
        </w:rPr>
        <w:t>2</w:t>
      </w:r>
      <w:r>
        <w:rPr>
          <w:rFonts w:eastAsia="楷体"/>
          <w:color w:val="auto"/>
          <w:sz w:val="28"/>
          <w:szCs w:val="28"/>
          <w:highlight w:val="none"/>
        </w:rPr>
        <w:t>-</w:t>
      </w:r>
      <w:r>
        <w:rPr>
          <w:rFonts w:hint="eastAsia" w:eastAsia="楷体"/>
          <w:color w:val="auto"/>
          <w:sz w:val="28"/>
          <w:szCs w:val="28"/>
          <w:highlight w:val="none"/>
          <w:lang w:val="en-US" w:eastAsia="zh-CN"/>
        </w:rPr>
        <w:t>3</w:t>
      </w:r>
      <w:r>
        <w:rPr>
          <w:rFonts w:eastAsia="楷体"/>
          <w:color w:val="auto"/>
          <w:sz w:val="28"/>
          <w:szCs w:val="28"/>
          <w:highlight w:val="none"/>
        </w:rPr>
        <w:t>。</w:t>
      </w:r>
    </w:p>
    <w:p w14:paraId="0EB06D7E">
      <w:pPr>
        <w:spacing w:line="520" w:lineRule="exact"/>
        <w:rPr>
          <w:rFonts w:eastAsia="楷体"/>
          <w:b/>
          <w:bCs/>
          <w:color w:val="auto"/>
          <w:spacing w:val="20"/>
          <w:kern w:val="0"/>
          <w:sz w:val="28"/>
          <w:szCs w:val="28"/>
          <w:highlight w:val="none"/>
        </w:rPr>
      </w:pPr>
      <w:r>
        <w:rPr>
          <w:rFonts w:eastAsia="楷体"/>
          <w:b/>
          <w:bCs/>
          <w:color w:val="auto"/>
          <w:spacing w:val="20"/>
          <w:kern w:val="0"/>
          <w:sz w:val="28"/>
          <w:szCs w:val="28"/>
          <w:highlight w:val="none"/>
        </w:rPr>
        <w:t>表</w:t>
      </w:r>
      <w:r>
        <w:rPr>
          <w:rFonts w:hint="eastAsia" w:eastAsia="楷体"/>
          <w:b/>
          <w:bCs/>
          <w:color w:val="auto"/>
          <w:spacing w:val="20"/>
          <w:kern w:val="0"/>
          <w:sz w:val="28"/>
          <w:szCs w:val="28"/>
          <w:highlight w:val="none"/>
          <w:lang w:val="en-US" w:eastAsia="zh-CN"/>
        </w:rPr>
        <w:t>2</w:t>
      </w:r>
      <w:r>
        <w:rPr>
          <w:rFonts w:eastAsia="楷体"/>
          <w:b/>
          <w:bCs/>
          <w:color w:val="auto"/>
          <w:spacing w:val="20"/>
          <w:kern w:val="0"/>
          <w:sz w:val="28"/>
          <w:szCs w:val="28"/>
          <w:highlight w:val="none"/>
        </w:rPr>
        <w:t>-</w:t>
      </w:r>
      <w:r>
        <w:rPr>
          <w:rFonts w:hint="eastAsia" w:eastAsia="楷体"/>
          <w:b/>
          <w:bCs/>
          <w:color w:val="auto"/>
          <w:spacing w:val="20"/>
          <w:kern w:val="0"/>
          <w:sz w:val="28"/>
          <w:szCs w:val="28"/>
          <w:highlight w:val="none"/>
          <w:lang w:val="en-US" w:eastAsia="zh-CN"/>
        </w:rPr>
        <w:t>3</w:t>
      </w:r>
      <w:r>
        <w:rPr>
          <w:rFonts w:eastAsia="楷体"/>
          <w:b/>
          <w:bCs/>
          <w:color w:val="auto"/>
          <w:spacing w:val="20"/>
          <w:kern w:val="0"/>
          <w:sz w:val="28"/>
          <w:szCs w:val="28"/>
          <w:highlight w:val="none"/>
        </w:rPr>
        <w:t xml:space="preserve">            四清水库调洪演算成果表</w:t>
      </w:r>
    </w:p>
    <w:tbl>
      <w:tblPr>
        <w:tblStyle w:val="17"/>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2107"/>
        <w:gridCol w:w="2046"/>
        <w:gridCol w:w="1778"/>
        <w:gridCol w:w="1585"/>
        <w:gridCol w:w="1585"/>
      </w:tblGrid>
      <w:tr w14:paraId="7EBF92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720" w:hRule="atLeast"/>
        </w:trPr>
        <w:tc>
          <w:tcPr>
            <w:tcW w:w="2107" w:type="dxa"/>
            <w:noWrap w:val="0"/>
            <w:vAlign w:val="center"/>
          </w:tcPr>
          <w:p w14:paraId="47F26A43">
            <w:pPr>
              <w:widowControl/>
              <w:spacing w:line="440" w:lineRule="exact"/>
              <w:jc w:val="center"/>
              <w:textAlignment w:val="center"/>
              <w:rPr>
                <w:rFonts w:eastAsia="楷体"/>
                <w:b/>
                <w:color w:val="auto"/>
                <w:sz w:val="24"/>
                <w:highlight w:val="none"/>
              </w:rPr>
            </w:pPr>
            <w:r>
              <w:rPr>
                <w:rFonts w:eastAsia="楷体"/>
                <w:b/>
                <w:color w:val="auto"/>
                <w:kern w:val="0"/>
                <w:sz w:val="24"/>
                <w:highlight w:val="none"/>
                <w:lang w:bidi="ar"/>
              </w:rPr>
              <w:t>设计频率</w:t>
            </w:r>
          </w:p>
        </w:tc>
        <w:tc>
          <w:tcPr>
            <w:tcW w:w="2046" w:type="dxa"/>
            <w:noWrap w:val="0"/>
            <w:vAlign w:val="center"/>
          </w:tcPr>
          <w:p w14:paraId="69227825">
            <w:pPr>
              <w:widowControl/>
              <w:spacing w:line="440" w:lineRule="exact"/>
              <w:jc w:val="center"/>
              <w:textAlignment w:val="center"/>
              <w:rPr>
                <w:rFonts w:eastAsia="楷体"/>
                <w:b/>
                <w:color w:val="auto"/>
                <w:sz w:val="24"/>
                <w:highlight w:val="none"/>
              </w:rPr>
            </w:pPr>
            <w:r>
              <w:rPr>
                <w:rFonts w:eastAsia="楷体"/>
                <w:b/>
                <w:color w:val="auto"/>
                <w:kern w:val="0"/>
                <w:sz w:val="24"/>
                <w:highlight w:val="none"/>
                <w:lang w:bidi="ar"/>
              </w:rPr>
              <w:t>最大入库流量(m</w:t>
            </w:r>
            <w:r>
              <w:rPr>
                <w:rFonts w:eastAsia="楷体"/>
                <w:b/>
                <w:color w:val="auto"/>
                <w:kern w:val="0"/>
                <w:sz w:val="24"/>
                <w:highlight w:val="none"/>
                <w:vertAlign w:val="superscript"/>
                <w:lang w:bidi="ar"/>
              </w:rPr>
              <w:t>3</w:t>
            </w:r>
            <w:r>
              <w:rPr>
                <w:rFonts w:eastAsia="楷体"/>
                <w:b/>
                <w:color w:val="auto"/>
                <w:kern w:val="0"/>
                <w:sz w:val="24"/>
                <w:highlight w:val="none"/>
                <w:lang w:bidi="ar"/>
              </w:rPr>
              <w:t>/s)</w:t>
            </w:r>
          </w:p>
        </w:tc>
        <w:tc>
          <w:tcPr>
            <w:tcW w:w="1778" w:type="dxa"/>
            <w:noWrap w:val="0"/>
            <w:vAlign w:val="center"/>
          </w:tcPr>
          <w:p w14:paraId="42D2ABF0">
            <w:pPr>
              <w:widowControl/>
              <w:spacing w:line="440" w:lineRule="exact"/>
              <w:jc w:val="center"/>
              <w:textAlignment w:val="center"/>
              <w:rPr>
                <w:rFonts w:eastAsia="楷体"/>
                <w:b/>
                <w:color w:val="auto"/>
                <w:sz w:val="24"/>
                <w:highlight w:val="none"/>
              </w:rPr>
            </w:pPr>
            <w:r>
              <w:rPr>
                <w:rFonts w:eastAsia="楷体"/>
                <w:b/>
                <w:color w:val="auto"/>
                <w:kern w:val="0"/>
                <w:sz w:val="24"/>
                <w:highlight w:val="none"/>
                <w:lang w:bidi="ar"/>
              </w:rPr>
              <w:t>最大下泄流量(m</w:t>
            </w:r>
            <w:r>
              <w:rPr>
                <w:rFonts w:eastAsia="楷体"/>
                <w:b/>
                <w:color w:val="auto"/>
                <w:kern w:val="0"/>
                <w:sz w:val="24"/>
                <w:highlight w:val="none"/>
                <w:vertAlign w:val="superscript"/>
                <w:lang w:bidi="ar"/>
              </w:rPr>
              <w:t>3</w:t>
            </w:r>
            <w:r>
              <w:rPr>
                <w:rFonts w:eastAsia="楷体"/>
                <w:b/>
                <w:color w:val="auto"/>
                <w:kern w:val="0"/>
                <w:sz w:val="24"/>
                <w:highlight w:val="none"/>
                <w:lang w:bidi="ar"/>
              </w:rPr>
              <w:t>/s)</w:t>
            </w:r>
          </w:p>
        </w:tc>
        <w:tc>
          <w:tcPr>
            <w:tcW w:w="1585" w:type="dxa"/>
            <w:noWrap w:val="0"/>
            <w:vAlign w:val="center"/>
          </w:tcPr>
          <w:p w14:paraId="28A8FBF9">
            <w:pPr>
              <w:widowControl/>
              <w:spacing w:line="440" w:lineRule="exact"/>
              <w:jc w:val="center"/>
              <w:textAlignment w:val="center"/>
              <w:rPr>
                <w:rFonts w:eastAsia="楷体"/>
                <w:b/>
                <w:color w:val="auto"/>
                <w:sz w:val="24"/>
                <w:highlight w:val="none"/>
              </w:rPr>
            </w:pPr>
            <w:r>
              <w:rPr>
                <w:rFonts w:eastAsia="楷体"/>
                <w:b/>
                <w:color w:val="auto"/>
                <w:kern w:val="0"/>
                <w:sz w:val="24"/>
                <w:highlight w:val="none"/>
                <w:lang w:bidi="ar"/>
              </w:rPr>
              <w:t>最高库水位（m）</w:t>
            </w:r>
          </w:p>
        </w:tc>
        <w:tc>
          <w:tcPr>
            <w:tcW w:w="1585" w:type="dxa"/>
            <w:noWrap w:val="0"/>
            <w:vAlign w:val="center"/>
          </w:tcPr>
          <w:p w14:paraId="429143F6">
            <w:pPr>
              <w:widowControl/>
              <w:spacing w:line="440" w:lineRule="exact"/>
              <w:jc w:val="center"/>
              <w:textAlignment w:val="center"/>
              <w:rPr>
                <w:rFonts w:eastAsia="楷体"/>
                <w:b/>
                <w:color w:val="auto"/>
                <w:kern w:val="0"/>
                <w:sz w:val="24"/>
                <w:highlight w:val="none"/>
                <w:lang w:bidi="ar"/>
              </w:rPr>
            </w:pPr>
            <w:r>
              <w:rPr>
                <w:rFonts w:eastAsia="楷体"/>
                <w:b/>
                <w:color w:val="auto"/>
                <w:kern w:val="0"/>
                <w:sz w:val="24"/>
                <w:highlight w:val="none"/>
                <w:lang w:bidi="ar"/>
              </w:rPr>
              <w:t>设计库容</w:t>
            </w:r>
          </w:p>
          <w:p w14:paraId="683B85D4">
            <w:pPr>
              <w:widowControl/>
              <w:spacing w:line="440" w:lineRule="exact"/>
              <w:jc w:val="center"/>
              <w:textAlignment w:val="center"/>
              <w:rPr>
                <w:rFonts w:eastAsia="楷体"/>
                <w:b/>
                <w:color w:val="auto"/>
                <w:sz w:val="24"/>
                <w:highlight w:val="none"/>
              </w:rPr>
            </w:pPr>
            <w:r>
              <w:rPr>
                <w:rFonts w:eastAsia="楷体"/>
                <w:b/>
                <w:color w:val="auto"/>
                <w:kern w:val="0"/>
                <w:sz w:val="24"/>
                <w:highlight w:val="none"/>
                <w:lang w:bidi="ar"/>
              </w:rPr>
              <w:t>（万m</w:t>
            </w:r>
            <w:r>
              <w:rPr>
                <w:rFonts w:eastAsia="楷体"/>
                <w:b/>
                <w:color w:val="auto"/>
                <w:kern w:val="0"/>
                <w:sz w:val="24"/>
                <w:highlight w:val="none"/>
                <w:vertAlign w:val="superscript"/>
                <w:lang w:bidi="ar"/>
              </w:rPr>
              <w:t>3</w:t>
            </w:r>
            <w:r>
              <w:rPr>
                <w:rFonts w:eastAsia="楷体"/>
                <w:b/>
                <w:color w:val="auto"/>
                <w:kern w:val="0"/>
                <w:sz w:val="24"/>
                <w:highlight w:val="none"/>
                <w:lang w:bidi="ar"/>
              </w:rPr>
              <w:t>）</w:t>
            </w:r>
          </w:p>
        </w:tc>
      </w:tr>
      <w:tr w14:paraId="044609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2107" w:type="dxa"/>
            <w:noWrap w:val="0"/>
            <w:vAlign w:val="center"/>
          </w:tcPr>
          <w:p w14:paraId="7419E6A1">
            <w:pPr>
              <w:widowControl/>
              <w:spacing w:line="440" w:lineRule="exact"/>
              <w:jc w:val="center"/>
              <w:textAlignment w:val="center"/>
              <w:rPr>
                <w:rFonts w:eastAsia="楷体"/>
                <w:color w:val="auto"/>
                <w:sz w:val="24"/>
                <w:highlight w:val="none"/>
              </w:rPr>
            </w:pPr>
            <w:r>
              <w:rPr>
                <w:rFonts w:eastAsia="楷体"/>
                <w:color w:val="auto"/>
                <w:kern w:val="0"/>
                <w:sz w:val="24"/>
                <w:highlight w:val="none"/>
                <w:lang w:bidi="ar"/>
              </w:rPr>
              <w:t>P=</w:t>
            </w:r>
            <w:r>
              <w:rPr>
                <w:rFonts w:hint="eastAsia" w:eastAsia="楷体"/>
                <w:color w:val="auto"/>
                <w:kern w:val="0"/>
                <w:sz w:val="24"/>
                <w:highlight w:val="none"/>
                <w:lang w:val="en-US" w:eastAsia="zh-CN" w:bidi="ar"/>
              </w:rPr>
              <w:t>5</w:t>
            </w:r>
            <w:r>
              <w:rPr>
                <w:rFonts w:eastAsia="楷体"/>
                <w:color w:val="auto"/>
                <w:kern w:val="0"/>
                <w:sz w:val="24"/>
                <w:highlight w:val="none"/>
                <w:lang w:bidi="ar"/>
              </w:rPr>
              <w:t>%</w:t>
            </w:r>
          </w:p>
        </w:tc>
        <w:tc>
          <w:tcPr>
            <w:tcW w:w="2046" w:type="dxa"/>
            <w:noWrap w:val="0"/>
            <w:vAlign w:val="center"/>
          </w:tcPr>
          <w:p w14:paraId="26AB3819">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bidi="ar"/>
              </w:rPr>
              <w:t>12.35</w:t>
            </w:r>
          </w:p>
        </w:tc>
        <w:tc>
          <w:tcPr>
            <w:tcW w:w="1778" w:type="dxa"/>
            <w:noWrap w:val="0"/>
            <w:vAlign w:val="center"/>
          </w:tcPr>
          <w:p w14:paraId="4410220D">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bidi="ar"/>
              </w:rPr>
              <w:t>5.84</w:t>
            </w:r>
          </w:p>
        </w:tc>
        <w:tc>
          <w:tcPr>
            <w:tcW w:w="1585" w:type="dxa"/>
            <w:noWrap w:val="0"/>
            <w:vAlign w:val="center"/>
          </w:tcPr>
          <w:p w14:paraId="65E6224B">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bidi="ar"/>
              </w:rPr>
              <w:t>28.56</w:t>
            </w:r>
          </w:p>
        </w:tc>
        <w:tc>
          <w:tcPr>
            <w:tcW w:w="1585" w:type="dxa"/>
            <w:noWrap w:val="0"/>
            <w:vAlign w:val="center"/>
          </w:tcPr>
          <w:p w14:paraId="5ADA01ED">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bidi="ar"/>
              </w:rPr>
              <w:t>29.54</w:t>
            </w:r>
          </w:p>
        </w:tc>
      </w:tr>
      <w:tr w14:paraId="2E3779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2107" w:type="dxa"/>
            <w:noWrap w:val="0"/>
            <w:vAlign w:val="center"/>
          </w:tcPr>
          <w:p w14:paraId="5C761E99">
            <w:pPr>
              <w:widowControl/>
              <w:spacing w:line="440" w:lineRule="exact"/>
              <w:jc w:val="center"/>
              <w:textAlignment w:val="center"/>
              <w:rPr>
                <w:rFonts w:eastAsia="楷体"/>
                <w:color w:val="auto"/>
                <w:sz w:val="24"/>
                <w:highlight w:val="none"/>
              </w:rPr>
            </w:pPr>
            <w:r>
              <w:rPr>
                <w:rFonts w:eastAsia="楷体"/>
                <w:color w:val="auto"/>
                <w:kern w:val="0"/>
                <w:sz w:val="24"/>
                <w:highlight w:val="none"/>
                <w:lang w:bidi="ar"/>
              </w:rPr>
              <w:t>P=0.</w:t>
            </w:r>
            <w:r>
              <w:rPr>
                <w:rFonts w:hint="eastAsia" w:eastAsia="楷体"/>
                <w:color w:val="auto"/>
                <w:kern w:val="0"/>
                <w:sz w:val="24"/>
                <w:highlight w:val="none"/>
                <w:lang w:val="en-US" w:eastAsia="zh-CN" w:bidi="ar"/>
              </w:rPr>
              <w:t>5</w:t>
            </w:r>
            <w:r>
              <w:rPr>
                <w:rFonts w:eastAsia="楷体"/>
                <w:color w:val="auto"/>
                <w:kern w:val="0"/>
                <w:sz w:val="24"/>
                <w:highlight w:val="none"/>
                <w:lang w:bidi="ar"/>
              </w:rPr>
              <w:t>%</w:t>
            </w:r>
          </w:p>
        </w:tc>
        <w:tc>
          <w:tcPr>
            <w:tcW w:w="2046" w:type="dxa"/>
            <w:noWrap w:val="0"/>
            <w:vAlign w:val="center"/>
          </w:tcPr>
          <w:p w14:paraId="4720D9FA">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bidi="ar"/>
              </w:rPr>
              <w:t>20.64</w:t>
            </w:r>
          </w:p>
        </w:tc>
        <w:tc>
          <w:tcPr>
            <w:tcW w:w="1778" w:type="dxa"/>
            <w:noWrap w:val="0"/>
            <w:vAlign w:val="center"/>
          </w:tcPr>
          <w:p w14:paraId="2EB9CB82">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bidi="ar"/>
              </w:rPr>
              <w:t>10.61</w:t>
            </w:r>
          </w:p>
        </w:tc>
        <w:tc>
          <w:tcPr>
            <w:tcW w:w="1585" w:type="dxa"/>
            <w:noWrap w:val="0"/>
            <w:vAlign w:val="center"/>
          </w:tcPr>
          <w:p w14:paraId="25E5746F">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bidi="ar"/>
              </w:rPr>
              <w:t>28.81</w:t>
            </w:r>
          </w:p>
        </w:tc>
        <w:tc>
          <w:tcPr>
            <w:tcW w:w="1585" w:type="dxa"/>
            <w:noWrap w:val="0"/>
            <w:vAlign w:val="center"/>
          </w:tcPr>
          <w:p w14:paraId="5AE1BFA7">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bidi="ar"/>
              </w:rPr>
              <w:t>30.87</w:t>
            </w:r>
          </w:p>
        </w:tc>
      </w:tr>
    </w:tbl>
    <w:p w14:paraId="6B6A4F05">
      <w:pPr>
        <w:spacing w:line="520" w:lineRule="exact"/>
        <w:ind w:left="420" w:leftChars="200"/>
        <w:rPr>
          <w:rFonts w:eastAsia="楷体"/>
          <w:b/>
          <w:bCs/>
          <w:color w:val="auto"/>
          <w:sz w:val="28"/>
          <w:szCs w:val="28"/>
          <w:highlight w:val="none"/>
        </w:rPr>
      </w:pPr>
      <w:r>
        <w:rPr>
          <w:rFonts w:eastAsia="楷体"/>
          <w:b/>
          <w:bCs/>
          <w:color w:val="auto"/>
          <w:sz w:val="28"/>
          <w:szCs w:val="28"/>
          <w:highlight w:val="none"/>
        </w:rPr>
        <w:t>（2）四清水库防汛调度方案</w:t>
      </w:r>
    </w:p>
    <w:p w14:paraId="45084482">
      <w:pPr>
        <w:numPr>
          <w:ilvl w:val="0"/>
          <w:numId w:val="3"/>
        </w:numPr>
        <w:spacing w:line="520" w:lineRule="exact"/>
        <w:ind w:firstLine="562" w:firstLineChars="200"/>
        <w:rPr>
          <w:rFonts w:eastAsia="楷体"/>
          <w:b/>
          <w:bCs/>
          <w:color w:val="auto"/>
          <w:sz w:val="28"/>
          <w:szCs w:val="28"/>
          <w:highlight w:val="none"/>
        </w:rPr>
      </w:pPr>
      <w:r>
        <w:rPr>
          <w:rFonts w:eastAsia="楷体"/>
          <w:b/>
          <w:bCs/>
          <w:color w:val="auto"/>
          <w:sz w:val="28"/>
          <w:szCs w:val="28"/>
          <w:highlight w:val="none"/>
        </w:rPr>
        <w:t>四清水库汛限水位为</w:t>
      </w:r>
      <w:r>
        <w:rPr>
          <w:rFonts w:hint="eastAsia" w:eastAsia="楷体"/>
          <w:b/>
          <w:bCs/>
          <w:color w:val="auto"/>
          <w:sz w:val="28"/>
          <w:szCs w:val="28"/>
          <w:highlight w:val="none"/>
          <w:lang w:eastAsia="zh-CN"/>
        </w:rPr>
        <w:t>2</w:t>
      </w:r>
      <w:r>
        <w:rPr>
          <w:rFonts w:hint="eastAsia" w:eastAsia="楷体"/>
          <w:b/>
          <w:bCs/>
          <w:color w:val="auto"/>
          <w:sz w:val="28"/>
          <w:szCs w:val="28"/>
          <w:highlight w:val="none"/>
          <w:lang w:val="en-US" w:eastAsia="zh-CN"/>
        </w:rPr>
        <w:t>8.04</w:t>
      </w:r>
      <w:r>
        <w:rPr>
          <w:rFonts w:eastAsia="楷体"/>
          <w:b/>
          <w:bCs/>
          <w:color w:val="auto"/>
          <w:sz w:val="28"/>
          <w:szCs w:val="28"/>
          <w:highlight w:val="none"/>
        </w:rPr>
        <w:t>m，</w:t>
      </w:r>
      <w:r>
        <w:rPr>
          <w:rFonts w:hint="eastAsia" w:ascii="Times New Roman" w:hAnsi="Times New Roman" w:eastAsia="楷体" w:cs="Times New Roman"/>
          <w:b/>
          <w:bCs/>
          <w:color w:val="auto"/>
          <w:sz w:val="28"/>
          <w:szCs w:val="28"/>
          <w:highlight w:val="none"/>
          <w:lang w:eastAsia="zh-CN"/>
        </w:rPr>
        <w:t>控制水位</w:t>
      </w:r>
      <w:r>
        <w:rPr>
          <w:rFonts w:hint="eastAsia" w:ascii="Times New Roman" w:hAnsi="Times New Roman" w:eastAsia="楷体" w:cs="Times New Roman"/>
          <w:b/>
          <w:bCs/>
          <w:color w:val="auto"/>
          <w:sz w:val="28"/>
          <w:szCs w:val="28"/>
          <w:highlight w:val="none"/>
          <w:lang w:val="en-US" w:eastAsia="zh-CN"/>
        </w:rPr>
        <w:t>为27.04</w:t>
      </w:r>
      <w:r>
        <w:rPr>
          <w:rFonts w:hint="default" w:ascii="Times New Roman" w:hAnsi="Times New Roman" w:eastAsia="楷体" w:cs="Times New Roman"/>
          <w:b/>
          <w:bCs/>
          <w:color w:val="auto"/>
          <w:sz w:val="28"/>
          <w:szCs w:val="28"/>
          <w:highlight w:val="none"/>
        </w:rPr>
        <w:t>m</w:t>
      </w:r>
      <w:r>
        <w:rPr>
          <w:rFonts w:hint="eastAsia" w:ascii="Times New Roman" w:hAnsi="Times New Roman" w:eastAsia="楷体" w:cs="Times New Roman"/>
          <w:b/>
          <w:bCs/>
          <w:color w:val="auto"/>
          <w:sz w:val="28"/>
          <w:szCs w:val="28"/>
          <w:highlight w:val="none"/>
          <w:lang w:eastAsia="zh-CN"/>
        </w:rPr>
        <w:t>，</w:t>
      </w:r>
      <w:r>
        <w:rPr>
          <w:rFonts w:eastAsia="楷体"/>
          <w:b/>
          <w:bCs/>
          <w:color w:val="auto"/>
          <w:sz w:val="28"/>
          <w:szCs w:val="28"/>
          <w:highlight w:val="none"/>
        </w:rPr>
        <w:t>进入汛期前，若四清水库水位大于</w:t>
      </w:r>
      <w:r>
        <w:rPr>
          <w:rFonts w:hint="eastAsia" w:eastAsia="楷体"/>
          <w:b/>
          <w:bCs/>
          <w:color w:val="auto"/>
          <w:sz w:val="28"/>
          <w:szCs w:val="28"/>
          <w:highlight w:val="none"/>
          <w:lang w:val="en-US" w:eastAsia="zh-CN"/>
        </w:rPr>
        <w:t>28.04</w:t>
      </w:r>
      <w:r>
        <w:rPr>
          <w:rFonts w:eastAsia="楷体"/>
          <w:b/>
          <w:bCs/>
          <w:color w:val="auto"/>
          <w:sz w:val="28"/>
          <w:szCs w:val="28"/>
          <w:highlight w:val="none"/>
        </w:rPr>
        <w:t>m，则自由泄流，使四清水库在汛期开始即4月1日前的水库水位控制在</w:t>
      </w:r>
      <w:r>
        <w:rPr>
          <w:rFonts w:hint="eastAsia" w:eastAsia="楷体"/>
          <w:b/>
          <w:bCs/>
          <w:color w:val="auto"/>
          <w:sz w:val="28"/>
          <w:szCs w:val="28"/>
          <w:highlight w:val="none"/>
          <w:lang w:val="en-US" w:eastAsia="zh-CN"/>
        </w:rPr>
        <w:t>27.04</w:t>
      </w:r>
      <w:r>
        <w:rPr>
          <w:rFonts w:eastAsia="楷体"/>
          <w:b/>
          <w:bCs/>
          <w:color w:val="auto"/>
          <w:sz w:val="28"/>
          <w:szCs w:val="28"/>
          <w:highlight w:val="none"/>
        </w:rPr>
        <w:t>m以下；汛期期间，水库可根据需要进行蓄水，但不得超过</w:t>
      </w:r>
      <w:r>
        <w:rPr>
          <w:rFonts w:hint="eastAsia" w:eastAsia="楷体"/>
          <w:b/>
          <w:bCs/>
          <w:color w:val="auto"/>
          <w:sz w:val="28"/>
          <w:szCs w:val="28"/>
          <w:highlight w:val="none"/>
          <w:lang w:val="en-US" w:eastAsia="zh-CN"/>
        </w:rPr>
        <w:t>27.04</w:t>
      </w:r>
      <w:r>
        <w:rPr>
          <w:rFonts w:eastAsia="楷体"/>
          <w:b/>
          <w:bCs/>
          <w:color w:val="auto"/>
          <w:sz w:val="28"/>
          <w:szCs w:val="28"/>
          <w:highlight w:val="none"/>
        </w:rPr>
        <w:t>m。</w:t>
      </w:r>
    </w:p>
    <w:p w14:paraId="318A7E9F">
      <w:pPr>
        <w:numPr>
          <w:ilvl w:val="0"/>
          <w:numId w:val="3"/>
        </w:numPr>
        <w:spacing w:line="520" w:lineRule="exact"/>
        <w:ind w:firstLine="562" w:firstLineChars="200"/>
        <w:rPr>
          <w:rFonts w:eastAsia="楷体"/>
          <w:b/>
          <w:bCs/>
          <w:color w:val="auto"/>
          <w:sz w:val="28"/>
          <w:szCs w:val="28"/>
          <w:highlight w:val="none"/>
        </w:rPr>
      </w:pPr>
      <w:r>
        <w:rPr>
          <w:rFonts w:eastAsia="楷体"/>
          <w:b/>
          <w:bCs/>
          <w:color w:val="auto"/>
          <w:sz w:val="28"/>
          <w:szCs w:val="28"/>
          <w:highlight w:val="none"/>
        </w:rPr>
        <w:t>在汛期期间遇到短历时强降雨时</w:t>
      </w:r>
    </w:p>
    <w:p w14:paraId="64BED327">
      <w:pPr>
        <w:numPr>
          <w:ilvl w:val="0"/>
          <w:numId w:val="4"/>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当四清水库遇到短历时小于50mm的强降雨时，入库最大洪水总量为</w:t>
      </w:r>
      <w:r>
        <w:rPr>
          <w:rFonts w:hint="eastAsia" w:eastAsia="楷体"/>
          <w:color w:val="auto"/>
          <w:sz w:val="28"/>
          <w:szCs w:val="28"/>
          <w:highlight w:val="none"/>
          <w:lang w:val="en-US" w:eastAsia="zh-CN"/>
        </w:rPr>
        <w:t>2.24</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27.6</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27.6</w:t>
      </w:r>
      <w:r>
        <w:rPr>
          <w:rFonts w:eastAsia="楷体"/>
          <w:color w:val="auto"/>
          <w:sz w:val="28"/>
          <w:szCs w:val="28"/>
          <w:highlight w:val="none"/>
        </w:rPr>
        <w:t>m以上，可在收到泉州市气象部门预警后，先预泄腾空库容迎峰，使水库水位降至</w:t>
      </w:r>
      <w:r>
        <w:rPr>
          <w:rFonts w:hint="eastAsia" w:eastAsia="楷体"/>
          <w:color w:val="auto"/>
          <w:sz w:val="28"/>
          <w:szCs w:val="28"/>
          <w:highlight w:val="none"/>
          <w:lang w:val="en-US" w:eastAsia="zh-CN"/>
        </w:rPr>
        <w:t>27.6</w:t>
      </w:r>
      <w:r>
        <w:rPr>
          <w:rFonts w:eastAsia="楷体"/>
          <w:color w:val="auto"/>
          <w:sz w:val="28"/>
          <w:szCs w:val="28"/>
          <w:highlight w:val="none"/>
        </w:rPr>
        <w:t>m以下；</w:t>
      </w:r>
    </w:p>
    <w:p w14:paraId="09C8E514">
      <w:pPr>
        <w:numPr>
          <w:ilvl w:val="0"/>
          <w:numId w:val="4"/>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当遇到有短历时小于75mm的强降雨时，入库最大洪水总量为</w:t>
      </w:r>
      <w:r>
        <w:rPr>
          <w:rFonts w:hint="eastAsia" w:eastAsia="楷体"/>
          <w:color w:val="auto"/>
          <w:sz w:val="28"/>
          <w:szCs w:val="28"/>
          <w:highlight w:val="none"/>
          <w:lang w:val="en-US" w:eastAsia="zh-CN"/>
        </w:rPr>
        <w:t>3.37</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27.34</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27.34</w:t>
      </w:r>
      <w:r>
        <w:rPr>
          <w:rFonts w:eastAsia="楷体"/>
          <w:color w:val="auto"/>
          <w:sz w:val="28"/>
          <w:szCs w:val="28"/>
          <w:highlight w:val="none"/>
        </w:rPr>
        <w:t>m以上，可在收到泉州市气象部门预警后，先预泄腾空库容迎峰，使水库水位降至</w:t>
      </w:r>
      <w:r>
        <w:rPr>
          <w:rFonts w:hint="eastAsia" w:eastAsia="楷体"/>
          <w:color w:val="auto"/>
          <w:sz w:val="28"/>
          <w:szCs w:val="28"/>
          <w:highlight w:val="none"/>
          <w:lang w:val="en-US" w:eastAsia="zh-CN"/>
        </w:rPr>
        <w:t>27.34</w:t>
      </w:r>
      <w:r>
        <w:rPr>
          <w:rFonts w:eastAsia="楷体"/>
          <w:color w:val="auto"/>
          <w:sz w:val="28"/>
          <w:szCs w:val="28"/>
          <w:highlight w:val="none"/>
        </w:rPr>
        <w:t>m以下；</w:t>
      </w:r>
    </w:p>
    <w:p w14:paraId="3776A485">
      <w:pPr>
        <w:numPr>
          <w:ilvl w:val="0"/>
          <w:numId w:val="4"/>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当遇到有短历时小于100mm的强降雨时，入库最大洪水总量为</w:t>
      </w:r>
      <w:r>
        <w:rPr>
          <w:rFonts w:hint="eastAsia" w:eastAsia="楷体"/>
          <w:color w:val="auto"/>
          <w:sz w:val="28"/>
          <w:szCs w:val="28"/>
          <w:highlight w:val="none"/>
          <w:lang w:val="en-US" w:eastAsia="zh-CN"/>
        </w:rPr>
        <w:t>4.5</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27.07</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27.07</w:t>
      </w:r>
      <w:r>
        <w:rPr>
          <w:rFonts w:eastAsia="楷体"/>
          <w:color w:val="auto"/>
          <w:sz w:val="28"/>
          <w:szCs w:val="28"/>
          <w:highlight w:val="none"/>
        </w:rPr>
        <w:t>m以上，可在收到泉州市气象部门预警后，先预泄腾空库容迎峰，使水库水位降至</w:t>
      </w:r>
      <w:r>
        <w:rPr>
          <w:rFonts w:hint="eastAsia" w:eastAsia="楷体"/>
          <w:color w:val="auto"/>
          <w:sz w:val="28"/>
          <w:szCs w:val="28"/>
          <w:highlight w:val="none"/>
          <w:lang w:val="en-US" w:eastAsia="zh-CN"/>
        </w:rPr>
        <w:t>27.07</w:t>
      </w:r>
      <w:r>
        <w:rPr>
          <w:rFonts w:eastAsia="楷体"/>
          <w:color w:val="auto"/>
          <w:sz w:val="28"/>
          <w:szCs w:val="28"/>
          <w:highlight w:val="none"/>
        </w:rPr>
        <w:t>m以下；</w:t>
      </w:r>
    </w:p>
    <w:p w14:paraId="52615864">
      <w:pPr>
        <w:numPr>
          <w:ilvl w:val="0"/>
          <w:numId w:val="5"/>
        </w:numPr>
        <w:spacing w:line="520" w:lineRule="exact"/>
        <w:ind w:firstLine="562" w:firstLineChars="200"/>
        <w:rPr>
          <w:rFonts w:eastAsia="楷体"/>
          <w:b/>
          <w:bCs/>
          <w:color w:val="auto"/>
          <w:sz w:val="28"/>
          <w:szCs w:val="28"/>
          <w:highlight w:val="none"/>
        </w:rPr>
      </w:pPr>
      <w:r>
        <w:rPr>
          <w:rFonts w:eastAsia="楷体"/>
          <w:b/>
          <w:bCs/>
          <w:color w:val="auto"/>
          <w:sz w:val="28"/>
          <w:szCs w:val="28"/>
          <w:highlight w:val="none"/>
        </w:rPr>
        <w:t>在汛期期间遇到台风暴雨或长历时强降雨时，根据以往台风经验，直接登陆或对我市造成严重影响的台风造成的降雨过程前后持续时间一般不超过2天，多为24~50小时，连续2次暴雨有时也有发生，但一般均有1～2天的时间间隔，连续2次均为2天的较大暴雨发生的机会极少，台风多发生在6～9月。降雨造成的较大洪水影响一般为5天，约占总降雨量的60%，5天入库洪水总量比例一般为20%、40%、20%、10%、5%，根据7天台风路径预测，从台风（低热带低气压）形成开始关注台风。</w:t>
      </w:r>
    </w:p>
    <w:p w14:paraId="509781F1">
      <w:pPr>
        <w:numPr>
          <w:ilvl w:val="0"/>
          <w:numId w:val="5"/>
        </w:numPr>
        <w:spacing w:line="520" w:lineRule="exact"/>
        <w:ind w:firstLine="562" w:firstLineChars="200"/>
        <w:rPr>
          <w:rFonts w:eastAsia="楷体"/>
          <w:b/>
          <w:bCs/>
          <w:color w:val="auto"/>
          <w:sz w:val="28"/>
          <w:szCs w:val="28"/>
          <w:highlight w:val="none"/>
        </w:rPr>
      </w:pPr>
    </w:p>
    <w:p w14:paraId="36E2825B">
      <w:pPr>
        <w:numPr>
          <w:ilvl w:val="0"/>
          <w:numId w:val="6"/>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当遇到台风对我市降雨影响预计达到100mm的强降雨时，单日入库最大洪水总量为</w:t>
      </w:r>
      <w:r>
        <w:rPr>
          <w:rFonts w:hint="eastAsia" w:eastAsia="楷体"/>
          <w:color w:val="auto"/>
          <w:sz w:val="28"/>
          <w:szCs w:val="28"/>
          <w:highlight w:val="none"/>
          <w:lang w:val="en-US" w:eastAsia="zh-CN"/>
        </w:rPr>
        <w:t>4.25</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27.14</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27.14</w:t>
      </w:r>
      <w:r>
        <w:rPr>
          <w:rFonts w:eastAsia="楷体"/>
          <w:color w:val="auto"/>
          <w:sz w:val="28"/>
          <w:szCs w:val="28"/>
          <w:highlight w:val="none"/>
        </w:rPr>
        <w:t>m以上，可在收到泉州市气象部门预警后，先预泄腾空库容迎峰，使水库水位降至</w:t>
      </w:r>
      <w:r>
        <w:rPr>
          <w:rFonts w:hint="eastAsia" w:eastAsia="楷体"/>
          <w:color w:val="auto"/>
          <w:sz w:val="28"/>
          <w:szCs w:val="28"/>
          <w:highlight w:val="none"/>
          <w:lang w:val="en-US" w:eastAsia="zh-CN"/>
        </w:rPr>
        <w:t>27.14</w:t>
      </w:r>
      <w:r>
        <w:rPr>
          <w:rFonts w:eastAsia="楷体"/>
          <w:color w:val="auto"/>
          <w:sz w:val="28"/>
          <w:szCs w:val="28"/>
          <w:highlight w:val="none"/>
        </w:rPr>
        <w:t>m以下。</w:t>
      </w:r>
    </w:p>
    <w:p w14:paraId="4807B79D">
      <w:pPr>
        <w:numPr>
          <w:ilvl w:val="0"/>
          <w:numId w:val="6"/>
        </w:numPr>
        <w:spacing w:line="520" w:lineRule="exact"/>
        <w:ind w:firstLine="560" w:firstLineChars="200"/>
        <w:rPr>
          <w:rFonts w:eastAsia="楷体"/>
          <w:color w:val="auto"/>
          <w:sz w:val="28"/>
          <w:szCs w:val="28"/>
          <w:highlight w:val="none"/>
        </w:rPr>
      </w:pPr>
      <w:r>
        <w:rPr>
          <w:rFonts w:eastAsia="楷体"/>
          <w:color w:val="auto"/>
          <w:sz w:val="28"/>
          <w:szCs w:val="28"/>
          <w:highlight w:val="none"/>
        </w:rPr>
        <w:t>当遇到台风对我市降雨影响预计达到150mm的强降雨时，单日入库最大洪水总量为</w:t>
      </w:r>
      <w:r>
        <w:rPr>
          <w:rFonts w:hint="eastAsia" w:eastAsia="楷体"/>
          <w:color w:val="auto"/>
          <w:sz w:val="28"/>
          <w:szCs w:val="28"/>
          <w:highlight w:val="none"/>
          <w:lang w:val="en-US" w:eastAsia="zh-CN"/>
        </w:rPr>
        <w:t>6.36</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26.64</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26.64</w:t>
      </w:r>
      <w:r>
        <w:rPr>
          <w:rFonts w:eastAsia="楷体"/>
          <w:color w:val="auto"/>
          <w:sz w:val="28"/>
          <w:szCs w:val="28"/>
          <w:highlight w:val="none"/>
        </w:rPr>
        <w:t>m以上，可在收到泉州市气象部门预警后，先预泄腾空库容迎峰，使水库水位降至</w:t>
      </w:r>
      <w:r>
        <w:rPr>
          <w:rFonts w:hint="eastAsia" w:eastAsia="楷体"/>
          <w:color w:val="auto"/>
          <w:sz w:val="28"/>
          <w:szCs w:val="28"/>
          <w:highlight w:val="none"/>
          <w:lang w:val="en-US" w:eastAsia="zh-CN"/>
        </w:rPr>
        <w:t>26.64</w:t>
      </w:r>
      <w:r>
        <w:rPr>
          <w:rFonts w:eastAsia="楷体"/>
          <w:color w:val="auto"/>
          <w:sz w:val="28"/>
          <w:szCs w:val="28"/>
          <w:highlight w:val="none"/>
        </w:rPr>
        <w:t>m以下。</w:t>
      </w:r>
    </w:p>
    <w:p w14:paraId="07169364">
      <w:pPr>
        <w:spacing w:line="520" w:lineRule="exact"/>
        <w:ind w:firstLine="560" w:firstLineChars="200"/>
        <w:rPr>
          <w:rFonts w:eastAsia="楷体"/>
          <w:color w:val="auto"/>
          <w:sz w:val="28"/>
          <w:szCs w:val="28"/>
          <w:highlight w:val="none"/>
        </w:rPr>
      </w:pPr>
      <w:r>
        <w:rPr>
          <w:rFonts w:eastAsia="楷体"/>
          <w:color w:val="auto"/>
          <w:sz w:val="28"/>
          <w:szCs w:val="28"/>
          <w:highlight w:val="none"/>
        </w:rPr>
        <w:t>3）当遇到台风对我市降雨影响预计达到200mm的强降雨时，单日入库最大洪水总量为</w:t>
      </w:r>
      <w:r>
        <w:rPr>
          <w:rFonts w:hint="eastAsia" w:eastAsia="楷体"/>
          <w:color w:val="auto"/>
          <w:sz w:val="28"/>
          <w:szCs w:val="28"/>
          <w:highlight w:val="none"/>
          <w:lang w:val="en-US" w:eastAsia="zh-CN"/>
        </w:rPr>
        <w:t>8.46</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w:t>
      </w:r>
      <w:r>
        <w:rPr>
          <w:rFonts w:hint="eastAsia" w:eastAsia="楷体"/>
          <w:color w:val="auto"/>
          <w:sz w:val="28"/>
          <w:szCs w:val="28"/>
          <w:highlight w:val="none"/>
          <w:lang w:val="en-US" w:eastAsia="zh-CN"/>
        </w:rPr>
        <w:t>26.17</w:t>
      </w:r>
      <w:r>
        <w:rPr>
          <w:rFonts w:eastAsia="楷体"/>
          <w:color w:val="auto"/>
          <w:sz w:val="28"/>
          <w:szCs w:val="28"/>
          <w:highlight w:val="none"/>
        </w:rPr>
        <w:t>m以下，可不考虑水库泄洪；如水库水位在</w:t>
      </w:r>
      <w:r>
        <w:rPr>
          <w:rFonts w:hint="eastAsia" w:eastAsia="楷体"/>
          <w:color w:val="auto"/>
          <w:sz w:val="28"/>
          <w:szCs w:val="28"/>
          <w:highlight w:val="none"/>
          <w:lang w:val="en-US" w:eastAsia="zh-CN"/>
        </w:rPr>
        <w:t>26.17</w:t>
      </w:r>
      <w:r>
        <w:rPr>
          <w:rFonts w:eastAsia="楷体"/>
          <w:color w:val="auto"/>
          <w:sz w:val="28"/>
          <w:szCs w:val="28"/>
          <w:highlight w:val="none"/>
        </w:rPr>
        <w:t>m以上，可在收到泉州市气象部门预警后，先预泄腾空库容迎峰，使水库水位降至</w:t>
      </w:r>
      <w:r>
        <w:rPr>
          <w:rFonts w:hint="eastAsia" w:eastAsia="楷体"/>
          <w:color w:val="auto"/>
          <w:sz w:val="28"/>
          <w:szCs w:val="28"/>
          <w:highlight w:val="none"/>
          <w:lang w:val="en-US" w:eastAsia="zh-CN"/>
        </w:rPr>
        <w:t>26.17</w:t>
      </w:r>
      <w:r>
        <w:rPr>
          <w:rFonts w:eastAsia="楷体"/>
          <w:color w:val="auto"/>
          <w:sz w:val="28"/>
          <w:szCs w:val="28"/>
          <w:highlight w:val="none"/>
        </w:rPr>
        <w:t>m以下。</w:t>
      </w:r>
    </w:p>
    <w:p w14:paraId="3F48BF86">
      <w:pPr>
        <w:spacing w:line="520" w:lineRule="exact"/>
        <w:ind w:firstLine="560" w:firstLineChars="200"/>
        <w:rPr>
          <w:rFonts w:eastAsia="楷体"/>
          <w:color w:val="auto"/>
          <w:sz w:val="28"/>
          <w:szCs w:val="28"/>
          <w:highlight w:val="none"/>
        </w:rPr>
      </w:pPr>
      <w:r>
        <w:rPr>
          <w:rFonts w:eastAsia="楷体"/>
          <w:color w:val="auto"/>
          <w:sz w:val="28"/>
          <w:szCs w:val="28"/>
          <w:highlight w:val="none"/>
        </w:rPr>
        <w:t>4）当遇到台风对我市降雨影响预计达到250mm的强降雨时，单日入库最大洪水总量为</w:t>
      </w:r>
      <w:r>
        <w:rPr>
          <w:rFonts w:hint="eastAsia" w:eastAsia="楷体"/>
          <w:color w:val="auto"/>
          <w:sz w:val="28"/>
          <w:szCs w:val="28"/>
          <w:highlight w:val="none"/>
          <w:lang w:val="en-US" w:eastAsia="zh-CN"/>
        </w:rPr>
        <w:t>10.56</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，如水库水位在水位</w:t>
      </w:r>
      <w:r>
        <w:rPr>
          <w:rFonts w:hint="eastAsia" w:eastAsia="楷体"/>
          <w:color w:val="auto"/>
          <w:sz w:val="28"/>
          <w:szCs w:val="28"/>
          <w:highlight w:val="none"/>
          <w:lang w:val="en-US" w:eastAsia="zh-CN"/>
        </w:rPr>
        <w:t>25.69</w:t>
      </w:r>
      <w:r>
        <w:rPr>
          <w:rFonts w:eastAsia="楷体"/>
          <w:color w:val="auto"/>
          <w:sz w:val="28"/>
          <w:szCs w:val="28"/>
          <w:highlight w:val="none"/>
        </w:rPr>
        <w:t>m以下，可不考虑水库泄洪；如水库水位在水位</w:t>
      </w:r>
      <w:r>
        <w:rPr>
          <w:rFonts w:hint="eastAsia" w:eastAsia="楷体"/>
          <w:color w:val="auto"/>
          <w:sz w:val="28"/>
          <w:szCs w:val="28"/>
          <w:highlight w:val="none"/>
          <w:lang w:val="en-US" w:eastAsia="zh-CN"/>
        </w:rPr>
        <w:t>25.69</w:t>
      </w:r>
      <w:r>
        <w:rPr>
          <w:rFonts w:eastAsia="楷体"/>
          <w:color w:val="auto"/>
          <w:sz w:val="28"/>
          <w:szCs w:val="28"/>
          <w:highlight w:val="none"/>
        </w:rPr>
        <w:t>m以上，可在收到泉州市气象部门预警后，先预泄腾空库容迎峰，使水库水位降至水位</w:t>
      </w:r>
      <w:r>
        <w:rPr>
          <w:rFonts w:hint="eastAsia" w:eastAsia="楷体"/>
          <w:color w:val="auto"/>
          <w:sz w:val="28"/>
          <w:szCs w:val="28"/>
          <w:highlight w:val="none"/>
          <w:lang w:val="en-US" w:eastAsia="zh-CN"/>
        </w:rPr>
        <w:t>25.69</w:t>
      </w:r>
      <w:r>
        <w:rPr>
          <w:rFonts w:eastAsia="楷体"/>
          <w:color w:val="auto"/>
          <w:sz w:val="28"/>
          <w:szCs w:val="28"/>
          <w:highlight w:val="none"/>
        </w:rPr>
        <w:t>m以下。</w:t>
      </w:r>
    </w:p>
    <w:p w14:paraId="18F3F4B8">
      <w:pPr>
        <w:spacing w:line="520" w:lineRule="exact"/>
        <w:ind w:firstLine="560" w:firstLineChars="200"/>
        <w:rPr>
          <w:rFonts w:eastAsia="楷体"/>
          <w:color w:val="auto"/>
          <w:sz w:val="28"/>
          <w:szCs w:val="28"/>
          <w:highlight w:val="none"/>
        </w:rPr>
      </w:pPr>
      <w:r>
        <w:rPr>
          <w:rFonts w:eastAsia="楷体"/>
          <w:color w:val="auto"/>
          <w:sz w:val="28"/>
          <w:szCs w:val="28"/>
          <w:highlight w:val="none"/>
        </w:rPr>
        <w:t>5）当遇到台风对我市降雨影响预计达到300mm的强降雨时，单日入库最大洪水总量为</w:t>
      </w:r>
      <w:r>
        <w:rPr>
          <w:rFonts w:hint="eastAsia" w:eastAsia="楷体"/>
          <w:color w:val="auto"/>
          <w:sz w:val="28"/>
          <w:szCs w:val="28"/>
          <w:highlight w:val="none"/>
          <w:lang w:val="en-US" w:eastAsia="zh-CN"/>
        </w:rPr>
        <w:t>12.7</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，如水库水位在水位</w:t>
      </w:r>
      <w:r>
        <w:rPr>
          <w:rFonts w:hint="eastAsia" w:eastAsia="楷体"/>
          <w:color w:val="auto"/>
          <w:sz w:val="28"/>
          <w:szCs w:val="28"/>
          <w:highlight w:val="none"/>
          <w:lang w:val="en-US" w:eastAsia="zh-CN"/>
        </w:rPr>
        <w:t>25.1</w:t>
      </w:r>
      <w:r>
        <w:rPr>
          <w:rFonts w:eastAsia="楷体"/>
          <w:color w:val="auto"/>
          <w:sz w:val="28"/>
          <w:szCs w:val="28"/>
          <w:highlight w:val="none"/>
        </w:rPr>
        <w:t>m以下，可不考虑水库泄洪；如水库水位在水位</w:t>
      </w:r>
      <w:r>
        <w:rPr>
          <w:rFonts w:hint="eastAsia" w:eastAsia="楷体"/>
          <w:color w:val="auto"/>
          <w:sz w:val="28"/>
          <w:szCs w:val="28"/>
          <w:highlight w:val="none"/>
          <w:lang w:val="en-US" w:eastAsia="zh-CN"/>
        </w:rPr>
        <w:t>25.1</w:t>
      </w:r>
      <w:r>
        <w:rPr>
          <w:rFonts w:eastAsia="楷体"/>
          <w:color w:val="auto"/>
          <w:sz w:val="28"/>
          <w:szCs w:val="28"/>
          <w:highlight w:val="none"/>
        </w:rPr>
        <w:t>m以上，可在收到泉州市气象部门预警后，先预泄腾空库容迎峰，使水库水位降至水位</w:t>
      </w:r>
      <w:r>
        <w:rPr>
          <w:rFonts w:hint="eastAsia" w:eastAsia="楷体"/>
          <w:color w:val="auto"/>
          <w:sz w:val="28"/>
          <w:szCs w:val="28"/>
          <w:highlight w:val="none"/>
          <w:lang w:val="en-US" w:eastAsia="zh-CN"/>
        </w:rPr>
        <w:t>25.1</w:t>
      </w:r>
      <w:r>
        <w:rPr>
          <w:rFonts w:eastAsia="楷体"/>
          <w:color w:val="auto"/>
          <w:sz w:val="28"/>
          <w:szCs w:val="28"/>
          <w:highlight w:val="none"/>
        </w:rPr>
        <w:t>m以下。</w:t>
      </w:r>
    </w:p>
    <w:p w14:paraId="7F94EA6A">
      <w:pPr>
        <w:spacing w:line="520" w:lineRule="exact"/>
        <w:ind w:left="420" w:leftChars="200"/>
        <w:rPr>
          <w:rFonts w:eastAsia="楷体"/>
          <w:b/>
          <w:bCs/>
          <w:color w:val="auto"/>
          <w:sz w:val="28"/>
          <w:szCs w:val="28"/>
          <w:highlight w:val="none"/>
        </w:rPr>
      </w:pPr>
      <w:r>
        <w:rPr>
          <w:rFonts w:eastAsia="楷体"/>
          <w:b/>
          <w:bCs/>
          <w:color w:val="auto"/>
          <w:sz w:val="28"/>
          <w:szCs w:val="28"/>
          <w:highlight w:val="none"/>
        </w:rPr>
        <w:t>4、预警预报制度</w:t>
      </w:r>
    </w:p>
    <w:p w14:paraId="5E51EBED">
      <w:pPr>
        <w:spacing w:line="520" w:lineRule="exact"/>
        <w:ind w:firstLine="560" w:firstLineChars="200"/>
        <w:rPr>
          <w:rFonts w:eastAsia="楷体"/>
          <w:color w:val="auto"/>
          <w:sz w:val="28"/>
          <w:szCs w:val="28"/>
          <w:highlight w:val="none"/>
        </w:rPr>
      </w:pPr>
      <w:r>
        <w:rPr>
          <w:rFonts w:hint="default" w:ascii="Times New Roman" w:hAnsi="Times New Roman" w:eastAsia="楷体" w:cs="Times New Roman"/>
          <w:color w:val="auto"/>
          <w:sz w:val="28"/>
          <w:szCs w:val="28"/>
          <w:highlight w:val="none"/>
          <w:lang w:val="en-US" w:eastAsia="zh-CN"/>
        </w:rPr>
        <w:t>由于下游沿岸有</w:t>
      </w:r>
      <w:r>
        <w:rPr>
          <w:rFonts w:hint="eastAsia" w:eastAsia="楷体" w:cs="Times New Roman"/>
          <w:color w:val="auto"/>
          <w:sz w:val="28"/>
          <w:szCs w:val="28"/>
          <w:highlight w:val="none"/>
          <w:lang w:val="en-US" w:eastAsia="zh-CN"/>
        </w:rPr>
        <w:t>一定的</w:t>
      </w:r>
      <w:r>
        <w:rPr>
          <w:rFonts w:hint="default" w:ascii="Times New Roman" w:hAnsi="Times New Roman" w:eastAsia="楷体" w:cs="Times New Roman"/>
          <w:color w:val="auto"/>
          <w:sz w:val="28"/>
          <w:szCs w:val="28"/>
          <w:highlight w:val="none"/>
          <w:lang w:val="en-US" w:eastAsia="zh-CN"/>
        </w:rPr>
        <w:t>居民，沿河人类活动较为频繁，为避免发生意外事件，若泄流量大于10m</w:t>
      </w:r>
      <w:r>
        <w:rPr>
          <w:rFonts w:hint="default" w:ascii="Times New Roman" w:hAnsi="Times New Roman" w:eastAsia="楷体" w:cs="Times New Roman"/>
          <w:color w:val="auto"/>
          <w:sz w:val="28"/>
          <w:szCs w:val="28"/>
          <w:highlight w:val="none"/>
          <w:vertAlign w:val="superscript"/>
          <w:lang w:val="en-US" w:eastAsia="zh-CN"/>
        </w:rPr>
        <w:t>3</w:t>
      </w:r>
      <w:r>
        <w:rPr>
          <w:rFonts w:hint="default" w:ascii="Times New Roman" w:hAnsi="Times New Roman" w:eastAsia="楷体" w:cs="Times New Roman"/>
          <w:color w:val="auto"/>
          <w:sz w:val="28"/>
          <w:szCs w:val="28"/>
          <w:highlight w:val="none"/>
          <w:lang w:val="en-US" w:eastAsia="zh-CN"/>
        </w:rPr>
        <w:t>/s，</w:t>
      </w:r>
      <w:r>
        <w:rPr>
          <w:rFonts w:hint="eastAsia" w:eastAsia="楷体" w:cs="Times New Roman"/>
          <w:color w:val="auto"/>
          <w:sz w:val="28"/>
          <w:szCs w:val="28"/>
          <w:highlight w:val="none"/>
          <w:lang w:val="en-US" w:eastAsia="zh-CN"/>
        </w:rPr>
        <w:t>即水库水位大于28.78m时，</w:t>
      </w:r>
      <w:r>
        <w:rPr>
          <w:rFonts w:hint="default" w:ascii="Times New Roman" w:hAnsi="Times New Roman" w:eastAsia="楷体" w:cs="Times New Roman"/>
          <w:color w:val="auto"/>
          <w:sz w:val="28"/>
          <w:szCs w:val="28"/>
          <w:highlight w:val="none"/>
          <w:lang w:val="en-US" w:eastAsia="zh-CN"/>
        </w:rPr>
        <w:t>要</w:t>
      </w:r>
      <w:r>
        <w:rPr>
          <w:rFonts w:hint="eastAsia" w:ascii="Times New Roman" w:hAnsi="Times New Roman" w:eastAsia="楷体" w:cs="Times New Roman"/>
          <w:color w:val="auto"/>
          <w:sz w:val="28"/>
          <w:szCs w:val="28"/>
          <w:highlight w:val="none"/>
          <w:lang w:val="en-US" w:eastAsia="zh-CN"/>
        </w:rPr>
        <w:t>立即</w:t>
      </w:r>
      <w:r>
        <w:rPr>
          <w:rFonts w:hint="eastAsia" w:eastAsia="楷体" w:cs="Times New Roman"/>
          <w:color w:val="auto"/>
          <w:sz w:val="28"/>
          <w:szCs w:val="28"/>
          <w:highlight w:val="none"/>
          <w:lang w:val="en-US" w:eastAsia="zh-CN"/>
        </w:rPr>
        <w:t>将水位情况</w:t>
      </w:r>
      <w:r>
        <w:rPr>
          <w:rFonts w:hint="default" w:ascii="Times New Roman" w:hAnsi="Times New Roman" w:eastAsia="楷体" w:cs="Times New Roman"/>
          <w:color w:val="auto"/>
          <w:sz w:val="28"/>
          <w:szCs w:val="28"/>
          <w:highlight w:val="none"/>
          <w:lang w:val="en-US" w:eastAsia="zh-CN"/>
        </w:rPr>
        <w:t>上报</w:t>
      </w:r>
      <w:r>
        <w:rPr>
          <w:rFonts w:hint="eastAsia" w:eastAsia="楷体" w:cs="Times New Roman"/>
          <w:color w:val="auto"/>
          <w:sz w:val="28"/>
          <w:szCs w:val="28"/>
          <w:highlight w:val="none"/>
          <w:lang w:val="en-US" w:eastAsia="zh-CN"/>
        </w:rPr>
        <w:t>泉港区农林水局</w:t>
      </w:r>
      <w:r>
        <w:rPr>
          <w:rFonts w:hint="default" w:ascii="Times New Roman" w:hAnsi="Times New Roman" w:eastAsia="楷体" w:cs="Times New Roman"/>
          <w:color w:val="auto"/>
          <w:sz w:val="28"/>
          <w:szCs w:val="28"/>
          <w:highlight w:val="none"/>
          <w:lang w:val="en-US" w:eastAsia="zh-CN"/>
        </w:rPr>
        <w:t>，</w:t>
      </w:r>
      <w:r>
        <w:rPr>
          <w:rFonts w:hint="eastAsia" w:eastAsia="楷体" w:cs="Times New Roman"/>
          <w:color w:val="auto"/>
          <w:sz w:val="28"/>
          <w:szCs w:val="28"/>
          <w:highlight w:val="none"/>
          <w:lang w:val="en-US" w:eastAsia="zh-CN"/>
        </w:rPr>
        <w:t>并</w:t>
      </w:r>
      <w:r>
        <w:rPr>
          <w:rFonts w:hint="default" w:ascii="Times New Roman" w:hAnsi="Times New Roman" w:eastAsia="楷体" w:cs="Times New Roman"/>
          <w:color w:val="auto"/>
          <w:sz w:val="28"/>
          <w:szCs w:val="28"/>
          <w:highlight w:val="none"/>
          <w:lang w:val="en-US" w:eastAsia="zh-CN"/>
        </w:rPr>
        <w:t>通知</w:t>
      </w:r>
      <w:r>
        <w:rPr>
          <w:rFonts w:hint="eastAsia" w:eastAsia="楷体" w:cs="Times New Roman"/>
          <w:color w:val="auto"/>
          <w:sz w:val="28"/>
          <w:szCs w:val="28"/>
          <w:highlight w:val="none"/>
          <w:lang w:val="en-US" w:eastAsia="zh-CN"/>
        </w:rPr>
        <w:t>下游各村庄</w:t>
      </w:r>
      <w:r>
        <w:rPr>
          <w:rFonts w:hint="default" w:ascii="Times New Roman" w:hAnsi="Times New Roman" w:eastAsia="楷体" w:cs="Times New Roman"/>
          <w:color w:val="auto"/>
          <w:sz w:val="28"/>
          <w:szCs w:val="28"/>
          <w:highlight w:val="none"/>
          <w:lang w:val="en-US" w:eastAsia="zh-CN"/>
        </w:rPr>
        <w:t>，做好防范工作</w:t>
      </w:r>
      <w:r>
        <w:rPr>
          <w:rFonts w:hint="eastAsia" w:eastAsia="楷体"/>
          <w:color w:val="auto"/>
          <w:sz w:val="28"/>
          <w:szCs w:val="28"/>
          <w:highlight w:val="none"/>
          <w:lang w:val="en-US" w:eastAsia="zh-CN"/>
        </w:rPr>
        <w:t>。</w:t>
      </w:r>
    </w:p>
    <w:p w14:paraId="14E59462">
      <w:pPr>
        <w:spacing w:line="520" w:lineRule="exact"/>
        <w:ind w:firstLine="562" w:firstLineChars="200"/>
        <w:rPr>
          <w:rFonts w:eastAsia="楷体"/>
          <w:b/>
          <w:bCs/>
          <w:color w:val="auto"/>
          <w:sz w:val="28"/>
          <w:szCs w:val="28"/>
          <w:highlight w:val="none"/>
        </w:rPr>
      </w:pPr>
      <w:r>
        <w:rPr>
          <w:rFonts w:eastAsia="楷体"/>
          <w:b/>
          <w:bCs/>
          <w:color w:val="auto"/>
          <w:sz w:val="28"/>
          <w:szCs w:val="28"/>
          <w:highlight w:val="none"/>
        </w:rPr>
        <w:t>5、四清水库泄洪对下游河道的防洪调度影响</w:t>
      </w:r>
    </w:p>
    <w:p w14:paraId="36DF5428">
      <w:pPr>
        <w:spacing w:line="520" w:lineRule="exact"/>
        <w:ind w:firstLine="560" w:firstLineChars="200"/>
        <w:rPr>
          <w:rFonts w:eastAsia="楷体"/>
          <w:color w:val="auto"/>
          <w:sz w:val="28"/>
          <w:szCs w:val="28"/>
          <w:highlight w:val="none"/>
        </w:rPr>
      </w:pPr>
      <w:r>
        <w:rPr>
          <w:rFonts w:eastAsia="楷体"/>
          <w:color w:val="auto"/>
          <w:sz w:val="28"/>
          <w:highlight w:val="none"/>
        </w:rPr>
        <w:t>四清水库在一定程度上提高了下游罗溪河道的防洪能力，起到了一定的削峰调洪作用，在</w:t>
      </w:r>
      <w:r>
        <w:rPr>
          <w:rFonts w:hint="eastAsia" w:eastAsia="楷体"/>
          <w:color w:val="auto"/>
          <w:sz w:val="28"/>
          <w:highlight w:val="none"/>
          <w:lang w:val="en-US" w:eastAsia="zh-CN"/>
        </w:rPr>
        <w:t>2</w:t>
      </w:r>
      <w:r>
        <w:rPr>
          <w:rFonts w:eastAsia="楷体"/>
          <w:color w:val="auto"/>
          <w:sz w:val="28"/>
          <w:highlight w:val="none"/>
        </w:rPr>
        <w:t>0年一遇情况下，四清水库的削峰值达</w:t>
      </w:r>
      <w:r>
        <w:rPr>
          <w:rFonts w:hint="eastAsia" w:eastAsia="楷体"/>
          <w:color w:val="auto"/>
          <w:sz w:val="28"/>
          <w:highlight w:val="none"/>
          <w:lang w:val="en-US" w:eastAsia="zh-CN"/>
        </w:rPr>
        <w:t>6.51</w:t>
      </w:r>
      <w:r>
        <w:rPr>
          <w:rFonts w:eastAsia="楷体"/>
          <w:color w:val="auto"/>
          <w:sz w:val="28"/>
          <w:highlight w:val="none"/>
        </w:rPr>
        <w:t>m</w:t>
      </w:r>
      <w:r>
        <w:rPr>
          <w:rFonts w:eastAsia="楷体"/>
          <w:color w:val="auto"/>
          <w:sz w:val="28"/>
          <w:highlight w:val="none"/>
          <w:vertAlign w:val="superscript"/>
        </w:rPr>
        <w:t>3</w:t>
      </w:r>
      <w:r>
        <w:rPr>
          <w:rFonts w:eastAsia="楷体"/>
          <w:color w:val="auto"/>
          <w:sz w:val="28"/>
          <w:highlight w:val="none"/>
        </w:rPr>
        <w:t>/s。</w:t>
      </w:r>
    </w:p>
    <w:p w14:paraId="007B4BED">
      <w:pPr>
        <w:spacing w:line="520" w:lineRule="exact"/>
        <w:ind w:firstLine="562" w:firstLineChars="200"/>
        <w:rPr>
          <w:rFonts w:eastAsia="楷体"/>
          <w:b/>
          <w:bCs/>
          <w:color w:val="auto"/>
          <w:sz w:val="28"/>
          <w:szCs w:val="28"/>
          <w:highlight w:val="none"/>
        </w:rPr>
      </w:pPr>
      <w:r>
        <w:rPr>
          <w:rFonts w:eastAsia="楷体"/>
          <w:b/>
          <w:bCs/>
          <w:color w:val="auto"/>
          <w:sz w:val="28"/>
          <w:szCs w:val="28"/>
          <w:highlight w:val="none"/>
        </w:rPr>
        <w:t>6、突发事件调度</w:t>
      </w:r>
    </w:p>
    <w:p w14:paraId="4E23FC54">
      <w:pPr>
        <w:spacing w:line="520" w:lineRule="exact"/>
        <w:ind w:firstLine="560" w:firstLineChars="200"/>
        <w:rPr>
          <w:rFonts w:eastAsia="楷体"/>
          <w:color w:val="auto"/>
          <w:sz w:val="28"/>
          <w:szCs w:val="28"/>
          <w:highlight w:val="none"/>
        </w:rPr>
      </w:pPr>
      <w:r>
        <w:rPr>
          <w:rFonts w:eastAsia="楷体"/>
          <w:color w:val="auto"/>
          <w:sz w:val="28"/>
          <w:szCs w:val="28"/>
          <w:highlight w:val="none"/>
        </w:rPr>
        <w:t>一旦突发性事件发生时，立即启动应急预案，服从</w:t>
      </w:r>
      <w:r>
        <w:rPr>
          <w:rFonts w:hint="eastAsia" w:eastAsia="楷体"/>
          <w:color w:val="auto"/>
          <w:sz w:val="28"/>
          <w:szCs w:val="28"/>
          <w:highlight w:val="none"/>
        </w:rPr>
        <w:t>泉港区</w:t>
      </w:r>
      <w:r>
        <w:rPr>
          <w:rFonts w:eastAsia="楷体"/>
          <w:color w:val="auto"/>
          <w:sz w:val="28"/>
          <w:szCs w:val="28"/>
          <w:highlight w:val="none"/>
        </w:rPr>
        <w:t>人民政府防汛抗旱指挥部调度安排，水库具体应急措施包括：</w:t>
      </w:r>
    </w:p>
    <w:p w14:paraId="02F476CE">
      <w:pPr>
        <w:spacing w:line="520" w:lineRule="exact"/>
        <w:ind w:firstLine="560" w:firstLineChars="200"/>
        <w:rPr>
          <w:rFonts w:eastAsia="楷体"/>
          <w:color w:val="auto"/>
          <w:sz w:val="28"/>
          <w:szCs w:val="28"/>
          <w:highlight w:val="none"/>
        </w:rPr>
      </w:pPr>
      <w:r>
        <w:rPr>
          <w:rFonts w:eastAsia="楷体"/>
          <w:color w:val="auto"/>
          <w:sz w:val="28"/>
          <w:szCs w:val="28"/>
          <w:highlight w:val="none"/>
        </w:rPr>
        <w:t>1、水库有关全体人员24小时昼夜值班，领导带班，并确保与上级主管部门及有关防汛部门领导通讯畅通，加强对水库枢纽建筑物的检查与观测，及时掌握雨情水情，修订洪水预报结果及调洪方案，做好汛情通报，随时向上级主管部门汇报雨情、水情和工情；</w:t>
      </w:r>
    </w:p>
    <w:p w14:paraId="18879182">
      <w:pPr>
        <w:spacing w:line="520" w:lineRule="exact"/>
        <w:ind w:firstLine="560" w:firstLineChars="200"/>
        <w:rPr>
          <w:rFonts w:eastAsia="楷体"/>
          <w:color w:val="auto"/>
          <w:sz w:val="28"/>
          <w:szCs w:val="28"/>
          <w:highlight w:val="none"/>
        </w:rPr>
      </w:pPr>
      <w:r>
        <w:rPr>
          <w:rFonts w:eastAsia="楷体"/>
          <w:color w:val="auto"/>
          <w:sz w:val="28"/>
          <w:szCs w:val="28"/>
          <w:highlight w:val="none"/>
        </w:rPr>
        <w:t>2、提前2个小时通知下游的有关村落及有关单位等，主要是坑内村及前黄镇政府。</w:t>
      </w:r>
    </w:p>
    <w:p w14:paraId="67B84A82">
      <w:pPr>
        <w:spacing w:line="520" w:lineRule="exact"/>
        <w:ind w:firstLine="560" w:firstLineChars="200"/>
        <w:rPr>
          <w:rFonts w:eastAsia="楷体"/>
          <w:color w:val="auto"/>
          <w:sz w:val="28"/>
          <w:szCs w:val="28"/>
          <w:highlight w:val="none"/>
        </w:rPr>
      </w:pPr>
      <w:r>
        <w:rPr>
          <w:rFonts w:eastAsia="楷体"/>
          <w:color w:val="auto"/>
          <w:sz w:val="28"/>
          <w:szCs w:val="28"/>
          <w:highlight w:val="none"/>
        </w:rPr>
        <w:t>3、动员邻近乡村的抗洪抢险队伍编好梯队，并调动交通运输工具待命。</w:t>
      </w:r>
    </w:p>
    <w:p w14:paraId="6F6888F0">
      <w:pPr>
        <w:spacing w:line="520" w:lineRule="exact"/>
        <w:ind w:firstLine="562" w:firstLineChars="200"/>
        <w:rPr>
          <w:rFonts w:eastAsia="楷体"/>
          <w:bCs/>
          <w:color w:val="auto"/>
          <w:sz w:val="28"/>
          <w:szCs w:val="28"/>
          <w:highlight w:val="none"/>
        </w:rPr>
      </w:pPr>
      <w:r>
        <w:rPr>
          <w:rFonts w:eastAsia="楷体"/>
          <w:b/>
          <w:bCs/>
          <w:color w:val="auto"/>
          <w:sz w:val="28"/>
          <w:szCs w:val="28"/>
          <w:highlight w:val="none"/>
        </w:rPr>
        <w:t>防洪调度注意事项：</w:t>
      </w:r>
      <w:r>
        <w:rPr>
          <w:rFonts w:eastAsia="楷体"/>
          <w:bCs/>
          <w:color w:val="auto"/>
          <w:sz w:val="28"/>
          <w:szCs w:val="28"/>
          <w:highlight w:val="none"/>
        </w:rPr>
        <w:t>四清水库防洪调度注意事项：一是要严格执行上级防汛部门下达的调指</w:t>
      </w:r>
      <w:r>
        <w:rPr>
          <w:rFonts w:eastAsia="楷体"/>
          <w:color w:val="auto"/>
          <w:sz w:val="28"/>
          <w:szCs w:val="28"/>
          <w:highlight w:val="none"/>
        </w:rPr>
        <w:t>令；二是要</w:t>
      </w:r>
      <w:r>
        <w:rPr>
          <w:rFonts w:eastAsia="楷体"/>
          <w:bCs/>
          <w:color w:val="auto"/>
          <w:sz w:val="28"/>
          <w:szCs w:val="28"/>
          <w:highlight w:val="none"/>
        </w:rPr>
        <w:t>密切注意台风、暴雨的动态和降雨气象预报；三是要根据流域降雨汇流特性和水库水位以及上下游防洪排涝要求，对水库调度做科学研判，并制定预排预泄方案。四是要提早通知水库上下游防汛责任人，并做好记录。</w:t>
      </w:r>
    </w:p>
    <w:p w14:paraId="675BB996">
      <w:pPr>
        <w:spacing w:line="520" w:lineRule="exact"/>
        <w:ind w:firstLine="560" w:firstLineChars="200"/>
        <w:rPr>
          <w:rFonts w:eastAsia="楷体"/>
          <w:color w:val="auto"/>
          <w:sz w:val="28"/>
          <w:szCs w:val="28"/>
          <w:highlight w:val="none"/>
        </w:rPr>
      </w:pPr>
    </w:p>
    <w:p w14:paraId="5885B892">
      <w:pPr>
        <w:spacing w:line="520" w:lineRule="exact"/>
        <w:ind w:firstLine="560" w:firstLineChars="200"/>
        <w:rPr>
          <w:rFonts w:eastAsia="楷体"/>
          <w:color w:val="auto"/>
          <w:sz w:val="28"/>
          <w:szCs w:val="28"/>
          <w:highlight w:val="none"/>
        </w:rPr>
      </w:pPr>
    </w:p>
    <w:p w14:paraId="32BAA0AD">
      <w:pPr>
        <w:spacing w:line="520" w:lineRule="exact"/>
        <w:ind w:firstLine="560" w:firstLineChars="200"/>
        <w:rPr>
          <w:rFonts w:eastAsia="楷体"/>
          <w:color w:val="auto"/>
          <w:sz w:val="28"/>
          <w:szCs w:val="28"/>
          <w:highlight w:val="none"/>
        </w:rPr>
      </w:pPr>
    </w:p>
    <w:p w14:paraId="2EA286B9">
      <w:pPr>
        <w:spacing w:line="520" w:lineRule="exact"/>
        <w:ind w:firstLine="560" w:firstLineChars="200"/>
        <w:rPr>
          <w:rFonts w:eastAsia="楷体"/>
          <w:color w:val="auto"/>
          <w:sz w:val="28"/>
          <w:szCs w:val="28"/>
          <w:highlight w:val="none"/>
        </w:rPr>
      </w:pPr>
    </w:p>
    <w:p w14:paraId="6379BBFF">
      <w:pPr>
        <w:adjustRightInd w:val="0"/>
        <w:snapToGrid w:val="0"/>
        <w:spacing w:before="156" w:beforeLines="50" w:after="156" w:afterLines="50"/>
        <w:jc w:val="center"/>
        <w:outlineLvl w:val="0"/>
        <w:rPr>
          <w:rStyle w:val="46"/>
          <w:rFonts w:eastAsia="楷体"/>
          <w:b/>
          <w:bCs/>
          <w:color w:val="auto"/>
          <w:sz w:val="36"/>
          <w:szCs w:val="36"/>
          <w:highlight w:val="none"/>
        </w:rPr>
        <w:sectPr>
          <w:footerReference r:id="rId9" w:type="default"/>
          <w:pgSz w:w="11907" w:h="16840"/>
          <w:pgMar w:top="1418" w:right="1418" w:bottom="1418" w:left="1418" w:header="851" w:footer="992" w:gutter="0"/>
          <w:pgNumType w:fmt="numberInDash"/>
          <w:cols w:space="720" w:num="1"/>
          <w:docGrid w:type="lines" w:linePitch="312" w:charSpace="0"/>
        </w:sectPr>
      </w:pPr>
      <w:bookmarkStart w:id="39" w:name="_Toc21184"/>
    </w:p>
    <w:p w14:paraId="2A44C18D">
      <w:pPr>
        <w:adjustRightInd w:val="0"/>
        <w:snapToGrid w:val="0"/>
        <w:spacing w:before="156" w:beforeLines="50" w:after="156" w:afterLines="50"/>
        <w:jc w:val="center"/>
        <w:outlineLvl w:val="0"/>
        <w:rPr>
          <w:rStyle w:val="46"/>
          <w:rFonts w:eastAsia="楷体"/>
          <w:b/>
          <w:bCs/>
          <w:color w:val="auto"/>
          <w:sz w:val="36"/>
          <w:szCs w:val="36"/>
          <w:highlight w:val="none"/>
        </w:rPr>
      </w:pPr>
      <w:r>
        <w:rPr>
          <w:rStyle w:val="46"/>
          <w:rFonts w:eastAsia="楷体"/>
          <w:b/>
          <w:bCs/>
          <w:color w:val="auto"/>
          <w:sz w:val="36"/>
          <w:szCs w:val="36"/>
          <w:highlight w:val="none"/>
        </w:rPr>
        <w:t>3突发事件危害性分析</w:t>
      </w:r>
      <w:bookmarkEnd w:id="39"/>
    </w:p>
    <w:p w14:paraId="46200754">
      <w:pPr>
        <w:spacing w:before="156" w:beforeLines="50" w:after="156" w:afterLines="50"/>
        <w:outlineLvl w:val="1"/>
        <w:rPr>
          <w:rFonts w:eastAsia="楷体"/>
          <w:b/>
          <w:color w:val="auto"/>
          <w:sz w:val="32"/>
          <w:szCs w:val="30"/>
          <w:highlight w:val="none"/>
        </w:rPr>
      </w:pPr>
      <w:bookmarkStart w:id="40" w:name="_Toc10930"/>
      <w:r>
        <w:rPr>
          <w:rFonts w:eastAsia="楷体"/>
          <w:b/>
          <w:color w:val="auto"/>
          <w:sz w:val="32"/>
          <w:szCs w:val="30"/>
          <w:highlight w:val="none"/>
        </w:rPr>
        <w:t>3.1 重大工程险情分析</w:t>
      </w:r>
      <w:bookmarkEnd w:id="40"/>
    </w:p>
    <w:p w14:paraId="3F64D8C4">
      <w:pPr>
        <w:spacing w:line="520" w:lineRule="exact"/>
        <w:ind w:firstLine="560" w:firstLineChars="200"/>
        <w:rPr>
          <w:rFonts w:eastAsia="楷体"/>
          <w:color w:val="auto"/>
          <w:sz w:val="28"/>
          <w:szCs w:val="28"/>
          <w:highlight w:val="none"/>
        </w:rPr>
      </w:pPr>
      <w:r>
        <w:rPr>
          <w:rFonts w:eastAsia="楷体"/>
          <w:color w:val="auto"/>
          <w:sz w:val="28"/>
          <w:szCs w:val="28"/>
          <w:highlight w:val="none"/>
        </w:rPr>
        <w:t>四清水库属于</w:t>
      </w:r>
      <w:r>
        <w:rPr>
          <w:rFonts w:hint="eastAsia" w:eastAsia="楷体"/>
          <w:color w:val="auto"/>
          <w:sz w:val="28"/>
          <w:szCs w:val="28"/>
          <w:highlight w:val="none"/>
        </w:rPr>
        <w:t>小（2）</w:t>
      </w:r>
      <w:r>
        <w:rPr>
          <w:rFonts w:eastAsia="楷体"/>
          <w:color w:val="auto"/>
          <w:sz w:val="28"/>
          <w:szCs w:val="28"/>
          <w:highlight w:val="none"/>
        </w:rPr>
        <w:t>型水库，根据以往水库运行情况，可能导致水库工程出现重大险情的主要因素有：超标准洪水、地质灾害、地震灾害等，以上因素可能导致水库出现重大险情的种类有：水库库区周边山体出现滑坡，坝基渗漏、失稳，溃坝。若出现水库周边山体滑坡，坝基渗漏、失稳，启闭设备失灵等重大险情，可能导致坝体受损变得单薄，水库水位迅速升高，大坝本身无法承受巨大压力而发生倾覆或溃决，致使水库工程受损无法发挥其效益，同时也会对下游的城镇、人民群众的生命及财产安全、电力设施、通讯设施造成不可估量的损失。</w:t>
      </w:r>
    </w:p>
    <w:p w14:paraId="470653BB">
      <w:pPr>
        <w:spacing w:before="156" w:beforeLines="50" w:after="156" w:afterLines="50"/>
        <w:outlineLvl w:val="1"/>
        <w:rPr>
          <w:rFonts w:eastAsia="楷体"/>
          <w:b/>
          <w:color w:val="auto"/>
          <w:sz w:val="32"/>
          <w:szCs w:val="30"/>
          <w:highlight w:val="none"/>
        </w:rPr>
      </w:pPr>
      <w:bookmarkStart w:id="41" w:name="_Toc12151"/>
      <w:r>
        <w:rPr>
          <w:rFonts w:eastAsia="楷体"/>
          <w:b/>
          <w:color w:val="auto"/>
          <w:sz w:val="32"/>
          <w:szCs w:val="30"/>
          <w:highlight w:val="none"/>
        </w:rPr>
        <w:t>3.2 突发事件（溃坝）危害性分析</w:t>
      </w:r>
      <w:bookmarkEnd w:id="41"/>
    </w:p>
    <w:p w14:paraId="5777BA29">
      <w:pPr>
        <w:spacing w:line="520" w:lineRule="exact"/>
        <w:ind w:firstLine="560" w:firstLineChars="200"/>
        <w:rPr>
          <w:rFonts w:eastAsia="楷体"/>
          <w:color w:val="auto"/>
          <w:sz w:val="28"/>
          <w:szCs w:val="28"/>
          <w:highlight w:val="none"/>
        </w:rPr>
      </w:pPr>
      <w:r>
        <w:rPr>
          <w:rFonts w:eastAsia="楷体"/>
          <w:color w:val="auto"/>
          <w:sz w:val="28"/>
          <w:szCs w:val="28"/>
          <w:highlight w:val="none"/>
        </w:rPr>
        <w:t>四清水库总库容</w:t>
      </w:r>
      <w:r>
        <w:rPr>
          <w:rFonts w:hint="eastAsia" w:eastAsia="楷体"/>
          <w:color w:val="auto"/>
          <w:sz w:val="28"/>
          <w:szCs w:val="28"/>
          <w:highlight w:val="none"/>
        </w:rPr>
        <w:t>30.87</w:t>
      </w:r>
      <w:r>
        <w:rPr>
          <w:rFonts w:eastAsia="楷体"/>
          <w:color w:val="auto"/>
          <w:sz w:val="28"/>
          <w:szCs w:val="28"/>
          <w:highlight w:val="none"/>
        </w:rPr>
        <w:t>万m</w:t>
      </w:r>
      <w:r>
        <w:rPr>
          <w:rFonts w:eastAsia="楷体"/>
          <w:color w:val="auto"/>
          <w:sz w:val="28"/>
          <w:szCs w:val="28"/>
          <w:highlight w:val="none"/>
          <w:vertAlign w:val="superscript"/>
        </w:rPr>
        <w:t>3</w:t>
      </w:r>
      <w:r>
        <w:rPr>
          <w:rFonts w:eastAsia="楷体"/>
          <w:color w:val="auto"/>
          <w:sz w:val="28"/>
          <w:szCs w:val="28"/>
          <w:highlight w:val="none"/>
        </w:rPr>
        <w:t>，为小（</w:t>
      </w:r>
      <w:r>
        <w:rPr>
          <w:rFonts w:hint="eastAsia" w:eastAsia="楷体"/>
          <w:color w:val="auto"/>
          <w:sz w:val="28"/>
          <w:szCs w:val="28"/>
          <w:highlight w:val="none"/>
        </w:rPr>
        <w:t>2</w:t>
      </w:r>
      <w:r>
        <w:rPr>
          <w:rFonts w:eastAsia="楷体"/>
          <w:color w:val="auto"/>
          <w:sz w:val="28"/>
          <w:szCs w:val="28"/>
          <w:highlight w:val="none"/>
        </w:rPr>
        <w:t>）型水库，主要建筑物的设计标准按洪水重现期为</w:t>
      </w:r>
      <w:r>
        <w:rPr>
          <w:rFonts w:hint="eastAsia" w:eastAsia="楷体"/>
          <w:color w:val="auto"/>
          <w:sz w:val="28"/>
          <w:szCs w:val="28"/>
          <w:highlight w:val="none"/>
        </w:rPr>
        <w:t>2</w:t>
      </w:r>
      <w:r>
        <w:rPr>
          <w:rFonts w:eastAsia="楷体"/>
          <w:color w:val="auto"/>
          <w:sz w:val="28"/>
          <w:szCs w:val="28"/>
          <w:highlight w:val="none"/>
        </w:rPr>
        <w:t>0年，相应的洪水位</w:t>
      </w:r>
      <w:r>
        <w:rPr>
          <w:rFonts w:hint="eastAsia" w:eastAsia="楷体"/>
          <w:color w:val="auto"/>
          <w:sz w:val="28"/>
          <w:szCs w:val="28"/>
          <w:highlight w:val="none"/>
        </w:rPr>
        <w:t>28.56</w:t>
      </w:r>
      <w:r>
        <w:rPr>
          <w:rFonts w:eastAsia="楷体"/>
          <w:color w:val="auto"/>
          <w:sz w:val="28"/>
          <w:szCs w:val="28"/>
          <w:highlight w:val="none"/>
        </w:rPr>
        <w:t>m，校核标准按洪水重现期为</w:t>
      </w:r>
      <w:r>
        <w:rPr>
          <w:rFonts w:hint="eastAsia" w:eastAsia="楷体"/>
          <w:color w:val="auto"/>
          <w:sz w:val="28"/>
          <w:szCs w:val="28"/>
          <w:highlight w:val="none"/>
        </w:rPr>
        <w:t>3</w:t>
      </w:r>
      <w:r>
        <w:rPr>
          <w:rFonts w:eastAsia="楷体"/>
          <w:color w:val="auto"/>
          <w:sz w:val="28"/>
          <w:szCs w:val="28"/>
          <w:highlight w:val="none"/>
        </w:rPr>
        <w:t>00年，相应的洪水位</w:t>
      </w:r>
      <w:r>
        <w:rPr>
          <w:rFonts w:hint="eastAsia" w:eastAsia="楷体"/>
          <w:color w:val="auto"/>
          <w:sz w:val="28"/>
          <w:szCs w:val="28"/>
          <w:highlight w:val="none"/>
        </w:rPr>
        <w:t>28.81</w:t>
      </w:r>
      <w:r>
        <w:rPr>
          <w:rFonts w:eastAsia="楷体"/>
          <w:color w:val="auto"/>
          <w:sz w:val="28"/>
          <w:szCs w:val="28"/>
          <w:highlight w:val="none"/>
        </w:rPr>
        <w:t>m。水库在正常蓄水位下运行，一般不会出现超标准洪水漫顶溃决的情况。</w:t>
      </w:r>
    </w:p>
    <w:p w14:paraId="33164877">
      <w:pPr>
        <w:spacing w:line="520" w:lineRule="exact"/>
        <w:ind w:firstLine="560" w:firstLineChars="200"/>
        <w:rPr>
          <w:rFonts w:eastAsia="楷体"/>
          <w:color w:val="auto"/>
          <w:sz w:val="28"/>
          <w:szCs w:val="28"/>
          <w:highlight w:val="none"/>
        </w:rPr>
      </w:pPr>
      <w:r>
        <w:rPr>
          <w:rFonts w:eastAsia="楷体"/>
          <w:color w:val="auto"/>
          <w:sz w:val="28"/>
          <w:szCs w:val="28"/>
          <w:highlight w:val="none"/>
        </w:rPr>
        <w:t>根据四清水库近几年的运行情况，正常运行时发生溃坝的可能极小，可能导致水库大坝溃决的主要因素有：超标准洪水、工程隐患、地质灾害、地震灾害、战争或恐怖事件等，以上因素可能导致水库出现重大险情的种类有：水库库区周边山体出现滑坡，坝基渗漏、失稳，溃坝。当引起大坝溃坝时，其坝址处的最大溃坝流量可达到</w:t>
      </w:r>
      <w:r>
        <w:rPr>
          <w:rFonts w:hint="eastAsia" w:eastAsia="楷体"/>
          <w:color w:val="auto"/>
          <w:sz w:val="28"/>
          <w:szCs w:val="28"/>
          <w:highlight w:val="none"/>
          <w:lang w:val="en-US" w:eastAsia="zh-CN"/>
        </w:rPr>
        <w:t>3590</w:t>
      </w:r>
      <w:r>
        <w:rPr>
          <w:rFonts w:eastAsia="楷体"/>
          <w:color w:val="auto"/>
          <w:sz w:val="28"/>
          <w:szCs w:val="28"/>
          <w:highlight w:val="none"/>
        </w:rPr>
        <w:t>m</w:t>
      </w:r>
      <w:r>
        <w:rPr>
          <w:rFonts w:eastAsia="楷体"/>
          <w:color w:val="auto"/>
          <w:sz w:val="28"/>
          <w:szCs w:val="28"/>
          <w:highlight w:val="none"/>
          <w:vertAlign w:val="superscript"/>
        </w:rPr>
        <w:t>3</w:t>
      </w:r>
      <w:r>
        <w:rPr>
          <w:rFonts w:eastAsia="楷体"/>
          <w:color w:val="auto"/>
          <w:sz w:val="28"/>
          <w:szCs w:val="28"/>
          <w:highlight w:val="none"/>
        </w:rPr>
        <w:t>/s，将直接威胁到水库下游沿岸人民的生命财产安全。</w:t>
      </w:r>
    </w:p>
    <w:p w14:paraId="73034D52">
      <w:pPr>
        <w:spacing w:before="156" w:beforeLines="50" w:after="156" w:afterLines="50"/>
        <w:outlineLvl w:val="1"/>
        <w:rPr>
          <w:rFonts w:eastAsia="楷体"/>
          <w:b/>
          <w:color w:val="auto"/>
          <w:sz w:val="32"/>
          <w:szCs w:val="30"/>
          <w:highlight w:val="none"/>
        </w:rPr>
      </w:pPr>
      <w:bookmarkStart w:id="42" w:name="_Toc13"/>
      <w:r>
        <w:rPr>
          <w:rFonts w:eastAsia="楷体"/>
          <w:b/>
          <w:color w:val="auto"/>
          <w:sz w:val="32"/>
          <w:szCs w:val="30"/>
          <w:highlight w:val="none"/>
        </w:rPr>
        <w:t>3.3 溃坝失事造成下游经济和社会损失影响分析</w:t>
      </w:r>
      <w:bookmarkEnd w:id="42"/>
    </w:p>
    <w:p w14:paraId="4430875F">
      <w:pPr>
        <w:spacing w:line="520" w:lineRule="exact"/>
        <w:ind w:firstLine="560" w:firstLineChars="200"/>
        <w:rPr>
          <w:rFonts w:eastAsia="楷体"/>
          <w:color w:val="auto"/>
          <w:sz w:val="28"/>
          <w:szCs w:val="28"/>
          <w:highlight w:val="none"/>
        </w:rPr>
      </w:pPr>
      <w:r>
        <w:rPr>
          <w:rFonts w:eastAsia="楷体"/>
          <w:color w:val="auto"/>
          <w:sz w:val="28"/>
          <w:szCs w:val="28"/>
          <w:highlight w:val="none"/>
        </w:rPr>
        <w:t>四清水库溃坝将直接威胁到水库下游</w:t>
      </w:r>
      <w:r>
        <w:rPr>
          <w:rFonts w:hint="eastAsia" w:eastAsia="楷体"/>
          <w:color w:val="auto"/>
          <w:sz w:val="28"/>
          <w:szCs w:val="28"/>
          <w:highlight w:val="none"/>
          <w:lang w:eastAsia="zh-CN"/>
        </w:rPr>
        <w:t>前黄</w:t>
      </w:r>
      <w:r>
        <w:rPr>
          <w:rFonts w:eastAsia="楷体"/>
          <w:color w:val="auto"/>
          <w:sz w:val="28"/>
          <w:szCs w:val="28"/>
          <w:highlight w:val="none"/>
        </w:rPr>
        <w:t>镇镇区的人民群众生命、财产的安全。通过四清水库溃坝流量演算至下游，</w:t>
      </w:r>
      <w:r>
        <w:rPr>
          <w:rFonts w:hint="eastAsia" w:eastAsia="楷体"/>
          <w:color w:val="auto"/>
          <w:sz w:val="28"/>
          <w:szCs w:val="28"/>
          <w:highlight w:val="none"/>
        </w:rPr>
        <w:t>坑内村</w:t>
      </w:r>
      <w:r>
        <w:rPr>
          <w:rFonts w:eastAsia="楷体"/>
          <w:color w:val="auto"/>
          <w:sz w:val="28"/>
          <w:szCs w:val="28"/>
          <w:highlight w:val="none"/>
        </w:rPr>
        <w:t>处的流量将达到</w:t>
      </w:r>
      <w:r>
        <w:rPr>
          <w:rFonts w:hint="eastAsia" w:eastAsia="楷体"/>
          <w:color w:val="auto"/>
          <w:sz w:val="28"/>
          <w:szCs w:val="28"/>
          <w:highlight w:val="none"/>
          <w:lang w:val="en-US" w:eastAsia="zh-CN"/>
        </w:rPr>
        <w:t>950</w:t>
      </w:r>
      <w:r>
        <w:rPr>
          <w:rFonts w:eastAsia="楷体"/>
          <w:color w:val="auto"/>
          <w:sz w:val="28"/>
          <w:szCs w:val="28"/>
          <w:highlight w:val="none"/>
        </w:rPr>
        <w:t>m</w:t>
      </w:r>
      <w:r>
        <w:rPr>
          <w:rFonts w:eastAsia="楷体"/>
          <w:color w:val="auto"/>
          <w:sz w:val="28"/>
          <w:szCs w:val="28"/>
          <w:highlight w:val="none"/>
          <w:vertAlign w:val="superscript"/>
        </w:rPr>
        <w:t>3</w:t>
      </w:r>
      <w:r>
        <w:rPr>
          <w:rFonts w:eastAsia="楷体"/>
          <w:color w:val="auto"/>
          <w:sz w:val="28"/>
          <w:szCs w:val="28"/>
          <w:highlight w:val="none"/>
        </w:rPr>
        <w:t>/s，超2000年一遇以上流量，可见，溃坝流量传播速度之快，流量之大，给下游造成损失是不可估量。</w:t>
      </w:r>
    </w:p>
    <w:p w14:paraId="448DD279">
      <w:pPr>
        <w:spacing w:line="520" w:lineRule="exact"/>
        <w:ind w:firstLine="640" w:firstLineChars="200"/>
        <w:rPr>
          <w:rFonts w:eastAsia="楷体"/>
          <w:color w:val="auto"/>
          <w:sz w:val="32"/>
          <w:szCs w:val="32"/>
          <w:highlight w:val="none"/>
        </w:rPr>
      </w:pPr>
    </w:p>
    <w:p w14:paraId="19BDE111">
      <w:pPr>
        <w:spacing w:line="520" w:lineRule="exact"/>
        <w:ind w:firstLine="640" w:firstLineChars="200"/>
        <w:rPr>
          <w:rFonts w:eastAsia="楷体"/>
          <w:color w:val="auto"/>
          <w:sz w:val="32"/>
          <w:szCs w:val="32"/>
          <w:highlight w:val="none"/>
        </w:rPr>
      </w:pPr>
    </w:p>
    <w:p w14:paraId="76BD7445">
      <w:pPr>
        <w:spacing w:line="520" w:lineRule="exact"/>
        <w:ind w:firstLine="640" w:firstLineChars="200"/>
        <w:rPr>
          <w:rFonts w:eastAsia="楷体"/>
          <w:color w:val="auto"/>
          <w:sz w:val="32"/>
          <w:szCs w:val="32"/>
          <w:highlight w:val="none"/>
        </w:rPr>
      </w:pPr>
    </w:p>
    <w:p w14:paraId="1FBA2876">
      <w:pPr>
        <w:spacing w:line="520" w:lineRule="exact"/>
        <w:ind w:firstLine="640" w:firstLineChars="200"/>
        <w:rPr>
          <w:rFonts w:eastAsia="楷体"/>
          <w:color w:val="auto"/>
          <w:sz w:val="32"/>
          <w:szCs w:val="32"/>
          <w:highlight w:val="none"/>
        </w:rPr>
      </w:pPr>
    </w:p>
    <w:p w14:paraId="4B948611">
      <w:pPr>
        <w:spacing w:line="520" w:lineRule="exact"/>
        <w:ind w:firstLine="640" w:firstLineChars="200"/>
        <w:rPr>
          <w:rFonts w:eastAsia="楷体"/>
          <w:color w:val="auto"/>
          <w:sz w:val="32"/>
          <w:szCs w:val="32"/>
          <w:highlight w:val="none"/>
        </w:rPr>
      </w:pPr>
    </w:p>
    <w:p w14:paraId="04640B35">
      <w:pPr>
        <w:spacing w:line="520" w:lineRule="exact"/>
        <w:ind w:firstLine="640" w:firstLineChars="200"/>
        <w:rPr>
          <w:rFonts w:eastAsia="楷体"/>
          <w:color w:val="auto"/>
          <w:sz w:val="32"/>
          <w:szCs w:val="32"/>
          <w:highlight w:val="none"/>
        </w:rPr>
      </w:pPr>
    </w:p>
    <w:p w14:paraId="1CE215FD">
      <w:pPr>
        <w:spacing w:line="520" w:lineRule="exact"/>
        <w:ind w:firstLine="640" w:firstLineChars="200"/>
        <w:rPr>
          <w:rFonts w:eastAsia="楷体"/>
          <w:color w:val="auto"/>
          <w:sz w:val="32"/>
          <w:szCs w:val="32"/>
          <w:highlight w:val="none"/>
        </w:rPr>
      </w:pPr>
    </w:p>
    <w:p w14:paraId="0C69F0F7">
      <w:pPr>
        <w:spacing w:line="520" w:lineRule="exact"/>
        <w:ind w:firstLine="640" w:firstLineChars="200"/>
        <w:rPr>
          <w:rFonts w:eastAsia="楷体"/>
          <w:color w:val="auto"/>
          <w:sz w:val="32"/>
          <w:szCs w:val="32"/>
          <w:highlight w:val="none"/>
        </w:rPr>
      </w:pPr>
    </w:p>
    <w:p w14:paraId="63D889F2">
      <w:pPr>
        <w:spacing w:line="520" w:lineRule="exact"/>
        <w:ind w:firstLine="640" w:firstLineChars="200"/>
        <w:rPr>
          <w:rFonts w:eastAsia="楷体"/>
          <w:color w:val="auto"/>
          <w:sz w:val="32"/>
          <w:szCs w:val="32"/>
          <w:highlight w:val="none"/>
        </w:rPr>
      </w:pPr>
    </w:p>
    <w:p w14:paraId="057C7158">
      <w:pPr>
        <w:spacing w:line="520" w:lineRule="exact"/>
        <w:ind w:firstLine="640" w:firstLineChars="200"/>
        <w:rPr>
          <w:rFonts w:eastAsia="楷体"/>
          <w:color w:val="auto"/>
          <w:sz w:val="32"/>
          <w:szCs w:val="32"/>
          <w:highlight w:val="none"/>
        </w:rPr>
      </w:pPr>
    </w:p>
    <w:p w14:paraId="2B5C69DB">
      <w:pPr>
        <w:spacing w:line="520" w:lineRule="exact"/>
        <w:ind w:firstLine="640" w:firstLineChars="200"/>
        <w:rPr>
          <w:rFonts w:eastAsia="楷体"/>
          <w:color w:val="auto"/>
          <w:sz w:val="32"/>
          <w:szCs w:val="32"/>
          <w:highlight w:val="none"/>
        </w:rPr>
      </w:pPr>
    </w:p>
    <w:p w14:paraId="41D93B8E">
      <w:pPr>
        <w:spacing w:line="520" w:lineRule="exact"/>
        <w:ind w:firstLine="640" w:firstLineChars="200"/>
        <w:rPr>
          <w:rFonts w:eastAsia="楷体"/>
          <w:color w:val="auto"/>
          <w:sz w:val="32"/>
          <w:szCs w:val="32"/>
          <w:highlight w:val="none"/>
        </w:rPr>
      </w:pPr>
    </w:p>
    <w:p w14:paraId="19C52E1C">
      <w:pPr>
        <w:spacing w:line="520" w:lineRule="exact"/>
        <w:ind w:firstLine="640" w:firstLineChars="200"/>
        <w:rPr>
          <w:rFonts w:eastAsia="楷体"/>
          <w:color w:val="auto"/>
          <w:sz w:val="32"/>
          <w:szCs w:val="32"/>
          <w:highlight w:val="none"/>
        </w:rPr>
      </w:pPr>
    </w:p>
    <w:p w14:paraId="53494F8F">
      <w:pPr>
        <w:spacing w:line="520" w:lineRule="exact"/>
        <w:ind w:firstLine="640" w:firstLineChars="200"/>
        <w:rPr>
          <w:rFonts w:eastAsia="楷体"/>
          <w:color w:val="auto"/>
          <w:sz w:val="32"/>
          <w:szCs w:val="32"/>
          <w:highlight w:val="none"/>
        </w:rPr>
      </w:pPr>
    </w:p>
    <w:p w14:paraId="23C68DCC">
      <w:pPr>
        <w:spacing w:line="520" w:lineRule="exact"/>
        <w:ind w:firstLine="640" w:firstLineChars="200"/>
        <w:rPr>
          <w:rFonts w:eastAsia="楷体"/>
          <w:color w:val="auto"/>
          <w:sz w:val="32"/>
          <w:szCs w:val="32"/>
          <w:highlight w:val="none"/>
        </w:rPr>
      </w:pPr>
    </w:p>
    <w:p w14:paraId="4980372A">
      <w:pPr>
        <w:spacing w:line="520" w:lineRule="exact"/>
        <w:ind w:firstLine="640" w:firstLineChars="200"/>
        <w:rPr>
          <w:rFonts w:eastAsia="楷体"/>
          <w:color w:val="auto"/>
          <w:sz w:val="32"/>
          <w:szCs w:val="32"/>
          <w:highlight w:val="none"/>
        </w:rPr>
      </w:pPr>
    </w:p>
    <w:p w14:paraId="206386C5">
      <w:pPr>
        <w:spacing w:line="520" w:lineRule="exact"/>
        <w:ind w:firstLine="640" w:firstLineChars="200"/>
        <w:rPr>
          <w:rFonts w:eastAsia="楷体"/>
          <w:color w:val="auto"/>
          <w:sz w:val="32"/>
          <w:szCs w:val="32"/>
          <w:highlight w:val="none"/>
        </w:rPr>
      </w:pPr>
    </w:p>
    <w:p w14:paraId="3CD38C03">
      <w:pPr>
        <w:spacing w:line="520" w:lineRule="exact"/>
        <w:ind w:firstLine="640" w:firstLineChars="200"/>
        <w:rPr>
          <w:rFonts w:eastAsia="楷体"/>
          <w:color w:val="auto"/>
          <w:sz w:val="32"/>
          <w:szCs w:val="32"/>
          <w:highlight w:val="none"/>
        </w:rPr>
      </w:pPr>
    </w:p>
    <w:p w14:paraId="61DD711F">
      <w:pPr>
        <w:spacing w:line="520" w:lineRule="exact"/>
        <w:ind w:firstLine="640" w:firstLineChars="200"/>
        <w:rPr>
          <w:rFonts w:eastAsia="楷体"/>
          <w:color w:val="auto"/>
          <w:sz w:val="32"/>
          <w:szCs w:val="32"/>
          <w:highlight w:val="none"/>
        </w:rPr>
      </w:pPr>
    </w:p>
    <w:p w14:paraId="77DC7F50">
      <w:pPr>
        <w:spacing w:line="520" w:lineRule="exact"/>
        <w:ind w:firstLine="640" w:firstLineChars="200"/>
        <w:rPr>
          <w:rFonts w:eastAsia="楷体"/>
          <w:color w:val="auto"/>
          <w:sz w:val="32"/>
          <w:szCs w:val="32"/>
          <w:highlight w:val="none"/>
        </w:rPr>
      </w:pPr>
    </w:p>
    <w:p w14:paraId="38E96068">
      <w:pPr>
        <w:spacing w:line="520" w:lineRule="exact"/>
        <w:ind w:firstLine="640" w:firstLineChars="200"/>
        <w:rPr>
          <w:rFonts w:eastAsia="楷体"/>
          <w:color w:val="auto"/>
          <w:sz w:val="32"/>
          <w:szCs w:val="32"/>
          <w:highlight w:val="none"/>
        </w:rPr>
      </w:pPr>
    </w:p>
    <w:p w14:paraId="59510BD0">
      <w:pPr>
        <w:spacing w:line="520" w:lineRule="exact"/>
        <w:ind w:firstLine="640" w:firstLineChars="200"/>
        <w:rPr>
          <w:rFonts w:eastAsia="楷体"/>
          <w:color w:val="auto"/>
          <w:sz w:val="32"/>
          <w:szCs w:val="32"/>
          <w:highlight w:val="none"/>
        </w:rPr>
      </w:pPr>
    </w:p>
    <w:p w14:paraId="4E6371D3">
      <w:pPr>
        <w:spacing w:line="520" w:lineRule="exact"/>
        <w:ind w:firstLine="640" w:firstLineChars="200"/>
        <w:rPr>
          <w:rFonts w:eastAsia="楷体"/>
          <w:color w:val="auto"/>
          <w:sz w:val="32"/>
          <w:szCs w:val="32"/>
          <w:highlight w:val="none"/>
        </w:rPr>
      </w:pPr>
    </w:p>
    <w:p w14:paraId="628EF8EA">
      <w:pPr>
        <w:spacing w:line="520" w:lineRule="exact"/>
        <w:ind w:firstLine="640" w:firstLineChars="200"/>
        <w:rPr>
          <w:rFonts w:eastAsia="楷体"/>
          <w:color w:val="auto"/>
          <w:sz w:val="32"/>
          <w:szCs w:val="32"/>
          <w:highlight w:val="none"/>
        </w:rPr>
      </w:pPr>
    </w:p>
    <w:p w14:paraId="77D2CB1D">
      <w:pPr>
        <w:adjustRightInd w:val="0"/>
        <w:snapToGrid w:val="0"/>
        <w:spacing w:line="520" w:lineRule="exact"/>
        <w:jc w:val="center"/>
        <w:outlineLvl w:val="0"/>
        <w:rPr>
          <w:rStyle w:val="46"/>
          <w:rFonts w:eastAsia="楷体"/>
          <w:b/>
          <w:bCs/>
          <w:color w:val="auto"/>
          <w:sz w:val="36"/>
          <w:szCs w:val="36"/>
          <w:highlight w:val="none"/>
        </w:rPr>
      </w:pPr>
      <w:bookmarkStart w:id="43" w:name="_Toc9103"/>
      <w:r>
        <w:rPr>
          <w:rStyle w:val="46"/>
          <w:rFonts w:eastAsia="楷体"/>
          <w:b/>
          <w:bCs/>
          <w:color w:val="auto"/>
          <w:sz w:val="36"/>
          <w:szCs w:val="36"/>
          <w:highlight w:val="none"/>
        </w:rPr>
        <w:t>4 险情监测与报告</w:t>
      </w:r>
      <w:bookmarkEnd w:id="43"/>
    </w:p>
    <w:p w14:paraId="319C059D">
      <w:pPr>
        <w:spacing w:before="156" w:beforeLines="50" w:after="156" w:afterLines="50"/>
        <w:jc w:val="left"/>
        <w:outlineLvl w:val="1"/>
        <w:rPr>
          <w:rFonts w:eastAsia="楷体"/>
          <w:b/>
          <w:color w:val="auto"/>
          <w:sz w:val="32"/>
          <w:szCs w:val="30"/>
          <w:highlight w:val="none"/>
        </w:rPr>
      </w:pPr>
      <w:bookmarkStart w:id="44" w:name="_Toc9065"/>
      <w:r>
        <w:rPr>
          <w:rFonts w:eastAsia="楷体"/>
          <w:b/>
          <w:color w:val="auto"/>
          <w:sz w:val="32"/>
          <w:szCs w:val="30"/>
          <w:highlight w:val="none"/>
        </w:rPr>
        <w:t>4.1险情监测和巡视</w:t>
      </w:r>
      <w:bookmarkEnd w:id="44"/>
    </w:p>
    <w:p w14:paraId="0B0CDAB1">
      <w:pPr>
        <w:spacing w:before="156" w:beforeLines="50" w:after="156" w:afterLines="50"/>
        <w:jc w:val="left"/>
        <w:outlineLvl w:val="2"/>
        <w:rPr>
          <w:rFonts w:eastAsia="楷体"/>
          <w:b/>
          <w:color w:val="auto"/>
          <w:sz w:val="32"/>
          <w:szCs w:val="32"/>
          <w:highlight w:val="none"/>
        </w:rPr>
      </w:pPr>
      <w:r>
        <w:rPr>
          <w:rFonts w:eastAsia="楷体"/>
          <w:b/>
          <w:color w:val="auto"/>
          <w:sz w:val="32"/>
          <w:szCs w:val="32"/>
          <w:highlight w:val="none"/>
        </w:rPr>
        <w:t>4.1.1 水库工程险情监测、巡查</w:t>
      </w:r>
    </w:p>
    <w:p w14:paraId="3652B4F4">
      <w:pPr>
        <w:widowControl/>
        <w:spacing w:line="520" w:lineRule="exact"/>
        <w:ind w:firstLine="560"/>
        <w:rPr>
          <w:rFonts w:eastAsia="楷体"/>
          <w:color w:val="auto"/>
          <w:sz w:val="28"/>
          <w:szCs w:val="28"/>
          <w:highlight w:val="none"/>
        </w:rPr>
      </w:pPr>
      <w:r>
        <w:rPr>
          <w:rFonts w:eastAsia="楷体"/>
          <w:color w:val="auto"/>
          <w:sz w:val="28"/>
          <w:szCs w:val="28"/>
          <w:highlight w:val="none"/>
        </w:rPr>
        <w:t>水库工程险情监测、巡查的部位主要为：水工建筑物、混凝土建筑物、金属结构、启闭机（有重叠）、水流形态、水库附属工程、动力、照明、交通、通讯、安全防护，避雷设施和观测设备等。</w:t>
      </w:r>
    </w:p>
    <w:p w14:paraId="3EA6275D">
      <w:pPr>
        <w:widowControl/>
        <w:spacing w:line="520" w:lineRule="exact"/>
        <w:ind w:firstLine="560"/>
        <w:rPr>
          <w:rFonts w:eastAsia="楷体"/>
          <w:color w:val="auto"/>
          <w:sz w:val="28"/>
          <w:szCs w:val="28"/>
          <w:highlight w:val="none"/>
        </w:rPr>
      </w:pPr>
      <w:r>
        <w:rPr>
          <w:rFonts w:eastAsia="楷体"/>
          <w:color w:val="auto"/>
          <w:sz w:val="28"/>
          <w:szCs w:val="28"/>
          <w:highlight w:val="none"/>
        </w:rPr>
        <w:t>水库工程险情监测、巡查的内容主要为：</w:t>
      </w:r>
    </w:p>
    <w:p w14:paraId="52625F7C">
      <w:pPr>
        <w:widowControl/>
        <w:spacing w:line="520" w:lineRule="exact"/>
        <w:ind w:firstLine="560"/>
        <w:rPr>
          <w:rFonts w:eastAsia="楷体"/>
          <w:color w:val="auto"/>
          <w:sz w:val="28"/>
          <w:szCs w:val="28"/>
          <w:highlight w:val="none"/>
        </w:rPr>
      </w:pPr>
      <w:r>
        <w:rPr>
          <w:rFonts w:eastAsia="楷体"/>
          <w:color w:val="auto"/>
          <w:sz w:val="28"/>
          <w:szCs w:val="28"/>
          <w:highlight w:val="none"/>
        </w:rPr>
        <w:t>（1）对水工建筑物的检查和观察中，应注意坝身有无裂缝、塌坑隆起现象；迎水坡有无风浪冲刷；背水坡有无散浸及集中渗漏；坝头岸坡有无绕渗；排水导渗设施有无堵塞、破坏、失效等。</w:t>
      </w:r>
    </w:p>
    <w:p w14:paraId="4DD2AECC">
      <w:pPr>
        <w:widowControl/>
        <w:spacing w:line="520" w:lineRule="exact"/>
        <w:ind w:firstLine="560"/>
        <w:rPr>
          <w:rFonts w:eastAsia="楷体"/>
          <w:color w:val="auto"/>
          <w:sz w:val="28"/>
          <w:szCs w:val="28"/>
          <w:highlight w:val="none"/>
        </w:rPr>
      </w:pPr>
      <w:r>
        <w:rPr>
          <w:rFonts w:eastAsia="楷体"/>
          <w:color w:val="auto"/>
          <w:sz w:val="28"/>
          <w:szCs w:val="28"/>
          <w:highlight w:val="none"/>
        </w:rPr>
        <w:t>（2）对混凝土建筑物的检查和观察中，应针对不同的工程部位和容易发生的问题，注意有无裂缝、渗漏、剥蚀、冲刷、磨损、气蚀及脱碱等现象；伸缩缝止水有无损坏、填充物有无流失；基座岩体是否稳固；坝头岸坡及坝趾有无集中渗漏等。</w:t>
      </w:r>
    </w:p>
    <w:p w14:paraId="0C3FDC97">
      <w:pPr>
        <w:widowControl/>
        <w:spacing w:line="520" w:lineRule="exact"/>
        <w:ind w:firstLine="560"/>
        <w:rPr>
          <w:rFonts w:eastAsia="楷体"/>
          <w:color w:val="auto"/>
          <w:sz w:val="28"/>
          <w:szCs w:val="28"/>
          <w:highlight w:val="none"/>
        </w:rPr>
      </w:pPr>
      <w:r>
        <w:rPr>
          <w:rFonts w:eastAsia="楷体"/>
          <w:color w:val="auto"/>
          <w:sz w:val="28"/>
          <w:szCs w:val="28"/>
          <w:highlight w:val="none"/>
        </w:rPr>
        <w:t>（3）对金属结构的检查和观察，应结合构件部位受外界因素影响条件，注意结构有无变形、裂纹、锈蚀、气蚀、油漆剥落、磨损、振动以及焊缝开裂、铆钉或螺栓松动等现象。</w:t>
      </w:r>
    </w:p>
    <w:p w14:paraId="59A62377">
      <w:pPr>
        <w:widowControl/>
        <w:spacing w:line="520" w:lineRule="exact"/>
        <w:ind w:firstLine="560"/>
        <w:rPr>
          <w:rFonts w:eastAsia="楷体"/>
          <w:color w:val="auto"/>
          <w:sz w:val="28"/>
          <w:szCs w:val="28"/>
          <w:highlight w:val="none"/>
        </w:rPr>
      </w:pPr>
      <w:r>
        <w:rPr>
          <w:rFonts w:eastAsia="楷体"/>
          <w:color w:val="auto"/>
          <w:sz w:val="28"/>
          <w:szCs w:val="28"/>
          <w:highlight w:val="none"/>
        </w:rPr>
        <w:t>（4）对启闭机的检查和观察，除按金属结构的检查和观察内容外，主要应注意启闭机运转是否灵活，有无不正常音响和振动，丝杠是否弯曲、磨损、锈蚀；机械转动部分润滑油是否充足以及机电安全保护设施是否完好等。</w:t>
      </w:r>
    </w:p>
    <w:p w14:paraId="57096639">
      <w:pPr>
        <w:widowControl/>
        <w:spacing w:line="520" w:lineRule="exact"/>
        <w:ind w:firstLine="560"/>
        <w:rPr>
          <w:rFonts w:eastAsia="楷体"/>
          <w:color w:val="auto"/>
          <w:sz w:val="28"/>
          <w:szCs w:val="28"/>
          <w:highlight w:val="none"/>
        </w:rPr>
      </w:pPr>
      <w:r>
        <w:rPr>
          <w:rFonts w:eastAsia="楷体"/>
          <w:color w:val="auto"/>
          <w:sz w:val="28"/>
          <w:szCs w:val="28"/>
          <w:highlight w:val="none"/>
        </w:rPr>
        <w:t>（5）水流形态的观察，主要应注意进口段水流是否平顺，堰后水流形态是否正常，水流是否平稳；有无不正常流态和冲刷淤积现象。拦污栅、拦鱼设施、漂浮物有否壅水或堵塞现象等。</w:t>
      </w:r>
    </w:p>
    <w:p w14:paraId="38EE30B3">
      <w:pPr>
        <w:widowControl/>
        <w:spacing w:line="520" w:lineRule="exact"/>
        <w:ind w:firstLine="560" w:firstLineChars="200"/>
        <w:rPr>
          <w:rFonts w:eastAsia="楷体"/>
          <w:color w:val="auto"/>
          <w:sz w:val="28"/>
          <w:szCs w:val="28"/>
          <w:highlight w:val="none"/>
        </w:rPr>
      </w:pPr>
      <w:r>
        <w:rPr>
          <w:rFonts w:eastAsia="楷体"/>
          <w:color w:val="auto"/>
          <w:sz w:val="28"/>
          <w:szCs w:val="28"/>
          <w:highlight w:val="none"/>
        </w:rPr>
        <w:t>（6）检查水库附属工程、动力、照明、交通、通讯、安全防护，避雷设施和观测设备等是否完好。</w:t>
      </w:r>
    </w:p>
    <w:p w14:paraId="68D8ED92">
      <w:pPr>
        <w:widowControl/>
        <w:spacing w:line="520" w:lineRule="exact"/>
        <w:ind w:firstLine="560" w:firstLineChars="200"/>
        <w:rPr>
          <w:rFonts w:eastAsia="楷体"/>
          <w:color w:val="auto"/>
          <w:sz w:val="28"/>
          <w:szCs w:val="28"/>
          <w:highlight w:val="none"/>
        </w:rPr>
      </w:pPr>
      <w:r>
        <w:rPr>
          <w:rFonts w:eastAsia="楷体"/>
          <w:color w:val="auto"/>
          <w:sz w:val="28"/>
          <w:szCs w:val="28"/>
          <w:highlight w:val="none"/>
        </w:rPr>
        <w:t>水库工程险情监测、巡查的方式主要为：人工巡查和设备监测。</w:t>
      </w:r>
    </w:p>
    <w:p w14:paraId="23B95E54">
      <w:pPr>
        <w:widowControl/>
        <w:spacing w:line="520" w:lineRule="exact"/>
        <w:ind w:firstLine="560" w:firstLineChars="200"/>
        <w:rPr>
          <w:rFonts w:eastAsia="楷体"/>
          <w:color w:val="auto"/>
          <w:sz w:val="28"/>
          <w:szCs w:val="28"/>
          <w:highlight w:val="none"/>
        </w:rPr>
      </w:pPr>
      <w:r>
        <w:rPr>
          <w:rFonts w:eastAsia="楷体"/>
          <w:color w:val="auto"/>
          <w:sz w:val="28"/>
          <w:szCs w:val="28"/>
          <w:highlight w:val="none"/>
        </w:rPr>
        <w:t>水库工程险情监测、巡查的频次严格按照水库工程管理规定执行，监测主要分：坝体表面水平位移、沉降根据实际情况定期进行观测；渗流量观测根据实际情况每月观测1次；监测数据应第一时间进行记录，整理分析，并归档成册。</w:t>
      </w:r>
    </w:p>
    <w:p w14:paraId="728801E5">
      <w:pPr>
        <w:widowControl/>
        <w:spacing w:line="520" w:lineRule="exact"/>
        <w:ind w:firstLine="560" w:firstLineChars="200"/>
        <w:rPr>
          <w:rFonts w:eastAsia="楷体"/>
          <w:color w:val="auto"/>
          <w:sz w:val="32"/>
          <w:szCs w:val="32"/>
          <w:highlight w:val="none"/>
        </w:rPr>
      </w:pPr>
      <w:r>
        <w:rPr>
          <w:rFonts w:eastAsia="楷体"/>
          <w:color w:val="auto"/>
          <w:sz w:val="28"/>
          <w:szCs w:val="28"/>
          <w:highlight w:val="none"/>
        </w:rPr>
        <w:t>日常检查频次每周1次；定期检查分汛前检查和汛后检查，频次一般汛前检查为3月上旬，汛后检查为10月中旬；特别检查指遇特大洪水、台风、地震等需及时监测，频次不限；大坝巡查频次则根据库水位的变化相应调整。</w:t>
      </w:r>
    </w:p>
    <w:p w14:paraId="3DA21C01">
      <w:pPr>
        <w:spacing w:before="156" w:beforeLines="50" w:after="156" w:afterLines="50"/>
        <w:jc w:val="left"/>
        <w:outlineLvl w:val="2"/>
        <w:rPr>
          <w:rFonts w:eastAsia="楷体"/>
          <w:b/>
          <w:color w:val="auto"/>
          <w:sz w:val="32"/>
          <w:szCs w:val="32"/>
          <w:highlight w:val="none"/>
        </w:rPr>
      </w:pPr>
      <w:r>
        <w:rPr>
          <w:rFonts w:eastAsia="楷体"/>
          <w:b/>
          <w:color w:val="auto"/>
          <w:sz w:val="32"/>
          <w:szCs w:val="32"/>
          <w:highlight w:val="none"/>
        </w:rPr>
        <w:t>4.1.2 规定监测、巡查人员组成及监测、巡查结果的处理程序</w:t>
      </w:r>
    </w:p>
    <w:p w14:paraId="4F157E3D">
      <w:pPr>
        <w:widowControl/>
        <w:spacing w:line="520" w:lineRule="exact"/>
        <w:ind w:firstLine="560" w:firstLineChars="200"/>
        <w:rPr>
          <w:rFonts w:eastAsia="楷体"/>
          <w:color w:val="auto"/>
          <w:sz w:val="28"/>
          <w:szCs w:val="28"/>
          <w:highlight w:val="none"/>
        </w:rPr>
      </w:pPr>
      <w:r>
        <w:rPr>
          <w:rFonts w:eastAsia="楷体"/>
          <w:color w:val="auto"/>
          <w:sz w:val="28"/>
          <w:szCs w:val="28"/>
          <w:highlight w:val="none"/>
        </w:rPr>
        <w:t>监测、巡查人员由水库管理所关人员为主，必要时也可从其它部门抽调人员补充。</w:t>
      </w:r>
    </w:p>
    <w:p w14:paraId="01E3BBB1">
      <w:pPr>
        <w:widowControl/>
        <w:spacing w:line="520" w:lineRule="exact"/>
        <w:ind w:firstLine="560" w:firstLineChars="200"/>
        <w:rPr>
          <w:rFonts w:eastAsia="楷体"/>
          <w:color w:val="auto"/>
          <w:sz w:val="28"/>
          <w:szCs w:val="28"/>
          <w:highlight w:val="none"/>
        </w:rPr>
      </w:pPr>
      <w:r>
        <w:rPr>
          <w:rFonts w:eastAsia="楷体"/>
          <w:color w:val="auto"/>
          <w:sz w:val="28"/>
          <w:szCs w:val="28"/>
          <w:highlight w:val="none"/>
        </w:rPr>
        <w:t>巡查结果必须要以书面形式形成文字材料存档和逐级上报，遇重大险情可先电话上报</w:t>
      </w:r>
      <w:r>
        <w:rPr>
          <w:rFonts w:hint="eastAsia" w:eastAsia="楷体"/>
          <w:color w:val="auto"/>
          <w:sz w:val="28"/>
          <w:szCs w:val="28"/>
          <w:highlight w:val="none"/>
        </w:rPr>
        <w:t>泉港区</w:t>
      </w:r>
      <w:r>
        <w:rPr>
          <w:rFonts w:eastAsia="楷体"/>
          <w:color w:val="auto"/>
          <w:sz w:val="28"/>
          <w:szCs w:val="28"/>
          <w:highlight w:val="none"/>
        </w:rPr>
        <w:t>防汛抗旱指挥部。</w:t>
      </w:r>
    </w:p>
    <w:p w14:paraId="51301965">
      <w:pPr>
        <w:spacing w:before="156" w:beforeLines="50" w:after="156" w:afterLines="50"/>
        <w:jc w:val="left"/>
        <w:outlineLvl w:val="1"/>
        <w:rPr>
          <w:rFonts w:eastAsia="楷体"/>
          <w:b/>
          <w:color w:val="auto"/>
          <w:sz w:val="32"/>
          <w:szCs w:val="30"/>
          <w:highlight w:val="none"/>
        </w:rPr>
      </w:pPr>
      <w:bookmarkStart w:id="45" w:name="_Toc9767"/>
      <w:r>
        <w:rPr>
          <w:rFonts w:eastAsia="楷体"/>
          <w:b/>
          <w:color w:val="auto"/>
          <w:sz w:val="32"/>
          <w:szCs w:val="30"/>
          <w:highlight w:val="none"/>
        </w:rPr>
        <w:t>4.2 险情上报与通报</w:t>
      </w:r>
      <w:bookmarkEnd w:id="45"/>
    </w:p>
    <w:p w14:paraId="4781DA86">
      <w:pPr>
        <w:widowControl/>
        <w:spacing w:line="520" w:lineRule="exact"/>
        <w:ind w:firstLine="560" w:firstLineChars="200"/>
        <w:rPr>
          <w:rFonts w:eastAsia="楷体"/>
          <w:color w:val="auto"/>
          <w:sz w:val="28"/>
          <w:szCs w:val="28"/>
          <w:highlight w:val="none"/>
        </w:rPr>
      </w:pPr>
      <w:r>
        <w:rPr>
          <w:rFonts w:eastAsia="楷体"/>
          <w:color w:val="auto"/>
          <w:sz w:val="28"/>
          <w:szCs w:val="28"/>
          <w:highlight w:val="none"/>
        </w:rPr>
        <w:t>遇到突发事件时，管理处人员实行24小时汛情、工情、险情零汇报制度，险情上报、通报的方式一般采用书面形式汇报，遇重大险情可电话汇报。险情上报、通报的程序：险情发生后，要按照分级负责、条块结合，逐级向上汇报。水库防汛领导小组得到洪水灾害报告后，应及时向泉港区防汛防旱指挥部和泉州市防汛抗旱指挥部汇报。</w:t>
      </w:r>
    </w:p>
    <w:p w14:paraId="0D33922F">
      <w:pPr>
        <w:widowControl/>
        <w:spacing w:line="360" w:lineRule="auto"/>
        <w:ind w:firstLine="560"/>
        <w:rPr>
          <w:rFonts w:eastAsia="楷体"/>
          <w:color w:val="auto"/>
          <w:sz w:val="32"/>
          <w:szCs w:val="32"/>
          <w:highlight w:val="none"/>
        </w:rPr>
      </w:pPr>
    </w:p>
    <w:p w14:paraId="43148371">
      <w:pPr>
        <w:widowControl/>
        <w:spacing w:line="360" w:lineRule="auto"/>
        <w:ind w:firstLine="560"/>
        <w:rPr>
          <w:rFonts w:eastAsia="楷体"/>
          <w:color w:val="auto"/>
          <w:sz w:val="32"/>
          <w:szCs w:val="32"/>
          <w:highlight w:val="none"/>
        </w:rPr>
      </w:pPr>
    </w:p>
    <w:p w14:paraId="78DDC17D">
      <w:pPr>
        <w:adjustRightInd w:val="0"/>
        <w:snapToGrid w:val="0"/>
        <w:spacing w:line="520" w:lineRule="exact"/>
        <w:jc w:val="center"/>
        <w:outlineLvl w:val="0"/>
        <w:rPr>
          <w:rStyle w:val="46"/>
          <w:rFonts w:eastAsia="楷体"/>
          <w:b/>
          <w:bCs/>
          <w:color w:val="auto"/>
          <w:sz w:val="36"/>
          <w:szCs w:val="36"/>
          <w:highlight w:val="none"/>
        </w:rPr>
      </w:pPr>
      <w:bookmarkStart w:id="46" w:name="_Toc4797"/>
      <w:r>
        <w:rPr>
          <w:rStyle w:val="46"/>
          <w:rFonts w:eastAsia="楷体"/>
          <w:b/>
          <w:bCs/>
          <w:color w:val="auto"/>
          <w:sz w:val="36"/>
          <w:szCs w:val="36"/>
          <w:highlight w:val="none"/>
        </w:rPr>
        <w:t>5 险情抢护</w:t>
      </w:r>
      <w:bookmarkEnd w:id="46"/>
    </w:p>
    <w:p w14:paraId="08B39183">
      <w:pPr>
        <w:spacing w:before="156" w:beforeLines="50" w:after="156" w:afterLines="50"/>
        <w:outlineLvl w:val="1"/>
        <w:rPr>
          <w:rFonts w:eastAsia="楷体"/>
          <w:b/>
          <w:color w:val="auto"/>
          <w:sz w:val="32"/>
          <w:szCs w:val="30"/>
          <w:highlight w:val="none"/>
        </w:rPr>
      </w:pPr>
      <w:bookmarkStart w:id="47" w:name="_Toc15232"/>
      <w:r>
        <w:rPr>
          <w:rFonts w:eastAsia="楷体"/>
          <w:b/>
          <w:color w:val="auto"/>
          <w:sz w:val="32"/>
          <w:szCs w:val="30"/>
          <w:highlight w:val="none"/>
        </w:rPr>
        <w:t>5.1 抢险调度</w:t>
      </w:r>
      <w:bookmarkEnd w:id="47"/>
    </w:p>
    <w:p w14:paraId="763C33ED">
      <w:pPr>
        <w:spacing w:line="520" w:lineRule="exact"/>
        <w:ind w:firstLine="560" w:firstLineChars="200"/>
        <w:rPr>
          <w:rFonts w:eastAsia="楷体"/>
          <w:color w:val="auto"/>
          <w:sz w:val="28"/>
          <w:szCs w:val="28"/>
          <w:highlight w:val="none"/>
        </w:rPr>
      </w:pPr>
      <w:r>
        <w:rPr>
          <w:rFonts w:eastAsia="楷体"/>
          <w:color w:val="auto"/>
          <w:sz w:val="28"/>
          <w:szCs w:val="28"/>
          <w:highlight w:val="none"/>
        </w:rPr>
        <w:t>四清水库运行期间管理处人员应加强水库的管理和巡查，在巡查中发现险情，应将险情发生部位、范围、原因等具体情况以最有效的方式向水库防洪抢险应急指挥部汇报。当水库水位未超过汛限水位时，应做好对发生险情部位的监测和保护，防止险情进一步扩大，并积极组织抢险人员排除险情，一旦库水位超过汛限水位时，与市防办取得联系并下达开闸泄洪指令，管理处工情执行小组应立即执行指令开闸泄洪，确保水库工程安全，同时要向上级主管部门汇报，迅速组织相关人员对险情周围的群众进行疏散、转移，以免群众遭受不必要的损失。为保证泄洪时下游的安全。水库抢险、行洪调度指令严格按调度审批程序进行。</w:t>
      </w:r>
    </w:p>
    <w:p w14:paraId="6656A75D">
      <w:pPr>
        <w:spacing w:before="156" w:beforeLines="50" w:after="156" w:afterLines="50"/>
        <w:outlineLvl w:val="1"/>
        <w:rPr>
          <w:rFonts w:eastAsia="楷体"/>
          <w:b/>
          <w:color w:val="auto"/>
          <w:sz w:val="32"/>
          <w:szCs w:val="30"/>
          <w:highlight w:val="none"/>
        </w:rPr>
      </w:pPr>
      <w:bookmarkStart w:id="48" w:name="_Toc20185"/>
      <w:r>
        <w:rPr>
          <w:rFonts w:eastAsia="楷体"/>
          <w:b/>
          <w:color w:val="auto"/>
          <w:sz w:val="32"/>
          <w:szCs w:val="30"/>
          <w:highlight w:val="none"/>
        </w:rPr>
        <w:t>5.2抢险措施</w:t>
      </w:r>
      <w:bookmarkEnd w:id="48"/>
    </w:p>
    <w:p w14:paraId="68F2AF0C">
      <w:pPr>
        <w:spacing w:line="520" w:lineRule="exact"/>
        <w:ind w:firstLine="560" w:firstLineChars="200"/>
        <w:rPr>
          <w:rFonts w:eastAsia="楷体"/>
          <w:color w:val="auto"/>
          <w:sz w:val="28"/>
          <w:szCs w:val="28"/>
          <w:highlight w:val="none"/>
        </w:rPr>
      </w:pPr>
      <w:r>
        <w:rPr>
          <w:rFonts w:eastAsia="楷体"/>
          <w:color w:val="auto"/>
          <w:sz w:val="28"/>
          <w:szCs w:val="28"/>
          <w:highlight w:val="none"/>
        </w:rPr>
        <w:t>若水库发生如下险情时，由市水利局负责现场抢险部位的技术指导。</w:t>
      </w:r>
    </w:p>
    <w:p w14:paraId="25E4BF80">
      <w:pPr>
        <w:spacing w:before="156" w:beforeLines="50" w:after="156" w:afterLines="50"/>
        <w:outlineLvl w:val="2"/>
        <w:rPr>
          <w:rFonts w:eastAsia="楷体"/>
          <w:b/>
          <w:bCs/>
          <w:color w:val="auto"/>
          <w:sz w:val="32"/>
          <w:szCs w:val="30"/>
          <w:highlight w:val="none"/>
        </w:rPr>
      </w:pPr>
      <w:r>
        <w:rPr>
          <w:rFonts w:eastAsia="楷体"/>
          <w:b/>
          <w:bCs/>
          <w:color w:val="auto"/>
          <w:sz w:val="32"/>
          <w:szCs w:val="30"/>
          <w:highlight w:val="none"/>
        </w:rPr>
        <w:t>5.2.1水库大坝坝体发生漏洞时应急抢险措施</w:t>
      </w:r>
    </w:p>
    <w:p w14:paraId="414A8072">
      <w:pPr>
        <w:spacing w:line="520" w:lineRule="exact"/>
        <w:ind w:firstLine="560" w:firstLineChars="200"/>
        <w:rPr>
          <w:rFonts w:eastAsia="楷体"/>
          <w:color w:val="auto"/>
          <w:sz w:val="28"/>
          <w:szCs w:val="28"/>
          <w:highlight w:val="none"/>
        </w:rPr>
      </w:pPr>
      <w:r>
        <w:rPr>
          <w:rFonts w:eastAsia="楷体"/>
          <w:color w:val="auto"/>
          <w:sz w:val="28"/>
          <w:szCs w:val="28"/>
          <w:highlight w:val="none"/>
        </w:rPr>
        <w:t>1.出现漏洞时应及时查清发生漏洞部位，并上报水库防洪抢险应急指挥部。</w:t>
      </w:r>
    </w:p>
    <w:p w14:paraId="67E232F2">
      <w:pPr>
        <w:spacing w:line="520" w:lineRule="exact"/>
        <w:ind w:firstLine="560" w:firstLineChars="200"/>
        <w:rPr>
          <w:rFonts w:eastAsia="楷体"/>
          <w:color w:val="auto"/>
          <w:sz w:val="28"/>
          <w:szCs w:val="28"/>
          <w:highlight w:val="none"/>
        </w:rPr>
      </w:pPr>
      <w:r>
        <w:rPr>
          <w:rFonts w:eastAsia="楷体"/>
          <w:color w:val="auto"/>
          <w:sz w:val="28"/>
          <w:szCs w:val="28"/>
          <w:highlight w:val="none"/>
        </w:rPr>
        <w:t>2.组织抢险人员在大坝迎水面抛填砂袋、块石封堵漏洞入口防止库水继续渗入，提高坝体与坝基的防渗能力；在大坝下游做好导流设施，防止险情进一步扩大。</w:t>
      </w:r>
    </w:p>
    <w:p w14:paraId="03398897">
      <w:pPr>
        <w:spacing w:line="520" w:lineRule="exact"/>
        <w:ind w:firstLine="560" w:firstLineChars="200"/>
        <w:rPr>
          <w:rFonts w:eastAsia="楷体"/>
          <w:color w:val="auto"/>
          <w:sz w:val="28"/>
          <w:szCs w:val="28"/>
          <w:highlight w:val="none"/>
        </w:rPr>
      </w:pPr>
      <w:r>
        <w:rPr>
          <w:rFonts w:eastAsia="楷体"/>
          <w:color w:val="auto"/>
          <w:sz w:val="28"/>
          <w:szCs w:val="28"/>
          <w:highlight w:val="none"/>
        </w:rPr>
        <w:t>3.条件允许的情况下开启泄洪设施降低库水位，保证抢险工作顺利进行。</w:t>
      </w:r>
    </w:p>
    <w:p w14:paraId="08C7F9AB">
      <w:pPr>
        <w:spacing w:line="520" w:lineRule="exact"/>
        <w:ind w:firstLine="560" w:firstLineChars="200"/>
        <w:rPr>
          <w:rFonts w:eastAsia="楷体"/>
          <w:color w:val="auto"/>
          <w:sz w:val="28"/>
          <w:szCs w:val="28"/>
          <w:highlight w:val="none"/>
        </w:rPr>
      </w:pPr>
      <w:r>
        <w:rPr>
          <w:rFonts w:eastAsia="楷体"/>
          <w:color w:val="auto"/>
          <w:sz w:val="28"/>
          <w:szCs w:val="28"/>
          <w:highlight w:val="none"/>
        </w:rPr>
        <w:t>4.拉响防洪警报，及时转移和疏散区域内的群众，保障人民生命、财产安全。</w:t>
      </w:r>
    </w:p>
    <w:p w14:paraId="7B203E2B">
      <w:pPr>
        <w:spacing w:line="520" w:lineRule="exact"/>
        <w:ind w:firstLine="560" w:firstLineChars="200"/>
        <w:rPr>
          <w:rFonts w:eastAsia="楷体"/>
          <w:color w:val="auto"/>
          <w:sz w:val="28"/>
          <w:szCs w:val="28"/>
          <w:highlight w:val="none"/>
        </w:rPr>
      </w:pPr>
      <w:r>
        <w:rPr>
          <w:rFonts w:eastAsia="楷体"/>
          <w:color w:val="auto"/>
          <w:sz w:val="28"/>
          <w:szCs w:val="28"/>
          <w:highlight w:val="none"/>
        </w:rPr>
        <w:t>5.险情排除后，工程管理单位应加强防洪期间的日常管理并派专人负责，防止再次出现险情。</w:t>
      </w:r>
    </w:p>
    <w:p w14:paraId="356B1BA2">
      <w:pPr>
        <w:spacing w:before="156" w:beforeLines="50" w:after="156" w:afterLines="50"/>
        <w:outlineLvl w:val="2"/>
        <w:rPr>
          <w:rFonts w:eastAsia="楷体"/>
          <w:b/>
          <w:bCs/>
          <w:color w:val="auto"/>
          <w:sz w:val="32"/>
          <w:szCs w:val="30"/>
          <w:highlight w:val="none"/>
        </w:rPr>
      </w:pPr>
      <w:r>
        <w:rPr>
          <w:rFonts w:eastAsia="楷体"/>
          <w:b/>
          <w:bCs/>
          <w:color w:val="auto"/>
          <w:sz w:val="32"/>
          <w:szCs w:val="30"/>
          <w:highlight w:val="none"/>
        </w:rPr>
        <w:t>5.2.2 水库大坝上游发生滑坡时应急抢险措施</w:t>
      </w:r>
    </w:p>
    <w:p w14:paraId="1CB82191">
      <w:pPr>
        <w:spacing w:line="520" w:lineRule="exact"/>
        <w:ind w:firstLine="560" w:firstLineChars="200"/>
        <w:rPr>
          <w:rFonts w:eastAsia="楷体"/>
          <w:color w:val="auto"/>
          <w:sz w:val="28"/>
          <w:szCs w:val="28"/>
          <w:highlight w:val="none"/>
        </w:rPr>
      </w:pPr>
      <w:r>
        <w:rPr>
          <w:rFonts w:eastAsia="楷体"/>
          <w:color w:val="auto"/>
          <w:sz w:val="28"/>
          <w:szCs w:val="28"/>
          <w:highlight w:val="none"/>
        </w:rPr>
        <w:t>1.出现滑坡时应及时查清原因，并上报水库防洪抢险应急指挥部。</w:t>
      </w:r>
    </w:p>
    <w:p w14:paraId="2B248796">
      <w:pPr>
        <w:spacing w:line="520" w:lineRule="exact"/>
        <w:ind w:firstLine="560" w:firstLineChars="200"/>
        <w:rPr>
          <w:rFonts w:eastAsia="楷体"/>
          <w:color w:val="auto"/>
          <w:sz w:val="28"/>
          <w:szCs w:val="28"/>
          <w:highlight w:val="none"/>
        </w:rPr>
      </w:pPr>
      <w:r>
        <w:rPr>
          <w:rFonts w:eastAsia="楷体"/>
          <w:color w:val="auto"/>
          <w:sz w:val="28"/>
          <w:szCs w:val="28"/>
          <w:highlight w:val="none"/>
        </w:rPr>
        <w:t>2.因库水位骤降而引起的滑坡时，应立即停止放水或减缓放水速度，在不影响防汛安全的前提下，可在滑坡体上部削坡减载，在可能的滑坡底部位置抛投砂袋、石料进行压重固脚。</w:t>
      </w:r>
    </w:p>
    <w:p w14:paraId="05AD91C3">
      <w:pPr>
        <w:spacing w:line="520" w:lineRule="exact"/>
        <w:ind w:firstLine="560" w:firstLineChars="200"/>
        <w:rPr>
          <w:rFonts w:eastAsia="楷体"/>
          <w:color w:val="auto"/>
          <w:sz w:val="28"/>
          <w:szCs w:val="28"/>
          <w:highlight w:val="none"/>
        </w:rPr>
      </w:pPr>
      <w:r>
        <w:rPr>
          <w:rFonts w:eastAsia="楷体"/>
          <w:color w:val="auto"/>
          <w:sz w:val="28"/>
          <w:szCs w:val="28"/>
          <w:highlight w:val="none"/>
        </w:rPr>
        <w:t>3.在高水位作用下发生滑坡时，应开启泄洪设施尽可能降低库水位，但同时也要控制好库水降落的速度，防止因库水位骤降而影响上游坝坡的稳定。</w:t>
      </w:r>
    </w:p>
    <w:p w14:paraId="42D40531">
      <w:pPr>
        <w:spacing w:line="520" w:lineRule="exact"/>
        <w:ind w:firstLine="560" w:firstLineChars="200"/>
        <w:rPr>
          <w:rFonts w:eastAsia="楷体"/>
          <w:color w:val="auto"/>
          <w:sz w:val="28"/>
          <w:szCs w:val="28"/>
          <w:highlight w:val="none"/>
        </w:rPr>
      </w:pPr>
      <w:r>
        <w:rPr>
          <w:rFonts w:eastAsia="楷体"/>
          <w:color w:val="auto"/>
          <w:sz w:val="28"/>
          <w:szCs w:val="28"/>
          <w:highlight w:val="none"/>
        </w:rPr>
        <w:t>4.及时转移和疏散区域内的群众，保障人民生命、财产安全。</w:t>
      </w:r>
    </w:p>
    <w:p w14:paraId="36D4E892">
      <w:pPr>
        <w:spacing w:line="520" w:lineRule="exact"/>
        <w:ind w:firstLine="560" w:firstLineChars="200"/>
        <w:rPr>
          <w:rFonts w:eastAsia="楷体"/>
          <w:color w:val="auto"/>
          <w:sz w:val="28"/>
          <w:szCs w:val="28"/>
          <w:highlight w:val="none"/>
        </w:rPr>
      </w:pPr>
      <w:r>
        <w:rPr>
          <w:rFonts w:eastAsia="楷体"/>
          <w:color w:val="auto"/>
          <w:sz w:val="28"/>
          <w:szCs w:val="28"/>
          <w:highlight w:val="none"/>
        </w:rPr>
        <w:t>5.险情排除后，工程管理单位应加强防洪期间的日常管理并派专人负责，防止再次出现险情。</w:t>
      </w:r>
    </w:p>
    <w:p w14:paraId="42609916">
      <w:pPr>
        <w:spacing w:before="156" w:beforeLines="50" w:after="156" w:afterLines="50"/>
        <w:outlineLvl w:val="2"/>
        <w:rPr>
          <w:rFonts w:eastAsia="楷体"/>
          <w:b/>
          <w:bCs/>
          <w:color w:val="auto"/>
          <w:sz w:val="32"/>
          <w:szCs w:val="30"/>
          <w:highlight w:val="none"/>
        </w:rPr>
      </w:pPr>
      <w:r>
        <w:rPr>
          <w:rFonts w:eastAsia="楷体"/>
          <w:b/>
          <w:bCs/>
          <w:color w:val="auto"/>
          <w:sz w:val="32"/>
          <w:szCs w:val="30"/>
          <w:highlight w:val="none"/>
        </w:rPr>
        <w:t>5.2.3 发生超标准洪水应急抢险措施</w:t>
      </w:r>
    </w:p>
    <w:p w14:paraId="1AD02271">
      <w:pPr>
        <w:spacing w:line="520" w:lineRule="exact"/>
        <w:ind w:firstLine="560" w:firstLineChars="200"/>
        <w:rPr>
          <w:rFonts w:eastAsia="楷体"/>
          <w:color w:val="auto"/>
          <w:sz w:val="28"/>
          <w:szCs w:val="28"/>
          <w:highlight w:val="none"/>
        </w:rPr>
      </w:pPr>
      <w:r>
        <w:rPr>
          <w:rFonts w:eastAsia="楷体"/>
          <w:color w:val="auto"/>
          <w:sz w:val="28"/>
          <w:szCs w:val="28"/>
          <w:highlight w:val="none"/>
        </w:rPr>
        <w:t>1.出现超过设计的校核防洪标准的洪水时，应及时上报水库防洪抢险应急指挥部。</w:t>
      </w:r>
    </w:p>
    <w:p w14:paraId="269133AE">
      <w:pPr>
        <w:spacing w:line="520" w:lineRule="exact"/>
        <w:ind w:firstLine="560" w:firstLineChars="200"/>
        <w:rPr>
          <w:rFonts w:eastAsia="楷体"/>
          <w:color w:val="auto"/>
          <w:sz w:val="28"/>
          <w:szCs w:val="28"/>
          <w:highlight w:val="none"/>
        </w:rPr>
      </w:pPr>
      <w:r>
        <w:rPr>
          <w:rFonts w:eastAsia="楷体"/>
          <w:color w:val="auto"/>
          <w:sz w:val="28"/>
          <w:szCs w:val="28"/>
          <w:highlight w:val="none"/>
        </w:rPr>
        <w:t>2.选择适宜的山凹破口泄洪，保障大坝避免洪水漫溢而发生溃决事故。</w:t>
      </w:r>
    </w:p>
    <w:p w14:paraId="36973932">
      <w:pPr>
        <w:spacing w:line="520" w:lineRule="exact"/>
        <w:ind w:firstLine="560" w:firstLineChars="200"/>
        <w:rPr>
          <w:rFonts w:eastAsia="楷体"/>
          <w:color w:val="auto"/>
          <w:sz w:val="28"/>
          <w:szCs w:val="28"/>
          <w:highlight w:val="none"/>
        </w:rPr>
      </w:pPr>
      <w:r>
        <w:rPr>
          <w:rFonts w:eastAsia="楷体"/>
          <w:color w:val="auto"/>
          <w:sz w:val="28"/>
          <w:szCs w:val="28"/>
          <w:highlight w:val="none"/>
        </w:rPr>
        <w:t>3.及时转移和疏散泄洪区域内的群众，确保人民群众生命、财产安全。</w:t>
      </w:r>
    </w:p>
    <w:p w14:paraId="29BBE56D">
      <w:pPr>
        <w:spacing w:before="156" w:beforeLines="50" w:after="156" w:afterLines="50"/>
        <w:outlineLvl w:val="2"/>
        <w:rPr>
          <w:rFonts w:eastAsia="楷体"/>
          <w:b/>
          <w:bCs/>
          <w:color w:val="auto"/>
          <w:sz w:val="32"/>
          <w:szCs w:val="30"/>
          <w:highlight w:val="none"/>
        </w:rPr>
      </w:pPr>
      <w:r>
        <w:rPr>
          <w:rFonts w:eastAsia="楷体"/>
          <w:b/>
          <w:bCs/>
          <w:color w:val="auto"/>
          <w:sz w:val="32"/>
          <w:szCs w:val="30"/>
          <w:highlight w:val="none"/>
        </w:rPr>
        <w:t>5.2.4 发生库区山体滑坡导致水库水位严重壅高等危及大坝安全的险情抢险措施</w:t>
      </w:r>
    </w:p>
    <w:p w14:paraId="7D6124B2">
      <w:pPr>
        <w:spacing w:line="520" w:lineRule="exact"/>
        <w:ind w:firstLine="560" w:firstLineChars="200"/>
        <w:rPr>
          <w:rFonts w:eastAsia="楷体"/>
          <w:color w:val="auto"/>
          <w:sz w:val="28"/>
          <w:szCs w:val="28"/>
          <w:highlight w:val="none"/>
        </w:rPr>
      </w:pPr>
      <w:r>
        <w:rPr>
          <w:rFonts w:eastAsia="楷体"/>
          <w:color w:val="auto"/>
          <w:sz w:val="28"/>
          <w:szCs w:val="28"/>
          <w:highlight w:val="none"/>
        </w:rPr>
        <w:t>1.出现库区山体滑坡导致水库水位严重壅高等危及大坝安全的险情时，应及时上报水库防洪应急指挥部。</w:t>
      </w:r>
    </w:p>
    <w:p w14:paraId="49F4D5B7">
      <w:pPr>
        <w:spacing w:line="520" w:lineRule="exact"/>
        <w:ind w:firstLine="560" w:firstLineChars="200"/>
        <w:rPr>
          <w:rFonts w:eastAsia="楷体"/>
          <w:color w:val="auto"/>
          <w:sz w:val="28"/>
          <w:szCs w:val="28"/>
          <w:highlight w:val="none"/>
        </w:rPr>
      </w:pPr>
      <w:r>
        <w:rPr>
          <w:rFonts w:eastAsia="楷体"/>
          <w:color w:val="auto"/>
          <w:sz w:val="28"/>
          <w:szCs w:val="28"/>
          <w:highlight w:val="none"/>
        </w:rPr>
        <w:t>2.提前降低库水位，保障水库的安全运行。</w:t>
      </w:r>
    </w:p>
    <w:p w14:paraId="6574BD1F">
      <w:pPr>
        <w:spacing w:line="520" w:lineRule="exact"/>
        <w:ind w:firstLine="560" w:firstLineChars="200"/>
        <w:rPr>
          <w:rFonts w:eastAsia="楷体"/>
          <w:color w:val="auto"/>
          <w:sz w:val="28"/>
          <w:szCs w:val="28"/>
          <w:highlight w:val="none"/>
        </w:rPr>
      </w:pPr>
      <w:r>
        <w:rPr>
          <w:rFonts w:eastAsia="楷体"/>
          <w:color w:val="auto"/>
          <w:sz w:val="28"/>
          <w:szCs w:val="28"/>
          <w:highlight w:val="none"/>
        </w:rPr>
        <w:t>3.开启泄洪设施仍不能有效降低库水位时，选择适宜的山凹破口泄洪，保障水库及大坝的安全。</w:t>
      </w:r>
    </w:p>
    <w:p w14:paraId="7506878B">
      <w:pPr>
        <w:spacing w:line="520" w:lineRule="exact"/>
        <w:ind w:firstLine="560" w:firstLineChars="200"/>
        <w:rPr>
          <w:rFonts w:eastAsia="楷体"/>
          <w:color w:val="auto"/>
          <w:sz w:val="28"/>
          <w:szCs w:val="28"/>
          <w:highlight w:val="none"/>
        </w:rPr>
      </w:pPr>
      <w:r>
        <w:rPr>
          <w:rFonts w:eastAsia="楷体"/>
          <w:color w:val="auto"/>
          <w:sz w:val="28"/>
          <w:szCs w:val="28"/>
          <w:highlight w:val="none"/>
        </w:rPr>
        <w:t>4.为防止再次滑坡，在滑坡体外围布置排水沟槽，截断流至滑坡体上水流，确保滑坡体的稳定。</w:t>
      </w:r>
    </w:p>
    <w:p w14:paraId="0322A0DF">
      <w:pPr>
        <w:spacing w:line="520" w:lineRule="exact"/>
        <w:ind w:firstLine="560" w:firstLineChars="200"/>
        <w:rPr>
          <w:rFonts w:eastAsia="楷体"/>
          <w:color w:val="auto"/>
          <w:sz w:val="28"/>
          <w:szCs w:val="28"/>
          <w:highlight w:val="none"/>
        </w:rPr>
      </w:pPr>
      <w:r>
        <w:rPr>
          <w:rFonts w:eastAsia="楷体"/>
          <w:color w:val="auto"/>
          <w:sz w:val="28"/>
          <w:szCs w:val="28"/>
          <w:highlight w:val="none"/>
        </w:rPr>
        <w:t>5.对滑坡体进行削坡、减载，防止滑坡体产生进一步的滑动。</w:t>
      </w:r>
    </w:p>
    <w:p w14:paraId="515F87CE">
      <w:pPr>
        <w:spacing w:line="520" w:lineRule="exact"/>
        <w:ind w:firstLine="560" w:firstLineChars="200"/>
        <w:rPr>
          <w:rFonts w:eastAsia="楷体"/>
          <w:color w:val="auto"/>
          <w:sz w:val="28"/>
          <w:szCs w:val="28"/>
          <w:highlight w:val="none"/>
        </w:rPr>
      </w:pPr>
      <w:r>
        <w:rPr>
          <w:rFonts w:eastAsia="楷体"/>
          <w:color w:val="auto"/>
          <w:sz w:val="28"/>
          <w:szCs w:val="28"/>
          <w:highlight w:val="none"/>
        </w:rPr>
        <w:t>6.及时转移和疏散滑坡体周围的群众安全撤离，将险情带来的危害降低到最小程度。</w:t>
      </w:r>
    </w:p>
    <w:p w14:paraId="026D8DCE">
      <w:pPr>
        <w:spacing w:before="156" w:beforeLines="50" w:after="156" w:afterLines="50"/>
        <w:outlineLvl w:val="2"/>
        <w:rPr>
          <w:rFonts w:eastAsia="楷体"/>
          <w:b/>
          <w:bCs/>
          <w:color w:val="auto"/>
          <w:sz w:val="32"/>
          <w:szCs w:val="30"/>
          <w:highlight w:val="none"/>
        </w:rPr>
      </w:pPr>
      <w:r>
        <w:rPr>
          <w:rFonts w:eastAsia="楷体"/>
          <w:b/>
          <w:bCs/>
          <w:color w:val="auto"/>
          <w:sz w:val="32"/>
          <w:szCs w:val="30"/>
          <w:highlight w:val="none"/>
        </w:rPr>
        <w:t>5.2.5 发生溃坝应急抢险措施</w:t>
      </w:r>
    </w:p>
    <w:p w14:paraId="242D1CF8">
      <w:pPr>
        <w:spacing w:line="520" w:lineRule="exact"/>
        <w:ind w:firstLine="560" w:firstLineChars="200"/>
        <w:rPr>
          <w:rFonts w:hint="eastAsia" w:eastAsia="楷体"/>
          <w:color w:val="auto"/>
          <w:sz w:val="28"/>
          <w:szCs w:val="28"/>
          <w:highlight w:val="none"/>
          <w:lang w:eastAsia="zh-CN"/>
        </w:rPr>
      </w:pPr>
      <w:r>
        <w:rPr>
          <w:rFonts w:eastAsia="楷体"/>
          <w:color w:val="auto"/>
          <w:sz w:val="28"/>
          <w:szCs w:val="28"/>
          <w:highlight w:val="none"/>
        </w:rPr>
        <w:t>根据溃坝洪水演算成果分析，溃口坝址最大流量为</w:t>
      </w:r>
      <w:r>
        <w:rPr>
          <w:rFonts w:hint="eastAsia" w:eastAsia="楷体"/>
          <w:color w:val="auto"/>
          <w:sz w:val="28"/>
          <w:szCs w:val="28"/>
          <w:highlight w:val="none"/>
          <w:lang w:val="en-US" w:eastAsia="zh-CN"/>
        </w:rPr>
        <w:t>3590</w:t>
      </w:r>
      <w:r>
        <w:rPr>
          <w:rFonts w:eastAsia="楷体"/>
          <w:color w:val="auto"/>
          <w:sz w:val="28"/>
          <w:szCs w:val="28"/>
          <w:highlight w:val="none"/>
        </w:rPr>
        <w:t>m</w:t>
      </w:r>
      <w:r>
        <w:rPr>
          <w:rFonts w:eastAsia="楷体"/>
          <w:color w:val="auto"/>
          <w:sz w:val="28"/>
          <w:szCs w:val="28"/>
          <w:highlight w:val="none"/>
          <w:vertAlign w:val="superscript"/>
        </w:rPr>
        <w:t>3</w:t>
      </w:r>
      <w:r>
        <w:rPr>
          <w:rFonts w:eastAsia="楷体"/>
          <w:color w:val="auto"/>
          <w:sz w:val="28"/>
          <w:szCs w:val="28"/>
          <w:highlight w:val="none"/>
        </w:rPr>
        <w:t>/s，可导致下游附近镇村被淹没，在接到撤离通知后相关部门应及时组织车辆、人员将淹没区内的群众在洪峰到达前撤离至安全高程以上，具体撤离方式和路线由地方防办制定并组织执行。</w:t>
      </w:r>
    </w:p>
    <w:p w14:paraId="03B94A52">
      <w:pPr>
        <w:spacing w:line="520" w:lineRule="exact"/>
        <w:ind w:firstLine="560" w:firstLineChars="200"/>
        <w:rPr>
          <w:rFonts w:hint="eastAsia" w:eastAsia="楷体"/>
          <w:color w:val="auto"/>
          <w:sz w:val="28"/>
          <w:szCs w:val="28"/>
          <w:highlight w:val="none"/>
          <w:lang w:eastAsia="zh-CN"/>
        </w:rPr>
      </w:pPr>
      <w:r>
        <w:rPr>
          <w:rFonts w:eastAsia="楷体"/>
          <w:color w:val="auto"/>
          <w:sz w:val="28"/>
          <w:szCs w:val="28"/>
          <w:highlight w:val="none"/>
        </w:rPr>
        <w:t>如果出现超标准洪水重大突发事件，危及大坝的安全时，向社会发布紧急状态应采取以下预警措施：一是利用宣传媒体通过有线广播和电视台来发布；二是采用流动车宣传沿着水库下村庄进行广播；三是组成预警小组采用话筒深入到偏僻的村寨进行宣传；四是拉警报器或沿途敲锣打鼓进行预警。水库抢险队伍人员按照“水库防汛抢险应急预案”立即到位上岗，全力投入抗洪抢险，尽最大能力确保大坝的安全，减少洪水的危害，把下游人民群众的生命财产安全放在首位，力争把损失降到最低限度。</w:t>
      </w:r>
    </w:p>
    <w:p w14:paraId="17DABAFB">
      <w:pPr>
        <w:spacing w:line="520" w:lineRule="exact"/>
        <w:ind w:firstLine="560" w:firstLineChars="200"/>
        <w:rPr>
          <w:rFonts w:hint="eastAsia" w:eastAsia="楷体"/>
          <w:color w:val="auto"/>
          <w:sz w:val="28"/>
          <w:szCs w:val="28"/>
          <w:highlight w:val="none"/>
          <w:lang w:eastAsia="zh-CN"/>
        </w:rPr>
      </w:pPr>
      <w:r>
        <w:rPr>
          <w:rFonts w:eastAsia="楷体"/>
          <w:color w:val="auto"/>
          <w:sz w:val="28"/>
          <w:szCs w:val="28"/>
          <w:highlight w:val="none"/>
        </w:rPr>
        <w:t>1.警报形式</w:t>
      </w:r>
    </w:p>
    <w:p w14:paraId="3D2DE893">
      <w:pPr>
        <w:spacing w:line="520" w:lineRule="exact"/>
        <w:ind w:firstLine="560" w:firstLineChars="200"/>
        <w:rPr>
          <w:rFonts w:hint="eastAsia" w:eastAsia="楷体"/>
          <w:color w:val="auto"/>
          <w:sz w:val="28"/>
          <w:szCs w:val="28"/>
          <w:highlight w:val="none"/>
          <w:lang w:eastAsia="zh-CN"/>
        </w:rPr>
      </w:pPr>
      <w:r>
        <w:rPr>
          <w:rFonts w:eastAsia="楷体"/>
          <w:color w:val="auto"/>
          <w:sz w:val="28"/>
          <w:szCs w:val="28"/>
          <w:highlight w:val="none"/>
        </w:rPr>
        <w:t>由泉港区防汛指挥部受权给广播电视部门向社会发出警报，采用广播、电视台、发信号弹。</w:t>
      </w:r>
    </w:p>
    <w:p w14:paraId="6B013324">
      <w:pPr>
        <w:spacing w:line="520" w:lineRule="exact"/>
        <w:ind w:firstLine="560" w:firstLineChars="200"/>
        <w:rPr>
          <w:rFonts w:hint="eastAsia" w:eastAsia="楷体"/>
          <w:color w:val="auto"/>
          <w:sz w:val="28"/>
          <w:szCs w:val="28"/>
          <w:highlight w:val="none"/>
          <w:lang w:eastAsia="zh-CN"/>
        </w:rPr>
      </w:pPr>
      <w:r>
        <w:rPr>
          <w:rFonts w:eastAsia="楷体"/>
          <w:color w:val="auto"/>
          <w:sz w:val="28"/>
          <w:szCs w:val="28"/>
          <w:highlight w:val="none"/>
        </w:rPr>
        <w:t xml:space="preserve"> 2.出险标志</w:t>
      </w:r>
    </w:p>
    <w:p w14:paraId="1E6C5827">
      <w:pPr>
        <w:spacing w:line="520" w:lineRule="exact"/>
        <w:ind w:firstLine="560" w:firstLineChars="200"/>
        <w:rPr>
          <w:rFonts w:hint="eastAsia" w:eastAsia="楷体"/>
          <w:color w:val="auto"/>
          <w:sz w:val="28"/>
          <w:szCs w:val="28"/>
          <w:highlight w:val="none"/>
          <w:lang w:eastAsia="zh-CN"/>
        </w:rPr>
      </w:pPr>
      <w:r>
        <w:rPr>
          <w:rFonts w:eastAsia="楷体"/>
          <w:color w:val="auto"/>
          <w:sz w:val="28"/>
          <w:szCs w:val="28"/>
          <w:highlight w:val="none"/>
        </w:rPr>
        <w:t xml:space="preserve"> 在险段部位用小红旗围住四周，在夜间可采用灯光预警提示。</w:t>
      </w:r>
    </w:p>
    <w:p w14:paraId="54B41844">
      <w:pPr>
        <w:spacing w:line="520" w:lineRule="exact"/>
        <w:ind w:firstLine="560" w:firstLineChars="200"/>
        <w:rPr>
          <w:rFonts w:hint="eastAsia" w:eastAsia="楷体"/>
          <w:color w:val="auto"/>
          <w:sz w:val="28"/>
          <w:szCs w:val="28"/>
          <w:highlight w:val="none"/>
          <w:lang w:eastAsia="zh-CN"/>
        </w:rPr>
      </w:pPr>
      <w:r>
        <w:rPr>
          <w:rFonts w:eastAsia="楷体"/>
          <w:color w:val="auto"/>
          <w:sz w:val="28"/>
          <w:szCs w:val="28"/>
          <w:highlight w:val="none"/>
        </w:rPr>
        <w:t xml:space="preserve"> 3.解除警报</w:t>
      </w:r>
    </w:p>
    <w:p w14:paraId="40B58944">
      <w:pPr>
        <w:spacing w:line="520" w:lineRule="exact"/>
        <w:ind w:firstLine="560" w:firstLineChars="200"/>
        <w:rPr>
          <w:rFonts w:eastAsia="楷体"/>
          <w:color w:val="auto"/>
          <w:sz w:val="28"/>
          <w:szCs w:val="28"/>
          <w:highlight w:val="none"/>
        </w:rPr>
      </w:pPr>
      <w:r>
        <w:rPr>
          <w:rFonts w:eastAsia="楷体"/>
          <w:color w:val="auto"/>
          <w:sz w:val="28"/>
          <w:szCs w:val="28"/>
          <w:highlight w:val="none"/>
        </w:rPr>
        <w:t xml:space="preserve"> 警报解除时，由市防汛应急指挥部受权广播电视部门及有关乡镇通过电视、广播、发信号弹等形式，向社会宣布解除警报。</w:t>
      </w:r>
    </w:p>
    <w:p w14:paraId="027DD823">
      <w:pPr>
        <w:spacing w:line="520" w:lineRule="exact"/>
        <w:ind w:firstLine="560" w:firstLineChars="200"/>
        <w:rPr>
          <w:rFonts w:eastAsia="楷体"/>
          <w:color w:val="auto"/>
          <w:sz w:val="28"/>
          <w:szCs w:val="28"/>
          <w:highlight w:val="none"/>
        </w:rPr>
      </w:pPr>
    </w:p>
    <w:p w14:paraId="748F3DC5">
      <w:pPr>
        <w:spacing w:line="520" w:lineRule="exact"/>
        <w:outlineLvl w:val="1"/>
        <w:rPr>
          <w:rFonts w:eastAsia="楷体"/>
          <w:b/>
          <w:color w:val="auto"/>
          <w:sz w:val="32"/>
          <w:szCs w:val="30"/>
          <w:highlight w:val="none"/>
        </w:rPr>
      </w:pPr>
      <w:bookmarkStart w:id="49" w:name="_Toc8277"/>
      <w:r>
        <w:rPr>
          <w:rFonts w:eastAsia="楷体"/>
          <w:b/>
          <w:color w:val="auto"/>
          <w:sz w:val="32"/>
          <w:szCs w:val="30"/>
          <w:highlight w:val="none"/>
        </w:rPr>
        <w:t>5.3 应急转移</w:t>
      </w:r>
      <w:bookmarkEnd w:id="49"/>
    </w:p>
    <w:p w14:paraId="787A8824">
      <w:pPr>
        <w:spacing w:before="156" w:beforeLines="50" w:after="156" w:afterLines="50"/>
        <w:rPr>
          <w:rFonts w:eastAsia="楷体"/>
          <w:color w:val="auto"/>
          <w:sz w:val="32"/>
          <w:szCs w:val="30"/>
          <w:highlight w:val="none"/>
        </w:rPr>
      </w:pPr>
      <w:r>
        <w:rPr>
          <w:rFonts w:eastAsia="楷体"/>
          <w:b/>
          <w:bCs/>
          <w:color w:val="auto"/>
          <w:sz w:val="32"/>
          <w:szCs w:val="30"/>
          <w:highlight w:val="none"/>
        </w:rPr>
        <w:t>5.3.1转移安置方案</w:t>
      </w:r>
    </w:p>
    <w:p w14:paraId="65A2EFEE">
      <w:pPr>
        <w:spacing w:line="520" w:lineRule="exact"/>
        <w:ind w:firstLine="560" w:firstLineChars="200"/>
        <w:rPr>
          <w:rFonts w:eastAsia="楷体"/>
          <w:color w:val="auto"/>
          <w:sz w:val="28"/>
          <w:szCs w:val="28"/>
          <w:highlight w:val="none"/>
        </w:rPr>
      </w:pPr>
      <w:r>
        <w:rPr>
          <w:rFonts w:eastAsia="楷体"/>
          <w:color w:val="auto"/>
          <w:sz w:val="28"/>
          <w:szCs w:val="28"/>
          <w:highlight w:val="none"/>
        </w:rPr>
        <w:t>水库险情发生时，及时做好下游人员、财产的转移，保证人民生命财产的安全，车辆调度由民政局负责。根据险村、险户、人口的分布分别向不同的地点、方向转移，根据具体情况就近选择地势高的宽广的平地安置，按各乡镇“预案到乡、预警到村”具体方案进行人员转移和安置。</w:t>
      </w:r>
    </w:p>
    <w:p w14:paraId="4DAB6291">
      <w:pPr>
        <w:spacing w:before="156" w:beforeLines="50" w:after="156" w:afterLines="50"/>
        <w:rPr>
          <w:rFonts w:eastAsia="楷体"/>
          <w:color w:val="auto"/>
          <w:sz w:val="32"/>
          <w:szCs w:val="30"/>
          <w:highlight w:val="none"/>
        </w:rPr>
      </w:pPr>
      <w:r>
        <w:rPr>
          <w:rFonts w:eastAsia="楷体"/>
          <w:b/>
          <w:bCs/>
          <w:color w:val="auto"/>
          <w:sz w:val="32"/>
          <w:szCs w:val="30"/>
          <w:highlight w:val="none"/>
        </w:rPr>
        <w:t>5.3.2转移安置的组织实施</w:t>
      </w:r>
    </w:p>
    <w:p w14:paraId="16237387">
      <w:pPr>
        <w:spacing w:line="520" w:lineRule="exact"/>
        <w:ind w:firstLine="560" w:firstLineChars="200"/>
        <w:rPr>
          <w:rFonts w:eastAsia="楷体"/>
          <w:color w:val="auto"/>
          <w:sz w:val="28"/>
          <w:szCs w:val="28"/>
          <w:highlight w:val="none"/>
        </w:rPr>
      </w:pPr>
      <w:r>
        <w:rPr>
          <w:rFonts w:eastAsia="楷体"/>
          <w:color w:val="auto"/>
          <w:sz w:val="28"/>
          <w:szCs w:val="28"/>
          <w:highlight w:val="none"/>
        </w:rPr>
        <w:t>下游群众的转移，财产撤离由镇武装部负责。抢险现场的警戒、安全保卫、非防汛的车辆和人员进入由公安局具体负责，同时负责抢险期间枢纽工程建筑物、财产等的安全保卫工作。</w:t>
      </w:r>
    </w:p>
    <w:p w14:paraId="3A8F080B">
      <w:pPr>
        <w:widowControl/>
        <w:spacing w:line="520" w:lineRule="exact"/>
        <w:rPr>
          <w:rFonts w:eastAsia="楷体"/>
          <w:b/>
          <w:bCs/>
          <w:color w:val="auto"/>
          <w:kern w:val="0"/>
          <w:sz w:val="28"/>
          <w:szCs w:val="28"/>
          <w:highlight w:val="none"/>
        </w:rPr>
      </w:pPr>
      <w:r>
        <w:rPr>
          <w:rFonts w:eastAsia="楷体"/>
          <w:b/>
          <w:bCs/>
          <w:color w:val="auto"/>
          <w:kern w:val="0"/>
          <w:sz w:val="28"/>
          <w:szCs w:val="28"/>
          <w:highlight w:val="none"/>
        </w:rPr>
        <w:t xml:space="preserve">表5-1      </w:t>
      </w:r>
      <w:r>
        <w:rPr>
          <w:rFonts w:hint="eastAsia" w:eastAsia="楷体"/>
          <w:b/>
          <w:bCs/>
          <w:color w:val="auto"/>
          <w:kern w:val="0"/>
          <w:sz w:val="28"/>
          <w:szCs w:val="28"/>
          <w:highlight w:val="none"/>
        </w:rPr>
        <w:t xml:space="preserve">         </w:t>
      </w:r>
      <w:r>
        <w:rPr>
          <w:rFonts w:eastAsia="楷体"/>
          <w:b/>
          <w:bCs/>
          <w:color w:val="auto"/>
          <w:kern w:val="0"/>
          <w:sz w:val="28"/>
          <w:szCs w:val="28"/>
          <w:highlight w:val="none"/>
        </w:rPr>
        <w:t>各威胁区域撤退点一览表</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60"/>
        <w:gridCol w:w="4258"/>
        <w:gridCol w:w="1323"/>
      </w:tblGrid>
      <w:tr w14:paraId="33088A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noWrap w:val="0"/>
            <w:vAlign w:val="center"/>
          </w:tcPr>
          <w:p w14:paraId="364F8E48">
            <w:pPr>
              <w:widowControl/>
              <w:snapToGrid w:val="0"/>
              <w:spacing w:line="440" w:lineRule="exact"/>
              <w:jc w:val="center"/>
              <w:rPr>
                <w:rFonts w:eastAsia="楷体"/>
                <w:b/>
                <w:bCs/>
                <w:color w:val="auto"/>
                <w:kern w:val="0"/>
                <w:sz w:val="24"/>
                <w:highlight w:val="none"/>
              </w:rPr>
            </w:pPr>
            <w:r>
              <w:rPr>
                <w:rFonts w:eastAsia="楷体"/>
                <w:b/>
                <w:bCs/>
                <w:color w:val="auto"/>
                <w:kern w:val="0"/>
                <w:sz w:val="24"/>
                <w:highlight w:val="none"/>
              </w:rPr>
              <w:t>序号</w:t>
            </w:r>
          </w:p>
        </w:tc>
        <w:tc>
          <w:tcPr>
            <w:tcW w:w="2760" w:type="dxa"/>
            <w:noWrap w:val="0"/>
            <w:vAlign w:val="center"/>
          </w:tcPr>
          <w:p w14:paraId="1081F576">
            <w:pPr>
              <w:widowControl/>
              <w:snapToGrid w:val="0"/>
              <w:spacing w:line="440" w:lineRule="exact"/>
              <w:jc w:val="center"/>
              <w:rPr>
                <w:rFonts w:eastAsia="楷体"/>
                <w:b/>
                <w:bCs/>
                <w:color w:val="auto"/>
                <w:kern w:val="0"/>
                <w:sz w:val="24"/>
                <w:highlight w:val="none"/>
              </w:rPr>
            </w:pPr>
            <w:r>
              <w:rPr>
                <w:rFonts w:eastAsia="楷体"/>
                <w:b/>
                <w:bCs/>
                <w:color w:val="auto"/>
                <w:kern w:val="0"/>
                <w:sz w:val="24"/>
                <w:highlight w:val="none"/>
              </w:rPr>
              <w:t>受威胁区域</w:t>
            </w:r>
          </w:p>
        </w:tc>
        <w:tc>
          <w:tcPr>
            <w:tcW w:w="4258" w:type="dxa"/>
            <w:noWrap w:val="0"/>
            <w:vAlign w:val="center"/>
          </w:tcPr>
          <w:p w14:paraId="41D2AA98">
            <w:pPr>
              <w:widowControl/>
              <w:snapToGrid w:val="0"/>
              <w:spacing w:line="440" w:lineRule="exact"/>
              <w:jc w:val="center"/>
              <w:rPr>
                <w:rFonts w:eastAsia="楷体"/>
                <w:b/>
                <w:bCs/>
                <w:color w:val="auto"/>
                <w:kern w:val="0"/>
                <w:sz w:val="24"/>
                <w:highlight w:val="none"/>
              </w:rPr>
            </w:pPr>
            <w:r>
              <w:rPr>
                <w:rFonts w:eastAsia="楷体"/>
                <w:b/>
                <w:bCs/>
                <w:color w:val="auto"/>
                <w:kern w:val="0"/>
                <w:sz w:val="24"/>
                <w:highlight w:val="none"/>
              </w:rPr>
              <w:t>撤退点</w:t>
            </w:r>
          </w:p>
        </w:tc>
        <w:tc>
          <w:tcPr>
            <w:tcW w:w="1323" w:type="dxa"/>
            <w:noWrap w:val="0"/>
            <w:vAlign w:val="center"/>
          </w:tcPr>
          <w:p w14:paraId="507779FC">
            <w:pPr>
              <w:widowControl/>
              <w:snapToGrid w:val="0"/>
              <w:spacing w:line="440" w:lineRule="exact"/>
              <w:jc w:val="center"/>
              <w:rPr>
                <w:rFonts w:eastAsia="楷体"/>
                <w:b/>
                <w:bCs/>
                <w:color w:val="auto"/>
                <w:kern w:val="0"/>
                <w:sz w:val="24"/>
                <w:highlight w:val="none"/>
              </w:rPr>
            </w:pPr>
            <w:r>
              <w:rPr>
                <w:rFonts w:eastAsia="楷体"/>
                <w:b/>
                <w:bCs/>
                <w:color w:val="auto"/>
                <w:kern w:val="0"/>
                <w:sz w:val="24"/>
                <w:highlight w:val="none"/>
              </w:rPr>
              <w:t>备注</w:t>
            </w:r>
          </w:p>
        </w:tc>
      </w:tr>
      <w:tr w14:paraId="64931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noWrap w:val="0"/>
            <w:vAlign w:val="center"/>
          </w:tcPr>
          <w:p w14:paraId="6DC45ACF">
            <w:pPr>
              <w:widowControl/>
              <w:snapToGrid w:val="0"/>
              <w:spacing w:line="440" w:lineRule="exact"/>
              <w:jc w:val="center"/>
              <w:rPr>
                <w:rFonts w:eastAsia="楷体"/>
                <w:color w:val="auto"/>
                <w:kern w:val="0"/>
                <w:sz w:val="24"/>
                <w:highlight w:val="none"/>
              </w:rPr>
            </w:pPr>
            <w:r>
              <w:rPr>
                <w:rFonts w:eastAsia="楷体"/>
                <w:color w:val="auto"/>
                <w:kern w:val="0"/>
                <w:sz w:val="24"/>
                <w:highlight w:val="none"/>
              </w:rPr>
              <w:t>1</w:t>
            </w:r>
          </w:p>
        </w:tc>
        <w:tc>
          <w:tcPr>
            <w:tcW w:w="2760" w:type="dxa"/>
            <w:noWrap w:val="0"/>
            <w:vAlign w:val="center"/>
          </w:tcPr>
          <w:p w14:paraId="35CF0422">
            <w:pPr>
              <w:widowControl/>
              <w:snapToGrid w:val="0"/>
              <w:spacing w:line="440" w:lineRule="exact"/>
              <w:jc w:val="center"/>
              <w:rPr>
                <w:rFonts w:hint="eastAsia" w:eastAsia="楷体"/>
                <w:color w:val="auto"/>
                <w:kern w:val="0"/>
                <w:sz w:val="24"/>
                <w:highlight w:val="none"/>
              </w:rPr>
            </w:pPr>
            <w:r>
              <w:rPr>
                <w:rFonts w:hint="eastAsia" w:eastAsia="楷体"/>
                <w:color w:val="auto"/>
                <w:kern w:val="0"/>
                <w:sz w:val="24"/>
                <w:highlight w:val="none"/>
              </w:rPr>
              <w:t>坑内村</w:t>
            </w:r>
          </w:p>
        </w:tc>
        <w:tc>
          <w:tcPr>
            <w:tcW w:w="4258" w:type="dxa"/>
            <w:noWrap w:val="0"/>
            <w:vAlign w:val="center"/>
          </w:tcPr>
          <w:p w14:paraId="34C66C4E">
            <w:pPr>
              <w:widowControl/>
              <w:snapToGrid w:val="0"/>
              <w:spacing w:line="440" w:lineRule="exact"/>
              <w:jc w:val="center"/>
              <w:rPr>
                <w:rFonts w:eastAsia="楷体"/>
                <w:color w:val="auto"/>
                <w:kern w:val="0"/>
                <w:sz w:val="24"/>
                <w:highlight w:val="none"/>
              </w:rPr>
            </w:pPr>
            <w:r>
              <w:rPr>
                <w:rFonts w:hint="eastAsia" w:eastAsia="楷体"/>
                <w:color w:val="auto"/>
                <w:kern w:val="0"/>
                <w:sz w:val="24"/>
                <w:highlight w:val="none"/>
              </w:rPr>
              <w:t>前黄镇</w:t>
            </w:r>
            <w:r>
              <w:rPr>
                <w:rFonts w:eastAsia="楷体"/>
                <w:color w:val="auto"/>
                <w:kern w:val="0"/>
                <w:sz w:val="24"/>
                <w:highlight w:val="none"/>
              </w:rPr>
              <w:t>政府、</w:t>
            </w:r>
          </w:p>
          <w:p w14:paraId="41F59BC0">
            <w:pPr>
              <w:widowControl/>
              <w:snapToGrid w:val="0"/>
              <w:spacing w:line="440" w:lineRule="exact"/>
              <w:jc w:val="center"/>
              <w:rPr>
                <w:rFonts w:eastAsia="楷体"/>
                <w:color w:val="auto"/>
                <w:kern w:val="0"/>
                <w:sz w:val="24"/>
                <w:highlight w:val="none"/>
              </w:rPr>
            </w:pPr>
            <w:r>
              <w:rPr>
                <w:rFonts w:hint="eastAsia" w:eastAsia="楷体"/>
                <w:color w:val="auto"/>
                <w:kern w:val="0"/>
                <w:sz w:val="24"/>
                <w:highlight w:val="none"/>
              </w:rPr>
              <w:t>各中小学</w:t>
            </w:r>
            <w:r>
              <w:rPr>
                <w:rFonts w:eastAsia="楷体"/>
                <w:color w:val="auto"/>
                <w:kern w:val="0"/>
                <w:sz w:val="24"/>
                <w:highlight w:val="none"/>
              </w:rPr>
              <w:t>等</w:t>
            </w:r>
          </w:p>
        </w:tc>
        <w:tc>
          <w:tcPr>
            <w:tcW w:w="1323" w:type="dxa"/>
            <w:noWrap w:val="0"/>
            <w:vAlign w:val="center"/>
          </w:tcPr>
          <w:p w14:paraId="306218B2">
            <w:pPr>
              <w:widowControl/>
              <w:snapToGrid w:val="0"/>
              <w:spacing w:line="440" w:lineRule="exact"/>
              <w:jc w:val="center"/>
              <w:rPr>
                <w:rFonts w:eastAsia="楷体"/>
                <w:color w:val="auto"/>
                <w:kern w:val="0"/>
                <w:sz w:val="24"/>
                <w:highlight w:val="none"/>
              </w:rPr>
            </w:pPr>
          </w:p>
        </w:tc>
      </w:tr>
    </w:tbl>
    <w:p w14:paraId="7963E893">
      <w:pPr>
        <w:spacing w:line="520" w:lineRule="exact"/>
        <w:rPr>
          <w:rFonts w:eastAsia="楷体"/>
          <w:b/>
          <w:bCs/>
          <w:color w:val="auto"/>
          <w:sz w:val="32"/>
          <w:szCs w:val="30"/>
          <w:highlight w:val="none"/>
        </w:rPr>
      </w:pPr>
    </w:p>
    <w:p w14:paraId="1F39DCDA">
      <w:pPr>
        <w:spacing w:line="520" w:lineRule="exact"/>
        <w:rPr>
          <w:rFonts w:eastAsia="楷体"/>
          <w:b/>
          <w:bCs/>
          <w:color w:val="auto"/>
          <w:sz w:val="32"/>
          <w:szCs w:val="30"/>
          <w:highlight w:val="none"/>
        </w:rPr>
      </w:pPr>
    </w:p>
    <w:p w14:paraId="351DEA5C">
      <w:pPr>
        <w:spacing w:line="520" w:lineRule="exact"/>
        <w:rPr>
          <w:rFonts w:eastAsia="楷体"/>
          <w:b/>
          <w:bCs/>
          <w:color w:val="auto"/>
          <w:sz w:val="32"/>
          <w:szCs w:val="30"/>
          <w:highlight w:val="none"/>
        </w:rPr>
      </w:pPr>
    </w:p>
    <w:p w14:paraId="07E8EEA5">
      <w:pPr>
        <w:spacing w:line="520" w:lineRule="exact"/>
        <w:rPr>
          <w:rFonts w:eastAsia="楷体"/>
          <w:b/>
          <w:bCs/>
          <w:color w:val="auto"/>
          <w:sz w:val="32"/>
          <w:szCs w:val="30"/>
          <w:highlight w:val="none"/>
        </w:rPr>
      </w:pPr>
    </w:p>
    <w:p w14:paraId="031EC4EB">
      <w:pPr>
        <w:spacing w:line="520" w:lineRule="exact"/>
        <w:rPr>
          <w:rFonts w:eastAsia="楷体"/>
          <w:b/>
          <w:bCs/>
          <w:color w:val="auto"/>
          <w:sz w:val="32"/>
          <w:szCs w:val="30"/>
          <w:highlight w:val="none"/>
        </w:rPr>
      </w:pPr>
    </w:p>
    <w:p w14:paraId="6D26DAB1">
      <w:pPr>
        <w:spacing w:line="520" w:lineRule="exact"/>
        <w:rPr>
          <w:rFonts w:eastAsia="楷体"/>
          <w:b/>
          <w:bCs/>
          <w:color w:val="auto"/>
          <w:sz w:val="32"/>
          <w:szCs w:val="30"/>
          <w:highlight w:val="none"/>
        </w:rPr>
      </w:pPr>
    </w:p>
    <w:p w14:paraId="4092D529">
      <w:pPr>
        <w:spacing w:line="520" w:lineRule="exact"/>
        <w:rPr>
          <w:rFonts w:eastAsia="楷体"/>
          <w:b/>
          <w:bCs/>
          <w:color w:val="auto"/>
          <w:sz w:val="32"/>
          <w:szCs w:val="30"/>
          <w:highlight w:val="none"/>
        </w:rPr>
      </w:pPr>
    </w:p>
    <w:p w14:paraId="69F5843E">
      <w:pPr>
        <w:spacing w:line="520" w:lineRule="exact"/>
        <w:rPr>
          <w:rFonts w:eastAsia="楷体"/>
          <w:b/>
          <w:bCs/>
          <w:color w:val="auto"/>
          <w:sz w:val="32"/>
          <w:szCs w:val="30"/>
          <w:highlight w:val="none"/>
        </w:rPr>
      </w:pPr>
    </w:p>
    <w:p w14:paraId="42C220A7">
      <w:pPr>
        <w:spacing w:line="520" w:lineRule="exact"/>
        <w:rPr>
          <w:rFonts w:eastAsia="楷体"/>
          <w:b/>
          <w:bCs/>
          <w:color w:val="auto"/>
          <w:sz w:val="32"/>
          <w:szCs w:val="30"/>
          <w:highlight w:val="none"/>
        </w:rPr>
      </w:pPr>
    </w:p>
    <w:p w14:paraId="1D710543">
      <w:pPr>
        <w:spacing w:line="520" w:lineRule="exact"/>
        <w:rPr>
          <w:rFonts w:eastAsia="楷体"/>
          <w:b/>
          <w:bCs/>
          <w:color w:val="auto"/>
          <w:sz w:val="32"/>
          <w:szCs w:val="30"/>
          <w:highlight w:val="none"/>
        </w:rPr>
      </w:pPr>
    </w:p>
    <w:p w14:paraId="3C64389C">
      <w:pPr>
        <w:spacing w:line="520" w:lineRule="exact"/>
        <w:rPr>
          <w:rFonts w:eastAsia="楷体"/>
          <w:b/>
          <w:bCs/>
          <w:color w:val="auto"/>
          <w:sz w:val="32"/>
          <w:szCs w:val="30"/>
          <w:highlight w:val="none"/>
        </w:rPr>
      </w:pPr>
    </w:p>
    <w:p w14:paraId="1BDD4A18">
      <w:pPr>
        <w:spacing w:line="520" w:lineRule="exact"/>
        <w:rPr>
          <w:rFonts w:eastAsia="楷体"/>
          <w:b/>
          <w:bCs/>
          <w:color w:val="auto"/>
          <w:sz w:val="32"/>
          <w:szCs w:val="30"/>
          <w:highlight w:val="none"/>
        </w:rPr>
      </w:pPr>
    </w:p>
    <w:p w14:paraId="2B56E4C6">
      <w:pPr>
        <w:adjustRightInd w:val="0"/>
        <w:snapToGrid w:val="0"/>
        <w:spacing w:before="156" w:beforeLines="50" w:after="156" w:afterLines="50" w:line="360" w:lineRule="auto"/>
        <w:jc w:val="center"/>
        <w:outlineLvl w:val="0"/>
        <w:rPr>
          <w:rStyle w:val="46"/>
          <w:rFonts w:eastAsia="楷体"/>
          <w:b/>
          <w:bCs/>
          <w:color w:val="auto"/>
          <w:sz w:val="36"/>
          <w:szCs w:val="36"/>
          <w:highlight w:val="none"/>
        </w:rPr>
      </w:pPr>
      <w:bookmarkStart w:id="50" w:name="_Toc11254"/>
      <w:r>
        <w:rPr>
          <w:rStyle w:val="46"/>
          <w:rFonts w:eastAsia="楷体"/>
          <w:b/>
          <w:bCs/>
          <w:color w:val="auto"/>
          <w:sz w:val="36"/>
          <w:szCs w:val="36"/>
          <w:highlight w:val="none"/>
        </w:rPr>
        <w:t>6 应急保障</w:t>
      </w:r>
      <w:bookmarkEnd w:id="50"/>
    </w:p>
    <w:p w14:paraId="0AA5B48A">
      <w:pPr>
        <w:spacing w:line="520" w:lineRule="exact"/>
        <w:ind w:firstLine="560" w:firstLineChars="200"/>
        <w:rPr>
          <w:rFonts w:eastAsia="楷体"/>
          <w:color w:val="auto"/>
          <w:sz w:val="28"/>
          <w:szCs w:val="28"/>
          <w:highlight w:val="none"/>
        </w:rPr>
      </w:pPr>
      <w:r>
        <w:rPr>
          <w:rFonts w:eastAsia="楷体"/>
          <w:color w:val="auto"/>
          <w:sz w:val="28"/>
          <w:szCs w:val="28"/>
          <w:highlight w:val="none"/>
        </w:rPr>
        <w:t>依照《防洪法》规定，防洪抢险必须实行行政首长负责，根据分级分部门负责的原则，成立四清水库防洪抢险应急指挥部，指挥部成员由四清水库防汛工作领导小组成员组成，具体负责水库防洪抢险、防灾减灾及灾后恢复工作的统一领导和指挥，在保障工作全面、有序开展的同时，各领导成员按照职责必须负责具体的工作。</w:t>
      </w:r>
    </w:p>
    <w:p w14:paraId="261E2FEC">
      <w:pPr>
        <w:spacing w:before="156" w:beforeLines="50" w:after="156" w:afterLines="50" w:line="360" w:lineRule="auto"/>
        <w:outlineLvl w:val="1"/>
        <w:rPr>
          <w:rFonts w:eastAsia="楷体"/>
          <w:b/>
          <w:color w:val="auto"/>
          <w:sz w:val="32"/>
          <w:szCs w:val="30"/>
          <w:highlight w:val="none"/>
        </w:rPr>
      </w:pPr>
      <w:bookmarkStart w:id="51" w:name="_Toc24772"/>
      <w:r>
        <w:rPr>
          <w:rFonts w:eastAsia="楷体"/>
          <w:b/>
          <w:color w:val="auto"/>
          <w:sz w:val="32"/>
          <w:szCs w:val="30"/>
          <w:highlight w:val="none"/>
        </w:rPr>
        <w:t>6.1 组织保障</w:t>
      </w:r>
      <w:bookmarkEnd w:id="51"/>
    </w:p>
    <w:p w14:paraId="34EA0F20">
      <w:pPr>
        <w:spacing w:line="520" w:lineRule="exact"/>
        <w:ind w:firstLine="560" w:firstLineChars="200"/>
        <w:rPr>
          <w:rFonts w:hint="eastAsia" w:eastAsia="楷体"/>
          <w:color w:val="auto"/>
          <w:sz w:val="28"/>
          <w:szCs w:val="28"/>
          <w:highlight w:val="none"/>
        </w:rPr>
      </w:pPr>
      <w:r>
        <w:rPr>
          <w:rFonts w:eastAsia="楷体"/>
          <w:color w:val="auto"/>
          <w:sz w:val="28"/>
          <w:szCs w:val="28"/>
          <w:highlight w:val="none"/>
        </w:rPr>
        <w:t>为保障</w:t>
      </w:r>
      <w:r>
        <w:rPr>
          <w:rFonts w:hint="eastAsia" w:eastAsia="楷体"/>
          <w:color w:val="auto"/>
          <w:sz w:val="28"/>
          <w:szCs w:val="28"/>
          <w:highlight w:val="none"/>
          <w:lang w:eastAsia="zh-CN"/>
        </w:rPr>
        <w:t>四清</w:t>
      </w:r>
      <w:r>
        <w:rPr>
          <w:rFonts w:eastAsia="楷体"/>
          <w:color w:val="auto"/>
          <w:sz w:val="28"/>
          <w:szCs w:val="28"/>
          <w:highlight w:val="none"/>
        </w:rPr>
        <w:t>水库20</w:t>
      </w:r>
      <w:r>
        <w:rPr>
          <w:rFonts w:hint="eastAsia" w:eastAsia="楷体"/>
          <w:color w:val="auto"/>
          <w:sz w:val="28"/>
          <w:szCs w:val="28"/>
          <w:highlight w:val="none"/>
          <w:lang w:val="en-US" w:eastAsia="zh-CN"/>
        </w:rPr>
        <w:t>24</w:t>
      </w:r>
      <w:r>
        <w:rPr>
          <w:rFonts w:eastAsia="楷体"/>
          <w:color w:val="auto"/>
          <w:sz w:val="28"/>
          <w:szCs w:val="28"/>
          <w:highlight w:val="none"/>
        </w:rPr>
        <w:t>年防汛工作的顺利进行，成立</w:t>
      </w:r>
      <w:r>
        <w:rPr>
          <w:rFonts w:hint="eastAsia" w:eastAsia="楷体"/>
          <w:color w:val="auto"/>
          <w:sz w:val="28"/>
          <w:szCs w:val="28"/>
          <w:highlight w:val="none"/>
          <w:lang w:eastAsia="zh-CN"/>
        </w:rPr>
        <w:t>四清</w:t>
      </w:r>
      <w:r>
        <w:rPr>
          <w:rFonts w:eastAsia="楷体"/>
          <w:color w:val="auto"/>
          <w:sz w:val="28"/>
          <w:szCs w:val="28"/>
          <w:highlight w:val="none"/>
        </w:rPr>
        <w:t>水库大坝安全应急指挥部，</w:t>
      </w:r>
      <w:r>
        <w:rPr>
          <w:rFonts w:hint="eastAsia" w:eastAsia="楷体"/>
          <w:color w:val="auto"/>
          <w:sz w:val="28"/>
          <w:szCs w:val="28"/>
          <w:highlight w:val="none"/>
        </w:rPr>
        <w:t>明确水库防汛领导小组组长、副组长及成员单位负责人，明确实施《应急预案》的职责分工和工作方式。</w:t>
      </w:r>
    </w:p>
    <w:p w14:paraId="29C83B61">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楷体" w:cs="Times New Roman"/>
          <w:b/>
          <w:bCs/>
          <w:color w:val="auto"/>
          <w:kern w:val="0"/>
          <w:sz w:val="28"/>
          <w:szCs w:val="28"/>
          <w:highlight w:val="none"/>
          <w:lang w:val="en-US" w:eastAsia="zh-CN"/>
        </w:rPr>
      </w:pPr>
      <w:r>
        <w:rPr>
          <w:rFonts w:hint="default" w:ascii="Times New Roman" w:hAnsi="Times New Roman" w:eastAsia="楷体" w:cs="Times New Roman"/>
          <w:b/>
          <w:bCs/>
          <w:color w:val="auto"/>
          <w:kern w:val="0"/>
          <w:sz w:val="28"/>
          <w:szCs w:val="28"/>
          <w:highlight w:val="none"/>
        </w:rPr>
        <w:t>表</w:t>
      </w:r>
      <w:r>
        <w:rPr>
          <w:rFonts w:hint="eastAsia" w:ascii="Times New Roman" w:hAnsi="Times New Roman" w:eastAsia="楷体" w:cs="Times New Roman"/>
          <w:b/>
          <w:bCs/>
          <w:color w:val="auto"/>
          <w:kern w:val="0"/>
          <w:sz w:val="28"/>
          <w:szCs w:val="28"/>
          <w:highlight w:val="none"/>
          <w:lang w:val="en-US" w:eastAsia="zh-CN"/>
        </w:rPr>
        <w:t>6-1</w:t>
      </w:r>
      <w:r>
        <w:rPr>
          <w:rFonts w:hint="default" w:ascii="Times New Roman" w:hAnsi="Times New Roman" w:eastAsia="楷体" w:cs="Times New Roman"/>
          <w:b/>
          <w:bCs/>
          <w:color w:val="auto"/>
          <w:kern w:val="0"/>
          <w:sz w:val="28"/>
          <w:szCs w:val="28"/>
          <w:highlight w:val="none"/>
          <w:lang w:val="en-US" w:eastAsia="zh-CN"/>
        </w:rPr>
        <w:t xml:space="preserve">      </w:t>
      </w:r>
      <w:r>
        <w:rPr>
          <w:rFonts w:hint="eastAsia" w:ascii="Times New Roman" w:hAnsi="Times New Roman" w:eastAsia="楷体" w:cs="Times New Roman"/>
          <w:b/>
          <w:bCs/>
          <w:color w:val="auto"/>
          <w:kern w:val="0"/>
          <w:sz w:val="28"/>
          <w:szCs w:val="28"/>
          <w:highlight w:val="none"/>
          <w:lang w:val="en-US" w:eastAsia="zh-CN"/>
        </w:rPr>
        <w:t xml:space="preserve">   防汛领导小组有关单位及责任人名单</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6"/>
        <w:gridCol w:w="1507"/>
        <w:gridCol w:w="1893"/>
        <w:gridCol w:w="2885"/>
        <w:gridCol w:w="1858"/>
      </w:tblGrid>
      <w:tr w14:paraId="54C91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1146" w:type="dxa"/>
            <w:noWrap w:val="0"/>
            <w:vAlign w:val="center"/>
          </w:tcPr>
          <w:p w14:paraId="74565FEB">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序号</w:t>
            </w:r>
          </w:p>
        </w:tc>
        <w:tc>
          <w:tcPr>
            <w:tcW w:w="1507" w:type="dxa"/>
            <w:noWrap w:val="0"/>
            <w:vAlign w:val="center"/>
          </w:tcPr>
          <w:p w14:paraId="72F3BF56">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单位</w:t>
            </w:r>
          </w:p>
        </w:tc>
        <w:tc>
          <w:tcPr>
            <w:tcW w:w="1893" w:type="dxa"/>
            <w:noWrap w:val="0"/>
            <w:vAlign w:val="center"/>
          </w:tcPr>
          <w:p w14:paraId="249DC37A">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防汛责任人</w:t>
            </w:r>
          </w:p>
        </w:tc>
        <w:tc>
          <w:tcPr>
            <w:tcW w:w="2885" w:type="dxa"/>
            <w:noWrap w:val="0"/>
            <w:vAlign w:val="center"/>
          </w:tcPr>
          <w:p w14:paraId="6E660643">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职务</w:t>
            </w:r>
          </w:p>
        </w:tc>
        <w:tc>
          <w:tcPr>
            <w:tcW w:w="1858" w:type="dxa"/>
            <w:noWrap w:val="0"/>
            <w:vAlign w:val="center"/>
          </w:tcPr>
          <w:p w14:paraId="36BDF14B">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联系电话</w:t>
            </w:r>
          </w:p>
        </w:tc>
      </w:tr>
      <w:tr w14:paraId="5D173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7290D383">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1</w:t>
            </w:r>
          </w:p>
        </w:tc>
        <w:tc>
          <w:tcPr>
            <w:tcW w:w="1507" w:type="dxa"/>
            <w:noWrap w:val="0"/>
            <w:vAlign w:val="center"/>
          </w:tcPr>
          <w:p w14:paraId="6A5DA5E8">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前黄镇</w:t>
            </w:r>
          </w:p>
        </w:tc>
        <w:tc>
          <w:tcPr>
            <w:tcW w:w="1893" w:type="dxa"/>
            <w:noWrap w:val="0"/>
            <w:vAlign w:val="center"/>
          </w:tcPr>
          <w:p w14:paraId="17FB249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郭小国</w:t>
            </w:r>
          </w:p>
        </w:tc>
        <w:tc>
          <w:tcPr>
            <w:tcW w:w="2885" w:type="dxa"/>
            <w:noWrap w:val="0"/>
            <w:vAlign w:val="center"/>
          </w:tcPr>
          <w:p w14:paraId="2AC033E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镇党委副书记、政法委员</w:t>
            </w:r>
          </w:p>
        </w:tc>
        <w:tc>
          <w:tcPr>
            <w:tcW w:w="1858" w:type="dxa"/>
            <w:noWrap w:val="0"/>
            <w:vAlign w:val="center"/>
          </w:tcPr>
          <w:p w14:paraId="5DD94FAD">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87966506</w:t>
            </w:r>
          </w:p>
        </w:tc>
      </w:tr>
      <w:tr w14:paraId="040E7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0EBE25FB">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2</w:t>
            </w:r>
          </w:p>
        </w:tc>
        <w:tc>
          <w:tcPr>
            <w:tcW w:w="1507" w:type="dxa"/>
            <w:noWrap w:val="0"/>
            <w:vAlign w:val="center"/>
          </w:tcPr>
          <w:p w14:paraId="7E027B5A">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前黄镇</w:t>
            </w:r>
          </w:p>
        </w:tc>
        <w:tc>
          <w:tcPr>
            <w:tcW w:w="1893" w:type="dxa"/>
            <w:noWrap w:val="0"/>
            <w:vAlign w:val="center"/>
          </w:tcPr>
          <w:p w14:paraId="0B0EF16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吴谋冻</w:t>
            </w:r>
          </w:p>
        </w:tc>
        <w:tc>
          <w:tcPr>
            <w:tcW w:w="2885" w:type="dxa"/>
            <w:noWrap w:val="0"/>
            <w:vAlign w:val="center"/>
          </w:tcPr>
          <w:p w14:paraId="568755A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楷体" w:cs="Times New Roman"/>
                <w:color w:val="auto"/>
                <w:sz w:val="24"/>
                <w:szCs w:val="24"/>
                <w:highlight w:val="none"/>
              </w:rPr>
            </w:pPr>
            <w:r>
              <w:rPr>
                <w:rFonts w:hint="eastAsia" w:eastAsia="楷体" w:cs="Times New Roman"/>
                <w:i w:val="0"/>
                <w:color w:val="auto"/>
                <w:kern w:val="0"/>
                <w:sz w:val="24"/>
                <w:szCs w:val="24"/>
                <w:highlight w:val="none"/>
                <w:u w:val="none"/>
                <w:lang w:val="en-US" w:eastAsia="zh-CN" w:bidi="ar"/>
              </w:rPr>
              <w:t>镇党委委员、人武部部长、副镇长</w:t>
            </w:r>
          </w:p>
        </w:tc>
        <w:tc>
          <w:tcPr>
            <w:tcW w:w="1858" w:type="dxa"/>
            <w:noWrap w:val="0"/>
            <w:vAlign w:val="center"/>
          </w:tcPr>
          <w:p w14:paraId="63064892">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87966218</w:t>
            </w:r>
          </w:p>
        </w:tc>
      </w:tr>
      <w:tr w14:paraId="09974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0F333BFA">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3</w:t>
            </w:r>
          </w:p>
        </w:tc>
        <w:tc>
          <w:tcPr>
            <w:tcW w:w="1507" w:type="dxa"/>
            <w:noWrap w:val="0"/>
            <w:vAlign w:val="center"/>
          </w:tcPr>
          <w:p w14:paraId="2170F859">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前黄镇</w:t>
            </w:r>
          </w:p>
        </w:tc>
        <w:tc>
          <w:tcPr>
            <w:tcW w:w="1893" w:type="dxa"/>
            <w:noWrap w:val="0"/>
            <w:vAlign w:val="center"/>
          </w:tcPr>
          <w:p w14:paraId="1EB0D6E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highlight w:val="none"/>
              </w:rPr>
            </w:pPr>
            <w:r>
              <w:rPr>
                <w:rFonts w:hint="eastAsia" w:eastAsia="楷体" w:cs="Times New Roman"/>
                <w:i w:val="0"/>
                <w:color w:val="auto"/>
                <w:kern w:val="0"/>
                <w:sz w:val="24"/>
                <w:szCs w:val="24"/>
                <w:highlight w:val="none"/>
                <w:u w:val="none"/>
                <w:lang w:val="en-US" w:eastAsia="zh-CN" w:bidi="ar"/>
              </w:rPr>
              <w:t>林小波</w:t>
            </w:r>
          </w:p>
        </w:tc>
        <w:tc>
          <w:tcPr>
            <w:tcW w:w="2885" w:type="dxa"/>
            <w:noWrap w:val="0"/>
            <w:vAlign w:val="center"/>
          </w:tcPr>
          <w:p w14:paraId="59F6A48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镇党委二级主任科员</w:t>
            </w:r>
          </w:p>
        </w:tc>
        <w:tc>
          <w:tcPr>
            <w:tcW w:w="1858" w:type="dxa"/>
            <w:noWrap w:val="0"/>
            <w:vAlign w:val="center"/>
          </w:tcPr>
          <w:p w14:paraId="4AE20931">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87966580</w:t>
            </w:r>
          </w:p>
        </w:tc>
      </w:tr>
      <w:tr w14:paraId="48888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2101E907">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color w:val="auto"/>
                <w:sz w:val="24"/>
                <w:szCs w:val="24"/>
                <w:highlight w:val="none"/>
                <w:lang w:val="en-US" w:eastAsia="zh-CN"/>
              </w:rPr>
            </w:pPr>
            <w:r>
              <w:rPr>
                <w:rFonts w:hint="eastAsia" w:eastAsia="楷体" w:cs="Times New Roman"/>
                <w:color w:val="auto"/>
                <w:sz w:val="24"/>
                <w:szCs w:val="24"/>
                <w:highlight w:val="none"/>
                <w:lang w:val="en-US" w:eastAsia="zh-CN"/>
              </w:rPr>
              <w:t>4</w:t>
            </w:r>
          </w:p>
        </w:tc>
        <w:tc>
          <w:tcPr>
            <w:tcW w:w="1507" w:type="dxa"/>
            <w:noWrap w:val="0"/>
            <w:vAlign w:val="center"/>
          </w:tcPr>
          <w:p w14:paraId="60FBB308">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前黄镇</w:t>
            </w:r>
          </w:p>
        </w:tc>
        <w:tc>
          <w:tcPr>
            <w:tcW w:w="1893" w:type="dxa"/>
            <w:noWrap w:val="0"/>
            <w:vAlign w:val="center"/>
          </w:tcPr>
          <w:p w14:paraId="35DB60A2">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庄小强</w:t>
            </w:r>
          </w:p>
        </w:tc>
        <w:tc>
          <w:tcPr>
            <w:tcW w:w="2885" w:type="dxa"/>
            <w:noWrap w:val="0"/>
            <w:vAlign w:val="center"/>
          </w:tcPr>
          <w:p w14:paraId="742E7A9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highlight w:val="none"/>
              </w:rPr>
            </w:pPr>
            <w:r>
              <w:rPr>
                <w:rFonts w:hint="eastAsia" w:eastAsia="楷体" w:cs="Times New Roman"/>
                <w:i w:val="0"/>
                <w:color w:val="auto"/>
                <w:kern w:val="0"/>
                <w:sz w:val="24"/>
                <w:szCs w:val="24"/>
                <w:highlight w:val="none"/>
                <w:u w:val="none"/>
                <w:lang w:val="en-US" w:eastAsia="zh-CN" w:bidi="ar"/>
              </w:rPr>
              <w:t>镇副镇长</w:t>
            </w:r>
          </w:p>
        </w:tc>
        <w:tc>
          <w:tcPr>
            <w:tcW w:w="1858" w:type="dxa"/>
            <w:noWrap w:val="0"/>
            <w:vAlign w:val="center"/>
          </w:tcPr>
          <w:p w14:paraId="7201F7E1">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87966183</w:t>
            </w:r>
          </w:p>
        </w:tc>
      </w:tr>
      <w:tr w14:paraId="0C4F0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44769C9B">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color w:val="auto"/>
                <w:sz w:val="24"/>
                <w:szCs w:val="24"/>
                <w:highlight w:val="none"/>
                <w:lang w:val="en-US" w:eastAsia="zh-CN"/>
              </w:rPr>
            </w:pPr>
            <w:r>
              <w:rPr>
                <w:rFonts w:hint="eastAsia" w:eastAsia="楷体" w:cs="Times New Roman"/>
                <w:color w:val="auto"/>
                <w:sz w:val="24"/>
                <w:szCs w:val="24"/>
                <w:highlight w:val="none"/>
                <w:lang w:val="en-US" w:eastAsia="zh-CN"/>
              </w:rPr>
              <w:t>5</w:t>
            </w:r>
          </w:p>
        </w:tc>
        <w:tc>
          <w:tcPr>
            <w:tcW w:w="1507" w:type="dxa"/>
            <w:noWrap w:val="0"/>
            <w:vAlign w:val="center"/>
          </w:tcPr>
          <w:p w14:paraId="401E0215">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前黄镇</w:t>
            </w:r>
          </w:p>
        </w:tc>
        <w:tc>
          <w:tcPr>
            <w:tcW w:w="1893" w:type="dxa"/>
            <w:noWrap w:val="0"/>
            <w:vAlign w:val="center"/>
          </w:tcPr>
          <w:p w14:paraId="2F84CF16">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钟凤平</w:t>
            </w:r>
          </w:p>
        </w:tc>
        <w:tc>
          <w:tcPr>
            <w:tcW w:w="2885" w:type="dxa"/>
            <w:noWrap w:val="0"/>
            <w:vAlign w:val="center"/>
          </w:tcPr>
          <w:p w14:paraId="4F1DAF1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楷体" w:cs="Times New Roman"/>
                <w:i w:val="0"/>
                <w:color w:val="auto"/>
                <w:kern w:val="0"/>
                <w:sz w:val="24"/>
                <w:szCs w:val="24"/>
                <w:highlight w:val="none"/>
                <w:u w:val="none"/>
                <w:lang w:val="en-US" w:eastAsia="zh-CN" w:bidi="ar"/>
              </w:rPr>
            </w:pPr>
            <w:r>
              <w:rPr>
                <w:rFonts w:hint="eastAsia" w:eastAsia="楷体" w:cs="Times New Roman"/>
                <w:i w:val="0"/>
                <w:color w:val="auto"/>
                <w:kern w:val="0"/>
                <w:sz w:val="24"/>
                <w:szCs w:val="24"/>
                <w:highlight w:val="none"/>
                <w:u w:val="none"/>
                <w:lang w:val="en-US" w:eastAsia="zh-CN" w:bidi="ar"/>
              </w:rPr>
              <w:t>前黄镇社会服务中心主任</w:t>
            </w:r>
          </w:p>
        </w:tc>
        <w:tc>
          <w:tcPr>
            <w:tcW w:w="1858" w:type="dxa"/>
            <w:noWrap w:val="0"/>
            <w:vAlign w:val="center"/>
          </w:tcPr>
          <w:p w14:paraId="5A9FCA6D">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87966086</w:t>
            </w:r>
          </w:p>
        </w:tc>
      </w:tr>
    </w:tbl>
    <w:p w14:paraId="359AA4BA">
      <w:pPr>
        <w:spacing w:line="520" w:lineRule="exact"/>
        <w:ind w:firstLine="560" w:firstLineChars="200"/>
        <w:rPr>
          <w:rFonts w:eastAsia="楷体"/>
          <w:color w:val="auto"/>
          <w:sz w:val="28"/>
          <w:szCs w:val="28"/>
          <w:highlight w:val="none"/>
        </w:rPr>
      </w:pPr>
      <w:r>
        <w:rPr>
          <w:rFonts w:eastAsia="楷体"/>
          <w:color w:val="auto"/>
          <w:sz w:val="28"/>
          <w:szCs w:val="28"/>
          <w:highlight w:val="none"/>
        </w:rPr>
        <w:t>水库管理单位要主动与各相关单位加强联系，确保各部门通力协作；完善防汛值班人员岗位责任制和信息反馈制度。同时，水库各职能部门要以防汛工作为重点，做到目标明确，任务落实，责任到人。</w:t>
      </w:r>
    </w:p>
    <w:p w14:paraId="3688335E">
      <w:pPr>
        <w:spacing w:line="520" w:lineRule="exact"/>
        <w:ind w:firstLine="560" w:firstLineChars="200"/>
        <w:rPr>
          <w:rFonts w:eastAsia="楷体"/>
          <w:bCs/>
          <w:color w:val="auto"/>
          <w:sz w:val="28"/>
          <w:szCs w:val="28"/>
          <w:highlight w:val="none"/>
        </w:rPr>
      </w:pPr>
      <w:r>
        <w:rPr>
          <w:rFonts w:eastAsia="楷体"/>
          <w:bCs/>
          <w:color w:val="auto"/>
          <w:sz w:val="28"/>
          <w:szCs w:val="28"/>
          <w:highlight w:val="none"/>
        </w:rPr>
        <w:t>要制定汛期值班和工程的巡查制度，关注气象预报，掌握雨情、水情变化情况，认真执行本防洪调度方案措施。</w:t>
      </w:r>
    </w:p>
    <w:p w14:paraId="646BB733">
      <w:pPr>
        <w:widowControl/>
        <w:spacing w:line="520" w:lineRule="exact"/>
        <w:ind w:firstLine="560" w:firstLineChars="200"/>
        <w:jc w:val="left"/>
        <w:rPr>
          <w:rFonts w:eastAsia="楷体"/>
          <w:color w:val="auto"/>
          <w:sz w:val="28"/>
          <w:szCs w:val="28"/>
          <w:highlight w:val="none"/>
        </w:rPr>
      </w:pPr>
      <w:r>
        <w:rPr>
          <w:rFonts w:eastAsia="楷体"/>
          <w:color w:val="auto"/>
          <w:sz w:val="28"/>
          <w:szCs w:val="28"/>
          <w:highlight w:val="none"/>
        </w:rPr>
        <w:t xml:space="preserve">各部门的职责如下： </w:t>
      </w:r>
    </w:p>
    <w:p w14:paraId="359D5AE4">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水库管理单位：组织日常的防汛值班和水库大坝等三大建筑物的巡视检查等。</w:t>
      </w:r>
    </w:p>
    <w:p w14:paraId="5CECE9AF">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水利部门：负责水库调度，作出具体的防洪度汛部署并监督检查确保其防汛体系的有效运转。</w:t>
      </w:r>
    </w:p>
    <w:p w14:paraId="58FDAB5B">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电力部门：负责供电保障，主要负责抗洪抢险、救灾等方面的供电需要和应急求援现场的临时供电。</w:t>
      </w:r>
    </w:p>
    <w:p w14:paraId="6390D9D9">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交通部门：主要负责优先保证防汛抢险人员、防汛救灾物资运输和群众安全转移所需车辆的调配。</w:t>
      </w:r>
    </w:p>
    <w:p w14:paraId="12F164F1">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通讯与信息部门：维护通讯设施完好，出现突发事件，迅速调集力量抢修，确保信息畅通，必要时，调度应急通讯设备，为防汛通信和现场指挥提供通信保障。在紧急情况下，应充分利用公共广播和电视等媒体以及手机短信等手段发布信息，通知群众快速撤离，确保人民生命的安全。</w:t>
      </w:r>
    </w:p>
    <w:p w14:paraId="04F9214A">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卫生部门：主要负责灾区疾病防治的业务技术指导；组织医疗卫生队赴灾区巡医问诊，负责灾区防疫消毒、抢救伤员等工作。</w:t>
      </w:r>
    </w:p>
    <w:p w14:paraId="4D4C33AE">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公安部门：主要负责做好灾区的治安管理工作，依法严厉打击破坏抗洪救灾行动和工程设施安全的行为，保证抗灾救灾工作的顺利进行；负责组织搞好防汛抢险、分洪爆破时的戒严、警卫工作，维护灾区的社会治安秩序。</w:t>
      </w:r>
    </w:p>
    <w:p w14:paraId="448DDAF7">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宣传部门：负责思想政治工作。</w:t>
      </w:r>
    </w:p>
    <w:p w14:paraId="5F2D66FC">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其它有关部门在汛期均应根据县级及以上防汛部门的抢险指令，无条件地提供服务，配合相关部门共同完成防汛抢险任务。</w:t>
      </w:r>
    </w:p>
    <w:p w14:paraId="33A70DFE">
      <w:pPr>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default" w:ascii="Times New Roman" w:hAnsi="Times New Roman" w:eastAsia="楷体" w:cs="Times New Roman"/>
          <w:color w:val="auto"/>
          <w:sz w:val="28"/>
          <w:szCs w:val="28"/>
          <w:highlight w:val="none"/>
        </w:rPr>
      </w:pPr>
      <w:r>
        <w:rPr>
          <w:rFonts w:hint="default" w:ascii="Times New Roman" w:hAnsi="Times New Roman" w:eastAsia="楷体" w:cs="Times New Roman"/>
          <w:color w:val="auto"/>
          <w:sz w:val="28"/>
          <w:szCs w:val="28"/>
          <w:highlight w:val="none"/>
        </w:rPr>
        <w:t>防汛领导小组下设调度组、情报组、维护组、巡逻组、后勤组等5个小组。应加强观测，密切关注水情、雨情、工情，坚持24小时值班，发现险情及时向县防汛抗旱指挥部汇报。</w:t>
      </w:r>
    </w:p>
    <w:p w14:paraId="6BACB4A5">
      <w:pPr>
        <w:widowControl/>
        <w:spacing w:line="360" w:lineRule="auto"/>
        <w:ind w:firstLine="560"/>
        <w:rPr>
          <w:rFonts w:hint="default" w:ascii="Times New Roman" w:hAnsi="Times New Roman" w:eastAsia="楷体" w:cs="Times New Roman"/>
          <w:color w:val="auto"/>
          <w:kern w:val="0"/>
          <w:sz w:val="28"/>
          <w:szCs w:val="28"/>
          <w:highlight w:val="none"/>
        </w:rPr>
      </w:pPr>
      <w:r>
        <w:rPr>
          <w:rFonts w:hint="default" w:ascii="Times New Roman" w:hAnsi="Times New Roman" w:eastAsia="楷体" w:cs="Times New Roman"/>
          <w:color w:val="auto"/>
          <w:kern w:val="0"/>
          <w:sz w:val="28"/>
          <w:szCs w:val="28"/>
          <w:highlight w:val="none"/>
        </w:rPr>
        <w:t>水库抢险专家组由</w:t>
      </w:r>
      <w:r>
        <w:rPr>
          <w:rFonts w:hint="default" w:ascii="Times New Roman" w:hAnsi="Times New Roman" w:eastAsia="楷体" w:cs="Times New Roman"/>
          <w:color w:val="auto"/>
          <w:kern w:val="0"/>
          <w:sz w:val="28"/>
          <w:szCs w:val="28"/>
          <w:highlight w:val="none"/>
          <w:lang w:eastAsia="zh-CN"/>
        </w:rPr>
        <w:t>区农林水</w:t>
      </w:r>
      <w:r>
        <w:rPr>
          <w:rFonts w:hint="default" w:ascii="Times New Roman" w:hAnsi="Times New Roman" w:eastAsia="楷体" w:cs="Times New Roman"/>
          <w:color w:val="auto"/>
          <w:kern w:val="0"/>
          <w:sz w:val="28"/>
          <w:szCs w:val="28"/>
          <w:highlight w:val="none"/>
        </w:rPr>
        <w:t>局有关专家组成，必要时可请省、市权威专家。</w:t>
      </w:r>
    </w:p>
    <w:p w14:paraId="2E9133FD">
      <w:pPr>
        <w:spacing w:before="156" w:beforeLines="50" w:after="156" w:afterLines="50" w:line="360" w:lineRule="auto"/>
        <w:outlineLvl w:val="1"/>
        <w:rPr>
          <w:rFonts w:eastAsia="楷体"/>
          <w:b/>
          <w:color w:val="auto"/>
          <w:sz w:val="32"/>
          <w:szCs w:val="30"/>
          <w:highlight w:val="none"/>
        </w:rPr>
      </w:pPr>
      <w:bookmarkStart w:id="52" w:name="_Toc29561"/>
      <w:r>
        <w:rPr>
          <w:rFonts w:eastAsia="楷体"/>
          <w:b/>
          <w:color w:val="auto"/>
          <w:sz w:val="32"/>
          <w:szCs w:val="30"/>
          <w:highlight w:val="none"/>
        </w:rPr>
        <w:t>6.2 队伍保障</w:t>
      </w:r>
      <w:bookmarkEnd w:id="52"/>
    </w:p>
    <w:p w14:paraId="3E733B7A">
      <w:pPr>
        <w:spacing w:before="156" w:beforeLines="50" w:after="156" w:afterLines="50"/>
        <w:outlineLvl w:val="2"/>
        <w:rPr>
          <w:rFonts w:eastAsia="楷体"/>
          <w:b/>
          <w:bCs/>
          <w:color w:val="auto"/>
          <w:sz w:val="32"/>
          <w:szCs w:val="30"/>
          <w:highlight w:val="none"/>
        </w:rPr>
      </w:pPr>
      <w:r>
        <w:rPr>
          <w:rFonts w:eastAsia="楷体"/>
          <w:b/>
          <w:bCs/>
          <w:color w:val="auto"/>
          <w:sz w:val="32"/>
          <w:szCs w:val="30"/>
          <w:highlight w:val="none"/>
        </w:rPr>
        <w:t>6.2.1 专业抢险队</w:t>
      </w:r>
    </w:p>
    <w:p w14:paraId="68871AE0">
      <w:pPr>
        <w:widowControl/>
        <w:spacing w:line="520" w:lineRule="exact"/>
        <w:ind w:firstLine="560"/>
        <w:rPr>
          <w:rFonts w:eastAsia="楷体"/>
          <w:color w:val="auto"/>
          <w:kern w:val="0"/>
          <w:sz w:val="28"/>
          <w:szCs w:val="28"/>
          <w:highlight w:val="none"/>
        </w:rPr>
      </w:pPr>
      <w:r>
        <w:rPr>
          <w:rFonts w:eastAsia="楷体"/>
          <w:color w:val="auto"/>
          <w:kern w:val="0"/>
          <w:sz w:val="28"/>
          <w:szCs w:val="28"/>
          <w:highlight w:val="none"/>
        </w:rPr>
        <w:t>由水库行政主管部门、水库工程管理单位的技术人员、武装部、武警中队、属地乡镇民兵组成，主要负责对大坝、溢洪道重点部位的抢险，采取切实有效的保坝措施，保证大坝的安全，尽力减少洪水灾害。</w:t>
      </w:r>
    </w:p>
    <w:p w14:paraId="45853DB5">
      <w:pPr>
        <w:spacing w:before="156" w:beforeLines="50" w:after="156" w:afterLines="50"/>
        <w:outlineLvl w:val="2"/>
        <w:rPr>
          <w:rFonts w:eastAsia="楷体"/>
          <w:b/>
          <w:bCs/>
          <w:color w:val="auto"/>
          <w:sz w:val="32"/>
          <w:szCs w:val="30"/>
          <w:highlight w:val="none"/>
        </w:rPr>
      </w:pPr>
      <w:r>
        <w:rPr>
          <w:rFonts w:eastAsia="楷体"/>
          <w:b/>
          <w:bCs/>
          <w:color w:val="auto"/>
          <w:sz w:val="32"/>
          <w:szCs w:val="30"/>
          <w:highlight w:val="none"/>
        </w:rPr>
        <w:t>6.2.2 群众抢险队</w:t>
      </w:r>
    </w:p>
    <w:p w14:paraId="32B4376B">
      <w:pPr>
        <w:widowControl/>
        <w:spacing w:line="520" w:lineRule="exact"/>
        <w:ind w:firstLine="560"/>
        <w:rPr>
          <w:rFonts w:eastAsia="楷体"/>
          <w:color w:val="auto"/>
          <w:kern w:val="0"/>
          <w:sz w:val="28"/>
          <w:szCs w:val="28"/>
          <w:highlight w:val="none"/>
        </w:rPr>
      </w:pPr>
      <w:r>
        <w:rPr>
          <w:rFonts w:eastAsia="楷体"/>
          <w:color w:val="auto"/>
          <w:kern w:val="0"/>
          <w:sz w:val="28"/>
          <w:szCs w:val="28"/>
          <w:highlight w:val="none"/>
        </w:rPr>
        <w:t>由</w:t>
      </w:r>
      <w:r>
        <w:rPr>
          <w:rFonts w:hint="eastAsia" w:eastAsia="楷体"/>
          <w:color w:val="auto"/>
          <w:kern w:val="0"/>
          <w:sz w:val="28"/>
          <w:szCs w:val="28"/>
          <w:highlight w:val="none"/>
        </w:rPr>
        <w:t>前黄镇</w:t>
      </w:r>
      <w:r>
        <w:rPr>
          <w:rFonts w:eastAsia="楷体"/>
          <w:color w:val="auto"/>
          <w:kern w:val="0"/>
          <w:sz w:val="28"/>
          <w:szCs w:val="28"/>
          <w:highlight w:val="none"/>
        </w:rPr>
        <w:t>人民政府、各属村委会干部、广大群众和青年民兵组成，当水库大坝出现险情时，要配合专业抢险队共同做好出险重点部位的抢险工作。当水库大坝出现可能溃坝时，负责通知和做好水库下游人员、财产撤离，保证水库下游的人民生命财产安全。</w:t>
      </w:r>
    </w:p>
    <w:p w14:paraId="55FCE772">
      <w:pPr>
        <w:spacing w:before="156" w:beforeLines="50" w:after="156" w:afterLines="50"/>
        <w:outlineLvl w:val="2"/>
        <w:rPr>
          <w:rFonts w:eastAsia="楷体"/>
          <w:b/>
          <w:bCs/>
          <w:color w:val="auto"/>
          <w:sz w:val="32"/>
          <w:szCs w:val="30"/>
          <w:highlight w:val="none"/>
        </w:rPr>
      </w:pPr>
      <w:r>
        <w:rPr>
          <w:rFonts w:eastAsia="楷体"/>
          <w:b/>
          <w:bCs/>
          <w:color w:val="auto"/>
          <w:sz w:val="32"/>
          <w:szCs w:val="30"/>
          <w:highlight w:val="none"/>
        </w:rPr>
        <w:t>6.2.3 人民解放军、武警部队</w:t>
      </w:r>
    </w:p>
    <w:p w14:paraId="0792E005">
      <w:pPr>
        <w:widowControl/>
        <w:spacing w:line="520" w:lineRule="exact"/>
        <w:ind w:firstLine="560"/>
        <w:rPr>
          <w:rFonts w:eastAsia="楷体"/>
          <w:color w:val="auto"/>
          <w:kern w:val="0"/>
          <w:sz w:val="28"/>
          <w:szCs w:val="28"/>
          <w:highlight w:val="none"/>
        </w:rPr>
      </w:pPr>
      <w:r>
        <w:rPr>
          <w:rFonts w:eastAsia="楷体"/>
          <w:color w:val="auto"/>
          <w:kern w:val="0"/>
          <w:sz w:val="28"/>
          <w:szCs w:val="28"/>
          <w:highlight w:val="none"/>
        </w:rPr>
        <w:t>依据《中华人民共和国防洪法》第四十三条规定，人民解放军、武警部队应当执行国家赋予的抢险任务。在水库发生重大危险时，充分发挥主力军的作用，必要时加强防汛抗洪抢险演习，提高抗洪抢险的作战能力，随时做好抗洪抢险的思想准备，保证人民生命财产的安全。</w:t>
      </w:r>
    </w:p>
    <w:p w14:paraId="29B4FCDF">
      <w:pPr>
        <w:spacing w:before="156" w:beforeLines="50" w:after="156" w:afterLines="50" w:line="360" w:lineRule="auto"/>
        <w:outlineLvl w:val="1"/>
        <w:rPr>
          <w:rFonts w:eastAsia="楷体"/>
          <w:b/>
          <w:color w:val="auto"/>
          <w:sz w:val="32"/>
          <w:szCs w:val="30"/>
          <w:highlight w:val="none"/>
        </w:rPr>
      </w:pPr>
      <w:bookmarkStart w:id="53" w:name="_Toc16237"/>
      <w:r>
        <w:rPr>
          <w:rFonts w:eastAsia="楷体"/>
          <w:b/>
          <w:color w:val="auto"/>
          <w:sz w:val="32"/>
          <w:szCs w:val="30"/>
          <w:highlight w:val="none"/>
        </w:rPr>
        <w:t>6.3 物资保障</w:t>
      </w:r>
      <w:bookmarkEnd w:id="53"/>
    </w:p>
    <w:p w14:paraId="5933EFD7">
      <w:pPr>
        <w:widowControl/>
        <w:spacing w:line="520" w:lineRule="exact"/>
        <w:ind w:firstLine="560"/>
        <w:rPr>
          <w:rFonts w:eastAsia="楷体"/>
          <w:color w:val="auto"/>
          <w:kern w:val="0"/>
          <w:sz w:val="28"/>
          <w:szCs w:val="28"/>
          <w:highlight w:val="none"/>
        </w:rPr>
      </w:pPr>
      <w:r>
        <w:rPr>
          <w:rFonts w:eastAsia="楷体"/>
          <w:color w:val="auto"/>
          <w:kern w:val="0"/>
          <w:sz w:val="28"/>
          <w:szCs w:val="28"/>
          <w:highlight w:val="none"/>
        </w:rPr>
        <w:t>防洪期间为保证抢险工作落到实处，抢险物资的储备是必不可少的。根据四清水库工程情况，在水库防汛仓库派专人负责储备物资的管理工作。</w:t>
      </w:r>
    </w:p>
    <w:p w14:paraId="5431B074">
      <w:pPr>
        <w:widowControl/>
        <w:spacing w:line="520" w:lineRule="exact"/>
        <w:ind w:firstLine="560"/>
        <w:rPr>
          <w:rFonts w:eastAsia="楷体"/>
          <w:color w:val="auto"/>
          <w:kern w:val="0"/>
          <w:sz w:val="28"/>
          <w:szCs w:val="28"/>
          <w:highlight w:val="none"/>
        </w:rPr>
      </w:pPr>
    </w:p>
    <w:p w14:paraId="4824F300">
      <w:pPr>
        <w:widowControl/>
        <w:spacing w:line="520" w:lineRule="exact"/>
        <w:ind w:firstLine="560"/>
        <w:rPr>
          <w:rFonts w:eastAsia="楷体"/>
          <w:color w:val="auto"/>
          <w:kern w:val="0"/>
          <w:sz w:val="28"/>
          <w:szCs w:val="28"/>
          <w:highlight w:val="none"/>
        </w:rPr>
      </w:pPr>
    </w:p>
    <w:p w14:paraId="4E7095CE">
      <w:pPr>
        <w:widowControl/>
        <w:spacing w:line="520" w:lineRule="exact"/>
        <w:ind w:firstLine="560"/>
        <w:rPr>
          <w:rFonts w:eastAsia="楷体"/>
          <w:color w:val="auto"/>
          <w:kern w:val="0"/>
          <w:sz w:val="28"/>
          <w:szCs w:val="28"/>
          <w:highlight w:val="none"/>
        </w:rPr>
      </w:pPr>
    </w:p>
    <w:p w14:paraId="7676BF71">
      <w:pPr>
        <w:widowControl/>
        <w:spacing w:line="520" w:lineRule="exact"/>
        <w:ind w:firstLine="560"/>
        <w:rPr>
          <w:rFonts w:eastAsia="楷体"/>
          <w:color w:val="auto"/>
          <w:kern w:val="0"/>
          <w:sz w:val="28"/>
          <w:szCs w:val="28"/>
          <w:highlight w:val="none"/>
        </w:rPr>
      </w:pPr>
    </w:p>
    <w:p w14:paraId="4F0CA7B7">
      <w:pPr>
        <w:widowControl/>
        <w:spacing w:line="520" w:lineRule="exact"/>
        <w:ind w:firstLine="560"/>
        <w:rPr>
          <w:rFonts w:eastAsia="楷体"/>
          <w:color w:val="auto"/>
          <w:kern w:val="0"/>
          <w:sz w:val="28"/>
          <w:szCs w:val="28"/>
          <w:highlight w:val="none"/>
        </w:rPr>
      </w:pPr>
    </w:p>
    <w:p w14:paraId="49DFF82C">
      <w:pPr>
        <w:widowControl/>
        <w:spacing w:line="520" w:lineRule="exact"/>
        <w:rPr>
          <w:rFonts w:eastAsia="楷体"/>
          <w:b/>
          <w:bCs/>
          <w:color w:val="auto"/>
          <w:sz w:val="28"/>
          <w:szCs w:val="28"/>
          <w:highlight w:val="none"/>
        </w:rPr>
      </w:pPr>
      <w:bookmarkStart w:id="54" w:name="_Toc18695"/>
      <w:r>
        <w:rPr>
          <w:rFonts w:eastAsia="楷体"/>
          <w:b/>
          <w:bCs/>
          <w:color w:val="auto"/>
          <w:sz w:val="28"/>
          <w:szCs w:val="28"/>
          <w:highlight w:val="none"/>
        </w:rPr>
        <w:t xml:space="preserve">表6-2        </w:t>
      </w:r>
      <w:r>
        <w:rPr>
          <w:rFonts w:hint="eastAsia" w:eastAsia="楷体"/>
          <w:b/>
          <w:bCs/>
          <w:color w:val="auto"/>
          <w:sz w:val="28"/>
          <w:szCs w:val="28"/>
          <w:highlight w:val="none"/>
        </w:rPr>
        <w:t xml:space="preserve">     </w:t>
      </w:r>
      <w:r>
        <w:rPr>
          <w:rFonts w:eastAsia="楷体"/>
          <w:b/>
          <w:bCs/>
          <w:color w:val="auto"/>
          <w:sz w:val="28"/>
          <w:szCs w:val="28"/>
          <w:highlight w:val="none"/>
        </w:rPr>
        <w:t>水库现场抢险物资配备明细表</w:t>
      </w:r>
      <w:bookmarkEnd w:id="54"/>
    </w:p>
    <w:tbl>
      <w:tblPr>
        <w:tblStyle w:val="17"/>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858"/>
        <w:gridCol w:w="3367"/>
        <w:gridCol w:w="1937"/>
        <w:gridCol w:w="1939"/>
      </w:tblGrid>
      <w:tr w14:paraId="7F93F0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633009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bookmarkStart w:id="55" w:name="_Toc14017"/>
            <w:r>
              <w:rPr>
                <w:rFonts w:hint="default" w:ascii="Times New Roman" w:hAnsi="Times New Roman" w:eastAsia="楷体" w:cs="Times New Roman"/>
                <w:i w:val="0"/>
                <w:color w:val="auto"/>
                <w:kern w:val="0"/>
                <w:sz w:val="24"/>
                <w:szCs w:val="24"/>
                <w:highlight w:val="none"/>
                <w:u w:val="none"/>
                <w:lang w:val="en-US" w:eastAsia="zh-CN" w:bidi="ar"/>
              </w:rPr>
              <w:t>序号</w:t>
            </w:r>
          </w:p>
        </w:tc>
        <w:tc>
          <w:tcPr>
            <w:tcW w:w="3367" w:type="dxa"/>
            <w:tcBorders>
              <w:tl2br w:val="nil"/>
              <w:tr2bl w:val="nil"/>
            </w:tcBorders>
            <w:noWrap w:val="0"/>
            <w:vAlign w:val="center"/>
          </w:tcPr>
          <w:p w14:paraId="1E87B4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品  名</w:t>
            </w:r>
          </w:p>
        </w:tc>
        <w:tc>
          <w:tcPr>
            <w:tcW w:w="1937" w:type="dxa"/>
            <w:tcBorders>
              <w:tl2br w:val="nil"/>
              <w:tr2bl w:val="nil"/>
            </w:tcBorders>
            <w:noWrap w:val="0"/>
            <w:vAlign w:val="center"/>
          </w:tcPr>
          <w:p w14:paraId="401A17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单位</w:t>
            </w:r>
          </w:p>
        </w:tc>
        <w:tc>
          <w:tcPr>
            <w:tcW w:w="1939" w:type="dxa"/>
            <w:tcBorders>
              <w:tl2br w:val="nil"/>
              <w:tr2bl w:val="nil"/>
            </w:tcBorders>
            <w:noWrap w:val="0"/>
            <w:vAlign w:val="center"/>
          </w:tcPr>
          <w:p w14:paraId="0355DC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S</w:t>
            </w:r>
            <w:r>
              <w:rPr>
                <w:rFonts w:hint="default" w:ascii="Times New Roman" w:hAnsi="Times New Roman" w:eastAsia="楷体" w:cs="Times New Roman"/>
                <w:i w:val="0"/>
                <w:color w:val="auto"/>
                <w:kern w:val="0"/>
                <w:sz w:val="24"/>
                <w:szCs w:val="24"/>
                <w:highlight w:val="none"/>
                <w:u w:val="none"/>
                <w:vertAlign w:val="subscript"/>
                <w:lang w:val="en-US" w:eastAsia="zh-CN" w:bidi="ar"/>
              </w:rPr>
              <w:t>库</w:t>
            </w:r>
          </w:p>
        </w:tc>
      </w:tr>
      <w:tr w14:paraId="13EF9B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0DF051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一</w:t>
            </w:r>
          </w:p>
        </w:tc>
        <w:tc>
          <w:tcPr>
            <w:tcW w:w="3367" w:type="dxa"/>
            <w:tcBorders>
              <w:tl2br w:val="nil"/>
              <w:tr2bl w:val="nil"/>
            </w:tcBorders>
            <w:noWrap w:val="0"/>
            <w:vAlign w:val="center"/>
          </w:tcPr>
          <w:p w14:paraId="2C5BCD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抢险物料</w:t>
            </w:r>
          </w:p>
        </w:tc>
        <w:tc>
          <w:tcPr>
            <w:tcW w:w="1937" w:type="dxa"/>
            <w:tcBorders>
              <w:tl2br w:val="nil"/>
              <w:tr2bl w:val="nil"/>
            </w:tcBorders>
            <w:noWrap w:val="0"/>
            <w:vAlign w:val="center"/>
          </w:tcPr>
          <w:p w14:paraId="6D88A308">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auto"/>
                <w:sz w:val="24"/>
                <w:szCs w:val="24"/>
                <w:highlight w:val="none"/>
                <w:u w:val="none"/>
              </w:rPr>
            </w:pPr>
          </w:p>
        </w:tc>
        <w:tc>
          <w:tcPr>
            <w:tcW w:w="1939" w:type="dxa"/>
            <w:tcBorders>
              <w:tl2br w:val="nil"/>
              <w:tr2bl w:val="nil"/>
            </w:tcBorders>
            <w:noWrap w:val="0"/>
            <w:vAlign w:val="center"/>
          </w:tcPr>
          <w:p w14:paraId="7C727729">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auto"/>
                <w:sz w:val="24"/>
                <w:szCs w:val="24"/>
                <w:highlight w:val="none"/>
                <w:u w:val="none"/>
              </w:rPr>
            </w:pPr>
          </w:p>
        </w:tc>
      </w:tr>
      <w:tr w14:paraId="615038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0245DC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1</w:t>
            </w:r>
          </w:p>
        </w:tc>
        <w:tc>
          <w:tcPr>
            <w:tcW w:w="3367" w:type="dxa"/>
            <w:tcBorders>
              <w:tl2br w:val="nil"/>
              <w:tr2bl w:val="nil"/>
            </w:tcBorders>
            <w:noWrap w:val="0"/>
            <w:vAlign w:val="center"/>
          </w:tcPr>
          <w:p w14:paraId="4F6857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袋类</w:t>
            </w:r>
          </w:p>
        </w:tc>
        <w:tc>
          <w:tcPr>
            <w:tcW w:w="1937" w:type="dxa"/>
            <w:tcBorders>
              <w:tl2br w:val="nil"/>
              <w:tr2bl w:val="nil"/>
            </w:tcBorders>
            <w:noWrap w:val="0"/>
            <w:vAlign w:val="center"/>
          </w:tcPr>
          <w:p w14:paraId="454270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条</w:t>
            </w:r>
          </w:p>
        </w:tc>
        <w:tc>
          <w:tcPr>
            <w:tcW w:w="1939" w:type="dxa"/>
            <w:tcBorders>
              <w:tl2br w:val="nil"/>
              <w:tr2bl w:val="nil"/>
            </w:tcBorders>
            <w:noWrap w:val="0"/>
            <w:vAlign w:val="center"/>
          </w:tcPr>
          <w:p w14:paraId="34784F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4500</w:t>
            </w:r>
          </w:p>
        </w:tc>
      </w:tr>
      <w:tr w14:paraId="303B43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0152DC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2</w:t>
            </w:r>
          </w:p>
        </w:tc>
        <w:tc>
          <w:tcPr>
            <w:tcW w:w="3367" w:type="dxa"/>
            <w:tcBorders>
              <w:tl2br w:val="nil"/>
              <w:tr2bl w:val="nil"/>
            </w:tcBorders>
            <w:noWrap w:val="0"/>
            <w:vAlign w:val="center"/>
          </w:tcPr>
          <w:p w14:paraId="2E7951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土工布</w:t>
            </w:r>
          </w:p>
        </w:tc>
        <w:tc>
          <w:tcPr>
            <w:tcW w:w="1937" w:type="dxa"/>
            <w:tcBorders>
              <w:tl2br w:val="nil"/>
              <w:tr2bl w:val="nil"/>
            </w:tcBorders>
            <w:noWrap w:val="0"/>
            <w:vAlign w:val="center"/>
          </w:tcPr>
          <w:p w14:paraId="7648CD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m</w:t>
            </w:r>
            <w:r>
              <w:rPr>
                <w:rFonts w:hint="default" w:ascii="Times New Roman" w:hAnsi="Times New Roman" w:eastAsia="楷体" w:cs="Times New Roman"/>
                <w:i w:val="0"/>
                <w:color w:val="auto"/>
                <w:kern w:val="0"/>
                <w:sz w:val="24"/>
                <w:szCs w:val="24"/>
                <w:highlight w:val="none"/>
                <w:u w:val="none"/>
                <w:vertAlign w:val="superscript"/>
                <w:lang w:val="en-US" w:eastAsia="zh-CN" w:bidi="ar"/>
              </w:rPr>
              <w:t>2</w:t>
            </w:r>
          </w:p>
        </w:tc>
        <w:tc>
          <w:tcPr>
            <w:tcW w:w="1939" w:type="dxa"/>
            <w:tcBorders>
              <w:tl2br w:val="nil"/>
              <w:tr2bl w:val="nil"/>
            </w:tcBorders>
            <w:noWrap w:val="0"/>
            <w:vAlign w:val="center"/>
          </w:tcPr>
          <w:p w14:paraId="178E8B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2000</w:t>
            </w:r>
          </w:p>
        </w:tc>
      </w:tr>
      <w:tr w14:paraId="16FE5C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58C7A9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3</w:t>
            </w:r>
          </w:p>
        </w:tc>
        <w:tc>
          <w:tcPr>
            <w:tcW w:w="3367" w:type="dxa"/>
            <w:tcBorders>
              <w:tl2br w:val="nil"/>
              <w:tr2bl w:val="nil"/>
            </w:tcBorders>
            <w:noWrap w:val="0"/>
            <w:vAlign w:val="center"/>
          </w:tcPr>
          <w:p w14:paraId="030B10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砂石料</w:t>
            </w:r>
          </w:p>
        </w:tc>
        <w:tc>
          <w:tcPr>
            <w:tcW w:w="1937" w:type="dxa"/>
            <w:tcBorders>
              <w:tl2br w:val="nil"/>
              <w:tr2bl w:val="nil"/>
            </w:tcBorders>
            <w:noWrap w:val="0"/>
            <w:vAlign w:val="center"/>
          </w:tcPr>
          <w:p w14:paraId="373607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m</w:t>
            </w:r>
            <w:r>
              <w:rPr>
                <w:rFonts w:hint="default" w:ascii="Times New Roman" w:hAnsi="Times New Roman" w:eastAsia="楷体" w:cs="Times New Roman"/>
                <w:i w:val="0"/>
                <w:color w:val="auto"/>
                <w:kern w:val="0"/>
                <w:sz w:val="24"/>
                <w:szCs w:val="24"/>
                <w:highlight w:val="none"/>
                <w:u w:val="none"/>
                <w:vertAlign w:val="superscript"/>
                <w:lang w:val="en-US" w:eastAsia="zh-CN" w:bidi="ar"/>
              </w:rPr>
              <w:t>3</w:t>
            </w:r>
          </w:p>
        </w:tc>
        <w:tc>
          <w:tcPr>
            <w:tcW w:w="1939" w:type="dxa"/>
            <w:tcBorders>
              <w:tl2br w:val="nil"/>
              <w:tr2bl w:val="nil"/>
            </w:tcBorders>
            <w:noWrap w:val="0"/>
            <w:vAlign w:val="center"/>
          </w:tcPr>
          <w:p w14:paraId="289129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500</w:t>
            </w:r>
          </w:p>
        </w:tc>
      </w:tr>
      <w:tr w14:paraId="087CA9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50672C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4</w:t>
            </w:r>
          </w:p>
        </w:tc>
        <w:tc>
          <w:tcPr>
            <w:tcW w:w="3367" w:type="dxa"/>
            <w:tcBorders>
              <w:tl2br w:val="nil"/>
              <w:tr2bl w:val="nil"/>
            </w:tcBorders>
            <w:noWrap w:val="0"/>
            <w:vAlign w:val="center"/>
          </w:tcPr>
          <w:p w14:paraId="695DCA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块石</w:t>
            </w:r>
          </w:p>
        </w:tc>
        <w:tc>
          <w:tcPr>
            <w:tcW w:w="1937" w:type="dxa"/>
            <w:tcBorders>
              <w:tl2br w:val="nil"/>
              <w:tr2bl w:val="nil"/>
            </w:tcBorders>
            <w:noWrap w:val="0"/>
            <w:vAlign w:val="center"/>
          </w:tcPr>
          <w:p w14:paraId="7A63F99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m</w:t>
            </w:r>
            <w:r>
              <w:rPr>
                <w:rFonts w:hint="default" w:ascii="Times New Roman" w:hAnsi="Times New Roman" w:eastAsia="楷体" w:cs="Times New Roman"/>
                <w:i w:val="0"/>
                <w:color w:val="auto"/>
                <w:kern w:val="0"/>
                <w:sz w:val="24"/>
                <w:szCs w:val="24"/>
                <w:highlight w:val="none"/>
                <w:u w:val="none"/>
                <w:vertAlign w:val="superscript"/>
                <w:lang w:val="en-US" w:eastAsia="zh-CN" w:bidi="ar"/>
              </w:rPr>
              <w:t>3</w:t>
            </w:r>
          </w:p>
        </w:tc>
        <w:tc>
          <w:tcPr>
            <w:tcW w:w="1939" w:type="dxa"/>
            <w:tcBorders>
              <w:tl2br w:val="nil"/>
              <w:tr2bl w:val="nil"/>
            </w:tcBorders>
            <w:noWrap w:val="0"/>
            <w:vAlign w:val="center"/>
          </w:tcPr>
          <w:p w14:paraId="4FA1B4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500</w:t>
            </w:r>
          </w:p>
        </w:tc>
      </w:tr>
      <w:tr w14:paraId="0D844A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13B213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5</w:t>
            </w:r>
          </w:p>
        </w:tc>
        <w:tc>
          <w:tcPr>
            <w:tcW w:w="3367" w:type="dxa"/>
            <w:tcBorders>
              <w:tl2br w:val="nil"/>
              <w:tr2bl w:val="nil"/>
            </w:tcBorders>
            <w:noWrap w:val="0"/>
            <w:vAlign w:val="center"/>
          </w:tcPr>
          <w:p w14:paraId="540B27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铅丝</w:t>
            </w:r>
          </w:p>
        </w:tc>
        <w:tc>
          <w:tcPr>
            <w:tcW w:w="1937" w:type="dxa"/>
            <w:tcBorders>
              <w:tl2br w:val="nil"/>
              <w:tr2bl w:val="nil"/>
            </w:tcBorders>
            <w:noWrap w:val="0"/>
            <w:vAlign w:val="center"/>
          </w:tcPr>
          <w:p w14:paraId="42B75E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kg</w:t>
            </w:r>
          </w:p>
        </w:tc>
        <w:tc>
          <w:tcPr>
            <w:tcW w:w="1939" w:type="dxa"/>
            <w:tcBorders>
              <w:tl2br w:val="nil"/>
              <w:tr2bl w:val="nil"/>
            </w:tcBorders>
            <w:noWrap w:val="0"/>
            <w:vAlign w:val="center"/>
          </w:tcPr>
          <w:p w14:paraId="49E5C9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500</w:t>
            </w:r>
          </w:p>
        </w:tc>
      </w:tr>
      <w:tr w14:paraId="722124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5495A5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6</w:t>
            </w:r>
          </w:p>
        </w:tc>
        <w:tc>
          <w:tcPr>
            <w:tcW w:w="3367" w:type="dxa"/>
            <w:tcBorders>
              <w:tl2br w:val="nil"/>
              <w:tr2bl w:val="nil"/>
            </w:tcBorders>
            <w:noWrap w:val="0"/>
            <w:vAlign w:val="center"/>
          </w:tcPr>
          <w:p w14:paraId="395E1E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桩木</w:t>
            </w:r>
          </w:p>
        </w:tc>
        <w:tc>
          <w:tcPr>
            <w:tcW w:w="1937" w:type="dxa"/>
            <w:tcBorders>
              <w:tl2br w:val="nil"/>
              <w:tr2bl w:val="nil"/>
            </w:tcBorders>
            <w:noWrap w:val="0"/>
            <w:vAlign w:val="center"/>
          </w:tcPr>
          <w:p w14:paraId="1A3FA4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m</w:t>
            </w:r>
            <w:r>
              <w:rPr>
                <w:rFonts w:hint="default" w:ascii="Times New Roman" w:hAnsi="Times New Roman" w:eastAsia="楷体" w:cs="Times New Roman"/>
                <w:i w:val="0"/>
                <w:color w:val="auto"/>
                <w:kern w:val="0"/>
                <w:sz w:val="24"/>
                <w:szCs w:val="24"/>
                <w:highlight w:val="none"/>
                <w:u w:val="none"/>
                <w:vertAlign w:val="superscript"/>
                <w:lang w:val="en-US" w:eastAsia="zh-CN" w:bidi="ar"/>
              </w:rPr>
              <w:t>3</w:t>
            </w:r>
          </w:p>
        </w:tc>
        <w:tc>
          <w:tcPr>
            <w:tcW w:w="1939" w:type="dxa"/>
            <w:tcBorders>
              <w:tl2br w:val="nil"/>
              <w:tr2bl w:val="nil"/>
            </w:tcBorders>
            <w:noWrap w:val="0"/>
            <w:vAlign w:val="center"/>
          </w:tcPr>
          <w:p w14:paraId="0AD928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1</w:t>
            </w:r>
          </w:p>
        </w:tc>
      </w:tr>
      <w:tr w14:paraId="037DB0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05A844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二</w:t>
            </w:r>
          </w:p>
        </w:tc>
        <w:tc>
          <w:tcPr>
            <w:tcW w:w="3367" w:type="dxa"/>
            <w:tcBorders>
              <w:tl2br w:val="nil"/>
              <w:tr2bl w:val="nil"/>
            </w:tcBorders>
            <w:noWrap w:val="0"/>
            <w:vAlign w:val="center"/>
          </w:tcPr>
          <w:p w14:paraId="4419F9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救生器材</w:t>
            </w:r>
          </w:p>
        </w:tc>
        <w:tc>
          <w:tcPr>
            <w:tcW w:w="1937" w:type="dxa"/>
            <w:tcBorders>
              <w:tl2br w:val="nil"/>
              <w:tr2bl w:val="nil"/>
            </w:tcBorders>
            <w:noWrap w:val="0"/>
            <w:vAlign w:val="center"/>
          </w:tcPr>
          <w:p w14:paraId="2C1C19C6">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auto"/>
                <w:sz w:val="24"/>
                <w:szCs w:val="24"/>
                <w:highlight w:val="none"/>
                <w:u w:val="none"/>
              </w:rPr>
            </w:pPr>
          </w:p>
        </w:tc>
        <w:tc>
          <w:tcPr>
            <w:tcW w:w="1939" w:type="dxa"/>
            <w:tcBorders>
              <w:tl2br w:val="nil"/>
              <w:tr2bl w:val="nil"/>
            </w:tcBorders>
            <w:noWrap w:val="0"/>
            <w:vAlign w:val="center"/>
          </w:tcPr>
          <w:p w14:paraId="0EAA6498">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auto"/>
                <w:sz w:val="24"/>
                <w:szCs w:val="24"/>
                <w:highlight w:val="none"/>
                <w:u w:val="none"/>
              </w:rPr>
            </w:pPr>
          </w:p>
        </w:tc>
      </w:tr>
      <w:tr w14:paraId="1B5E97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13D746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1</w:t>
            </w:r>
          </w:p>
        </w:tc>
        <w:tc>
          <w:tcPr>
            <w:tcW w:w="3367" w:type="dxa"/>
            <w:tcBorders>
              <w:tl2br w:val="nil"/>
              <w:tr2bl w:val="nil"/>
            </w:tcBorders>
            <w:noWrap w:val="0"/>
            <w:vAlign w:val="center"/>
          </w:tcPr>
          <w:p w14:paraId="4D8127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救生衣（圈）</w:t>
            </w:r>
          </w:p>
        </w:tc>
        <w:tc>
          <w:tcPr>
            <w:tcW w:w="1937" w:type="dxa"/>
            <w:tcBorders>
              <w:tl2br w:val="nil"/>
              <w:tr2bl w:val="nil"/>
            </w:tcBorders>
            <w:noWrap w:val="0"/>
            <w:vAlign w:val="center"/>
          </w:tcPr>
          <w:p w14:paraId="2DB30F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件</w:t>
            </w:r>
          </w:p>
        </w:tc>
        <w:tc>
          <w:tcPr>
            <w:tcW w:w="1939" w:type="dxa"/>
            <w:tcBorders>
              <w:tl2br w:val="nil"/>
              <w:tr2bl w:val="nil"/>
            </w:tcBorders>
            <w:noWrap w:val="0"/>
            <w:vAlign w:val="center"/>
          </w:tcPr>
          <w:p w14:paraId="705B64F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50</w:t>
            </w:r>
          </w:p>
        </w:tc>
      </w:tr>
      <w:tr w14:paraId="36693B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4EA348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三</w:t>
            </w:r>
          </w:p>
        </w:tc>
        <w:tc>
          <w:tcPr>
            <w:tcW w:w="3367" w:type="dxa"/>
            <w:tcBorders>
              <w:tl2br w:val="nil"/>
              <w:tr2bl w:val="nil"/>
            </w:tcBorders>
            <w:noWrap w:val="0"/>
            <w:vAlign w:val="center"/>
          </w:tcPr>
          <w:p w14:paraId="3E2777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小型抢险机具</w:t>
            </w:r>
          </w:p>
        </w:tc>
        <w:tc>
          <w:tcPr>
            <w:tcW w:w="1937" w:type="dxa"/>
            <w:tcBorders>
              <w:tl2br w:val="nil"/>
              <w:tr2bl w:val="nil"/>
            </w:tcBorders>
            <w:noWrap w:val="0"/>
            <w:vAlign w:val="center"/>
          </w:tcPr>
          <w:p w14:paraId="75694DF4">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auto"/>
                <w:sz w:val="24"/>
                <w:szCs w:val="24"/>
                <w:highlight w:val="none"/>
                <w:u w:val="none"/>
              </w:rPr>
            </w:pPr>
          </w:p>
        </w:tc>
        <w:tc>
          <w:tcPr>
            <w:tcW w:w="1939" w:type="dxa"/>
            <w:tcBorders>
              <w:tl2br w:val="nil"/>
              <w:tr2bl w:val="nil"/>
            </w:tcBorders>
            <w:noWrap w:val="0"/>
            <w:vAlign w:val="center"/>
          </w:tcPr>
          <w:p w14:paraId="37B5007E">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auto"/>
                <w:sz w:val="24"/>
                <w:szCs w:val="24"/>
                <w:highlight w:val="none"/>
                <w:u w:val="none"/>
              </w:rPr>
            </w:pPr>
          </w:p>
        </w:tc>
      </w:tr>
      <w:tr w14:paraId="76E311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1C9B3D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1</w:t>
            </w:r>
          </w:p>
        </w:tc>
        <w:tc>
          <w:tcPr>
            <w:tcW w:w="3367" w:type="dxa"/>
            <w:tcBorders>
              <w:tl2br w:val="nil"/>
              <w:tr2bl w:val="nil"/>
            </w:tcBorders>
            <w:noWrap w:val="0"/>
            <w:vAlign w:val="center"/>
          </w:tcPr>
          <w:p w14:paraId="2EE336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发电机组</w:t>
            </w:r>
          </w:p>
        </w:tc>
        <w:tc>
          <w:tcPr>
            <w:tcW w:w="1937" w:type="dxa"/>
            <w:tcBorders>
              <w:tl2br w:val="nil"/>
              <w:tr2bl w:val="nil"/>
            </w:tcBorders>
            <w:noWrap w:val="0"/>
            <w:vAlign w:val="center"/>
          </w:tcPr>
          <w:p w14:paraId="347AFF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kw</w:t>
            </w:r>
          </w:p>
        </w:tc>
        <w:tc>
          <w:tcPr>
            <w:tcW w:w="1939" w:type="dxa"/>
            <w:tcBorders>
              <w:tl2br w:val="nil"/>
              <w:tr2bl w:val="nil"/>
            </w:tcBorders>
            <w:noWrap w:val="0"/>
            <w:vAlign w:val="center"/>
          </w:tcPr>
          <w:p w14:paraId="20C2E0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10</w:t>
            </w:r>
          </w:p>
        </w:tc>
      </w:tr>
      <w:tr w14:paraId="2289A6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7954FA9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2</w:t>
            </w:r>
          </w:p>
        </w:tc>
        <w:tc>
          <w:tcPr>
            <w:tcW w:w="3367" w:type="dxa"/>
            <w:tcBorders>
              <w:tl2br w:val="nil"/>
              <w:tr2bl w:val="nil"/>
            </w:tcBorders>
            <w:noWrap w:val="0"/>
            <w:vAlign w:val="center"/>
          </w:tcPr>
          <w:p w14:paraId="061844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便携式工作灯</w:t>
            </w:r>
          </w:p>
        </w:tc>
        <w:tc>
          <w:tcPr>
            <w:tcW w:w="1937" w:type="dxa"/>
            <w:tcBorders>
              <w:tl2br w:val="nil"/>
              <w:tr2bl w:val="nil"/>
            </w:tcBorders>
            <w:noWrap w:val="0"/>
            <w:vAlign w:val="center"/>
          </w:tcPr>
          <w:p w14:paraId="68FC34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只</w:t>
            </w:r>
          </w:p>
        </w:tc>
        <w:tc>
          <w:tcPr>
            <w:tcW w:w="1939" w:type="dxa"/>
            <w:tcBorders>
              <w:tl2br w:val="nil"/>
              <w:tr2bl w:val="nil"/>
            </w:tcBorders>
            <w:noWrap w:val="0"/>
            <w:vAlign w:val="center"/>
          </w:tcPr>
          <w:p w14:paraId="65ED8F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10</w:t>
            </w:r>
          </w:p>
        </w:tc>
      </w:tr>
      <w:tr w14:paraId="08DC5A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20DA148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3</w:t>
            </w:r>
          </w:p>
        </w:tc>
        <w:tc>
          <w:tcPr>
            <w:tcW w:w="3367" w:type="dxa"/>
            <w:tcBorders>
              <w:tl2br w:val="nil"/>
              <w:tr2bl w:val="nil"/>
            </w:tcBorders>
            <w:noWrap w:val="0"/>
            <w:vAlign w:val="center"/>
          </w:tcPr>
          <w:p w14:paraId="1FA688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投光灯</w:t>
            </w:r>
          </w:p>
        </w:tc>
        <w:tc>
          <w:tcPr>
            <w:tcW w:w="1937" w:type="dxa"/>
            <w:tcBorders>
              <w:tl2br w:val="nil"/>
              <w:tr2bl w:val="nil"/>
            </w:tcBorders>
            <w:noWrap w:val="0"/>
            <w:vAlign w:val="center"/>
          </w:tcPr>
          <w:p w14:paraId="42AC8F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只</w:t>
            </w:r>
          </w:p>
        </w:tc>
        <w:tc>
          <w:tcPr>
            <w:tcW w:w="1939" w:type="dxa"/>
            <w:tcBorders>
              <w:tl2br w:val="nil"/>
              <w:tr2bl w:val="nil"/>
            </w:tcBorders>
            <w:noWrap w:val="0"/>
            <w:vAlign w:val="center"/>
          </w:tcPr>
          <w:p w14:paraId="2F908E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1</w:t>
            </w:r>
          </w:p>
        </w:tc>
      </w:tr>
      <w:tr w14:paraId="2DB5FF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4FE69F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4</w:t>
            </w:r>
          </w:p>
        </w:tc>
        <w:tc>
          <w:tcPr>
            <w:tcW w:w="3367" w:type="dxa"/>
            <w:tcBorders>
              <w:tl2br w:val="nil"/>
              <w:tr2bl w:val="nil"/>
            </w:tcBorders>
            <w:noWrap w:val="0"/>
            <w:vAlign w:val="center"/>
          </w:tcPr>
          <w:p w14:paraId="3283A0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电缆</w:t>
            </w:r>
          </w:p>
        </w:tc>
        <w:tc>
          <w:tcPr>
            <w:tcW w:w="1937" w:type="dxa"/>
            <w:tcBorders>
              <w:tl2br w:val="nil"/>
              <w:tr2bl w:val="nil"/>
            </w:tcBorders>
            <w:noWrap w:val="0"/>
            <w:vAlign w:val="center"/>
          </w:tcPr>
          <w:p w14:paraId="32EFD6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m</w:t>
            </w:r>
          </w:p>
        </w:tc>
        <w:tc>
          <w:tcPr>
            <w:tcW w:w="1939" w:type="dxa"/>
            <w:tcBorders>
              <w:tl2br w:val="nil"/>
              <w:tr2bl w:val="nil"/>
            </w:tcBorders>
            <w:noWrap w:val="0"/>
            <w:vAlign w:val="center"/>
          </w:tcPr>
          <w:p w14:paraId="6F13AD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150</w:t>
            </w:r>
          </w:p>
        </w:tc>
      </w:tr>
      <w:tr w14:paraId="4ADCDA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10FF03C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四</w:t>
            </w:r>
          </w:p>
        </w:tc>
        <w:tc>
          <w:tcPr>
            <w:tcW w:w="3367" w:type="dxa"/>
            <w:tcBorders>
              <w:tl2br w:val="nil"/>
              <w:tr2bl w:val="nil"/>
            </w:tcBorders>
            <w:noWrap w:val="0"/>
            <w:vAlign w:val="center"/>
          </w:tcPr>
          <w:p w14:paraId="1E4BF4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其他专用设备及配件</w:t>
            </w:r>
          </w:p>
        </w:tc>
        <w:tc>
          <w:tcPr>
            <w:tcW w:w="1937" w:type="dxa"/>
            <w:tcBorders>
              <w:tl2br w:val="nil"/>
              <w:tr2bl w:val="nil"/>
            </w:tcBorders>
            <w:noWrap w:val="0"/>
            <w:vAlign w:val="center"/>
          </w:tcPr>
          <w:p w14:paraId="6EF7E3D7">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auto"/>
                <w:sz w:val="24"/>
                <w:szCs w:val="24"/>
                <w:highlight w:val="none"/>
                <w:u w:val="none"/>
              </w:rPr>
            </w:pPr>
          </w:p>
        </w:tc>
        <w:tc>
          <w:tcPr>
            <w:tcW w:w="1939" w:type="dxa"/>
            <w:tcBorders>
              <w:tl2br w:val="nil"/>
              <w:tr2bl w:val="nil"/>
            </w:tcBorders>
            <w:noWrap w:val="0"/>
            <w:vAlign w:val="center"/>
          </w:tcPr>
          <w:p w14:paraId="57EB4B5A">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楷体" w:cs="Times New Roman"/>
                <w:i w:val="0"/>
                <w:color w:val="auto"/>
                <w:sz w:val="24"/>
                <w:szCs w:val="24"/>
                <w:highlight w:val="none"/>
                <w:u w:val="none"/>
              </w:rPr>
            </w:pPr>
          </w:p>
        </w:tc>
      </w:tr>
      <w:tr w14:paraId="443EB6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2DA319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1</w:t>
            </w:r>
          </w:p>
        </w:tc>
        <w:tc>
          <w:tcPr>
            <w:tcW w:w="3367" w:type="dxa"/>
            <w:tcBorders>
              <w:tl2br w:val="nil"/>
              <w:tr2bl w:val="nil"/>
            </w:tcBorders>
            <w:noWrap w:val="0"/>
            <w:vAlign w:val="center"/>
          </w:tcPr>
          <w:p w14:paraId="5DA95D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雨衣</w:t>
            </w:r>
          </w:p>
        </w:tc>
        <w:tc>
          <w:tcPr>
            <w:tcW w:w="1937" w:type="dxa"/>
            <w:tcBorders>
              <w:tl2br w:val="nil"/>
              <w:tr2bl w:val="nil"/>
            </w:tcBorders>
            <w:noWrap w:val="0"/>
            <w:vAlign w:val="center"/>
          </w:tcPr>
          <w:p w14:paraId="453175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件</w:t>
            </w:r>
          </w:p>
        </w:tc>
        <w:tc>
          <w:tcPr>
            <w:tcW w:w="1939" w:type="dxa"/>
            <w:tcBorders>
              <w:tl2br w:val="nil"/>
              <w:tr2bl w:val="nil"/>
            </w:tcBorders>
            <w:noWrap w:val="0"/>
            <w:vAlign w:val="center"/>
          </w:tcPr>
          <w:p w14:paraId="65B81A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50</w:t>
            </w:r>
          </w:p>
        </w:tc>
      </w:tr>
      <w:tr w14:paraId="740E3E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858" w:type="dxa"/>
            <w:tcBorders>
              <w:tl2br w:val="nil"/>
              <w:tr2bl w:val="nil"/>
            </w:tcBorders>
            <w:noWrap w:val="0"/>
            <w:vAlign w:val="center"/>
          </w:tcPr>
          <w:p w14:paraId="6E6479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2</w:t>
            </w:r>
          </w:p>
        </w:tc>
        <w:tc>
          <w:tcPr>
            <w:tcW w:w="3367" w:type="dxa"/>
            <w:tcBorders>
              <w:tl2br w:val="nil"/>
              <w:tr2bl w:val="nil"/>
            </w:tcBorders>
            <w:noWrap w:val="0"/>
            <w:vAlign w:val="center"/>
          </w:tcPr>
          <w:p w14:paraId="103C6E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雨鞋</w:t>
            </w:r>
          </w:p>
        </w:tc>
        <w:tc>
          <w:tcPr>
            <w:tcW w:w="1937" w:type="dxa"/>
            <w:tcBorders>
              <w:tl2br w:val="nil"/>
              <w:tr2bl w:val="nil"/>
            </w:tcBorders>
            <w:noWrap w:val="0"/>
            <w:vAlign w:val="center"/>
          </w:tcPr>
          <w:p w14:paraId="72BDC7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双</w:t>
            </w:r>
          </w:p>
        </w:tc>
        <w:tc>
          <w:tcPr>
            <w:tcW w:w="1939" w:type="dxa"/>
            <w:tcBorders>
              <w:tl2br w:val="nil"/>
              <w:tr2bl w:val="nil"/>
            </w:tcBorders>
            <w:noWrap w:val="0"/>
            <w:vAlign w:val="center"/>
          </w:tcPr>
          <w:p w14:paraId="3C4159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i w:val="0"/>
                <w:color w:val="auto"/>
                <w:sz w:val="24"/>
                <w:szCs w:val="24"/>
                <w:highlight w:val="none"/>
                <w:u w:val="none"/>
              </w:rPr>
            </w:pPr>
            <w:r>
              <w:rPr>
                <w:rFonts w:hint="default" w:ascii="Times New Roman" w:hAnsi="Times New Roman" w:eastAsia="楷体" w:cs="Times New Roman"/>
                <w:i w:val="0"/>
                <w:color w:val="auto"/>
                <w:kern w:val="0"/>
                <w:sz w:val="24"/>
                <w:szCs w:val="24"/>
                <w:highlight w:val="none"/>
                <w:u w:val="none"/>
                <w:lang w:val="en-US" w:eastAsia="zh-CN" w:bidi="ar"/>
              </w:rPr>
              <w:t>50</w:t>
            </w:r>
          </w:p>
        </w:tc>
      </w:tr>
    </w:tbl>
    <w:p w14:paraId="6B630AE6">
      <w:pPr>
        <w:spacing w:before="156" w:beforeLines="50" w:after="156" w:afterLines="50" w:line="360" w:lineRule="auto"/>
        <w:outlineLvl w:val="1"/>
        <w:rPr>
          <w:rFonts w:eastAsia="楷体"/>
          <w:b/>
          <w:color w:val="auto"/>
          <w:sz w:val="32"/>
          <w:szCs w:val="30"/>
          <w:highlight w:val="none"/>
        </w:rPr>
      </w:pPr>
      <w:r>
        <w:rPr>
          <w:rFonts w:eastAsia="楷体"/>
          <w:b/>
          <w:color w:val="auto"/>
          <w:sz w:val="32"/>
          <w:szCs w:val="30"/>
          <w:highlight w:val="none"/>
        </w:rPr>
        <w:t>6.4通讯保障</w:t>
      </w:r>
      <w:bookmarkEnd w:id="55"/>
    </w:p>
    <w:p w14:paraId="62D56A87">
      <w:pPr>
        <w:widowControl/>
        <w:spacing w:line="520" w:lineRule="exact"/>
        <w:ind w:firstLine="560"/>
        <w:rPr>
          <w:rFonts w:eastAsia="楷体"/>
          <w:color w:val="auto"/>
          <w:kern w:val="0"/>
          <w:sz w:val="28"/>
          <w:szCs w:val="28"/>
          <w:highlight w:val="none"/>
        </w:rPr>
      </w:pPr>
      <w:r>
        <w:rPr>
          <w:rFonts w:eastAsia="楷体"/>
          <w:color w:val="auto"/>
          <w:kern w:val="0"/>
          <w:sz w:val="28"/>
          <w:szCs w:val="28"/>
          <w:highlight w:val="none"/>
        </w:rPr>
        <w:t>四清水库防洪期间一旦出现防洪险情，工程管理单位要以各种有效的方式（有线通讯、无线通讯、移动通讯）将情况上报四清水库防洪抢险应急指挥部，并保持通讯畅通及时、准确传递水库应急指挥部的抢险指令，随时向指挥部汇报抢险情况，保证抢险工作的顺利进行。</w:t>
      </w:r>
    </w:p>
    <w:p w14:paraId="0B585159">
      <w:pPr>
        <w:spacing w:before="156" w:beforeLines="50" w:after="156" w:afterLines="50" w:line="360" w:lineRule="auto"/>
        <w:outlineLvl w:val="1"/>
        <w:rPr>
          <w:rFonts w:eastAsia="楷体"/>
          <w:b/>
          <w:color w:val="auto"/>
          <w:sz w:val="32"/>
          <w:szCs w:val="30"/>
          <w:highlight w:val="none"/>
        </w:rPr>
      </w:pPr>
      <w:bookmarkStart w:id="56" w:name="_Toc5419"/>
      <w:r>
        <w:rPr>
          <w:rFonts w:eastAsia="楷体"/>
          <w:b/>
          <w:color w:val="auto"/>
          <w:sz w:val="32"/>
          <w:szCs w:val="30"/>
          <w:highlight w:val="none"/>
        </w:rPr>
        <w:t>6.5其他保障</w:t>
      </w:r>
      <w:bookmarkEnd w:id="56"/>
    </w:p>
    <w:p w14:paraId="7944A94F">
      <w:pPr>
        <w:spacing w:before="156" w:beforeLines="50" w:after="156" w:afterLines="50"/>
        <w:outlineLvl w:val="2"/>
        <w:rPr>
          <w:rFonts w:eastAsia="楷体"/>
          <w:b/>
          <w:bCs/>
          <w:color w:val="auto"/>
          <w:sz w:val="32"/>
          <w:szCs w:val="30"/>
          <w:highlight w:val="none"/>
        </w:rPr>
      </w:pPr>
      <w:r>
        <w:rPr>
          <w:rFonts w:eastAsia="楷体"/>
          <w:b/>
          <w:bCs/>
          <w:color w:val="auto"/>
          <w:sz w:val="32"/>
          <w:szCs w:val="30"/>
          <w:highlight w:val="none"/>
        </w:rPr>
        <w:t>6.5.1卫生保障</w:t>
      </w:r>
    </w:p>
    <w:p w14:paraId="0E9D31E2">
      <w:pPr>
        <w:widowControl/>
        <w:spacing w:line="520" w:lineRule="exact"/>
        <w:ind w:firstLine="560"/>
        <w:rPr>
          <w:rFonts w:eastAsia="楷体"/>
          <w:color w:val="auto"/>
          <w:kern w:val="0"/>
          <w:sz w:val="28"/>
          <w:szCs w:val="28"/>
          <w:highlight w:val="none"/>
        </w:rPr>
      </w:pPr>
      <w:r>
        <w:rPr>
          <w:rFonts w:eastAsia="楷体"/>
          <w:color w:val="auto"/>
          <w:kern w:val="0"/>
          <w:sz w:val="28"/>
          <w:szCs w:val="28"/>
          <w:highlight w:val="none"/>
        </w:rPr>
        <w:t>救灾防疫所需的物资、药品由所在地县级卫生防疫部门负责组织、调拨，并实行集中储存和管理，统一发放，确保救灾防疫物资和药品能够在发生灾害后及时、安全发放到每个受灾群众的手中，保障每个因发生灾害而受灾的群众能得到有效救助。</w:t>
      </w:r>
    </w:p>
    <w:p w14:paraId="4A390D62">
      <w:pPr>
        <w:spacing w:before="156" w:beforeLines="50" w:after="156" w:afterLines="50"/>
        <w:outlineLvl w:val="2"/>
        <w:rPr>
          <w:rFonts w:eastAsia="楷体"/>
          <w:b/>
          <w:color w:val="auto"/>
          <w:sz w:val="32"/>
          <w:szCs w:val="30"/>
          <w:highlight w:val="none"/>
        </w:rPr>
      </w:pPr>
      <w:r>
        <w:rPr>
          <w:rFonts w:eastAsia="楷体"/>
          <w:b/>
          <w:color w:val="auto"/>
          <w:sz w:val="32"/>
          <w:szCs w:val="30"/>
          <w:highlight w:val="none"/>
        </w:rPr>
        <w:t>6.5.2 交通保障</w:t>
      </w:r>
    </w:p>
    <w:p w14:paraId="760CAA34">
      <w:pPr>
        <w:widowControl/>
        <w:spacing w:line="520" w:lineRule="exact"/>
        <w:ind w:firstLine="560"/>
        <w:rPr>
          <w:rFonts w:eastAsia="楷体"/>
          <w:color w:val="auto"/>
          <w:kern w:val="0"/>
          <w:sz w:val="28"/>
          <w:szCs w:val="28"/>
          <w:highlight w:val="none"/>
        </w:rPr>
      </w:pPr>
      <w:r>
        <w:rPr>
          <w:rFonts w:eastAsia="楷体"/>
          <w:color w:val="auto"/>
          <w:kern w:val="0"/>
          <w:sz w:val="28"/>
          <w:szCs w:val="28"/>
          <w:highlight w:val="none"/>
        </w:rPr>
        <w:t>救灾期间所需交通工具由所在地县级交通运输管理部门负责协商、落实安排相关事项。</w:t>
      </w:r>
    </w:p>
    <w:p w14:paraId="242B9B71">
      <w:pPr>
        <w:spacing w:before="156" w:beforeLines="50" w:after="156" w:afterLines="50"/>
        <w:outlineLvl w:val="2"/>
        <w:rPr>
          <w:rFonts w:eastAsia="楷体"/>
          <w:b/>
          <w:color w:val="auto"/>
          <w:sz w:val="32"/>
          <w:szCs w:val="30"/>
          <w:highlight w:val="none"/>
        </w:rPr>
      </w:pPr>
      <w:r>
        <w:rPr>
          <w:rFonts w:eastAsia="楷体"/>
          <w:b/>
          <w:color w:val="auto"/>
          <w:sz w:val="32"/>
          <w:szCs w:val="30"/>
          <w:highlight w:val="none"/>
        </w:rPr>
        <w:t>6.5.3 安全保障</w:t>
      </w:r>
    </w:p>
    <w:p w14:paraId="37B770AD">
      <w:pPr>
        <w:widowControl/>
        <w:spacing w:line="520" w:lineRule="exact"/>
        <w:ind w:firstLine="560"/>
        <w:rPr>
          <w:rFonts w:eastAsia="楷体"/>
          <w:color w:val="auto"/>
          <w:kern w:val="0"/>
          <w:sz w:val="28"/>
          <w:szCs w:val="28"/>
          <w:highlight w:val="none"/>
        </w:rPr>
      </w:pPr>
      <w:r>
        <w:rPr>
          <w:rFonts w:eastAsia="楷体"/>
          <w:color w:val="auto"/>
          <w:kern w:val="0"/>
          <w:sz w:val="28"/>
          <w:szCs w:val="28"/>
          <w:highlight w:val="none"/>
        </w:rPr>
        <w:t>救灾期间的安全保障，由所在地县级公安部门负责落实受灾转移群众的安全保卫和灾区的治安工作，维护社会治安秩序。有关抢险救灾情况的宣传报道实行统一管理，任何人未经防洪抢险指挥部门的批准不得擅自对外发布任何消息。</w:t>
      </w:r>
    </w:p>
    <w:p w14:paraId="2EB3B306">
      <w:pPr>
        <w:adjustRightInd w:val="0"/>
        <w:snapToGrid w:val="0"/>
        <w:spacing w:line="520" w:lineRule="exact"/>
        <w:jc w:val="center"/>
        <w:outlineLvl w:val="0"/>
        <w:rPr>
          <w:rStyle w:val="46"/>
          <w:rFonts w:eastAsia="楷体"/>
          <w:b/>
          <w:bCs/>
          <w:color w:val="auto"/>
          <w:sz w:val="36"/>
          <w:szCs w:val="36"/>
          <w:highlight w:val="none"/>
        </w:rPr>
        <w:sectPr>
          <w:pgSz w:w="11907" w:h="16840"/>
          <w:pgMar w:top="1418" w:right="1418" w:bottom="1418" w:left="1418" w:header="851" w:footer="992" w:gutter="0"/>
          <w:pgNumType w:fmt="numberInDash"/>
          <w:cols w:space="720" w:num="1"/>
          <w:docGrid w:type="lines" w:linePitch="312" w:charSpace="0"/>
        </w:sectPr>
      </w:pPr>
      <w:bookmarkStart w:id="57" w:name="_Toc28054"/>
    </w:p>
    <w:p w14:paraId="43C71E66">
      <w:pPr>
        <w:adjustRightInd w:val="0"/>
        <w:snapToGrid w:val="0"/>
        <w:spacing w:line="520" w:lineRule="exact"/>
        <w:jc w:val="center"/>
        <w:outlineLvl w:val="0"/>
        <w:rPr>
          <w:rStyle w:val="46"/>
          <w:rFonts w:eastAsia="楷体"/>
          <w:b/>
          <w:bCs/>
          <w:color w:val="auto"/>
          <w:sz w:val="36"/>
          <w:szCs w:val="36"/>
          <w:highlight w:val="none"/>
        </w:rPr>
      </w:pPr>
      <w:r>
        <w:rPr>
          <w:rStyle w:val="46"/>
          <w:rFonts w:eastAsia="楷体"/>
          <w:b/>
          <w:bCs/>
          <w:color w:val="auto"/>
          <w:sz w:val="36"/>
          <w:szCs w:val="36"/>
          <w:highlight w:val="none"/>
        </w:rPr>
        <w:t>7 《应急预案》启动和结束</w:t>
      </w:r>
      <w:bookmarkEnd w:id="57"/>
    </w:p>
    <w:p w14:paraId="08DDC0A9">
      <w:pPr>
        <w:pStyle w:val="4"/>
        <w:spacing w:before="120" w:beforeLines="0" w:after="120" w:afterLines="0" w:line="360" w:lineRule="auto"/>
        <w:rPr>
          <w:rFonts w:ascii="Times New Roman" w:hAnsi="Times New Roman" w:eastAsia="楷体"/>
          <w:color w:val="auto"/>
          <w:kern w:val="0"/>
          <w:sz w:val="28"/>
          <w:szCs w:val="28"/>
          <w:highlight w:val="none"/>
        </w:rPr>
      </w:pPr>
      <w:bookmarkStart w:id="58" w:name="_Toc475106539"/>
      <w:bookmarkStart w:id="59" w:name="_Toc2574"/>
      <w:r>
        <w:rPr>
          <w:rFonts w:ascii="Times New Roman" w:hAnsi="Times New Roman" w:eastAsia="楷体"/>
          <w:bCs w:val="0"/>
          <w:color w:val="auto"/>
          <w:highlight w:val="none"/>
        </w:rPr>
        <w:t>7.1 启动与结束条件</w:t>
      </w:r>
      <w:bookmarkEnd w:id="58"/>
      <w:bookmarkEnd w:id="59"/>
    </w:p>
    <w:p w14:paraId="2B64DBD4">
      <w:pPr>
        <w:pStyle w:val="5"/>
        <w:spacing w:before="93" w:beforeLines="30" w:after="93" w:afterLines="30" w:line="360" w:lineRule="auto"/>
        <w:rPr>
          <w:rFonts w:eastAsia="楷体"/>
          <w:bCs w:val="0"/>
          <w:color w:val="auto"/>
          <w:highlight w:val="none"/>
        </w:rPr>
      </w:pPr>
      <w:r>
        <w:rPr>
          <w:rFonts w:eastAsia="楷体"/>
          <w:bCs w:val="0"/>
          <w:color w:val="auto"/>
          <w:highlight w:val="none"/>
        </w:rPr>
        <w:t>7.1.1 启动《应急预案》的条件</w:t>
      </w:r>
    </w:p>
    <w:p w14:paraId="42EE6951">
      <w:pPr>
        <w:adjustRightInd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（1）大坝发生严重的贯穿性裂缝、滑坡、冲刷、坝肩失稳等可能导致决口、垮坝等重大险情。</w:t>
      </w:r>
    </w:p>
    <w:p w14:paraId="3A95E3E8">
      <w:pPr>
        <w:adjustRightInd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（2）水库库区内发生超标准洪水，导致水库水位超过校核洪水位以上的险情。</w:t>
      </w:r>
    </w:p>
    <w:p w14:paraId="658D148E">
      <w:pPr>
        <w:adjustRightInd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（3）因地震、地质灾害可能导致水库大坝决口、垮坝等重大险情。</w:t>
      </w:r>
    </w:p>
    <w:p w14:paraId="210AAEB7">
      <w:pPr>
        <w:adjustRightInd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（4）因战争或恐怖活动而引发导致水库大坝决口、垮坝等重大险情。</w:t>
      </w:r>
    </w:p>
    <w:p w14:paraId="70B187EF">
      <w:pPr>
        <w:pStyle w:val="5"/>
        <w:snapToGrid w:val="0"/>
        <w:spacing w:before="93" w:beforeLines="30" w:after="93" w:afterLines="30" w:line="360" w:lineRule="auto"/>
        <w:rPr>
          <w:rFonts w:eastAsia="楷体"/>
          <w:bCs w:val="0"/>
          <w:color w:val="auto"/>
          <w:highlight w:val="none"/>
        </w:rPr>
      </w:pPr>
      <w:r>
        <w:rPr>
          <w:rFonts w:eastAsia="楷体"/>
          <w:bCs w:val="0"/>
          <w:color w:val="auto"/>
          <w:highlight w:val="none"/>
        </w:rPr>
        <w:t>7.1.2 终止《应急预案》的条件</w:t>
      </w:r>
    </w:p>
    <w:p w14:paraId="4BFE98FA">
      <w:pPr>
        <w:adjustRightInd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当洪水灾害、大坝险情、泄水建筑物险情、地震地质灾害导致水库大坝垮坝的险情、战争或恐怖活动而引发导致水库大坝垮坝的险情，得到有效控制。</w:t>
      </w:r>
    </w:p>
    <w:p w14:paraId="00630492">
      <w:pPr>
        <w:pStyle w:val="4"/>
        <w:spacing w:before="120" w:beforeLines="0" w:after="120" w:afterLines="0" w:line="360" w:lineRule="auto"/>
        <w:rPr>
          <w:rFonts w:ascii="Times New Roman" w:hAnsi="Times New Roman" w:eastAsia="楷体"/>
          <w:bCs w:val="0"/>
          <w:color w:val="auto"/>
          <w:highlight w:val="none"/>
        </w:rPr>
      </w:pPr>
      <w:bookmarkStart w:id="60" w:name="_Toc369"/>
      <w:bookmarkStart w:id="61" w:name="_Toc475106540"/>
      <w:r>
        <w:rPr>
          <w:rFonts w:ascii="Times New Roman" w:hAnsi="Times New Roman" w:eastAsia="楷体"/>
          <w:bCs w:val="0"/>
          <w:color w:val="auto"/>
          <w:highlight w:val="none"/>
        </w:rPr>
        <w:t>7.2 决策机构与程序</w:t>
      </w:r>
      <w:bookmarkEnd w:id="60"/>
      <w:bookmarkEnd w:id="61"/>
    </w:p>
    <w:p w14:paraId="288C7A53">
      <w:pPr>
        <w:adjustRightInd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7.2.1 启动《应急预案》的决策机构与程序</w:t>
      </w:r>
    </w:p>
    <w:p w14:paraId="39CADB46">
      <w:pPr>
        <w:adjustRightInd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四清水库《应急预案》的启动，是根据水库出现险情的危害性，由“防洪应急指挥部”研究决定启动《应急预案》。</w:t>
      </w:r>
    </w:p>
    <w:p w14:paraId="3C548126">
      <w:pPr>
        <w:adjustRightInd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7.2.2 终止《应急预案》的决策机构与程序</w:t>
      </w:r>
    </w:p>
    <w:p w14:paraId="74504535">
      <w:pPr>
        <w:adjustRightInd w:val="0"/>
        <w:snapToGrid w:val="0"/>
        <w:spacing w:line="520" w:lineRule="exact"/>
        <w:ind w:firstLine="560" w:firstLineChars="200"/>
        <w:rPr>
          <w:rFonts w:eastAsia="楷体"/>
          <w:color w:val="auto"/>
          <w:sz w:val="28"/>
          <w:szCs w:val="28"/>
          <w:highlight w:val="none"/>
        </w:rPr>
      </w:pPr>
      <w:r>
        <w:rPr>
          <w:rFonts w:eastAsia="楷体"/>
          <w:color w:val="auto"/>
          <w:sz w:val="28"/>
          <w:szCs w:val="28"/>
          <w:highlight w:val="none"/>
        </w:rPr>
        <w:t>当水库险情通过科学调度抢险，使险情得到有效控制时，由“防洪应急指挥部”决定终止《应急预案》响应。</w:t>
      </w:r>
      <w:bookmarkStart w:id="62" w:name="_Toc133397989"/>
    </w:p>
    <w:p w14:paraId="7954BFAE">
      <w:pPr>
        <w:widowControl/>
        <w:spacing w:line="360" w:lineRule="auto"/>
        <w:ind w:firstLine="560"/>
        <w:jc w:val="left"/>
        <w:rPr>
          <w:rFonts w:eastAsia="楷体"/>
          <w:color w:val="auto"/>
          <w:sz w:val="32"/>
          <w:szCs w:val="32"/>
          <w:highlight w:val="none"/>
        </w:rPr>
      </w:pPr>
    </w:p>
    <w:p w14:paraId="6D93CFF0">
      <w:pPr>
        <w:widowControl/>
        <w:spacing w:line="360" w:lineRule="auto"/>
        <w:jc w:val="left"/>
        <w:rPr>
          <w:rFonts w:eastAsia="楷体"/>
          <w:color w:val="auto"/>
          <w:sz w:val="32"/>
          <w:szCs w:val="32"/>
          <w:highlight w:val="none"/>
        </w:rPr>
      </w:pPr>
    </w:p>
    <w:p w14:paraId="1E682D8D">
      <w:pPr>
        <w:adjustRightInd w:val="0"/>
        <w:snapToGrid w:val="0"/>
        <w:spacing w:line="520" w:lineRule="exact"/>
        <w:jc w:val="center"/>
        <w:outlineLvl w:val="0"/>
        <w:rPr>
          <w:rStyle w:val="46"/>
          <w:rFonts w:eastAsia="楷体"/>
          <w:b/>
          <w:bCs/>
          <w:color w:val="auto"/>
          <w:sz w:val="36"/>
          <w:szCs w:val="36"/>
          <w:highlight w:val="none"/>
        </w:rPr>
      </w:pPr>
      <w:bookmarkStart w:id="63" w:name="_Toc15125"/>
      <w:r>
        <w:rPr>
          <w:rStyle w:val="46"/>
          <w:rFonts w:eastAsia="楷体"/>
          <w:b/>
          <w:bCs/>
          <w:color w:val="auto"/>
          <w:sz w:val="36"/>
          <w:szCs w:val="36"/>
          <w:highlight w:val="none"/>
        </w:rPr>
        <w:t>8 附件</w:t>
      </w:r>
      <w:bookmarkEnd w:id="62"/>
      <w:bookmarkEnd w:id="63"/>
    </w:p>
    <w:p w14:paraId="2F6813C8">
      <w:pPr>
        <w:jc w:val="center"/>
        <w:outlineLvl w:val="1"/>
        <w:rPr>
          <w:rFonts w:eastAsia="楷体"/>
          <w:b/>
          <w:color w:val="auto"/>
          <w:sz w:val="28"/>
          <w:szCs w:val="28"/>
          <w:highlight w:val="none"/>
        </w:rPr>
      </w:pPr>
      <w:bookmarkStart w:id="64" w:name="_Toc23604"/>
      <w:bookmarkStart w:id="65" w:name="_Toc208810953"/>
      <w:bookmarkStart w:id="66" w:name="_Toc209594979"/>
      <w:bookmarkStart w:id="67" w:name="_Toc208384482"/>
      <w:bookmarkStart w:id="68" w:name="_Toc219720619"/>
      <w:r>
        <w:rPr>
          <w:rFonts w:eastAsia="楷体"/>
          <w:b/>
          <w:color w:val="auto"/>
          <w:sz w:val="28"/>
          <w:szCs w:val="28"/>
          <w:highlight w:val="none"/>
        </w:rPr>
        <w:t>表1    四清水库工程特性表</w:t>
      </w:r>
      <w:bookmarkEnd w:id="64"/>
    </w:p>
    <w:bookmarkEnd w:id="65"/>
    <w:bookmarkEnd w:id="66"/>
    <w:bookmarkEnd w:id="67"/>
    <w:bookmarkEnd w:id="68"/>
    <w:tbl>
      <w:tblPr>
        <w:tblStyle w:val="17"/>
        <w:tblW w:w="0" w:type="auto"/>
        <w:tblInd w:w="0" w:type="dxa"/>
        <w:tblLayout w:type="fixed"/>
        <w:tblCellMar>
          <w:top w:w="15" w:type="dxa"/>
          <w:left w:w="15" w:type="dxa"/>
          <w:bottom w:w="15" w:type="dxa"/>
          <w:right w:w="15" w:type="dxa"/>
        </w:tblCellMar>
      </w:tblPr>
      <w:tblGrid>
        <w:gridCol w:w="816"/>
        <w:gridCol w:w="368"/>
        <w:gridCol w:w="1041"/>
        <w:gridCol w:w="1655"/>
        <w:gridCol w:w="865"/>
        <w:gridCol w:w="1893"/>
        <w:gridCol w:w="617"/>
        <w:gridCol w:w="437"/>
        <w:gridCol w:w="1411"/>
      </w:tblGrid>
      <w:tr w14:paraId="648F74E1">
        <w:tblPrEx>
          <w:tblCellMar>
            <w:top w:w="15" w:type="dxa"/>
            <w:left w:w="15" w:type="dxa"/>
            <w:bottom w:w="15" w:type="dxa"/>
            <w:right w:w="15" w:type="dxa"/>
          </w:tblCellMar>
        </w:tblPrEx>
        <w:trPr>
          <w:trHeight w:val="286" w:hRule="atLeast"/>
        </w:trPr>
        <w:tc>
          <w:tcPr>
            <w:tcW w:w="2225" w:type="dxa"/>
            <w:gridSpan w:val="3"/>
            <w:tcBorders>
              <w:top w:val="single" w:color="000000" w:sz="12" w:space="0"/>
              <w:left w:val="single" w:color="000000" w:sz="12" w:space="0"/>
              <w:bottom w:val="single" w:color="000000" w:sz="4" w:space="0"/>
              <w:right w:val="single" w:color="000000" w:sz="4" w:space="0"/>
            </w:tcBorders>
            <w:noWrap w:val="0"/>
            <w:vAlign w:val="center"/>
          </w:tcPr>
          <w:p w14:paraId="165AF7A0">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水库名称</w:t>
            </w:r>
          </w:p>
        </w:tc>
        <w:tc>
          <w:tcPr>
            <w:tcW w:w="1655" w:type="dxa"/>
            <w:tcBorders>
              <w:top w:val="single" w:color="000000" w:sz="12" w:space="0"/>
              <w:left w:val="single" w:color="000000" w:sz="4" w:space="0"/>
              <w:bottom w:val="single" w:color="000000" w:sz="4" w:space="0"/>
              <w:right w:val="single" w:color="000000" w:sz="4" w:space="0"/>
            </w:tcBorders>
            <w:noWrap w:val="0"/>
            <w:vAlign w:val="center"/>
          </w:tcPr>
          <w:p w14:paraId="2E75CA36">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四清水库</w:t>
            </w:r>
          </w:p>
        </w:tc>
        <w:tc>
          <w:tcPr>
            <w:tcW w:w="3375" w:type="dxa"/>
            <w:gridSpan w:val="3"/>
            <w:tcBorders>
              <w:top w:val="single" w:color="000000" w:sz="12" w:space="0"/>
              <w:left w:val="single" w:color="000000" w:sz="4" w:space="0"/>
              <w:bottom w:val="single" w:color="000000" w:sz="4" w:space="0"/>
              <w:right w:val="single" w:color="000000" w:sz="4" w:space="0"/>
            </w:tcBorders>
            <w:noWrap w:val="0"/>
            <w:vAlign w:val="center"/>
          </w:tcPr>
          <w:p w14:paraId="15C6FE81">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主管部门</w:t>
            </w:r>
          </w:p>
        </w:tc>
        <w:tc>
          <w:tcPr>
            <w:tcW w:w="1848" w:type="dxa"/>
            <w:gridSpan w:val="2"/>
            <w:tcBorders>
              <w:top w:val="single" w:color="000000" w:sz="12" w:space="0"/>
              <w:left w:val="single" w:color="000000" w:sz="4" w:space="0"/>
              <w:bottom w:val="single" w:color="000000" w:sz="4" w:space="0"/>
              <w:right w:val="single" w:color="000000" w:sz="12" w:space="0"/>
            </w:tcBorders>
            <w:noWrap w:val="0"/>
            <w:vAlign w:val="center"/>
          </w:tcPr>
          <w:p w14:paraId="5B98778D">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泉港</w:t>
            </w:r>
            <w:r>
              <w:rPr>
                <w:rFonts w:eastAsia="楷体"/>
                <w:color w:val="auto"/>
                <w:kern w:val="0"/>
                <w:sz w:val="18"/>
                <w:szCs w:val="18"/>
                <w:highlight w:val="none"/>
                <w:lang w:bidi="ar"/>
              </w:rPr>
              <w:t>区农水局</w:t>
            </w:r>
          </w:p>
        </w:tc>
      </w:tr>
      <w:tr w14:paraId="56C16114">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17C93F47">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管理机构名称</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284A78F3">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前黄镇人民政府</w:t>
            </w:r>
          </w:p>
        </w:tc>
        <w:tc>
          <w:tcPr>
            <w:tcW w:w="3375" w:type="dxa"/>
            <w:gridSpan w:val="3"/>
            <w:tcBorders>
              <w:top w:val="single" w:color="000000" w:sz="4" w:space="0"/>
              <w:left w:val="single" w:color="000000" w:sz="4" w:space="0"/>
              <w:bottom w:val="single" w:color="000000" w:sz="4" w:space="0"/>
              <w:right w:val="single" w:color="000000" w:sz="4" w:space="0"/>
            </w:tcBorders>
            <w:noWrap w:val="0"/>
            <w:vAlign w:val="center"/>
          </w:tcPr>
          <w:p w14:paraId="6CA63896">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所在地点</w:t>
            </w:r>
          </w:p>
        </w:tc>
        <w:tc>
          <w:tcPr>
            <w:tcW w:w="1848" w:type="dxa"/>
            <w:gridSpan w:val="2"/>
            <w:tcBorders>
              <w:top w:val="single" w:color="000000" w:sz="4" w:space="0"/>
              <w:left w:val="single" w:color="000000" w:sz="4" w:space="0"/>
              <w:bottom w:val="single" w:color="000000" w:sz="4" w:space="0"/>
              <w:right w:val="single" w:color="000000" w:sz="12" w:space="0"/>
            </w:tcBorders>
            <w:noWrap w:val="0"/>
            <w:vAlign w:val="center"/>
          </w:tcPr>
          <w:p w14:paraId="1D2D438D">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前黄镇坑内村</w:t>
            </w:r>
          </w:p>
        </w:tc>
      </w:tr>
      <w:tr w14:paraId="278FCF64">
        <w:tblPrEx>
          <w:tblCellMar>
            <w:top w:w="15" w:type="dxa"/>
            <w:left w:w="15" w:type="dxa"/>
            <w:bottom w:w="15" w:type="dxa"/>
            <w:right w:w="15" w:type="dxa"/>
          </w:tblCellMar>
        </w:tblPrEx>
        <w:trPr>
          <w:trHeight w:val="286" w:hRule="atLeast"/>
        </w:trPr>
        <w:tc>
          <w:tcPr>
            <w:tcW w:w="1184" w:type="dxa"/>
            <w:gridSpan w:val="2"/>
            <w:tcBorders>
              <w:top w:val="single" w:color="000000" w:sz="4" w:space="0"/>
              <w:left w:val="single" w:color="000000" w:sz="12" w:space="0"/>
              <w:bottom w:val="single" w:color="000000" w:sz="4" w:space="0"/>
              <w:right w:val="single" w:color="000000" w:sz="4" w:space="0"/>
            </w:tcBorders>
            <w:noWrap w:val="0"/>
            <w:vAlign w:val="center"/>
          </w:tcPr>
          <w:p w14:paraId="2572D41A">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地理</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25EFF12">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东经</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55ED1B9F">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118°</w:t>
            </w:r>
            <w:r>
              <w:rPr>
                <w:rFonts w:hint="eastAsia" w:eastAsia="楷体"/>
                <w:color w:val="auto"/>
                <w:kern w:val="0"/>
                <w:sz w:val="18"/>
                <w:szCs w:val="18"/>
                <w:highlight w:val="none"/>
                <w:lang w:bidi="ar"/>
              </w:rPr>
              <w:t>53</w:t>
            </w:r>
            <w:r>
              <w:rPr>
                <w:rFonts w:eastAsia="楷体"/>
                <w:color w:val="auto"/>
                <w:kern w:val="0"/>
                <w:sz w:val="18"/>
                <w:szCs w:val="18"/>
                <w:highlight w:val="none"/>
                <w:lang w:bidi="ar"/>
              </w:rPr>
              <w:t>′22″</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E37A463">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开工日期</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7ECB3C51">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1964</w:t>
            </w:r>
            <w:r>
              <w:rPr>
                <w:rFonts w:eastAsia="楷体"/>
                <w:color w:val="auto"/>
                <w:kern w:val="0"/>
                <w:sz w:val="18"/>
                <w:szCs w:val="18"/>
                <w:highlight w:val="none"/>
                <w:lang w:bidi="ar"/>
              </w:rPr>
              <w:t>年</w:t>
            </w:r>
            <w:r>
              <w:rPr>
                <w:rFonts w:hint="eastAsia" w:eastAsia="楷体"/>
                <w:color w:val="auto"/>
                <w:kern w:val="0"/>
                <w:sz w:val="18"/>
                <w:szCs w:val="18"/>
                <w:highlight w:val="none"/>
                <w:lang w:bidi="ar"/>
              </w:rPr>
              <w:t>2</w:t>
            </w:r>
            <w:r>
              <w:rPr>
                <w:rFonts w:eastAsia="楷体"/>
                <w:color w:val="auto"/>
                <w:kern w:val="0"/>
                <w:sz w:val="18"/>
                <w:szCs w:val="18"/>
                <w:highlight w:val="none"/>
                <w:lang w:bidi="ar"/>
              </w:rPr>
              <w:t>月</w:t>
            </w:r>
          </w:p>
        </w:tc>
        <w:tc>
          <w:tcPr>
            <w:tcW w:w="1054" w:type="dxa"/>
            <w:gridSpan w:val="2"/>
            <w:tcBorders>
              <w:top w:val="single" w:color="000000" w:sz="4" w:space="0"/>
              <w:left w:val="single" w:color="000000" w:sz="4" w:space="0"/>
              <w:bottom w:val="single" w:color="000000" w:sz="4" w:space="0"/>
              <w:right w:val="single" w:color="000000" w:sz="4" w:space="0"/>
            </w:tcBorders>
            <w:noWrap w:val="0"/>
            <w:vAlign w:val="center"/>
          </w:tcPr>
          <w:p w14:paraId="7C07FD1E">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所在河流</w:t>
            </w:r>
          </w:p>
        </w:tc>
        <w:tc>
          <w:tcPr>
            <w:tcW w:w="1411" w:type="dxa"/>
            <w:tcBorders>
              <w:top w:val="single" w:color="000000" w:sz="4" w:space="0"/>
              <w:left w:val="single" w:color="000000" w:sz="4" w:space="0"/>
              <w:bottom w:val="single" w:color="000000" w:sz="4" w:space="0"/>
              <w:right w:val="single" w:color="000000" w:sz="12" w:space="0"/>
            </w:tcBorders>
            <w:noWrap w:val="0"/>
            <w:vAlign w:val="center"/>
          </w:tcPr>
          <w:p w14:paraId="06B554A2">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坝头溪流域</w:t>
            </w:r>
          </w:p>
        </w:tc>
      </w:tr>
      <w:tr w14:paraId="1D7D53AA">
        <w:tblPrEx>
          <w:tblCellMar>
            <w:top w:w="15" w:type="dxa"/>
            <w:left w:w="15" w:type="dxa"/>
            <w:bottom w:w="15" w:type="dxa"/>
            <w:right w:w="15" w:type="dxa"/>
          </w:tblCellMar>
        </w:tblPrEx>
        <w:trPr>
          <w:trHeight w:val="286" w:hRule="atLeast"/>
        </w:trPr>
        <w:tc>
          <w:tcPr>
            <w:tcW w:w="1184" w:type="dxa"/>
            <w:gridSpan w:val="2"/>
            <w:tcBorders>
              <w:top w:val="single" w:color="000000" w:sz="4" w:space="0"/>
              <w:left w:val="single" w:color="000000" w:sz="12" w:space="0"/>
              <w:bottom w:val="single" w:color="000000" w:sz="4" w:space="0"/>
              <w:right w:val="single" w:color="000000" w:sz="4" w:space="0"/>
            </w:tcBorders>
            <w:noWrap w:val="0"/>
            <w:vAlign w:val="center"/>
          </w:tcPr>
          <w:p w14:paraId="3E155A53">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位置</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94DD938">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北纬</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39FEF725">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25°</w:t>
            </w:r>
            <w:r>
              <w:rPr>
                <w:rFonts w:hint="eastAsia" w:eastAsia="楷体"/>
                <w:color w:val="auto"/>
                <w:kern w:val="0"/>
                <w:sz w:val="18"/>
                <w:szCs w:val="18"/>
                <w:highlight w:val="none"/>
                <w:lang w:bidi="ar"/>
              </w:rPr>
              <w:t>10</w:t>
            </w:r>
            <w:r>
              <w:rPr>
                <w:rFonts w:eastAsia="楷体"/>
                <w:color w:val="auto"/>
                <w:kern w:val="0"/>
                <w:sz w:val="18"/>
                <w:szCs w:val="18"/>
                <w:highlight w:val="none"/>
                <w:lang w:bidi="ar"/>
              </w:rPr>
              <w:t>′03″</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BAEB645">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竣工日期</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25716E4C">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1966</w:t>
            </w:r>
            <w:r>
              <w:rPr>
                <w:rFonts w:eastAsia="楷体"/>
                <w:color w:val="auto"/>
                <w:kern w:val="0"/>
                <w:sz w:val="18"/>
                <w:szCs w:val="18"/>
                <w:highlight w:val="none"/>
                <w:lang w:bidi="ar"/>
              </w:rPr>
              <w:t>年</w:t>
            </w:r>
            <w:r>
              <w:rPr>
                <w:rFonts w:hint="eastAsia" w:eastAsia="楷体"/>
                <w:color w:val="auto"/>
                <w:kern w:val="0"/>
                <w:sz w:val="18"/>
                <w:szCs w:val="18"/>
                <w:highlight w:val="none"/>
                <w:lang w:bidi="ar"/>
              </w:rPr>
              <w:t>8月</w:t>
            </w:r>
          </w:p>
        </w:tc>
        <w:tc>
          <w:tcPr>
            <w:tcW w:w="1054" w:type="dxa"/>
            <w:gridSpan w:val="2"/>
            <w:tcBorders>
              <w:top w:val="single" w:color="000000" w:sz="4" w:space="0"/>
              <w:left w:val="single" w:color="000000" w:sz="4" w:space="0"/>
              <w:bottom w:val="single" w:color="000000" w:sz="4" w:space="0"/>
              <w:right w:val="single" w:color="000000" w:sz="4" w:space="0"/>
            </w:tcBorders>
            <w:noWrap w:val="0"/>
            <w:vAlign w:val="center"/>
          </w:tcPr>
          <w:p w14:paraId="0AD50CC3">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高程基准</w:t>
            </w:r>
          </w:p>
        </w:tc>
        <w:tc>
          <w:tcPr>
            <w:tcW w:w="1411" w:type="dxa"/>
            <w:tcBorders>
              <w:top w:val="single" w:color="000000" w:sz="4" w:space="0"/>
              <w:left w:val="single" w:color="000000" w:sz="4" w:space="0"/>
              <w:bottom w:val="single" w:color="000000" w:sz="4" w:space="0"/>
              <w:right w:val="single" w:color="000000" w:sz="12" w:space="0"/>
            </w:tcBorders>
            <w:noWrap w:val="0"/>
            <w:vAlign w:val="center"/>
          </w:tcPr>
          <w:p w14:paraId="5E7D9510">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1985国家高程基准</w:t>
            </w:r>
          </w:p>
        </w:tc>
      </w:tr>
      <w:tr w14:paraId="0D2715AD">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6DF3A1F1">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集雨面积(km</w:t>
            </w:r>
            <w:r>
              <w:rPr>
                <w:rStyle w:val="31"/>
                <w:rFonts w:hint="default" w:eastAsia="楷体"/>
                <w:color w:val="auto"/>
                <w:sz w:val="18"/>
                <w:szCs w:val="18"/>
                <w:highlight w:val="none"/>
                <w:lang w:bidi="ar"/>
              </w:rPr>
              <w:t>2</w:t>
            </w:r>
            <w:r>
              <w:rPr>
                <w:rStyle w:val="36"/>
                <w:rFonts w:eastAsia="楷体"/>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1B4C98BD">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0.47</w:t>
            </w:r>
          </w:p>
        </w:tc>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492391">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主坝</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10A9C919">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坝型</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30B92B35">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均质土坝</w:t>
            </w:r>
          </w:p>
        </w:tc>
      </w:tr>
      <w:tr w14:paraId="46B7C6AB">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232B226E">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河流比降(‰)</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3708707C">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39.89</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06AC47">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08CD1BAB">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坝顶高程(m)</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1BC8BF9E">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30.58</w:t>
            </w:r>
          </w:p>
        </w:tc>
      </w:tr>
      <w:tr w14:paraId="5DA489F6">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6D41BEBD">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主河道长度(km)</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37AAC8A2">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0.9</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1095C">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14635243">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墙顶高程(m)</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0FE4CE5E">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w:t>
            </w:r>
          </w:p>
        </w:tc>
      </w:tr>
      <w:tr w14:paraId="69713F0B">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2B9316E7">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多年平均降水量(mm)</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577867AB">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1350</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61EA8">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606F04CC">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最大坝高(m)</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0524F449">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17.49</w:t>
            </w:r>
          </w:p>
        </w:tc>
      </w:tr>
      <w:tr w14:paraId="513517C9">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56EC60AD">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多年平均径流量(万m</w:t>
            </w:r>
            <w:r>
              <w:rPr>
                <w:rStyle w:val="31"/>
                <w:rFonts w:hint="default" w:eastAsia="楷体"/>
                <w:color w:val="auto"/>
                <w:sz w:val="18"/>
                <w:szCs w:val="18"/>
                <w:highlight w:val="none"/>
                <w:lang w:bidi="ar"/>
              </w:rPr>
              <w:t>3</w:t>
            </w:r>
            <w:r>
              <w:rPr>
                <w:rStyle w:val="36"/>
                <w:rFonts w:eastAsia="楷体"/>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140DA102">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38.07</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1A2FD">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4923F753">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坝顶长度(m)</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021AE47E">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200</w:t>
            </w:r>
          </w:p>
        </w:tc>
      </w:tr>
      <w:tr w14:paraId="6B6F3A0C">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4C7B0B88">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正常蓄水位(m)</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49A507D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28.04</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2FD49B">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3D25E764">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坝顶宽度(m)</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26178620">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4.0～9.0</w:t>
            </w:r>
          </w:p>
        </w:tc>
      </w:tr>
      <w:tr w14:paraId="0645F48B">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1D876756">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死水位(m)</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12BD1734">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21.70</w:t>
            </w:r>
          </w:p>
        </w:tc>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51EC950">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副坝</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1B7CDE26">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坝型</w:t>
            </w:r>
          </w:p>
        </w:tc>
        <w:tc>
          <w:tcPr>
            <w:tcW w:w="2465" w:type="dxa"/>
            <w:gridSpan w:val="3"/>
            <w:vMerge w:val="restart"/>
            <w:tcBorders>
              <w:top w:val="single" w:color="000000" w:sz="4" w:space="0"/>
              <w:left w:val="single" w:color="000000" w:sz="4" w:space="0"/>
              <w:bottom w:val="single" w:color="000000" w:sz="4" w:space="0"/>
              <w:right w:val="single" w:color="000000" w:sz="12" w:space="0"/>
            </w:tcBorders>
            <w:noWrap w:val="0"/>
            <w:vAlign w:val="center"/>
          </w:tcPr>
          <w:p w14:paraId="2F4FFE67">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无</w:t>
            </w:r>
          </w:p>
        </w:tc>
      </w:tr>
      <w:tr w14:paraId="03B1D8F9">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2518652F">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设计重现期(年)</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361D98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20</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DDD3DB">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0A0FFFA3">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坝顶高程(m)</w:t>
            </w:r>
          </w:p>
        </w:tc>
        <w:tc>
          <w:tcPr>
            <w:tcW w:w="2465" w:type="dxa"/>
            <w:gridSpan w:val="3"/>
            <w:vMerge w:val="continue"/>
            <w:tcBorders>
              <w:top w:val="single" w:color="000000" w:sz="4" w:space="0"/>
              <w:left w:val="single" w:color="000000" w:sz="4" w:space="0"/>
              <w:bottom w:val="single" w:color="000000" w:sz="4" w:space="0"/>
              <w:right w:val="single" w:color="000000" w:sz="12" w:space="0"/>
            </w:tcBorders>
            <w:noWrap w:val="0"/>
            <w:vAlign w:val="center"/>
          </w:tcPr>
          <w:p w14:paraId="20077A47">
            <w:pPr>
              <w:jc w:val="center"/>
              <w:rPr>
                <w:rFonts w:eastAsia="楷体"/>
                <w:color w:val="auto"/>
                <w:sz w:val="18"/>
                <w:szCs w:val="18"/>
                <w:highlight w:val="none"/>
              </w:rPr>
            </w:pPr>
          </w:p>
        </w:tc>
      </w:tr>
      <w:tr w14:paraId="062D81B5">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01EF0447">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校核重现期(年)</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2266F772">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3</w:t>
            </w:r>
            <w:r>
              <w:rPr>
                <w:rFonts w:eastAsia="楷体"/>
                <w:color w:val="auto"/>
                <w:kern w:val="0"/>
                <w:sz w:val="18"/>
                <w:szCs w:val="18"/>
                <w:highlight w:val="none"/>
                <w:lang w:bidi="ar"/>
              </w:rPr>
              <w:t>00</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40C6B">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398C60FC">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墙顶高程(m)</w:t>
            </w:r>
          </w:p>
        </w:tc>
        <w:tc>
          <w:tcPr>
            <w:tcW w:w="2465" w:type="dxa"/>
            <w:gridSpan w:val="3"/>
            <w:vMerge w:val="continue"/>
            <w:tcBorders>
              <w:top w:val="single" w:color="000000" w:sz="4" w:space="0"/>
              <w:left w:val="single" w:color="000000" w:sz="4" w:space="0"/>
              <w:bottom w:val="single" w:color="000000" w:sz="4" w:space="0"/>
              <w:right w:val="single" w:color="000000" w:sz="12" w:space="0"/>
            </w:tcBorders>
            <w:noWrap w:val="0"/>
            <w:vAlign w:val="center"/>
          </w:tcPr>
          <w:p w14:paraId="783BB781">
            <w:pPr>
              <w:jc w:val="center"/>
              <w:rPr>
                <w:rFonts w:eastAsia="楷体"/>
                <w:color w:val="auto"/>
                <w:sz w:val="18"/>
                <w:szCs w:val="18"/>
                <w:highlight w:val="none"/>
              </w:rPr>
            </w:pPr>
          </w:p>
        </w:tc>
      </w:tr>
      <w:tr w14:paraId="72B0EC7F">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5937CB91">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设计洪水位(m)</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26D907FD">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28.56</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F8F2C">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2936B248">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最大坝高(m)</w:t>
            </w:r>
          </w:p>
        </w:tc>
        <w:tc>
          <w:tcPr>
            <w:tcW w:w="2465" w:type="dxa"/>
            <w:gridSpan w:val="3"/>
            <w:vMerge w:val="continue"/>
            <w:tcBorders>
              <w:top w:val="single" w:color="000000" w:sz="4" w:space="0"/>
              <w:left w:val="single" w:color="000000" w:sz="4" w:space="0"/>
              <w:bottom w:val="single" w:color="000000" w:sz="4" w:space="0"/>
              <w:right w:val="single" w:color="000000" w:sz="12" w:space="0"/>
            </w:tcBorders>
            <w:noWrap w:val="0"/>
            <w:vAlign w:val="center"/>
          </w:tcPr>
          <w:p w14:paraId="406442A9">
            <w:pPr>
              <w:jc w:val="center"/>
              <w:rPr>
                <w:rFonts w:eastAsia="楷体"/>
                <w:color w:val="auto"/>
                <w:sz w:val="18"/>
                <w:szCs w:val="18"/>
                <w:highlight w:val="none"/>
              </w:rPr>
            </w:pPr>
          </w:p>
        </w:tc>
      </w:tr>
      <w:tr w14:paraId="13F4C16A">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464A0826">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相应洪峰流量(m</w:t>
            </w:r>
            <w:r>
              <w:rPr>
                <w:rStyle w:val="31"/>
                <w:rFonts w:hint="default" w:eastAsia="楷体"/>
                <w:color w:val="auto"/>
                <w:sz w:val="18"/>
                <w:szCs w:val="18"/>
                <w:highlight w:val="none"/>
                <w:lang w:bidi="ar"/>
              </w:rPr>
              <w:t>3</w:t>
            </w:r>
            <w:r>
              <w:rPr>
                <w:rStyle w:val="36"/>
                <w:rFonts w:eastAsia="楷体"/>
                <w:color w:val="auto"/>
                <w:sz w:val="18"/>
                <w:szCs w:val="18"/>
                <w:highlight w:val="none"/>
                <w:lang w:bidi="ar"/>
              </w:rPr>
              <w:t>/s)</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61669656">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12.35</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7D355">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2448D975">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坝顶长度(m)</w:t>
            </w:r>
          </w:p>
        </w:tc>
        <w:tc>
          <w:tcPr>
            <w:tcW w:w="2465" w:type="dxa"/>
            <w:gridSpan w:val="3"/>
            <w:vMerge w:val="continue"/>
            <w:tcBorders>
              <w:top w:val="single" w:color="000000" w:sz="4" w:space="0"/>
              <w:left w:val="single" w:color="000000" w:sz="4" w:space="0"/>
              <w:bottom w:val="single" w:color="000000" w:sz="4" w:space="0"/>
              <w:right w:val="single" w:color="000000" w:sz="12" w:space="0"/>
            </w:tcBorders>
            <w:noWrap w:val="0"/>
            <w:vAlign w:val="center"/>
          </w:tcPr>
          <w:p w14:paraId="703BEFED">
            <w:pPr>
              <w:jc w:val="center"/>
              <w:rPr>
                <w:rFonts w:eastAsia="楷体"/>
                <w:color w:val="auto"/>
                <w:sz w:val="18"/>
                <w:szCs w:val="18"/>
                <w:highlight w:val="none"/>
              </w:rPr>
            </w:pPr>
          </w:p>
        </w:tc>
      </w:tr>
      <w:tr w14:paraId="6BE68F58">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3625F1B4">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相应洪水总量(万m</w:t>
            </w:r>
            <w:r>
              <w:rPr>
                <w:rStyle w:val="31"/>
                <w:rFonts w:hint="default" w:eastAsia="楷体"/>
                <w:color w:val="auto"/>
                <w:sz w:val="18"/>
                <w:szCs w:val="18"/>
                <w:highlight w:val="none"/>
                <w:lang w:bidi="ar"/>
              </w:rPr>
              <w:t>3</w:t>
            </w:r>
            <w:r>
              <w:rPr>
                <w:rStyle w:val="36"/>
                <w:rFonts w:eastAsia="楷体"/>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40C8701E">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12.61</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5F77C">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5C185B9A">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坝顶宽度(m)</w:t>
            </w:r>
          </w:p>
        </w:tc>
        <w:tc>
          <w:tcPr>
            <w:tcW w:w="2465" w:type="dxa"/>
            <w:gridSpan w:val="3"/>
            <w:vMerge w:val="continue"/>
            <w:tcBorders>
              <w:top w:val="single" w:color="000000" w:sz="4" w:space="0"/>
              <w:left w:val="single" w:color="000000" w:sz="4" w:space="0"/>
              <w:bottom w:val="single" w:color="000000" w:sz="4" w:space="0"/>
              <w:right w:val="single" w:color="000000" w:sz="12" w:space="0"/>
            </w:tcBorders>
            <w:noWrap w:val="0"/>
            <w:vAlign w:val="center"/>
          </w:tcPr>
          <w:p w14:paraId="159F4E38">
            <w:pPr>
              <w:jc w:val="center"/>
              <w:rPr>
                <w:rFonts w:eastAsia="楷体"/>
                <w:color w:val="auto"/>
                <w:sz w:val="18"/>
                <w:szCs w:val="18"/>
                <w:highlight w:val="none"/>
              </w:rPr>
            </w:pPr>
          </w:p>
        </w:tc>
      </w:tr>
      <w:tr w14:paraId="6E24A7CB">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577AB710">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校核洪水位(m)</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43E7F12F">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28.81</w:t>
            </w:r>
          </w:p>
        </w:tc>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6D27B90">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溢洪道</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20C032E3">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型式</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7BACFD62">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开敞式宽顶堰</w:t>
            </w:r>
          </w:p>
        </w:tc>
      </w:tr>
      <w:tr w14:paraId="770A675A">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7A502388">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相应洪峰流量(m</w:t>
            </w:r>
            <w:r>
              <w:rPr>
                <w:rStyle w:val="31"/>
                <w:rFonts w:hint="default" w:eastAsia="楷体"/>
                <w:color w:val="auto"/>
                <w:sz w:val="18"/>
                <w:szCs w:val="18"/>
                <w:highlight w:val="none"/>
                <w:lang w:bidi="ar"/>
              </w:rPr>
              <w:t>3</w:t>
            </w:r>
            <w:r>
              <w:rPr>
                <w:rStyle w:val="36"/>
                <w:rFonts w:eastAsia="楷体"/>
                <w:color w:val="auto"/>
                <w:sz w:val="18"/>
                <w:szCs w:val="18"/>
                <w:highlight w:val="none"/>
                <w:lang w:bidi="ar"/>
              </w:rPr>
              <w:t>/s)</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8E778A9">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20.64</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4734FC">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40D2719D">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堰顶高程(m)</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3569C013">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28.04</w:t>
            </w:r>
          </w:p>
        </w:tc>
      </w:tr>
      <w:tr w14:paraId="58765D42">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2275A9CF">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相应洪水总量(万m</w:t>
            </w:r>
            <w:r>
              <w:rPr>
                <w:rStyle w:val="31"/>
                <w:rFonts w:hint="default" w:eastAsia="楷体"/>
                <w:color w:val="auto"/>
                <w:sz w:val="18"/>
                <w:szCs w:val="18"/>
                <w:highlight w:val="none"/>
                <w:lang w:bidi="ar"/>
              </w:rPr>
              <w:t>3</w:t>
            </w:r>
            <w:r>
              <w:rPr>
                <w:rStyle w:val="36"/>
                <w:rFonts w:eastAsia="楷体"/>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21B0318A">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20.01</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B30F7">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6AA9C631">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净宽(m)</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42FDDBDF">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5.0</w:t>
            </w:r>
          </w:p>
        </w:tc>
      </w:tr>
      <w:tr w14:paraId="35C83A6C">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266F6A14">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地震基本烈度</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21A84420">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VII</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673F02">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36DB8D8E">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最大下泄流量(m</w:t>
            </w:r>
            <w:r>
              <w:rPr>
                <w:rStyle w:val="31"/>
                <w:rFonts w:hint="default" w:eastAsia="楷体"/>
                <w:color w:val="auto"/>
                <w:sz w:val="18"/>
                <w:szCs w:val="18"/>
                <w:highlight w:val="none"/>
                <w:lang w:bidi="ar"/>
              </w:rPr>
              <w:t>3</w:t>
            </w:r>
            <w:r>
              <w:rPr>
                <w:rStyle w:val="36"/>
                <w:rFonts w:eastAsia="楷体"/>
                <w:color w:val="auto"/>
                <w:sz w:val="18"/>
                <w:szCs w:val="18"/>
                <w:highlight w:val="none"/>
                <w:lang w:bidi="ar"/>
              </w:rPr>
              <w:t>/s)</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2D79DCBD">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10.61</w:t>
            </w:r>
          </w:p>
        </w:tc>
      </w:tr>
      <w:tr w14:paraId="12362E34">
        <w:tblPrEx>
          <w:tblCellMar>
            <w:top w:w="15" w:type="dxa"/>
            <w:left w:w="15" w:type="dxa"/>
            <w:bottom w:w="15" w:type="dxa"/>
            <w:right w:w="15" w:type="dxa"/>
          </w:tblCellMar>
        </w:tblPrEx>
        <w:trPr>
          <w:trHeight w:val="286" w:hRule="atLeast"/>
        </w:trPr>
        <w:tc>
          <w:tcPr>
            <w:tcW w:w="2225" w:type="dxa"/>
            <w:gridSpan w:val="3"/>
            <w:tcBorders>
              <w:top w:val="single" w:color="000000" w:sz="4" w:space="0"/>
              <w:left w:val="single" w:color="000000" w:sz="12" w:space="0"/>
              <w:bottom w:val="single" w:color="000000" w:sz="4" w:space="0"/>
              <w:right w:val="single" w:color="000000" w:sz="4" w:space="0"/>
            </w:tcBorders>
            <w:noWrap w:val="0"/>
            <w:vAlign w:val="center"/>
          </w:tcPr>
          <w:p w14:paraId="6B4C87DA">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设计抗震烈度</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6990E995">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VII</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D6FC21">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1E73DCA5">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最大单宽流量(m</w:t>
            </w:r>
            <w:r>
              <w:rPr>
                <w:rStyle w:val="31"/>
                <w:rFonts w:hint="default" w:eastAsia="楷体"/>
                <w:color w:val="auto"/>
                <w:sz w:val="18"/>
                <w:szCs w:val="18"/>
                <w:highlight w:val="none"/>
                <w:lang w:bidi="ar"/>
              </w:rPr>
              <w:t>3</w:t>
            </w:r>
            <w:r>
              <w:rPr>
                <w:rStyle w:val="36"/>
                <w:rFonts w:eastAsia="楷体"/>
                <w:color w:val="auto"/>
                <w:sz w:val="18"/>
                <w:szCs w:val="18"/>
                <w:highlight w:val="none"/>
                <w:lang w:bidi="ar"/>
              </w:rPr>
              <w:t>/s.m)</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7129D26F">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2.12</w:t>
            </w:r>
          </w:p>
        </w:tc>
      </w:tr>
      <w:tr w14:paraId="2CFF1552">
        <w:tblPrEx>
          <w:tblCellMar>
            <w:top w:w="15" w:type="dxa"/>
            <w:left w:w="15" w:type="dxa"/>
            <w:bottom w:w="15" w:type="dxa"/>
            <w:right w:w="15" w:type="dxa"/>
          </w:tblCellMar>
        </w:tblPrEx>
        <w:trPr>
          <w:trHeight w:val="286" w:hRule="atLeast"/>
        </w:trPr>
        <w:tc>
          <w:tcPr>
            <w:tcW w:w="816" w:type="dxa"/>
            <w:vMerge w:val="restart"/>
            <w:tcBorders>
              <w:top w:val="single" w:color="000000" w:sz="4" w:space="0"/>
              <w:left w:val="single" w:color="000000" w:sz="12" w:space="0"/>
              <w:bottom w:val="single" w:color="000000" w:sz="4" w:space="0"/>
              <w:right w:val="single" w:color="000000" w:sz="4" w:space="0"/>
            </w:tcBorders>
            <w:noWrap w:val="0"/>
            <w:vAlign w:val="center"/>
          </w:tcPr>
          <w:p w14:paraId="599F4F79">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库容特性</w:t>
            </w:r>
          </w:p>
        </w:tc>
        <w:tc>
          <w:tcPr>
            <w:tcW w:w="1409" w:type="dxa"/>
            <w:gridSpan w:val="2"/>
            <w:tcBorders>
              <w:top w:val="single" w:color="000000" w:sz="4" w:space="0"/>
              <w:left w:val="single" w:color="000000" w:sz="4" w:space="0"/>
              <w:bottom w:val="single" w:color="000000" w:sz="4" w:space="0"/>
              <w:right w:val="single" w:color="000000" w:sz="4" w:space="0"/>
            </w:tcBorders>
            <w:noWrap w:val="0"/>
            <w:vAlign w:val="center"/>
          </w:tcPr>
          <w:p w14:paraId="3FFFBA2C">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总库容(万m</w:t>
            </w:r>
            <w:r>
              <w:rPr>
                <w:rStyle w:val="31"/>
                <w:rFonts w:hint="default" w:eastAsia="楷体"/>
                <w:color w:val="auto"/>
                <w:sz w:val="18"/>
                <w:szCs w:val="18"/>
                <w:highlight w:val="none"/>
                <w:lang w:bidi="ar"/>
              </w:rPr>
              <w:t>3</w:t>
            </w:r>
            <w:r>
              <w:rPr>
                <w:rStyle w:val="36"/>
                <w:rFonts w:eastAsia="楷体"/>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1FFAA3AB">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30.87</w:t>
            </w: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E7635">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0FDAD3B6">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消能型式</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02AAB0E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w:t>
            </w:r>
          </w:p>
        </w:tc>
      </w:tr>
      <w:tr w14:paraId="597F1DA0">
        <w:tblPrEx>
          <w:tblCellMar>
            <w:top w:w="15" w:type="dxa"/>
            <w:left w:w="15" w:type="dxa"/>
            <w:bottom w:w="15" w:type="dxa"/>
            <w:right w:w="15" w:type="dxa"/>
          </w:tblCellMar>
        </w:tblPrEx>
        <w:trPr>
          <w:trHeight w:val="286" w:hRule="atLeast"/>
        </w:trPr>
        <w:tc>
          <w:tcPr>
            <w:tcW w:w="816"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668A547">
            <w:pPr>
              <w:jc w:val="center"/>
              <w:rPr>
                <w:rFonts w:eastAsia="楷体"/>
                <w:color w:val="auto"/>
                <w:sz w:val="18"/>
                <w:szCs w:val="18"/>
                <w:highlight w:val="none"/>
              </w:rPr>
            </w:pPr>
          </w:p>
        </w:tc>
        <w:tc>
          <w:tcPr>
            <w:tcW w:w="1409" w:type="dxa"/>
            <w:gridSpan w:val="2"/>
            <w:tcBorders>
              <w:top w:val="single" w:color="000000" w:sz="4" w:space="0"/>
              <w:left w:val="single" w:color="000000" w:sz="4" w:space="0"/>
              <w:bottom w:val="single" w:color="000000" w:sz="4" w:space="0"/>
              <w:right w:val="single" w:color="000000" w:sz="4" w:space="0"/>
            </w:tcBorders>
            <w:noWrap w:val="0"/>
            <w:vAlign w:val="center"/>
          </w:tcPr>
          <w:p w14:paraId="33321194">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调洪库容(万m</w:t>
            </w:r>
            <w:r>
              <w:rPr>
                <w:rStyle w:val="31"/>
                <w:rFonts w:hint="default" w:eastAsia="楷体"/>
                <w:color w:val="auto"/>
                <w:sz w:val="18"/>
                <w:szCs w:val="18"/>
                <w:highlight w:val="none"/>
                <w:lang w:bidi="ar"/>
              </w:rPr>
              <w:t>3</w:t>
            </w:r>
            <w:r>
              <w:rPr>
                <w:rStyle w:val="36"/>
                <w:rFonts w:eastAsia="楷体"/>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A1C045E">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3.95</w:t>
            </w:r>
          </w:p>
        </w:tc>
        <w:tc>
          <w:tcPr>
            <w:tcW w:w="865" w:type="dxa"/>
            <w:vMerge w:val="restart"/>
            <w:tcBorders>
              <w:top w:val="single" w:color="000000" w:sz="4" w:space="0"/>
              <w:left w:val="single" w:color="000000" w:sz="4" w:space="0"/>
              <w:bottom w:val="single" w:color="000000" w:sz="12" w:space="0"/>
              <w:right w:val="single" w:color="000000" w:sz="4" w:space="0"/>
            </w:tcBorders>
            <w:noWrap w:val="0"/>
            <w:vAlign w:val="center"/>
          </w:tcPr>
          <w:p w14:paraId="07E099F8">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取水建筑物</w:t>
            </w: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7549DA5B">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型式</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7EC979DB">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无压箱涵</w:t>
            </w:r>
          </w:p>
        </w:tc>
      </w:tr>
      <w:tr w14:paraId="28FA080E">
        <w:tblPrEx>
          <w:tblCellMar>
            <w:top w:w="15" w:type="dxa"/>
            <w:left w:w="15" w:type="dxa"/>
            <w:bottom w:w="15" w:type="dxa"/>
            <w:right w:w="15" w:type="dxa"/>
          </w:tblCellMar>
        </w:tblPrEx>
        <w:trPr>
          <w:trHeight w:val="286" w:hRule="atLeast"/>
        </w:trPr>
        <w:tc>
          <w:tcPr>
            <w:tcW w:w="816"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62CBD85">
            <w:pPr>
              <w:jc w:val="center"/>
              <w:rPr>
                <w:rFonts w:eastAsia="楷体"/>
                <w:color w:val="auto"/>
                <w:sz w:val="18"/>
                <w:szCs w:val="18"/>
                <w:highlight w:val="none"/>
              </w:rPr>
            </w:pPr>
          </w:p>
        </w:tc>
        <w:tc>
          <w:tcPr>
            <w:tcW w:w="1409" w:type="dxa"/>
            <w:gridSpan w:val="2"/>
            <w:tcBorders>
              <w:top w:val="single" w:color="000000" w:sz="4" w:space="0"/>
              <w:left w:val="single" w:color="000000" w:sz="4" w:space="0"/>
              <w:bottom w:val="single" w:color="000000" w:sz="4" w:space="0"/>
              <w:right w:val="single" w:color="000000" w:sz="4" w:space="0"/>
            </w:tcBorders>
            <w:noWrap w:val="0"/>
            <w:vAlign w:val="center"/>
          </w:tcPr>
          <w:p w14:paraId="76BD2568">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兴利库容(万m</w:t>
            </w:r>
            <w:r>
              <w:rPr>
                <w:rStyle w:val="31"/>
                <w:rFonts w:hint="default" w:eastAsia="楷体"/>
                <w:color w:val="auto"/>
                <w:sz w:val="18"/>
                <w:szCs w:val="18"/>
                <w:highlight w:val="none"/>
                <w:lang w:bidi="ar"/>
              </w:rPr>
              <w:t>3</w:t>
            </w:r>
            <w:r>
              <w:rPr>
                <w:rStyle w:val="36"/>
                <w:rFonts w:eastAsia="楷体"/>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1AF33DCA">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22.82</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5261CFF2">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7F31DC86">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长度</w:t>
            </w:r>
            <w:r>
              <w:rPr>
                <w:rFonts w:eastAsia="楷体"/>
                <w:color w:val="auto"/>
                <w:kern w:val="0"/>
                <w:sz w:val="18"/>
                <w:szCs w:val="18"/>
                <w:highlight w:val="none"/>
                <w:lang w:bidi="ar"/>
              </w:rPr>
              <w:t>(m)</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301C9D34">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35</w:t>
            </w:r>
          </w:p>
        </w:tc>
      </w:tr>
      <w:tr w14:paraId="78956CE0">
        <w:tblPrEx>
          <w:tblCellMar>
            <w:top w:w="15" w:type="dxa"/>
            <w:left w:w="15" w:type="dxa"/>
            <w:bottom w:w="15" w:type="dxa"/>
            <w:right w:w="15" w:type="dxa"/>
          </w:tblCellMar>
        </w:tblPrEx>
        <w:trPr>
          <w:trHeight w:val="286" w:hRule="atLeast"/>
        </w:trPr>
        <w:tc>
          <w:tcPr>
            <w:tcW w:w="816"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DF3CEC0">
            <w:pPr>
              <w:jc w:val="center"/>
              <w:rPr>
                <w:rFonts w:eastAsia="楷体"/>
                <w:color w:val="auto"/>
                <w:sz w:val="18"/>
                <w:szCs w:val="18"/>
                <w:highlight w:val="none"/>
              </w:rPr>
            </w:pPr>
          </w:p>
        </w:tc>
        <w:tc>
          <w:tcPr>
            <w:tcW w:w="1409" w:type="dxa"/>
            <w:gridSpan w:val="2"/>
            <w:tcBorders>
              <w:top w:val="single" w:color="000000" w:sz="4" w:space="0"/>
              <w:left w:val="single" w:color="000000" w:sz="4" w:space="0"/>
              <w:bottom w:val="single" w:color="000000" w:sz="4" w:space="0"/>
              <w:right w:val="single" w:color="000000" w:sz="4" w:space="0"/>
            </w:tcBorders>
            <w:noWrap w:val="0"/>
            <w:vAlign w:val="center"/>
          </w:tcPr>
          <w:p w14:paraId="2A3475BB">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死库容(万m</w:t>
            </w:r>
            <w:r>
              <w:rPr>
                <w:rStyle w:val="31"/>
                <w:rFonts w:hint="default" w:eastAsia="楷体"/>
                <w:color w:val="auto"/>
                <w:sz w:val="18"/>
                <w:szCs w:val="18"/>
                <w:highlight w:val="none"/>
                <w:lang w:bidi="ar"/>
              </w:rPr>
              <w:t>3</w:t>
            </w:r>
            <w:r>
              <w:rPr>
                <w:rStyle w:val="36"/>
                <w:rFonts w:eastAsia="楷体"/>
                <w:color w:val="auto"/>
                <w:sz w:val="18"/>
                <w:szCs w:val="18"/>
                <w:highlight w:val="none"/>
                <w:lang w:bidi="ar"/>
              </w:rPr>
              <w:t>)</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65CD274B">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4.10</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2D5C3266">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20770CB8">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断面尺寸</w:t>
            </w:r>
            <w:r>
              <w:rPr>
                <w:rFonts w:eastAsia="楷体"/>
                <w:color w:val="auto"/>
                <w:kern w:val="0"/>
                <w:sz w:val="18"/>
                <w:szCs w:val="18"/>
                <w:highlight w:val="none"/>
                <w:lang w:bidi="ar"/>
              </w:rPr>
              <w:t>(m)</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6DD0B392">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0.5×0.8</w:t>
            </w:r>
          </w:p>
        </w:tc>
      </w:tr>
      <w:tr w14:paraId="3763227E">
        <w:tblPrEx>
          <w:tblCellMar>
            <w:top w:w="15" w:type="dxa"/>
            <w:left w:w="15" w:type="dxa"/>
            <w:bottom w:w="15" w:type="dxa"/>
            <w:right w:w="15" w:type="dxa"/>
          </w:tblCellMar>
        </w:tblPrEx>
        <w:trPr>
          <w:trHeight w:val="286" w:hRule="atLeast"/>
        </w:trPr>
        <w:tc>
          <w:tcPr>
            <w:tcW w:w="816" w:type="dxa"/>
            <w:vMerge w:val="restart"/>
            <w:tcBorders>
              <w:top w:val="single" w:color="000000" w:sz="4" w:space="0"/>
              <w:left w:val="single" w:color="000000" w:sz="12" w:space="0"/>
              <w:bottom w:val="single" w:color="000000" w:sz="12" w:space="0"/>
              <w:right w:val="single" w:color="000000" w:sz="4" w:space="0"/>
            </w:tcBorders>
            <w:noWrap w:val="0"/>
            <w:vAlign w:val="center"/>
          </w:tcPr>
          <w:p w14:paraId="176A2BFE">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工程效益</w:t>
            </w:r>
          </w:p>
        </w:tc>
        <w:tc>
          <w:tcPr>
            <w:tcW w:w="1409" w:type="dxa"/>
            <w:gridSpan w:val="2"/>
            <w:tcBorders>
              <w:top w:val="single" w:color="000000" w:sz="4" w:space="0"/>
              <w:left w:val="single" w:color="000000" w:sz="4" w:space="0"/>
              <w:bottom w:val="single" w:color="000000" w:sz="4" w:space="0"/>
              <w:right w:val="single" w:color="000000" w:sz="4" w:space="0"/>
            </w:tcBorders>
            <w:noWrap w:val="0"/>
            <w:vAlign w:val="center"/>
          </w:tcPr>
          <w:p w14:paraId="376351A7">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有效灌溉面积（亩）</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483370CD">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700</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04D7343F">
            <w:pPr>
              <w:jc w:val="center"/>
              <w:rPr>
                <w:rFonts w:eastAsia="楷体"/>
                <w:color w:val="auto"/>
                <w:sz w:val="18"/>
                <w:szCs w:val="18"/>
                <w:highlight w:val="none"/>
              </w:rPr>
            </w:pPr>
          </w:p>
        </w:tc>
        <w:tc>
          <w:tcPr>
            <w:tcW w:w="1893" w:type="dxa"/>
            <w:tcBorders>
              <w:top w:val="single" w:color="000000" w:sz="4" w:space="0"/>
              <w:left w:val="single" w:color="000000" w:sz="4" w:space="0"/>
              <w:bottom w:val="single" w:color="auto" w:sz="4" w:space="0"/>
              <w:right w:val="single" w:color="000000" w:sz="4" w:space="0"/>
            </w:tcBorders>
            <w:noWrap w:val="0"/>
            <w:vAlign w:val="center"/>
          </w:tcPr>
          <w:p w14:paraId="1359BD00">
            <w:pPr>
              <w:widowControl/>
              <w:jc w:val="center"/>
              <w:textAlignment w:val="center"/>
              <w:rPr>
                <w:rFonts w:eastAsia="楷体"/>
                <w:color w:val="auto"/>
                <w:sz w:val="18"/>
                <w:szCs w:val="18"/>
                <w:highlight w:val="none"/>
              </w:rPr>
            </w:pPr>
            <w:r>
              <w:rPr>
                <w:rFonts w:hint="eastAsia" w:eastAsia="楷体"/>
                <w:color w:val="auto"/>
                <w:sz w:val="18"/>
                <w:szCs w:val="18"/>
                <w:highlight w:val="none"/>
              </w:rPr>
              <w:t>进口底高程(m)</w:t>
            </w:r>
          </w:p>
        </w:tc>
        <w:tc>
          <w:tcPr>
            <w:tcW w:w="2465" w:type="dxa"/>
            <w:gridSpan w:val="3"/>
            <w:tcBorders>
              <w:top w:val="single" w:color="000000" w:sz="4" w:space="0"/>
              <w:left w:val="single" w:color="000000" w:sz="4" w:space="0"/>
              <w:bottom w:val="single" w:color="auto" w:sz="4" w:space="0"/>
              <w:right w:val="single" w:color="000000" w:sz="12" w:space="0"/>
            </w:tcBorders>
            <w:noWrap w:val="0"/>
            <w:vAlign w:val="center"/>
          </w:tcPr>
          <w:p w14:paraId="2325C24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21.70</w:t>
            </w:r>
          </w:p>
        </w:tc>
      </w:tr>
      <w:tr w14:paraId="1FFAA1BB">
        <w:tblPrEx>
          <w:tblCellMar>
            <w:top w:w="15" w:type="dxa"/>
            <w:left w:w="15" w:type="dxa"/>
            <w:bottom w:w="15" w:type="dxa"/>
            <w:right w:w="15" w:type="dxa"/>
          </w:tblCellMar>
        </w:tblPrEx>
        <w:trPr>
          <w:trHeight w:val="286" w:hRule="atLeast"/>
        </w:trPr>
        <w:tc>
          <w:tcPr>
            <w:tcW w:w="816"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7B025841">
            <w:pPr>
              <w:jc w:val="center"/>
              <w:rPr>
                <w:rFonts w:eastAsia="楷体"/>
                <w:color w:val="auto"/>
                <w:sz w:val="18"/>
                <w:szCs w:val="18"/>
                <w:highlight w:val="none"/>
              </w:rPr>
            </w:pPr>
          </w:p>
        </w:tc>
        <w:tc>
          <w:tcPr>
            <w:tcW w:w="1409" w:type="dxa"/>
            <w:gridSpan w:val="2"/>
            <w:tcBorders>
              <w:top w:val="single" w:color="000000" w:sz="4" w:space="0"/>
              <w:left w:val="single" w:color="000000" w:sz="4" w:space="0"/>
              <w:bottom w:val="single" w:color="000000" w:sz="4" w:space="0"/>
              <w:right w:val="single" w:color="000000" w:sz="4" w:space="0"/>
            </w:tcBorders>
            <w:noWrap w:val="0"/>
            <w:vAlign w:val="center"/>
          </w:tcPr>
          <w:p w14:paraId="78F752F5">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设计灌溉面积（亩）</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512D037">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700</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18EBFE78">
            <w:pPr>
              <w:jc w:val="center"/>
              <w:rPr>
                <w:rFonts w:eastAsia="楷体"/>
                <w:color w:val="auto"/>
                <w:sz w:val="18"/>
                <w:szCs w:val="18"/>
                <w:highlight w:val="none"/>
              </w:rPr>
            </w:pPr>
          </w:p>
        </w:tc>
        <w:tc>
          <w:tcPr>
            <w:tcW w:w="1893" w:type="dxa"/>
            <w:tcBorders>
              <w:top w:val="single" w:color="auto" w:sz="4" w:space="0"/>
              <w:left w:val="single" w:color="000000" w:sz="4" w:space="0"/>
              <w:bottom w:val="single" w:color="auto" w:sz="4" w:space="0"/>
              <w:right w:val="single" w:color="000000" w:sz="4" w:space="0"/>
            </w:tcBorders>
            <w:noWrap w:val="0"/>
            <w:vAlign w:val="center"/>
          </w:tcPr>
          <w:p w14:paraId="52D6B97D">
            <w:pPr>
              <w:jc w:val="center"/>
              <w:rPr>
                <w:rFonts w:eastAsia="楷体"/>
                <w:color w:val="auto"/>
                <w:sz w:val="18"/>
                <w:szCs w:val="18"/>
                <w:highlight w:val="none"/>
              </w:rPr>
            </w:pPr>
            <w:r>
              <w:rPr>
                <w:rFonts w:hint="eastAsia" w:eastAsia="楷体"/>
                <w:color w:val="auto"/>
                <w:sz w:val="18"/>
                <w:szCs w:val="18"/>
                <w:highlight w:val="none"/>
              </w:rPr>
              <w:t>出口底高程(m)</w:t>
            </w:r>
          </w:p>
        </w:tc>
        <w:tc>
          <w:tcPr>
            <w:tcW w:w="2465" w:type="dxa"/>
            <w:gridSpan w:val="3"/>
            <w:tcBorders>
              <w:top w:val="single" w:color="auto" w:sz="4" w:space="0"/>
              <w:left w:val="single" w:color="000000" w:sz="4" w:space="0"/>
              <w:bottom w:val="single" w:color="auto" w:sz="4" w:space="0"/>
              <w:right w:val="single" w:color="000000" w:sz="12" w:space="0"/>
            </w:tcBorders>
            <w:noWrap w:val="0"/>
            <w:vAlign w:val="center"/>
          </w:tcPr>
          <w:p w14:paraId="0DF51DEA">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21.69</w:t>
            </w:r>
          </w:p>
        </w:tc>
      </w:tr>
      <w:tr w14:paraId="4EB21D4A">
        <w:tblPrEx>
          <w:tblCellMar>
            <w:top w:w="15" w:type="dxa"/>
            <w:left w:w="15" w:type="dxa"/>
            <w:bottom w:w="15" w:type="dxa"/>
            <w:right w:w="15" w:type="dxa"/>
          </w:tblCellMar>
        </w:tblPrEx>
        <w:trPr>
          <w:trHeight w:val="286" w:hRule="atLeast"/>
        </w:trPr>
        <w:tc>
          <w:tcPr>
            <w:tcW w:w="816"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7C20032B">
            <w:pPr>
              <w:jc w:val="center"/>
              <w:rPr>
                <w:rFonts w:eastAsia="楷体"/>
                <w:color w:val="auto"/>
                <w:sz w:val="18"/>
                <w:szCs w:val="18"/>
                <w:highlight w:val="none"/>
              </w:rPr>
            </w:pPr>
          </w:p>
        </w:tc>
        <w:tc>
          <w:tcPr>
            <w:tcW w:w="1409" w:type="dxa"/>
            <w:gridSpan w:val="2"/>
            <w:tcBorders>
              <w:top w:val="single" w:color="000000" w:sz="4" w:space="0"/>
              <w:left w:val="single" w:color="000000" w:sz="4" w:space="0"/>
              <w:bottom w:val="single" w:color="000000" w:sz="4" w:space="0"/>
              <w:right w:val="single" w:color="000000" w:sz="4" w:space="0"/>
            </w:tcBorders>
            <w:noWrap w:val="0"/>
            <w:vAlign w:val="center"/>
          </w:tcPr>
          <w:p w14:paraId="7090A003">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保护人口（人）</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517FCAB1">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2500</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31EE8610">
            <w:pPr>
              <w:jc w:val="center"/>
              <w:rPr>
                <w:rFonts w:eastAsia="楷体"/>
                <w:color w:val="auto"/>
                <w:sz w:val="18"/>
                <w:szCs w:val="18"/>
                <w:highlight w:val="none"/>
              </w:rPr>
            </w:pPr>
          </w:p>
        </w:tc>
        <w:tc>
          <w:tcPr>
            <w:tcW w:w="1893" w:type="dxa"/>
            <w:tcBorders>
              <w:top w:val="single" w:color="auto" w:sz="4" w:space="0"/>
              <w:left w:val="single" w:color="000000" w:sz="4" w:space="0"/>
              <w:bottom w:val="single" w:color="000000" w:sz="4" w:space="0"/>
              <w:right w:val="single" w:color="000000" w:sz="4" w:space="0"/>
            </w:tcBorders>
            <w:noWrap w:val="0"/>
            <w:vAlign w:val="center"/>
          </w:tcPr>
          <w:p w14:paraId="62A7191C">
            <w:pPr>
              <w:jc w:val="center"/>
              <w:rPr>
                <w:rFonts w:eastAsia="楷体"/>
                <w:color w:val="auto"/>
                <w:sz w:val="18"/>
                <w:szCs w:val="18"/>
                <w:highlight w:val="none"/>
              </w:rPr>
            </w:pPr>
            <w:r>
              <w:rPr>
                <w:rFonts w:hint="eastAsia" w:eastAsia="楷体"/>
                <w:color w:val="auto"/>
                <w:sz w:val="18"/>
                <w:szCs w:val="18"/>
                <w:highlight w:val="none"/>
              </w:rPr>
              <w:t>最大输水流量（m</w:t>
            </w:r>
            <w:r>
              <w:rPr>
                <w:rFonts w:hint="eastAsia" w:eastAsia="楷体"/>
                <w:color w:val="auto"/>
                <w:sz w:val="18"/>
                <w:szCs w:val="18"/>
                <w:highlight w:val="none"/>
                <w:vertAlign w:val="superscript"/>
              </w:rPr>
              <w:t>3</w:t>
            </w:r>
            <w:r>
              <w:rPr>
                <w:rFonts w:hint="eastAsia" w:eastAsia="楷体"/>
                <w:color w:val="auto"/>
                <w:sz w:val="18"/>
                <w:szCs w:val="18"/>
                <w:highlight w:val="none"/>
              </w:rPr>
              <w:t>/s）</w:t>
            </w:r>
          </w:p>
        </w:tc>
        <w:tc>
          <w:tcPr>
            <w:tcW w:w="2465" w:type="dxa"/>
            <w:gridSpan w:val="3"/>
            <w:tcBorders>
              <w:top w:val="single" w:color="auto" w:sz="4" w:space="0"/>
              <w:left w:val="single" w:color="000000" w:sz="4" w:space="0"/>
              <w:bottom w:val="single" w:color="000000" w:sz="4" w:space="0"/>
              <w:right w:val="single" w:color="000000" w:sz="12" w:space="0"/>
            </w:tcBorders>
            <w:noWrap w:val="0"/>
            <w:vAlign w:val="center"/>
          </w:tcPr>
          <w:p w14:paraId="04EEB0E0">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0.2</w:t>
            </w:r>
          </w:p>
        </w:tc>
      </w:tr>
      <w:tr w14:paraId="70854C89">
        <w:tblPrEx>
          <w:tblCellMar>
            <w:top w:w="15" w:type="dxa"/>
            <w:left w:w="15" w:type="dxa"/>
            <w:bottom w:w="15" w:type="dxa"/>
            <w:right w:w="15" w:type="dxa"/>
          </w:tblCellMar>
        </w:tblPrEx>
        <w:trPr>
          <w:trHeight w:val="286" w:hRule="atLeast"/>
        </w:trPr>
        <w:tc>
          <w:tcPr>
            <w:tcW w:w="816"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7178D20C">
            <w:pPr>
              <w:jc w:val="center"/>
              <w:rPr>
                <w:rFonts w:eastAsia="楷体"/>
                <w:color w:val="auto"/>
                <w:sz w:val="18"/>
                <w:szCs w:val="18"/>
                <w:highlight w:val="none"/>
              </w:rPr>
            </w:pPr>
          </w:p>
        </w:tc>
        <w:tc>
          <w:tcPr>
            <w:tcW w:w="140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4494159">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保护耕地（亩）</w:t>
            </w:r>
          </w:p>
        </w:tc>
        <w:tc>
          <w:tcPr>
            <w:tcW w:w="16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510C589">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700</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5268C0DC">
            <w:pPr>
              <w:jc w:val="center"/>
              <w:rPr>
                <w:rFonts w:eastAsia="楷体"/>
                <w:color w:val="auto"/>
                <w:sz w:val="18"/>
                <w:szCs w:val="18"/>
                <w:highlight w:val="none"/>
              </w:rPr>
            </w:pPr>
          </w:p>
        </w:tc>
        <w:tc>
          <w:tcPr>
            <w:tcW w:w="1893" w:type="dxa"/>
            <w:tcBorders>
              <w:top w:val="single" w:color="000000" w:sz="4" w:space="0"/>
              <w:left w:val="single" w:color="000000" w:sz="4" w:space="0"/>
              <w:bottom w:val="single" w:color="000000" w:sz="4" w:space="0"/>
              <w:right w:val="single" w:color="000000" w:sz="4" w:space="0"/>
            </w:tcBorders>
            <w:noWrap w:val="0"/>
            <w:vAlign w:val="center"/>
          </w:tcPr>
          <w:p w14:paraId="1A106BA6">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放水型式</w:t>
            </w:r>
          </w:p>
        </w:tc>
        <w:tc>
          <w:tcPr>
            <w:tcW w:w="2465" w:type="dxa"/>
            <w:gridSpan w:val="3"/>
            <w:tcBorders>
              <w:top w:val="single" w:color="000000" w:sz="4" w:space="0"/>
              <w:left w:val="single" w:color="000000" w:sz="4" w:space="0"/>
              <w:bottom w:val="single" w:color="000000" w:sz="4" w:space="0"/>
              <w:right w:val="single" w:color="000000" w:sz="12" w:space="0"/>
            </w:tcBorders>
            <w:noWrap w:val="0"/>
            <w:vAlign w:val="center"/>
          </w:tcPr>
          <w:p w14:paraId="5876C2C9">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转动门盖</w:t>
            </w:r>
          </w:p>
        </w:tc>
      </w:tr>
      <w:tr w14:paraId="6E1E67C8">
        <w:tblPrEx>
          <w:tblCellMar>
            <w:top w:w="15" w:type="dxa"/>
            <w:left w:w="15" w:type="dxa"/>
            <w:bottom w:w="15" w:type="dxa"/>
            <w:right w:w="15" w:type="dxa"/>
          </w:tblCellMar>
        </w:tblPrEx>
        <w:trPr>
          <w:trHeight w:val="312" w:hRule="atLeast"/>
        </w:trPr>
        <w:tc>
          <w:tcPr>
            <w:tcW w:w="816"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456EE344">
            <w:pPr>
              <w:jc w:val="center"/>
              <w:rPr>
                <w:rFonts w:eastAsia="楷体"/>
                <w:color w:val="auto"/>
                <w:sz w:val="18"/>
                <w:szCs w:val="18"/>
                <w:highlight w:val="none"/>
              </w:rPr>
            </w:pPr>
          </w:p>
        </w:tc>
        <w:tc>
          <w:tcPr>
            <w:tcW w:w="1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81B6B7A">
            <w:pPr>
              <w:jc w:val="center"/>
              <w:rPr>
                <w:rFonts w:eastAsia="楷体"/>
                <w:color w:val="auto"/>
                <w:sz w:val="18"/>
                <w:szCs w:val="18"/>
                <w:highlight w:val="none"/>
              </w:rPr>
            </w:pPr>
          </w:p>
        </w:tc>
        <w:tc>
          <w:tcPr>
            <w:tcW w:w="1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E2C630">
            <w:pPr>
              <w:jc w:val="center"/>
              <w:rPr>
                <w:rFonts w:eastAsia="楷体"/>
                <w:color w:val="auto"/>
                <w:sz w:val="18"/>
                <w:szCs w:val="18"/>
                <w:highlight w:val="none"/>
              </w:rPr>
            </w:pP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1D43C9A6">
            <w:pPr>
              <w:jc w:val="center"/>
              <w:rPr>
                <w:rFonts w:eastAsia="楷体"/>
                <w:color w:val="auto"/>
                <w:sz w:val="18"/>
                <w:szCs w:val="18"/>
                <w:highlight w:val="none"/>
              </w:rPr>
            </w:pPr>
          </w:p>
        </w:tc>
        <w:tc>
          <w:tcPr>
            <w:tcW w:w="1893" w:type="dxa"/>
            <w:vMerge w:val="restart"/>
            <w:tcBorders>
              <w:top w:val="single" w:color="000000" w:sz="4" w:space="0"/>
              <w:left w:val="single" w:color="000000" w:sz="4" w:space="0"/>
              <w:bottom w:val="single" w:color="000000" w:sz="12" w:space="0"/>
              <w:right w:val="single" w:color="000000" w:sz="4" w:space="0"/>
            </w:tcBorders>
            <w:noWrap w:val="0"/>
            <w:vAlign w:val="center"/>
          </w:tcPr>
          <w:p w14:paraId="09C38073">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启闭设备</w:t>
            </w:r>
          </w:p>
        </w:tc>
        <w:tc>
          <w:tcPr>
            <w:tcW w:w="2465" w:type="dxa"/>
            <w:gridSpan w:val="3"/>
            <w:vMerge w:val="restart"/>
            <w:tcBorders>
              <w:top w:val="single" w:color="000000" w:sz="4" w:space="0"/>
              <w:left w:val="single" w:color="000000" w:sz="4" w:space="0"/>
              <w:bottom w:val="single" w:color="000000" w:sz="12" w:space="0"/>
              <w:right w:val="single" w:color="000000" w:sz="12" w:space="0"/>
            </w:tcBorders>
            <w:noWrap w:val="0"/>
            <w:vAlign w:val="center"/>
          </w:tcPr>
          <w:p w14:paraId="4169A6EA">
            <w:pPr>
              <w:widowControl/>
              <w:jc w:val="center"/>
              <w:textAlignment w:val="center"/>
              <w:rPr>
                <w:rFonts w:eastAsia="楷体"/>
                <w:color w:val="auto"/>
                <w:sz w:val="18"/>
                <w:szCs w:val="18"/>
                <w:highlight w:val="none"/>
              </w:rPr>
            </w:pPr>
            <w:r>
              <w:rPr>
                <w:rFonts w:hint="eastAsia" w:eastAsia="楷体"/>
                <w:color w:val="auto"/>
                <w:kern w:val="0"/>
                <w:sz w:val="18"/>
                <w:szCs w:val="18"/>
                <w:highlight w:val="none"/>
                <w:lang w:bidi="ar"/>
              </w:rPr>
              <w:t>卷扬式启闭机</w:t>
            </w:r>
          </w:p>
        </w:tc>
      </w:tr>
      <w:tr w14:paraId="4FCBB7C3">
        <w:tblPrEx>
          <w:tblCellMar>
            <w:top w:w="15" w:type="dxa"/>
            <w:left w:w="15" w:type="dxa"/>
            <w:bottom w:w="15" w:type="dxa"/>
            <w:right w:w="15" w:type="dxa"/>
          </w:tblCellMar>
        </w:tblPrEx>
        <w:trPr>
          <w:trHeight w:val="286" w:hRule="atLeast"/>
        </w:trPr>
        <w:tc>
          <w:tcPr>
            <w:tcW w:w="816"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2C8EB091">
            <w:pPr>
              <w:jc w:val="center"/>
              <w:rPr>
                <w:rFonts w:eastAsia="楷体"/>
                <w:color w:val="auto"/>
                <w:sz w:val="18"/>
                <w:szCs w:val="18"/>
                <w:highlight w:val="none"/>
              </w:rPr>
            </w:pPr>
          </w:p>
        </w:tc>
        <w:tc>
          <w:tcPr>
            <w:tcW w:w="1409" w:type="dxa"/>
            <w:gridSpan w:val="2"/>
            <w:tcBorders>
              <w:top w:val="single" w:color="000000" w:sz="4" w:space="0"/>
              <w:left w:val="single" w:color="000000" w:sz="4" w:space="0"/>
              <w:bottom w:val="single" w:color="000000" w:sz="12" w:space="0"/>
              <w:right w:val="single" w:color="000000" w:sz="4" w:space="0"/>
            </w:tcBorders>
            <w:noWrap w:val="0"/>
            <w:vAlign w:val="center"/>
          </w:tcPr>
          <w:p w14:paraId="24713264">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总装机功率（kw）</w:t>
            </w:r>
          </w:p>
        </w:tc>
        <w:tc>
          <w:tcPr>
            <w:tcW w:w="1655" w:type="dxa"/>
            <w:tcBorders>
              <w:top w:val="single" w:color="000000" w:sz="4" w:space="0"/>
              <w:left w:val="single" w:color="000000" w:sz="4" w:space="0"/>
              <w:bottom w:val="single" w:color="000000" w:sz="12" w:space="0"/>
              <w:right w:val="single" w:color="000000" w:sz="4" w:space="0"/>
            </w:tcBorders>
            <w:noWrap w:val="0"/>
            <w:vAlign w:val="center"/>
          </w:tcPr>
          <w:p w14:paraId="731CEEE6">
            <w:pPr>
              <w:widowControl/>
              <w:jc w:val="center"/>
              <w:textAlignment w:val="center"/>
              <w:rPr>
                <w:rFonts w:eastAsia="楷体"/>
                <w:color w:val="auto"/>
                <w:sz w:val="18"/>
                <w:szCs w:val="18"/>
                <w:highlight w:val="none"/>
              </w:rPr>
            </w:pPr>
            <w:r>
              <w:rPr>
                <w:rFonts w:eastAsia="楷体"/>
                <w:color w:val="auto"/>
                <w:kern w:val="0"/>
                <w:sz w:val="18"/>
                <w:szCs w:val="18"/>
                <w:highlight w:val="none"/>
                <w:lang w:bidi="ar"/>
              </w:rPr>
              <w:t>/</w:t>
            </w:r>
          </w:p>
        </w:tc>
        <w:tc>
          <w:tcPr>
            <w:tcW w:w="865" w:type="dxa"/>
            <w:vMerge w:val="continue"/>
            <w:tcBorders>
              <w:top w:val="single" w:color="000000" w:sz="4" w:space="0"/>
              <w:left w:val="single" w:color="000000" w:sz="4" w:space="0"/>
              <w:bottom w:val="single" w:color="000000" w:sz="12" w:space="0"/>
              <w:right w:val="single" w:color="000000" w:sz="4" w:space="0"/>
            </w:tcBorders>
            <w:noWrap w:val="0"/>
            <w:vAlign w:val="center"/>
          </w:tcPr>
          <w:p w14:paraId="58F2A762">
            <w:pPr>
              <w:jc w:val="center"/>
              <w:rPr>
                <w:rFonts w:eastAsia="楷体"/>
                <w:color w:val="auto"/>
                <w:sz w:val="18"/>
                <w:szCs w:val="18"/>
                <w:highlight w:val="none"/>
              </w:rPr>
            </w:pPr>
          </w:p>
        </w:tc>
        <w:tc>
          <w:tcPr>
            <w:tcW w:w="1893" w:type="dxa"/>
            <w:vMerge w:val="continue"/>
            <w:tcBorders>
              <w:top w:val="single" w:color="000000" w:sz="4" w:space="0"/>
              <w:left w:val="single" w:color="000000" w:sz="4" w:space="0"/>
              <w:bottom w:val="single" w:color="000000" w:sz="12" w:space="0"/>
              <w:right w:val="single" w:color="000000" w:sz="4" w:space="0"/>
            </w:tcBorders>
            <w:noWrap w:val="0"/>
            <w:vAlign w:val="center"/>
          </w:tcPr>
          <w:p w14:paraId="5BF0267A">
            <w:pPr>
              <w:jc w:val="center"/>
              <w:rPr>
                <w:rFonts w:eastAsia="楷体"/>
                <w:color w:val="auto"/>
                <w:sz w:val="18"/>
                <w:szCs w:val="18"/>
                <w:highlight w:val="none"/>
              </w:rPr>
            </w:pPr>
          </w:p>
        </w:tc>
        <w:tc>
          <w:tcPr>
            <w:tcW w:w="2465" w:type="dxa"/>
            <w:gridSpan w:val="3"/>
            <w:vMerge w:val="continue"/>
            <w:tcBorders>
              <w:top w:val="single" w:color="000000" w:sz="4" w:space="0"/>
              <w:left w:val="single" w:color="000000" w:sz="4" w:space="0"/>
              <w:bottom w:val="single" w:color="000000" w:sz="12" w:space="0"/>
              <w:right w:val="single" w:color="000000" w:sz="12" w:space="0"/>
            </w:tcBorders>
            <w:noWrap w:val="0"/>
            <w:vAlign w:val="center"/>
          </w:tcPr>
          <w:p w14:paraId="7E29E680">
            <w:pPr>
              <w:jc w:val="center"/>
              <w:rPr>
                <w:rFonts w:eastAsia="楷体"/>
                <w:color w:val="auto"/>
                <w:sz w:val="18"/>
                <w:szCs w:val="18"/>
                <w:highlight w:val="none"/>
              </w:rPr>
            </w:pPr>
          </w:p>
        </w:tc>
      </w:tr>
    </w:tbl>
    <w:p w14:paraId="090F7015">
      <w:pPr>
        <w:rPr>
          <w:rFonts w:eastAsia="楷体"/>
          <w:vanish/>
          <w:color w:val="auto"/>
          <w:highlight w:val="none"/>
        </w:rPr>
      </w:pPr>
    </w:p>
    <w:p w14:paraId="692969D5">
      <w:pPr>
        <w:jc w:val="center"/>
        <w:rPr>
          <w:rFonts w:eastAsia="楷体"/>
          <w:b/>
          <w:color w:val="auto"/>
          <w:sz w:val="28"/>
          <w:szCs w:val="28"/>
          <w:highlight w:val="none"/>
        </w:rPr>
      </w:pPr>
    </w:p>
    <w:p w14:paraId="1B0D22E9">
      <w:pPr>
        <w:jc w:val="center"/>
        <w:outlineLvl w:val="1"/>
        <w:rPr>
          <w:rFonts w:eastAsia="楷体"/>
          <w:b/>
          <w:color w:val="auto"/>
          <w:sz w:val="28"/>
          <w:szCs w:val="28"/>
          <w:highlight w:val="none"/>
        </w:rPr>
      </w:pPr>
      <w:bookmarkStart w:id="69" w:name="_Toc18024"/>
      <w:r>
        <w:rPr>
          <w:rFonts w:eastAsia="楷体"/>
          <w:b/>
          <w:color w:val="auto"/>
          <w:sz w:val="28"/>
          <w:szCs w:val="28"/>
          <w:highlight w:val="none"/>
        </w:rPr>
        <w:t>表2    四清水库水位～库容关系曲线表</w:t>
      </w:r>
      <w:bookmarkEnd w:id="69"/>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45"/>
      </w:tblGrid>
      <w:tr w14:paraId="3A781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54307FF2">
            <w:pPr>
              <w:pStyle w:val="25"/>
              <w:spacing w:line="460" w:lineRule="exact"/>
              <w:ind w:firstLine="360"/>
              <w:rPr>
                <w:rFonts w:ascii="Times New Roman" w:hAnsi="Times New Roman" w:eastAsia="楷体"/>
                <w:bCs/>
                <w:color w:val="auto"/>
                <w:highlight w:val="none"/>
              </w:rPr>
            </w:pPr>
            <w:r>
              <w:rPr>
                <w:rFonts w:ascii="Times New Roman" w:hAnsi="Times New Roman" w:eastAsia="楷体"/>
                <w:bCs/>
                <w:color w:val="auto"/>
                <w:highlight w:val="none"/>
              </w:rPr>
              <w:t>高程(m)</w:t>
            </w:r>
          </w:p>
        </w:tc>
        <w:tc>
          <w:tcPr>
            <w:tcW w:w="4645" w:type="dxa"/>
            <w:noWrap w:val="0"/>
            <w:vAlign w:val="center"/>
          </w:tcPr>
          <w:p w14:paraId="43095972">
            <w:pPr>
              <w:pStyle w:val="25"/>
              <w:spacing w:line="460" w:lineRule="exact"/>
              <w:ind w:firstLine="360"/>
              <w:rPr>
                <w:rFonts w:ascii="Times New Roman" w:hAnsi="Times New Roman" w:eastAsia="楷体"/>
                <w:bCs/>
                <w:color w:val="auto"/>
                <w:highlight w:val="none"/>
              </w:rPr>
            </w:pPr>
            <w:r>
              <w:rPr>
                <w:rFonts w:ascii="Times New Roman" w:hAnsi="Times New Roman" w:eastAsia="楷体"/>
                <w:bCs/>
                <w:color w:val="auto"/>
                <w:highlight w:val="none"/>
              </w:rPr>
              <w:t>库容(万m</w:t>
            </w:r>
            <w:r>
              <w:rPr>
                <w:rFonts w:ascii="Times New Roman" w:hAnsi="Times New Roman" w:eastAsia="楷体"/>
                <w:bCs/>
                <w:color w:val="auto"/>
                <w:highlight w:val="none"/>
                <w:vertAlign w:val="superscript"/>
              </w:rPr>
              <w:t>3</w:t>
            </w:r>
            <w:r>
              <w:rPr>
                <w:rFonts w:ascii="Times New Roman" w:hAnsi="Times New Roman" w:eastAsia="楷体"/>
                <w:bCs/>
                <w:color w:val="auto"/>
                <w:highlight w:val="none"/>
              </w:rPr>
              <w:t>)</w:t>
            </w:r>
          </w:p>
        </w:tc>
      </w:tr>
      <w:tr w14:paraId="2C59D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70E1D707">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17.00</w:t>
            </w:r>
          </w:p>
        </w:tc>
        <w:tc>
          <w:tcPr>
            <w:tcW w:w="4645" w:type="dxa"/>
            <w:noWrap w:val="0"/>
            <w:vAlign w:val="center"/>
          </w:tcPr>
          <w:p w14:paraId="727E0D55">
            <w:pPr>
              <w:pStyle w:val="25"/>
              <w:spacing w:line="460" w:lineRule="exact"/>
              <w:rPr>
                <w:rFonts w:ascii="Times New Roman" w:hAnsi="Times New Roman" w:eastAsia="楷体"/>
                <w:color w:val="auto"/>
                <w:highlight w:val="none"/>
              </w:rPr>
            </w:pPr>
            <w:r>
              <w:rPr>
                <w:rFonts w:ascii="Times New Roman" w:hAnsi="Times New Roman" w:eastAsia="楷体"/>
                <w:color w:val="auto"/>
                <w:highlight w:val="none"/>
              </w:rPr>
              <w:t>0</w:t>
            </w:r>
          </w:p>
        </w:tc>
      </w:tr>
      <w:tr w14:paraId="237EA9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75AD5673">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21.00</w:t>
            </w:r>
          </w:p>
        </w:tc>
        <w:tc>
          <w:tcPr>
            <w:tcW w:w="4645" w:type="dxa"/>
            <w:noWrap w:val="0"/>
            <w:vAlign w:val="center"/>
          </w:tcPr>
          <w:p w14:paraId="3D0D9D29">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2.12</w:t>
            </w:r>
          </w:p>
        </w:tc>
      </w:tr>
      <w:tr w14:paraId="2ED0E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397DA3DF">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22.00</w:t>
            </w:r>
          </w:p>
        </w:tc>
        <w:tc>
          <w:tcPr>
            <w:tcW w:w="4645" w:type="dxa"/>
            <w:noWrap w:val="0"/>
            <w:vAlign w:val="center"/>
          </w:tcPr>
          <w:p w14:paraId="3DF11BE8">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4.16</w:t>
            </w:r>
          </w:p>
        </w:tc>
      </w:tr>
      <w:tr w14:paraId="687F6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670572D7">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23.00</w:t>
            </w:r>
          </w:p>
        </w:tc>
        <w:tc>
          <w:tcPr>
            <w:tcW w:w="4645" w:type="dxa"/>
            <w:noWrap w:val="0"/>
            <w:vAlign w:val="center"/>
          </w:tcPr>
          <w:p w14:paraId="28E1E6CD">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6.94</w:t>
            </w:r>
          </w:p>
        </w:tc>
      </w:tr>
      <w:tr w14:paraId="063B8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557ABA0D">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24.00</w:t>
            </w:r>
          </w:p>
        </w:tc>
        <w:tc>
          <w:tcPr>
            <w:tcW w:w="4645" w:type="dxa"/>
            <w:noWrap w:val="0"/>
            <w:vAlign w:val="center"/>
          </w:tcPr>
          <w:p w14:paraId="1C130DA2">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10.21</w:t>
            </w:r>
          </w:p>
        </w:tc>
      </w:tr>
      <w:tr w14:paraId="4783F2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2DD0FF67">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25.00</w:t>
            </w:r>
          </w:p>
        </w:tc>
        <w:tc>
          <w:tcPr>
            <w:tcW w:w="4645" w:type="dxa"/>
            <w:noWrap w:val="0"/>
            <w:vAlign w:val="center"/>
          </w:tcPr>
          <w:p w14:paraId="3D7D83A9">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13.84</w:t>
            </w:r>
            <w:r>
              <w:rPr>
                <w:rFonts w:ascii="Times New Roman" w:hAnsi="Times New Roman" w:eastAsia="楷体"/>
                <w:color w:val="auto"/>
                <w:highlight w:val="none"/>
              </w:rPr>
              <w:t xml:space="preserve"> </w:t>
            </w:r>
          </w:p>
        </w:tc>
      </w:tr>
      <w:tr w14:paraId="2FA2E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7CEE9F37">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26.00</w:t>
            </w:r>
          </w:p>
        </w:tc>
        <w:tc>
          <w:tcPr>
            <w:tcW w:w="4645" w:type="dxa"/>
            <w:noWrap w:val="0"/>
            <w:vAlign w:val="center"/>
          </w:tcPr>
          <w:p w14:paraId="43EA85DC">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17.80</w:t>
            </w:r>
          </w:p>
        </w:tc>
      </w:tr>
      <w:tr w14:paraId="34A834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33880FBE">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27.00</w:t>
            </w:r>
          </w:p>
        </w:tc>
        <w:tc>
          <w:tcPr>
            <w:tcW w:w="4645" w:type="dxa"/>
            <w:noWrap w:val="0"/>
            <w:vAlign w:val="center"/>
          </w:tcPr>
          <w:p w14:paraId="45FCAD21">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22.09</w:t>
            </w:r>
          </w:p>
        </w:tc>
      </w:tr>
      <w:tr w14:paraId="69EBA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4C02B4B9">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28.00</w:t>
            </w:r>
          </w:p>
        </w:tc>
        <w:tc>
          <w:tcPr>
            <w:tcW w:w="4645" w:type="dxa"/>
            <w:noWrap w:val="0"/>
            <w:vAlign w:val="center"/>
          </w:tcPr>
          <w:p w14:paraId="68346BCD">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26.74</w:t>
            </w:r>
          </w:p>
        </w:tc>
      </w:tr>
      <w:tr w14:paraId="1FFA8A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7A63004B">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29.00</w:t>
            </w:r>
          </w:p>
        </w:tc>
        <w:tc>
          <w:tcPr>
            <w:tcW w:w="4645" w:type="dxa"/>
            <w:noWrap w:val="0"/>
            <w:vAlign w:val="center"/>
          </w:tcPr>
          <w:p w14:paraId="231310C3">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31.91</w:t>
            </w:r>
          </w:p>
        </w:tc>
      </w:tr>
      <w:tr w14:paraId="4747EE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44" w:type="dxa"/>
            <w:noWrap w:val="0"/>
            <w:vAlign w:val="center"/>
          </w:tcPr>
          <w:p w14:paraId="6E9B932A">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30.00</w:t>
            </w:r>
          </w:p>
        </w:tc>
        <w:tc>
          <w:tcPr>
            <w:tcW w:w="4645" w:type="dxa"/>
            <w:noWrap w:val="0"/>
            <w:vAlign w:val="center"/>
          </w:tcPr>
          <w:p w14:paraId="2C32772C">
            <w:pPr>
              <w:pStyle w:val="25"/>
              <w:spacing w:line="460" w:lineRule="exact"/>
              <w:rPr>
                <w:rFonts w:ascii="Times New Roman" w:hAnsi="Times New Roman" w:eastAsia="楷体"/>
                <w:color w:val="auto"/>
                <w:highlight w:val="none"/>
              </w:rPr>
            </w:pPr>
            <w:r>
              <w:rPr>
                <w:rFonts w:hint="eastAsia" w:ascii="Times New Roman" w:hAnsi="Times New Roman" w:eastAsia="楷体"/>
                <w:color w:val="auto"/>
                <w:highlight w:val="none"/>
              </w:rPr>
              <w:t>37.63</w:t>
            </w:r>
          </w:p>
        </w:tc>
      </w:tr>
    </w:tbl>
    <w:p w14:paraId="043B92B0">
      <w:pPr>
        <w:jc w:val="center"/>
        <w:outlineLvl w:val="1"/>
        <w:rPr>
          <w:rFonts w:eastAsia="楷体"/>
          <w:b/>
          <w:color w:val="auto"/>
          <w:sz w:val="28"/>
          <w:szCs w:val="28"/>
          <w:highlight w:val="none"/>
        </w:rPr>
      </w:pPr>
      <w:r>
        <w:rPr>
          <w:color w:val="auto"/>
          <w:highlight w:val="none"/>
        </w:rPr>
        <w:pict>
          <v:shape id="图片 75" o:spid="_x0000_s2050" o:spt="75" type="#_x0000_t75" style="position:absolute;left:0pt;margin-left:2.65pt;margin-top:24pt;height:266.8pt;width:453.35pt;mso-wrap-distance-bottom:0pt;mso-wrap-distance-left:9pt;mso-wrap-distance-right:9pt;mso-wrap-distance-top:0pt;z-index:251659264;mso-width-relative:page;mso-height-relative:page;" filled="f" o:preferrelative="t" stroked="f" coordsize="21600,21600">
            <v:path/>
            <v:fill on="f" focussize="0,0"/>
            <v:stroke on="f"/>
            <v:imagedata r:id="rId74" o:title=""/>
            <o:lock v:ext="edit" grouping="f" rotation="f" text="f" aspectratio="t"/>
            <w10:wrap type="square"/>
          </v:shape>
        </w:pict>
      </w:r>
    </w:p>
    <w:p w14:paraId="058D1CD7">
      <w:pPr>
        <w:jc w:val="center"/>
        <w:rPr>
          <w:rFonts w:eastAsia="楷体"/>
          <w:b/>
          <w:color w:val="auto"/>
          <w:sz w:val="28"/>
          <w:szCs w:val="28"/>
          <w:highlight w:val="none"/>
        </w:rPr>
      </w:pPr>
    </w:p>
    <w:p w14:paraId="5095086E">
      <w:pPr>
        <w:rPr>
          <w:rFonts w:eastAsia="楷体"/>
          <w:color w:val="auto"/>
          <w:spacing w:val="20"/>
          <w:kern w:val="0"/>
          <w:sz w:val="28"/>
          <w:szCs w:val="28"/>
          <w:highlight w:val="none"/>
        </w:rPr>
      </w:pPr>
    </w:p>
    <w:p w14:paraId="3AECACED">
      <w:pPr>
        <w:spacing w:line="520" w:lineRule="exact"/>
        <w:jc w:val="center"/>
        <w:outlineLvl w:val="1"/>
        <w:rPr>
          <w:rFonts w:eastAsia="楷体"/>
          <w:b/>
          <w:bCs/>
          <w:color w:val="auto"/>
          <w:sz w:val="28"/>
          <w:szCs w:val="28"/>
          <w:highlight w:val="none"/>
        </w:rPr>
      </w:pPr>
      <w:bookmarkStart w:id="70" w:name="_Toc14341"/>
      <w:r>
        <w:rPr>
          <w:rFonts w:eastAsia="楷体"/>
          <w:b/>
          <w:bCs/>
          <w:color w:val="auto"/>
          <w:sz w:val="28"/>
          <w:szCs w:val="28"/>
          <w:highlight w:val="none"/>
        </w:rPr>
        <w:t>表3    四清水库溢洪道下泄流量表</w:t>
      </w:r>
      <w:bookmarkEnd w:id="70"/>
    </w:p>
    <w:tbl>
      <w:tblPr>
        <w:tblStyle w:val="17"/>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2760"/>
        <w:gridCol w:w="1171"/>
        <w:gridCol w:w="1293"/>
        <w:gridCol w:w="1293"/>
        <w:gridCol w:w="1293"/>
        <w:gridCol w:w="1293"/>
      </w:tblGrid>
      <w:tr w14:paraId="5ADF95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2760" w:type="dxa"/>
            <w:noWrap w:val="0"/>
            <w:vAlign w:val="center"/>
          </w:tcPr>
          <w:p w14:paraId="0C78B65E">
            <w:pPr>
              <w:widowControl/>
              <w:jc w:val="center"/>
              <w:textAlignment w:val="center"/>
              <w:rPr>
                <w:rFonts w:eastAsia="楷体"/>
                <w:color w:val="auto"/>
                <w:sz w:val="24"/>
                <w:highlight w:val="none"/>
              </w:rPr>
            </w:pPr>
            <w:r>
              <w:rPr>
                <w:rFonts w:eastAsia="楷体"/>
                <w:color w:val="auto"/>
                <w:kern w:val="0"/>
                <w:sz w:val="24"/>
                <w:highlight w:val="none"/>
                <w:lang w:bidi="ar"/>
              </w:rPr>
              <w:t>水库水位(m)</w:t>
            </w:r>
          </w:p>
        </w:tc>
        <w:tc>
          <w:tcPr>
            <w:tcW w:w="1171" w:type="dxa"/>
            <w:noWrap w:val="0"/>
            <w:vAlign w:val="center"/>
          </w:tcPr>
          <w:p w14:paraId="5C6D6CD3">
            <w:pPr>
              <w:widowControl/>
              <w:jc w:val="center"/>
              <w:textAlignment w:val="center"/>
              <w:rPr>
                <w:rFonts w:eastAsia="楷体"/>
                <w:color w:val="auto"/>
                <w:sz w:val="24"/>
                <w:highlight w:val="none"/>
              </w:rPr>
            </w:pPr>
            <w:r>
              <w:rPr>
                <w:rFonts w:hint="eastAsia" w:eastAsia="楷体"/>
                <w:color w:val="auto"/>
                <w:kern w:val="0"/>
                <w:sz w:val="24"/>
                <w:highlight w:val="none"/>
                <w:lang w:bidi="ar"/>
              </w:rPr>
              <w:t>28.04</w:t>
            </w:r>
          </w:p>
        </w:tc>
        <w:tc>
          <w:tcPr>
            <w:tcW w:w="1293" w:type="dxa"/>
            <w:noWrap w:val="0"/>
            <w:vAlign w:val="center"/>
          </w:tcPr>
          <w:p w14:paraId="1DCD1B52">
            <w:pPr>
              <w:widowControl/>
              <w:jc w:val="center"/>
              <w:textAlignment w:val="center"/>
              <w:rPr>
                <w:rFonts w:eastAsia="楷体"/>
                <w:color w:val="auto"/>
                <w:sz w:val="24"/>
                <w:highlight w:val="none"/>
              </w:rPr>
            </w:pPr>
            <w:r>
              <w:rPr>
                <w:rFonts w:hint="eastAsia" w:eastAsia="楷体"/>
                <w:color w:val="auto"/>
                <w:kern w:val="0"/>
                <w:sz w:val="24"/>
                <w:highlight w:val="none"/>
                <w:lang w:bidi="ar"/>
              </w:rPr>
              <w:t>28.16</w:t>
            </w:r>
          </w:p>
        </w:tc>
        <w:tc>
          <w:tcPr>
            <w:tcW w:w="1293" w:type="dxa"/>
            <w:noWrap w:val="0"/>
            <w:vAlign w:val="center"/>
          </w:tcPr>
          <w:p w14:paraId="149C34E7">
            <w:pPr>
              <w:widowControl/>
              <w:jc w:val="center"/>
              <w:textAlignment w:val="center"/>
              <w:rPr>
                <w:rFonts w:eastAsia="楷体"/>
                <w:color w:val="auto"/>
                <w:sz w:val="24"/>
                <w:highlight w:val="none"/>
              </w:rPr>
            </w:pPr>
            <w:r>
              <w:rPr>
                <w:rFonts w:hint="eastAsia" w:eastAsia="楷体"/>
                <w:color w:val="auto"/>
                <w:kern w:val="0"/>
                <w:sz w:val="24"/>
                <w:highlight w:val="none"/>
                <w:lang w:bidi="ar"/>
              </w:rPr>
              <w:t>28.20</w:t>
            </w:r>
          </w:p>
        </w:tc>
        <w:tc>
          <w:tcPr>
            <w:tcW w:w="1293" w:type="dxa"/>
            <w:noWrap w:val="0"/>
            <w:vAlign w:val="center"/>
          </w:tcPr>
          <w:p w14:paraId="3B7BE0E5">
            <w:pPr>
              <w:widowControl/>
              <w:jc w:val="center"/>
              <w:textAlignment w:val="center"/>
              <w:rPr>
                <w:rFonts w:eastAsia="楷体"/>
                <w:color w:val="auto"/>
                <w:sz w:val="24"/>
                <w:highlight w:val="none"/>
              </w:rPr>
            </w:pPr>
            <w:r>
              <w:rPr>
                <w:rFonts w:hint="eastAsia" w:eastAsia="楷体"/>
                <w:color w:val="auto"/>
                <w:kern w:val="0"/>
                <w:sz w:val="24"/>
                <w:highlight w:val="none"/>
                <w:lang w:bidi="ar"/>
              </w:rPr>
              <w:t>28.30</w:t>
            </w:r>
          </w:p>
        </w:tc>
        <w:tc>
          <w:tcPr>
            <w:tcW w:w="1293" w:type="dxa"/>
            <w:noWrap w:val="0"/>
            <w:vAlign w:val="center"/>
          </w:tcPr>
          <w:p w14:paraId="6737C20C">
            <w:pPr>
              <w:widowControl/>
              <w:jc w:val="center"/>
              <w:textAlignment w:val="center"/>
              <w:rPr>
                <w:rFonts w:eastAsia="楷体"/>
                <w:color w:val="auto"/>
                <w:sz w:val="24"/>
                <w:highlight w:val="none"/>
              </w:rPr>
            </w:pPr>
            <w:r>
              <w:rPr>
                <w:rFonts w:hint="eastAsia" w:eastAsia="楷体"/>
                <w:color w:val="auto"/>
                <w:kern w:val="0"/>
                <w:sz w:val="24"/>
                <w:highlight w:val="none"/>
                <w:lang w:bidi="ar"/>
              </w:rPr>
              <w:t>28.37</w:t>
            </w:r>
          </w:p>
        </w:tc>
      </w:tr>
      <w:tr w14:paraId="0174AF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2760" w:type="dxa"/>
            <w:noWrap w:val="0"/>
            <w:vAlign w:val="center"/>
          </w:tcPr>
          <w:p w14:paraId="6FE1A767">
            <w:pPr>
              <w:widowControl/>
              <w:jc w:val="center"/>
              <w:textAlignment w:val="center"/>
              <w:rPr>
                <w:rFonts w:eastAsia="楷体"/>
                <w:color w:val="auto"/>
                <w:sz w:val="24"/>
                <w:highlight w:val="none"/>
              </w:rPr>
            </w:pPr>
            <w:r>
              <w:rPr>
                <w:rFonts w:eastAsia="楷体"/>
                <w:color w:val="auto"/>
                <w:kern w:val="0"/>
                <w:sz w:val="24"/>
                <w:highlight w:val="none"/>
                <w:lang w:bidi="ar"/>
              </w:rPr>
              <w:t>对应下泄流量（m</w:t>
            </w:r>
            <w:r>
              <w:rPr>
                <w:rFonts w:eastAsia="楷体"/>
                <w:color w:val="auto"/>
                <w:kern w:val="0"/>
                <w:sz w:val="24"/>
                <w:highlight w:val="none"/>
                <w:vertAlign w:val="superscript"/>
                <w:lang w:bidi="ar"/>
              </w:rPr>
              <w:t>3</w:t>
            </w:r>
            <w:r>
              <w:rPr>
                <w:rFonts w:eastAsia="楷体"/>
                <w:color w:val="auto"/>
                <w:kern w:val="0"/>
                <w:sz w:val="24"/>
                <w:highlight w:val="none"/>
                <w:lang w:bidi="ar"/>
              </w:rPr>
              <w:t>/s）</w:t>
            </w:r>
          </w:p>
        </w:tc>
        <w:tc>
          <w:tcPr>
            <w:tcW w:w="1171" w:type="dxa"/>
            <w:noWrap w:val="0"/>
            <w:vAlign w:val="center"/>
          </w:tcPr>
          <w:p w14:paraId="45F7835A">
            <w:pPr>
              <w:widowControl/>
              <w:jc w:val="center"/>
              <w:textAlignment w:val="center"/>
              <w:rPr>
                <w:rFonts w:eastAsia="楷体"/>
                <w:color w:val="auto"/>
                <w:sz w:val="24"/>
                <w:highlight w:val="none"/>
              </w:rPr>
            </w:pPr>
            <w:r>
              <w:rPr>
                <w:rFonts w:eastAsia="楷体"/>
                <w:color w:val="auto"/>
                <w:kern w:val="0"/>
                <w:sz w:val="24"/>
                <w:highlight w:val="none"/>
                <w:lang w:bidi="ar"/>
              </w:rPr>
              <w:t>0</w:t>
            </w:r>
          </w:p>
        </w:tc>
        <w:tc>
          <w:tcPr>
            <w:tcW w:w="1293" w:type="dxa"/>
            <w:noWrap w:val="0"/>
            <w:vAlign w:val="center"/>
          </w:tcPr>
          <w:p w14:paraId="2959107A">
            <w:pPr>
              <w:widowControl/>
              <w:jc w:val="center"/>
              <w:textAlignment w:val="center"/>
              <w:rPr>
                <w:rFonts w:eastAsia="楷体"/>
                <w:color w:val="auto"/>
                <w:sz w:val="24"/>
                <w:highlight w:val="none"/>
              </w:rPr>
            </w:pPr>
            <w:r>
              <w:rPr>
                <w:rFonts w:hint="eastAsia" w:eastAsia="楷体"/>
                <w:color w:val="auto"/>
                <w:kern w:val="0"/>
                <w:sz w:val="24"/>
                <w:highlight w:val="none"/>
                <w:lang w:bidi="ar"/>
              </w:rPr>
              <w:t>0.5</w:t>
            </w:r>
          </w:p>
        </w:tc>
        <w:tc>
          <w:tcPr>
            <w:tcW w:w="1293" w:type="dxa"/>
            <w:noWrap w:val="0"/>
            <w:vAlign w:val="center"/>
          </w:tcPr>
          <w:p w14:paraId="7C10997F">
            <w:pPr>
              <w:widowControl/>
              <w:jc w:val="center"/>
              <w:textAlignment w:val="center"/>
              <w:rPr>
                <w:rFonts w:eastAsia="楷体"/>
                <w:color w:val="auto"/>
                <w:sz w:val="24"/>
                <w:highlight w:val="none"/>
              </w:rPr>
            </w:pPr>
            <w:r>
              <w:rPr>
                <w:rFonts w:hint="eastAsia" w:eastAsia="楷体"/>
                <w:color w:val="auto"/>
                <w:kern w:val="0"/>
                <w:sz w:val="24"/>
                <w:highlight w:val="none"/>
                <w:lang w:bidi="ar"/>
              </w:rPr>
              <w:t>1</w:t>
            </w:r>
          </w:p>
        </w:tc>
        <w:tc>
          <w:tcPr>
            <w:tcW w:w="1293" w:type="dxa"/>
            <w:noWrap w:val="0"/>
            <w:vAlign w:val="center"/>
          </w:tcPr>
          <w:p w14:paraId="081A151C">
            <w:pPr>
              <w:widowControl/>
              <w:jc w:val="center"/>
              <w:textAlignment w:val="center"/>
              <w:rPr>
                <w:rFonts w:eastAsia="楷体"/>
                <w:color w:val="auto"/>
                <w:sz w:val="24"/>
                <w:highlight w:val="none"/>
              </w:rPr>
            </w:pPr>
            <w:r>
              <w:rPr>
                <w:rFonts w:hint="eastAsia" w:eastAsia="楷体"/>
                <w:color w:val="auto"/>
                <w:kern w:val="0"/>
                <w:sz w:val="24"/>
                <w:highlight w:val="none"/>
                <w:lang w:bidi="ar"/>
              </w:rPr>
              <w:t>2</w:t>
            </w:r>
          </w:p>
        </w:tc>
        <w:tc>
          <w:tcPr>
            <w:tcW w:w="1293" w:type="dxa"/>
            <w:noWrap w:val="0"/>
            <w:vAlign w:val="center"/>
          </w:tcPr>
          <w:p w14:paraId="5F71174E">
            <w:pPr>
              <w:widowControl/>
              <w:jc w:val="center"/>
              <w:textAlignment w:val="center"/>
              <w:rPr>
                <w:rFonts w:eastAsia="楷体"/>
                <w:color w:val="auto"/>
                <w:sz w:val="24"/>
                <w:highlight w:val="none"/>
              </w:rPr>
            </w:pPr>
            <w:r>
              <w:rPr>
                <w:rFonts w:hint="eastAsia" w:eastAsia="楷体"/>
                <w:color w:val="auto"/>
                <w:kern w:val="0"/>
                <w:sz w:val="24"/>
                <w:highlight w:val="none"/>
                <w:lang w:bidi="ar"/>
              </w:rPr>
              <w:t>3</w:t>
            </w:r>
          </w:p>
        </w:tc>
      </w:tr>
      <w:tr w14:paraId="291AF3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2760" w:type="dxa"/>
            <w:noWrap w:val="0"/>
            <w:vAlign w:val="center"/>
          </w:tcPr>
          <w:p w14:paraId="292E740F">
            <w:pPr>
              <w:widowControl/>
              <w:jc w:val="center"/>
              <w:textAlignment w:val="center"/>
              <w:rPr>
                <w:rFonts w:eastAsia="楷体"/>
                <w:color w:val="auto"/>
                <w:sz w:val="24"/>
                <w:highlight w:val="none"/>
              </w:rPr>
            </w:pPr>
            <w:r>
              <w:rPr>
                <w:rFonts w:eastAsia="楷体"/>
                <w:color w:val="auto"/>
                <w:kern w:val="0"/>
                <w:sz w:val="24"/>
                <w:highlight w:val="none"/>
                <w:lang w:bidi="ar"/>
              </w:rPr>
              <w:t>水库水位(m)</w:t>
            </w:r>
          </w:p>
        </w:tc>
        <w:tc>
          <w:tcPr>
            <w:tcW w:w="1171" w:type="dxa"/>
            <w:noWrap w:val="0"/>
            <w:vAlign w:val="center"/>
          </w:tcPr>
          <w:p w14:paraId="70DEDE07">
            <w:pPr>
              <w:widowControl/>
              <w:jc w:val="center"/>
              <w:textAlignment w:val="center"/>
              <w:rPr>
                <w:rFonts w:eastAsia="楷体"/>
                <w:color w:val="auto"/>
                <w:sz w:val="24"/>
                <w:highlight w:val="none"/>
              </w:rPr>
            </w:pPr>
            <w:r>
              <w:rPr>
                <w:rFonts w:hint="eastAsia" w:eastAsia="楷体"/>
                <w:color w:val="auto"/>
                <w:kern w:val="0"/>
                <w:sz w:val="24"/>
                <w:highlight w:val="none"/>
                <w:lang w:bidi="ar"/>
              </w:rPr>
              <w:t>28.51</w:t>
            </w:r>
          </w:p>
        </w:tc>
        <w:tc>
          <w:tcPr>
            <w:tcW w:w="1293" w:type="dxa"/>
            <w:noWrap w:val="0"/>
            <w:vAlign w:val="center"/>
          </w:tcPr>
          <w:p w14:paraId="36662188">
            <w:pPr>
              <w:widowControl/>
              <w:jc w:val="center"/>
              <w:textAlignment w:val="center"/>
              <w:rPr>
                <w:rFonts w:eastAsia="楷体"/>
                <w:color w:val="auto"/>
                <w:sz w:val="24"/>
                <w:highlight w:val="none"/>
              </w:rPr>
            </w:pPr>
            <w:r>
              <w:rPr>
                <w:rFonts w:hint="eastAsia" w:eastAsia="楷体"/>
                <w:color w:val="auto"/>
                <w:kern w:val="0"/>
                <w:sz w:val="24"/>
                <w:highlight w:val="none"/>
                <w:lang w:bidi="ar"/>
              </w:rPr>
              <w:t>28.62</w:t>
            </w:r>
          </w:p>
        </w:tc>
        <w:tc>
          <w:tcPr>
            <w:tcW w:w="1293" w:type="dxa"/>
            <w:noWrap w:val="0"/>
            <w:vAlign w:val="center"/>
          </w:tcPr>
          <w:p w14:paraId="2CADEF79">
            <w:pPr>
              <w:widowControl/>
              <w:jc w:val="center"/>
              <w:textAlignment w:val="center"/>
              <w:rPr>
                <w:rFonts w:eastAsia="楷体"/>
                <w:color w:val="auto"/>
                <w:sz w:val="24"/>
                <w:highlight w:val="none"/>
              </w:rPr>
            </w:pPr>
            <w:r>
              <w:rPr>
                <w:rFonts w:hint="eastAsia" w:eastAsia="楷体"/>
                <w:color w:val="auto"/>
                <w:kern w:val="0"/>
                <w:sz w:val="24"/>
                <w:highlight w:val="none"/>
                <w:lang w:bidi="ar"/>
              </w:rPr>
              <w:t>28.78</w:t>
            </w:r>
          </w:p>
        </w:tc>
        <w:tc>
          <w:tcPr>
            <w:tcW w:w="1293" w:type="dxa"/>
            <w:noWrap w:val="0"/>
            <w:vAlign w:val="center"/>
          </w:tcPr>
          <w:p w14:paraId="0AB925A5">
            <w:pPr>
              <w:widowControl/>
              <w:jc w:val="center"/>
              <w:textAlignment w:val="center"/>
              <w:rPr>
                <w:rFonts w:eastAsia="楷体"/>
                <w:color w:val="auto"/>
                <w:sz w:val="24"/>
                <w:highlight w:val="none"/>
              </w:rPr>
            </w:pPr>
            <w:r>
              <w:rPr>
                <w:rFonts w:hint="eastAsia" w:eastAsia="楷体"/>
                <w:color w:val="auto"/>
                <w:kern w:val="0"/>
                <w:sz w:val="24"/>
                <w:highlight w:val="none"/>
                <w:lang w:bidi="ar"/>
              </w:rPr>
              <w:t>29.01</w:t>
            </w:r>
          </w:p>
        </w:tc>
        <w:tc>
          <w:tcPr>
            <w:tcW w:w="1293" w:type="dxa"/>
            <w:noWrap w:val="0"/>
            <w:vAlign w:val="center"/>
          </w:tcPr>
          <w:p w14:paraId="25F4EC01">
            <w:pPr>
              <w:widowControl/>
              <w:jc w:val="center"/>
              <w:textAlignment w:val="center"/>
              <w:rPr>
                <w:rFonts w:eastAsia="楷体"/>
                <w:color w:val="auto"/>
                <w:sz w:val="24"/>
                <w:highlight w:val="none"/>
              </w:rPr>
            </w:pPr>
          </w:p>
        </w:tc>
      </w:tr>
      <w:tr w14:paraId="077420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86" w:hRule="atLeast"/>
        </w:trPr>
        <w:tc>
          <w:tcPr>
            <w:tcW w:w="2760" w:type="dxa"/>
            <w:noWrap w:val="0"/>
            <w:vAlign w:val="center"/>
          </w:tcPr>
          <w:p w14:paraId="18B7FAE2">
            <w:pPr>
              <w:widowControl/>
              <w:jc w:val="center"/>
              <w:textAlignment w:val="center"/>
              <w:rPr>
                <w:rFonts w:eastAsia="楷体"/>
                <w:color w:val="auto"/>
                <w:sz w:val="24"/>
                <w:highlight w:val="none"/>
              </w:rPr>
            </w:pPr>
            <w:r>
              <w:rPr>
                <w:rFonts w:eastAsia="楷体"/>
                <w:color w:val="auto"/>
                <w:kern w:val="0"/>
                <w:sz w:val="24"/>
                <w:highlight w:val="none"/>
                <w:lang w:bidi="ar"/>
              </w:rPr>
              <w:t>对应下泄流量（m</w:t>
            </w:r>
            <w:r>
              <w:rPr>
                <w:rFonts w:eastAsia="楷体"/>
                <w:color w:val="auto"/>
                <w:kern w:val="0"/>
                <w:sz w:val="24"/>
                <w:highlight w:val="none"/>
                <w:vertAlign w:val="superscript"/>
                <w:lang w:bidi="ar"/>
              </w:rPr>
              <w:t>3</w:t>
            </w:r>
            <w:r>
              <w:rPr>
                <w:rFonts w:eastAsia="楷体"/>
                <w:color w:val="auto"/>
                <w:kern w:val="0"/>
                <w:sz w:val="24"/>
                <w:highlight w:val="none"/>
                <w:lang w:bidi="ar"/>
              </w:rPr>
              <w:t>/s）</w:t>
            </w:r>
          </w:p>
        </w:tc>
        <w:tc>
          <w:tcPr>
            <w:tcW w:w="1171" w:type="dxa"/>
            <w:noWrap w:val="0"/>
            <w:vAlign w:val="center"/>
          </w:tcPr>
          <w:p w14:paraId="3FCD573A">
            <w:pPr>
              <w:widowControl/>
              <w:jc w:val="center"/>
              <w:textAlignment w:val="center"/>
              <w:rPr>
                <w:rFonts w:eastAsia="楷体"/>
                <w:color w:val="auto"/>
                <w:sz w:val="24"/>
                <w:highlight w:val="none"/>
              </w:rPr>
            </w:pPr>
            <w:r>
              <w:rPr>
                <w:rFonts w:hint="eastAsia" w:eastAsia="楷体"/>
                <w:color w:val="auto"/>
                <w:kern w:val="0"/>
                <w:sz w:val="24"/>
                <w:highlight w:val="none"/>
                <w:lang w:bidi="ar"/>
              </w:rPr>
              <w:t>5</w:t>
            </w:r>
          </w:p>
        </w:tc>
        <w:tc>
          <w:tcPr>
            <w:tcW w:w="1293" w:type="dxa"/>
            <w:noWrap w:val="0"/>
            <w:vAlign w:val="center"/>
          </w:tcPr>
          <w:p w14:paraId="7505EB75">
            <w:pPr>
              <w:widowControl/>
              <w:jc w:val="center"/>
              <w:textAlignment w:val="center"/>
              <w:rPr>
                <w:rFonts w:eastAsia="楷体"/>
                <w:color w:val="auto"/>
                <w:sz w:val="24"/>
                <w:highlight w:val="none"/>
              </w:rPr>
            </w:pPr>
            <w:r>
              <w:rPr>
                <w:rFonts w:hint="eastAsia" w:eastAsia="楷体"/>
                <w:color w:val="auto"/>
                <w:kern w:val="0"/>
                <w:sz w:val="24"/>
                <w:highlight w:val="none"/>
                <w:lang w:bidi="ar"/>
              </w:rPr>
              <w:t>7</w:t>
            </w:r>
          </w:p>
        </w:tc>
        <w:tc>
          <w:tcPr>
            <w:tcW w:w="1293" w:type="dxa"/>
            <w:noWrap w:val="0"/>
            <w:vAlign w:val="center"/>
          </w:tcPr>
          <w:p w14:paraId="41563768">
            <w:pPr>
              <w:widowControl/>
              <w:jc w:val="center"/>
              <w:textAlignment w:val="center"/>
              <w:rPr>
                <w:rFonts w:eastAsia="楷体"/>
                <w:color w:val="auto"/>
                <w:sz w:val="24"/>
                <w:highlight w:val="none"/>
              </w:rPr>
            </w:pPr>
            <w:r>
              <w:rPr>
                <w:rFonts w:hint="eastAsia" w:eastAsia="楷体"/>
                <w:color w:val="auto"/>
                <w:kern w:val="0"/>
                <w:sz w:val="24"/>
                <w:highlight w:val="none"/>
                <w:lang w:bidi="ar"/>
              </w:rPr>
              <w:t>10</w:t>
            </w:r>
          </w:p>
        </w:tc>
        <w:tc>
          <w:tcPr>
            <w:tcW w:w="1293" w:type="dxa"/>
            <w:noWrap w:val="0"/>
            <w:vAlign w:val="center"/>
          </w:tcPr>
          <w:p w14:paraId="1169074B">
            <w:pPr>
              <w:widowControl/>
              <w:jc w:val="center"/>
              <w:textAlignment w:val="center"/>
              <w:rPr>
                <w:rFonts w:eastAsia="楷体"/>
                <w:color w:val="auto"/>
                <w:sz w:val="24"/>
                <w:highlight w:val="none"/>
              </w:rPr>
            </w:pPr>
            <w:r>
              <w:rPr>
                <w:rFonts w:hint="eastAsia" w:eastAsia="楷体"/>
                <w:color w:val="auto"/>
                <w:kern w:val="0"/>
                <w:sz w:val="24"/>
                <w:highlight w:val="none"/>
                <w:lang w:bidi="ar"/>
              </w:rPr>
              <w:t>15</w:t>
            </w:r>
          </w:p>
        </w:tc>
        <w:tc>
          <w:tcPr>
            <w:tcW w:w="1293" w:type="dxa"/>
            <w:noWrap w:val="0"/>
            <w:vAlign w:val="center"/>
          </w:tcPr>
          <w:p w14:paraId="3A2B651E">
            <w:pPr>
              <w:widowControl/>
              <w:jc w:val="center"/>
              <w:textAlignment w:val="center"/>
              <w:rPr>
                <w:rFonts w:eastAsia="楷体"/>
                <w:color w:val="auto"/>
                <w:sz w:val="24"/>
                <w:highlight w:val="none"/>
              </w:rPr>
            </w:pPr>
          </w:p>
        </w:tc>
      </w:tr>
    </w:tbl>
    <w:p w14:paraId="2C37CAB8">
      <w:pPr>
        <w:spacing w:line="520" w:lineRule="exact"/>
        <w:jc w:val="center"/>
        <w:rPr>
          <w:rFonts w:eastAsia="楷体"/>
          <w:b/>
          <w:bCs/>
          <w:color w:val="auto"/>
          <w:sz w:val="28"/>
          <w:szCs w:val="28"/>
          <w:highlight w:val="none"/>
        </w:rPr>
      </w:pPr>
      <w:r>
        <w:rPr>
          <w:color w:val="auto"/>
          <w:highlight w:val="none"/>
        </w:rPr>
        <w:pict>
          <v:shape id="图片 76" o:spid="_x0000_s2051" o:spt="75" type="#_x0000_t75" style="position:absolute;left:0pt;margin-left:0.25pt;margin-top:21.15pt;height:267.25pt;width:453.1pt;mso-wrap-distance-bottom:0pt;mso-wrap-distance-left:9pt;mso-wrap-distance-right:9pt;mso-wrap-distance-top:0pt;z-index:251660288;mso-width-relative:page;mso-height-relative:page;" filled="f" o:preferrelative="t" stroked="f" coordsize="21600,21600">
            <v:path/>
            <v:fill on="f" focussize="0,0"/>
            <v:stroke on="f"/>
            <v:imagedata r:id="rId75" o:title=""/>
            <o:lock v:ext="edit" grouping="f" rotation="f" text="f" aspectratio="t"/>
            <w10:wrap type="square"/>
          </v:shape>
        </w:pict>
      </w:r>
    </w:p>
    <w:p w14:paraId="1A672CE4">
      <w:pPr>
        <w:spacing w:line="520" w:lineRule="exact"/>
        <w:jc w:val="center"/>
        <w:rPr>
          <w:rFonts w:eastAsia="楷体"/>
          <w:b/>
          <w:bCs/>
          <w:color w:val="auto"/>
          <w:sz w:val="28"/>
          <w:szCs w:val="28"/>
          <w:highlight w:val="none"/>
        </w:rPr>
      </w:pPr>
      <w:bookmarkStart w:id="71" w:name="_Toc18348"/>
      <w:r>
        <w:rPr>
          <w:rFonts w:eastAsia="楷体"/>
          <w:b/>
          <w:bCs/>
          <w:color w:val="auto"/>
          <w:sz w:val="28"/>
          <w:szCs w:val="28"/>
          <w:highlight w:val="none"/>
        </w:rPr>
        <w:t>表4    四清水库调洪演算成果表（讯限水位</w:t>
      </w:r>
      <w:r>
        <w:rPr>
          <w:rFonts w:hint="eastAsia" w:eastAsia="楷体"/>
          <w:b/>
          <w:bCs/>
          <w:color w:val="auto"/>
          <w:sz w:val="28"/>
          <w:szCs w:val="28"/>
          <w:highlight w:val="none"/>
          <w:lang w:eastAsia="zh-CN"/>
        </w:rPr>
        <w:t>26.92</w:t>
      </w:r>
      <w:r>
        <w:rPr>
          <w:rFonts w:eastAsia="楷体"/>
          <w:b/>
          <w:bCs/>
          <w:color w:val="auto"/>
          <w:sz w:val="28"/>
          <w:szCs w:val="28"/>
          <w:highlight w:val="none"/>
        </w:rPr>
        <w:t>m）</w:t>
      </w:r>
      <w:bookmarkEnd w:id="71"/>
    </w:p>
    <w:tbl>
      <w:tblPr>
        <w:tblStyle w:val="17"/>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2107"/>
        <w:gridCol w:w="2046"/>
        <w:gridCol w:w="1778"/>
        <w:gridCol w:w="1585"/>
        <w:gridCol w:w="1585"/>
      </w:tblGrid>
      <w:tr w14:paraId="1D9E60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720" w:hRule="atLeast"/>
        </w:trPr>
        <w:tc>
          <w:tcPr>
            <w:tcW w:w="2107" w:type="dxa"/>
            <w:noWrap w:val="0"/>
            <w:vAlign w:val="center"/>
          </w:tcPr>
          <w:p w14:paraId="0958F1AB">
            <w:pPr>
              <w:widowControl/>
              <w:spacing w:line="440" w:lineRule="exact"/>
              <w:jc w:val="center"/>
              <w:textAlignment w:val="center"/>
              <w:rPr>
                <w:rFonts w:eastAsia="楷体"/>
                <w:b/>
                <w:color w:val="auto"/>
                <w:sz w:val="24"/>
                <w:highlight w:val="none"/>
              </w:rPr>
            </w:pPr>
            <w:bookmarkStart w:id="72" w:name="_Toc17772"/>
            <w:r>
              <w:rPr>
                <w:rFonts w:eastAsia="楷体"/>
                <w:b/>
                <w:color w:val="auto"/>
                <w:kern w:val="0"/>
                <w:sz w:val="24"/>
                <w:highlight w:val="none"/>
                <w:lang w:bidi="ar"/>
              </w:rPr>
              <w:t>设计频率</w:t>
            </w:r>
          </w:p>
        </w:tc>
        <w:tc>
          <w:tcPr>
            <w:tcW w:w="2046" w:type="dxa"/>
            <w:noWrap w:val="0"/>
            <w:vAlign w:val="center"/>
          </w:tcPr>
          <w:p w14:paraId="589AAEEB">
            <w:pPr>
              <w:widowControl/>
              <w:spacing w:line="440" w:lineRule="exact"/>
              <w:jc w:val="center"/>
              <w:textAlignment w:val="center"/>
              <w:rPr>
                <w:rFonts w:eastAsia="楷体"/>
                <w:b/>
                <w:color w:val="auto"/>
                <w:sz w:val="24"/>
                <w:highlight w:val="none"/>
              </w:rPr>
            </w:pPr>
            <w:r>
              <w:rPr>
                <w:rFonts w:eastAsia="楷体"/>
                <w:b/>
                <w:color w:val="auto"/>
                <w:kern w:val="0"/>
                <w:sz w:val="24"/>
                <w:highlight w:val="none"/>
                <w:lang w:bidi="ar"/>
              </w:rPr>
              <w:t>最大入库流量(m</w:t>
            </w:r>
            <w:r>
              <w:rPr>
                <w:rFonts w:eastAsia="楷体"/>
                <w:b/>
                <w:color w:val="auto"/>
                <w:kern w:val="0"/>
                <w:sz w:val="24"/>
                <w:highlight w:val="none"/>
                <w:vertAlign w:val="superscript"/>
                <w:lang w:bidi="ar"/>
              </w:rPr>
              <w:t>3</w:t>
            </w:r>
            <w:r>
              <w:rPr>
                <w:rFonts w:eastAsia="楷体"/>
                <w:b/>
                <w:color w:val="auto"/>
                <w:kern w:val="0"/>
                <w:sz w:val="24"/>
                <w:highlight w:val="none"/>
                <w:lang w:bidi="ar"/>
              </w:rPr>
              <w:t>/s)</w:t>
            </w:r>
          </w:p>
        </w:tc>
        <w:tc>
          <w:tcPr>
            <w:tcW w:w="1778" w:type="dxa"/>
            <w:noWrap w:val="0"/>
            <w:vAlign w:val="center"/>
          </w:tcPr>
          <w:p w14:paraId="2A322B73">
            <w:pPr>
              <w:widowControl/>
              <w:spacing w:line="440" w:lineRule="exact"/>
              <w:jc w:val="center"/>
              <w:textAlignment w:val="center"/>
              <w:rPr>
                <w:rFonts w:eastAsia="楷体"/>
                <w:b/>
                <w:color w:val="auto"/>
                <w:sz w:val="24"/>
                <w:highlight w:val="none"/>
              </w:rPr>
            </w:pPr>
            <w:r>
              <w:rPr>
                <w:rFonts w:eastAsia="楷体"/>
                <w:b/>
                <w:color w:val="auto"/>
                <w:kern w:val="0"/>
                <w:sz w:val="24"/>
                <w:highlight w:val="none"/>
                <w:lang w:bidi="ar"/>
              </w:rPr>
              <w:t>最大下泄流量(m</w:t>
            </w:r>
            <w:r>
              <w:rPr>
                <w:rFonts w:eastAsia="楷体"/>
                <w:b/>
                <w:color w:val="auto"/>
                <w:kern w:val="0"/>
                <w:sz w:val="24"/>
                <w:highlight w:val="none"/>
                <w:vertAlign w:val="superscript"/>
                <w:lang w:bidi="ar"/>
              </w:rPr>
              <w:t>3</w:t>
            </w:r>
            <w:r>
              <w:rPr>
                <w:rFonts w:eastAsia="楷体"/>
                <w:b/>
                <w:color w:val="auto"/>
                <w:kern w:val="0"/>
                <w:sz w:val="24"/>
                <w:highlight w:val="none"/>
                <w:lang w:bidi="ar"/>
              </w:rPr>
              <w:t>/s)</w:t>
            </w:r>
          </w:p>
        </w:tc>
        <w:tc>
          <w:tcPr>
            <w:tcW w:w="1585" w:type="dxa"/>
            <w:noWrap w:val="0"/>
            <w:vAlign w:val="center"/>
          </w:tcPr>
          <w:p w14:paraId="049A5CD5">
            <w:pPr>
              <w:widowControl/>
              <w:spacing w:line="440" w:lineRule="exact"/>
              <w:jc w:val="center"/>
              <w:textAlignment w:val="center"/>
              <w:rPr>
                <w:rFonts w:eastAsia="楷体"/>
                <w:b/>
                <w:color w:val="auto"/>
                <w:sz w:val="24"/>
                <w:highlight w:val="none"/>
              </w:rPr>
            </w:pPr>
            <w:r>
              <w:rPr>
                <w:rFonts w:eastAsia="楷体"/>
                <w:b/>
                <w:color w:val="auto"/>
                <w:kern w:val="0"/>
                <w:sz w:val="24"/>
                <w:highlight w:val="none"/>
                <w:lang w:bidi="ar"/>
              </w:rPr>
              <w:t>最高库水位（m）</w:t>
            </w:r>
          </w:p>
        </w:tc>
        <w:tc>
          <w:tcPr>
            <w:tcW w:w="1585" w:type="dxa"/>
            <w:noWrap w:val="0"/>
            <w:vAlign w:val="center"/>
          </w:tcPr>
          <w:p w14:paraId="4E098ABD">
            <w:pPr>
              <w:widowControl/>
              <w:spacing w:line="440" w:lineRule="exact"/>
              <w:jc w:val="center"/>
              <w:textAlignment w:val="center"/>
              <w:rPr>
                <w:rFonts w:eastAsia="楷体"/>
                <w:b/>
                <w:color w:val="auto"/>
                <w:kern w:val="0"/>
                <w:sz w:val="24"/>
                <w:highlight w:val="none"/>
                <w:lang w:bidi="ar"/>
              </w:rPr>
            </w:pPr>
            <w:r>
              <w:rPr>
                <w:rFonts w:eastAsia="楷体"/>
                <w:b/>
                <w:color w:val="auto"/>
                <w:kern w:val="0"/>
                <w:sz w:val="24"/>
                <w:highlight w:val="none"/>
                <w:lang w:bidi="ar"/>
              </w:rPr>
              <w:t>设计库容</w:t>
            </w:r>
          </w:p>
          <w:p w14:paraId="2E3EB9A2">
            <w:pPr>
              <w:widowControl/>
              <w:spacing w:line="440" w:lineRule="exact"/>
              <w:jc w:val="center"/>
              <w:textAlignment w:val="center"/>
              <w:rPr>
                <w:rFonts w:eastAsia="楷体"/>
                <w:b/>
                <w:color w:val="auto"/>
                <w:sz w:val="24"/>
                <w:highlight w:val="none"/>
              </w:rPr>
            </w:pPr>
            <w:r>
              <w:rPr>
                <w:rFonts w:eastAsia="楷体"/>
                <w:b/>
                <w:color w:val="auto"/>
                <w:kern w:val="0"/>
                <w:sz w:val="24"/>
                <w:highlight w:val="none"/>
                <w:lang w:bidi="ar"/>
              </w:rPr>
              <w:t>（万m</w:t>
            </w:r>
            <w:r>
              <w:rPr>
                <w:rFonts w:eastAsia="楷体"/>
                <w:b/>
                <w:color w:val="auto"/>
                <w:kern w:val="0"/>
                <w:sz w:val="24"/>
                <w:highlight w:val="none"/>
                <w:vertAlign w:val="superscript"/>
                <w:lang w:bidi="ar"/>
              </w:rPr>
              <w:t>3</w:t>
            </w:r>
            <w:r>
              <w:rPr>
                <w:rFonts w:eastAsia="楷体"/>
                <w:b/>
                <w:color w:val="auto"/>
                <w:kern w:val="0"/>
                <w:sz w:val="24"/>
                <w:highlight w:val="none"/>
                <w:lang w:bidi="ar"/>
              </w:rPr>
              <w:t>）</w:t>
            </w:r>
          </w:p>
        </w:tc>
      </w:tr>
      <w:tr w14:paraId="48FA62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2107" w:type="dxa"/>
            <w:noWrap w:val="0"/>
            <w:vAlign w:val="center"/>
          </w:tcPr>
          <w:p w14:paraId="0E5565F3">
            <w:pPr>
              <w:widowControl/>
              <w:spacing w:line="440" w:lineRule="exact"/>
              <w:jc w:val="center"/>
              <w:textAlignment w:val="center"/>
              <w:rPr>
                <w:rFonts w:eastAsia="楷体"/>
                <w:color w:val="auto"/>
                <w:sz w:val="24"/>
                <w:highlight w:val="none"/>
              </w:rPr>
            </w:pPr>
            <w:r>
              <w:rPr>
                <w:rFonts w:eastAsia="楷体"/>
                <w:color w:val="auto"/>
                <w:kern w:val="0"/>
                <w:sz w:val="24"/>
                <w:highlight w:val="none"/>
                <w:lang w:bidi="ar"/>
              </w:rPr>
              <w:t>P=</w:t>
            </w:r>
            <w:r>
              <w:rPr>
                <w:rFonts w:hint="eastAsia" w:eastAsia="楷体"/>
                <w:color w:val="auto"/>
                <w:kern w:val="0"/>
                <w:sz w:val="24"/>
                <w:highlight w:val="none"/>
                <w:lang w:val="en-US" w:eastAsia="zh-CN" w:bidi="ar"/>
              </w:rPr>
              <w:t>5</w:t>
            </w:r>
            <w:r>
              <w:rPr>
                <w:rFonts w:eastAsia="楷体"/>
                <w:color w:val="auto"/>
                <w:kern w:val="0"/>
                <w:sz w:val="24"/>
                <w:highlight w:val="none"/>
                <w:lang w:bidi="ar"/>
              </w:rPr>
              <w:t>%</w:t>
            </w:r>
          </w:p>
        </w:tc>
        <w:tc>
          <w:tcPr>
            <w:tcW w:w="2046" w:type="dxa"/>
            <w:noWrap w:val="0"/>
            <w:vAlign w:val="center"/>
          </w:tcPr>
          <w:p w14:paraId="3E813972">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bidi="ar"/>
              </w:rPr>
              <w:t>12.35</w:t>
            </w:r>
          </w:p>
        </w:tc>
        <w:tc>
          <w:tcPr>
            <w:tcW w:w="1778" w:type="dxa"/>
            <w:noWrap w:val="0"/>
            <w:vAlign w:val="center"/>
          </w:tcPr>
          <w:p w14:paraId="5F088765">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bidi="ar"/>
              </w:rPr>
              <w:t>5.84</w:t>
            </w:r>
          </w:p>
        </w:tc>
        <w:tc>
          <w:tcPr>
            <w:tcW w:w="1585" w:type="dxa"/>
            <w:noWrap w:val="0"/>
            <w:vAlign w:val="center"/>
          </w:tcPr>
          <w:p w14:paraId="4554BF56">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bidi="ar"/>
              </w:rPr>
              <w:t>28.56</w:t>
            </w:r>
          </w:p>
        </w:tc>
        <w:tc>
          <w:tcPr>
            <w:tcW w:w="1585" w:type="dxa"/>
            <w:noWrap w:val="0"/>
            <w:vAlign w:val="center"/>
          </w:tcPr>
          <w:p w14:paraId="744C247D">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bidi="ar"/>
              </w:rPr>
              <w:t>29.54</w:t>
            </w:r>
          </w:p>
        </w:tc>
      </w:tr>
      <w:tr w14:paraId="2DCC22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2107" w:type="dxa"/>
            <w:noWrap w:val="0"/>
            <w:vAlign w:val="center"/>
          </w:tcPr>
          <w:p w14:paraId="1B5B55BE">
            <w:pPr>
              <w:widowControl/>
              <w:spacing w:line="440" w:lineRule="exact"/>
              <w:jc w:val="center"/>
              <w:textAlignment w:val="center"/>
              <w:rPr>
                <w:rFonts w:eastAsia="楷体"/>
                <w:color w:val="auto"/>
                <w:sz w:val="24"/>
                <w:highlight w:val="none"/>
              </w:rPr>
            </w:pPr>
            <w:r>
              <w:rPr>
                <w:rFonts w:eastAsia="楷体"/>
                <w:color w:val="auto"/>
                <w:kern w:val="0"/>
                <w:sz w:val="24"/>
                <w:highlight w:val="none"/>
                <w:lang w:bidi="ar"/>
              </w:rPr>
              <w:t>P=0.</w:t>
            </w:r>
            <w:r>
              <w:rPr>
                <w:rFonts w:hint="eastAsia" w:eastAsia="楷体"/>
                <w:color w:val="auto"/>
                <w:kern w:val="0"/>
                <w:sz w:val="24"/>
                <w:highlight w:val="none"/>
                <w:lang w:val="en-US" w:eastAsia="zh-CN" w:bidi="ar"/>
              </w:rPr>
              <w:t>5</w:t>
            </w:r>
            <w:r>
              <w:rPr>
                <w:rFonts w:eastAsia="楷体"/>
                <w:color w:val="auto"/>
                <w:kern w:val="0"/>
                <w:sz w:val="24"/>
                <w:highlight w:val="none"/>
                <w:lang w:bidi="ar"/>
              </w:rPr>
              <w:t>%</w:t>
            </w:r>
          </w:p>
        </w:tc>
        <w:tc>
          <w:tcPr>
            <w:tcW w:w="2046" w:type="dxa"/>
            <w:noWrap w:val="0"/>
            <w:vAlign w:val="center"/>
          </w:tcPr>
          <w:p w14:paraId="1904CF45">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bidi="ar"/>
              </w:rPr>
              <w:t>20.64</w:t>
            </w:r>
          </w:p>
        </w:tc>
        <w:tc>
          <w:tcPr>
            <w:tcW w:w="1778" w:type="dxa"/>
            <w:noWrap w:val="0"/>
            <w:vAlign w:val="center"/>
          </w:tcPr>
          <w:p w14:paraId="65F4F9A3">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bidi="ar"/>
              </w:rPr>
              <w:t>10.61</w:t>
            </w:r>
          </w:p>
        </w:tc>
        <w:tc>
          <w:tcPr>
            <w:tcW w:w="1585" w:type="dxa"/>
            <w:noWrap w:val="0"/>
            <w:vAlign w:val="center"/>
          </w:tcPr>
          <w:p w14:paraId="7179FA33">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bidi="ar"/>
              </w:rPr>
              <w:t>28.81</w:t>
            </w:r>
          </w:p>
        </w:tc>
        <w:tc>
          <w:tcPr>
            <w:tcW w:w="1585" w:type="dxa"/>
            <w:noWrap w:val="0"/>
            <w:vAlign w:val="center"/>
          </w:tcPr>
          <w:p w14:paraId="108DA17A">
            <w:pPr>
              <w:widowControl/>
              <w:spacing w:line="440" w:lineRule="exact"/>
              <w:jc w:val="center"/>
              <w:textAlignment w:val="center"/>
              <w:rPr>
                <w:rFonts w:hint="default" w:eastAsia="楷体"/>
                <w:color w:val="auto"/>
                <w:sz w:val="24"/>
                <w:highlight w:val="none"/>
                <w:lang w:val="en-US" w:eastAsia="zh-CN"/>
              </w:rPr>
            </w:pPr>
            <w:r>
              <w:rPr>
                <w:rFonts w:hint="eastAsia" w:eastAsia="楷体"/>
                <w:color w:val="auto"/>
                <w:kern w:val="0"/>
                <w:sz w:val="24"/>
                <w:highlight w:val="none"/>
                <w:lang w:val="en-US" w:eastAsia="zh-CN" w:bidi="ar"/>
              </w:rPr>
              <w:t>30.87</w:t>
            </w:r>
          </w:p>
        </w:tc>
      </w:tr>
    </w:tbl>
    <w:p w14:paraId="69CBD0FF">
      <w:pPr>
        <w:jc w:val="center"/>
        <w:rPr>
          <w:rFonts w:eastAsia="楷体"/>
          <w:b/>
          <w:bCs/>
          <w:color w:val="auto"/>
          <w:sz w:val="28"/>
          <w:szCs w:val="28"/>
          <w:highlight w:val="none"/>
        </w:rPr>
      </w:pPr>
    </w:p>
    <w:p w14:paraId="78C9CF37">
      <w:pPr>
        <w:jc w:val="center"/>
        <w:rPr>
          <w:rFonts w:eastAsia="楷体"/>
          <w:b/>
          <w:bCs/>
          <w:color w:val="auto"/>
          <w:sz w:val="28"/>
          <w:szCs w:val="28"/>
          <w:highlight w:val="none"/>
        </w:rPr>
      </w:pPr>
    </w:p>
    <w:p w14:paraId="0773DA8B">
      <w:pPr>
        <w:jc w:val="center"/>
        <w:rPr>
          <w:rFonts w:eastAsia="楷体"/>
          <w:b/>
          <w:bCs/>
          <w:color w:val="auto"/>
          <w:sz w:val="28"/>
          <w:szCs w:val="28"/>
          <w:highlight w:val="none"/>
        </w:rPr>
      </w:pPr>
    </w:p>
    <w:p w14:paraId="4290927E">
      <w:pPr>
        <w:jc w:val="center"/>
        <w:rPr>
          <w:rFonts w:eastAsia="楷体"/>
          <w:b/>
          <w:bCs/>
          <w:color w:val="auto"/>
          <w:sz w:val="28"/>
          <w:szCs w:val="28"/>
          <w:highlight w:val="none"/>
        </w:rPr>
      </w:pPr>
    </w:p>
    <w:p w14:paraId="715BCF9F">
      <w:pPr>
        <w:jc w:val="center"/>
        <w:rPr>
          <w:rFonts w:eastAsia="楷体"/>
          <w:b/>
          <w:bCs/>
          <w:color w:val="auto"/>
          <w:sz w:val="28"/>
          <w:szCs w:val="28"/>
          <w:highlight w:val="none"/>
        </w:rPr>
      </w:pPr>
    </w:p>
    <w:p w14:paraId="5EF27694">
      <w:pPr>
        <w:jc w:val="center"/>
        <w:outlineLvl w:val="1"/>
        <w:rPr>
          <w:rFonts w:eastAsia="楷体"/>
          <w:b/>
          <w:bCs/>
          <w:color w:val="auto"/>
          <w:sz w:val="28"/>
          <w:szCs w:val="28"/>
          <w:highlight w:val="none"/>
        </w:rPr>
      </w:pPr>
      <w:r>
        <w:rPr>
          <w:rFonts w:eastAsia="楷体"/>
          <w:b/>
          <w:bCs/>
          <w:color w:val="auto"/>
          <w:sz w:val="28"/>
          <w:szCs w:val="28"/>
          <w:highlight w:val="none"/>
        </w:rPr>
        <w:t>表</w:t>
      </w:r>
      <w:r>
        <w:rPr>
          <w:rFonts w:hint="eastAsia" w:eastAsia="楷体"/>
          <w:b/>
          <w:bCs/>
          <w:color w:val="auto"/>
          <w:sz w:val="28"/>
          <w:szCs w:val="28"/>
          <w:highlight w:val="none"/>
        </w:rPr>
        <w:t>5</w:t>
      </w:r>
      <w:r>
        <w:rPr>
          <w:rFonts w:eastAsia="楷体"/>
          <w:b/>
          <w:bCs/>
          <w:color w:val="auto"/>
          <w:sz w:val="28"/>
          <w:szCs w:val="28"/>
          <w:highlight w:val="none"/>
        </w:rPr>
        <w:t xml:space="preserve">    四清水库防洪抢险领导小组成员名单</w:t>
      </w:r>
      <w:bookmarkEnd w:id="72"/>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6"/>
        <w:gridCol w:w="1507"/>
        <w:gridCol w:w="1909"/>
        <w:gridCol w:w="2869"/>
        <w:gridCol w:w="1858"/>
      </w:tblGrid>
      <w:tr w14:paraId="30356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1146" w:type="dxa"/>
            <w:noWrap w:val="0"/>
            <w:vAlign w:val="center"/>
          </w:tcPr>
          <w:p w14:paraId="7A2C3307">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序号</w:t>
            </w:r>
          </w:p>
        </w:tc>
        <w:tc>
          <w:tcPr>
            <w:tcW w:w="1507" w:type="dxa"/>
            <w:noWrap w:val="0"/>
            <w:vAlign w:val="center"/>
          </w:tcPr>
          <w:p w14:paraId="60505518">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单位</w:t>
            </w:r>
          </w:p>
        </w:tc>
        <w:tc>
          <w:tcPr>
            <w:tcW w:w="1909" w:type="dxa"/>
            <w:noWrap w:val="0"/>
            <w:vAlign w:val="center"/>
          </w:tcPr>
          <w:p w14:paraId="03CE9BEE">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防汛责任人</w:t>
            </w:r>
          </w:p>
        </w:tc>
        <w:tc>
          <w:tcPr>
            <w:tcW w:w="2869" w:type="dxa"/>
            <w:noWrap w:val="0"/>
            <w:vAlign w:val="center"/>
          </w:tcPr>
          <w:p w14:paraId="35085F72">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职务</w:t>
            </w:r>
          </w:p>
        </w:tc>
        <w:tc>
          <w:tcPr>
            <w:tcW w:w="1858" w:type="dxa"/>
            <w:noWrap w:val="0"/>
            <w:vAlign w:val="center"/>
          </w:tcPr>
          <w:p w14:paraId="7885008A">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联系电话</w:t>
            </w:r>
          </w:p>
        </w:tc>
      </w:tr>
      <w:tr w14:paraId="22842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52055A24">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1</w:t>
            </w:r>
          </w:p>
        </w:tc>
        <w:tc>
          <w:tcPr>
            <w:tcW w:w="1507" w:type="dxa"/>
            <w:noWrap w:val="0"/>
            <w:vAlign w:val="center"/>
          </w:tcPr>
          <w:p w14:paraId="736E3DA4">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前黄镇</w:t>
            </w:r>
          </w:p>
        </w:tc>
        <w:tc>
          <w:tcPr>
            <w:tcW w:w="1909" w:type="dxa"/>
            <w:noWrap w:val="0"/>
            <w:vAlign w:val="center"/>
          </w:tcPr>
          <w:p w14:paraId="66C891B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郭小国</w:t>
            </w:r>
          </w:p>
        </w:tc>
        <w:tc>
          <w:tcPr>
            <w:tcW w:w="2869" w:type="dxa"/>
            <w:noWrap w:val="0"/>
            <w:vAlign w:val="center"/>
          </w:tcPr>
          <w:p w14:paraId="3A3C07DC">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镇党委副书记、政法委员</w:t>
            </w:r>
          </w:p>
        </w:tc>
        <w:tc>
          <w:tcPr>
            <w:tcW w:w="1858" w:type="dxa"/>
            <w:noWrap w:val="0"/>
            <w:vAlign w:val="center"/>
          </w:tcPr>
          <w:p w14:paraId="011DE219">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87966506</w:t>
            </w:r>
          </w:p>
        </w:tc>
      </w:tr>
      <w:tr w14:paraId="7CF77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599CC341">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2</w:t>
            </w:r>
          </w:p>
        </w:tc>
        <w:tc>
          <w:tcPr>
            <w:tcW w:w="1507" w:type="dxa"/>
            <w:noWrap w:val="0"/>
            <w:vAlign w:val="center"/>
          </w:tcPr>
          <w:p w14:paraId="5B93D022">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前黄镇</w:t>
            </w:r>
          </w:p>
        </w:tc>
        <w:tc>
          <w:tcPr>
            <w:tcW w:w="1909" w:type="dxa"/>
            <w:noWrap w:val="0"/>
            <w:vAlign w:val="center"/>
          </w:tcPr>
          <w:p w14:paraId="4E4530D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吴谋冻</w:t>
            </w:r>
          </w:p>
        </w:tc>
        <w:tc>
          <w:tcPr>
            <w:tcW w:w="2869" w:type="dxa"/>
            <w:noWrap w:val="0"/>
            <w:vAlign w:val="center"/>
          </w:tcPr>
          <w:p w14:paraId="69A7758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楷体" w:cs="Times New Roman"/>
                <w:color w:val="auto"/>
                <w:sz w:val="24"/>
                <w:szCs w:val="24"/>
                <w:highlight w:val="none"/>
              </w:rPr>
            </w:pPr>
            <w:r>
              <w:rPr>
                <w:rFonts w:hint="eastAsia" w:eastAsia="楷体" w:cs="Times New Roman"/>
                <w:i w:val="0"/>
                <w:color w:val="auto"/>
                <w:kern w:val="0"/>
                <w:sz w:val="24"/>
                <w:szCs w:val="24"/>
                <w:highlight w:val="none"/>
                <w:u w:val="none"/>
                <w:lang w:val="en-US" w:eastAsia="zh-CN" w:bidi="ar"/>
              </w:rPr>
              <w:t>镇党委委员、人武部部长、副镇长</w:t>
            </w:r>
          </w:p>
        </w:tc>
        <w:tc>
          <w:tcPr>
            <w:tcW w:w="1858" w:type="dxa"/>
            <w:noWrap w:val="0"/>
            <w:vAlign w:val="center"/>
          </w:tcPr>
          <w:p w14:paraId="744B5F05">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87966218</w:t>
            </w:r>
          </w:p>
        </w:tc>
      </w:tr>
      <w:tr w14:paraId="59CFF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1AF63270">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3</w:t>
            </w:r>
          </w:p>
        </w:tc>
        <w:tc>
          <w:tcPr>
            <w:tcW w:w="1507" w:type="dxa"/>
            <w:noWrap w:val="0"/>
            <w:vAlign w:val="center"/>
          </w:tcPr>
          <w:p w14:paraId="4EB5D9A3">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前黄镇</w:t>
            </w:r>
          </w:p>
        </w:tc>
        <w:tc>
          <w:tcPr>
            <w:tcW w:w="1909" w:type="dxa"/>
            <w:noWrap w:val="0"/>
            <w:vAlign w:val="center"/>
          </w:tcPr>
          <w:p w14:paraId="213B9CF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highlight w:val="none"/>
              </w:rPr>
            </w:pPr>
            <w:r>
              <w:rPr>
                <w:rFonts w:hint="eastAsia" w:eastAsia="楷体" w:cs="Times New Roman"/>
                <w:i w:val="0"/>
                <w:color w:val="auto"/>
                <w:kern w:val="0"/>
                <w:sz w:val="24"/>
                <w:szCs w:val="24"/>
                <w:highlight w:val="none"/>
                <w:u w:val="none"/>
                <w:lang w:val="en-US" w:eastAsia="zh-CN" w:bidi="ar"/>
              </w:rPr>
              <w:t>林小波</w:t>
            </w:r>
          </w:p>
        </w:tc>
        <w:tc>
          <w:tcPr>
            <w:tcW w:w="2869" w:type="dxa"/>
            <w:noWrap w:val="0"/>
            <w:vAlign w:val="center"/>
          </w:tcPr>
          <w:p w14:paraId="0E206DF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i w:val="0"/>
                <w:color w:val="auto"/>
                <w:kern w:val="0"/>
                <w:sz w:val="24"/>
                <w:szCs w:val="24"/>
                <w:highlight w:val="none"/>
                <w:u w:val="none"/>
                <w:lang w:val="en-US" w:eastAsia="zh-CN" w:bidi="ar"/>
              </w:rPr>
              <w:t>镇党委二级主任科员</w:t>
            </w:r>
          </w:p>
        </w:tc>
        <w:tc>
          <w:tcPr>
            <w:tcW w:w="1858" w:type="dxa"/>
            <w:noWrap w:val="0"/>
            <w:vAlign w:val="center"/>
          </w:tcPr>
          <w:p w14:paraId="78DA5CCE">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87966580</w:t>
            </w:r>
          </w:p>
        </w:tc>
      </w:tr>
      <w:tr w14:paraId="3F585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5B24767A">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color w:val="auto"/>
                <w:sz w:val="24"/>
                <w:szCs w:val="24"/>
                <w:highlight w:val="none"/>
                <w:lang w:val="en-US" w:eastAsia="zh-CN"/>
              </w:rPr>
            </w:pPr>
            <w:r>
              <w:rPr>
                <w:rFonts w:hint="eastAsia" w:eastAsia="楷体" w:cs="Times New Roman"/>
                <w:color w:val="auto"/>
                <w:sz w:val="24"/>
                <w:szCs w:val="24"/>
                <w:highlight w:val="none"/>
                <w:lang w:val="en-US" w:eastAsia="zh-CN"/>
              </w:rPr>
              <w:t>4</w:t>
            </w:r>
          </w:p>
        </w:tc>
        <w:tc>
          <w:tcPr>
            <w:tcW w:w="1507" w:type="dxa"/>
            <w:noWrap w:val="0"/>
            <w:vAlign w:val="center"/>
          </w:tcPr>
          <w:p w14:paraId="579B8DC7">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lang w:eastAsia="zh-CN"/>
              </w:rPr>
              <w:t>前黄镇</w:t>
            </w:r>
          </w:p>
        </w:tc>
        <w:tc>
          <w:tcPr>
            <w:tcW w:w="1909" w:type="dxa"/>
            <w:noWrap w:val="0"/>
            <w:vAlign w:val="center"/>
          </w:tcPr>
          <w:p w14:paraId="503839C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庄小强</w:t>
            </w:r>
          </w:p>
        </w:tc>
        <w:tc>
          <w:tcPr>
            <w:tcW w:w="2869" w:type="dxa"/>
            <w:noWrap w:val="0"/>
            <w:vAlign w:val="center"/>
          </w:tcPr>
          <w:p w14:paraId="213BF6D2">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highlight w:val="none"/>
              </w:rPr>
            </w:pPr>
            <w:r>
              <w:rPr>
                <w:rFonts w:hint="eastAsia" w:eastAsia="楷体" w:cs="Times New Roman"/>
                <w:i w:val="0"/>
                <w:color w:val="auto"/>
                <w:kern w:val="0"/>
                <w:sz w:val="24"/>
                <w:szCs w:val="24"/>
                <w:highlight w:val="none"/>
                <w:u w:val="none"/>
                <w:lang w:val="en-US" w:eastAsia="zh-CN" w:bidi="ar"/>
              </w:rPr>
              <w:t>镇副镇长</w:t>
            </w:r>
          </w:p>
        </w:tc>
        <w:tc>
          <w:tcPr>
            <w:tcW w:w="1858" w:type="dxa"/>
            <w:noWrap w:val="0"/>
            <w:vAlign w:val="center"/>
          </w:tcPr>
          <w:p w14:paraId="34AE27D8">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87966183</w:t>
            </w:r>
          </w:p>
        </w:tc>
      </w:tr>
      <w:tr w14:paraId="3A224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6" w:type="dxa"/>
            <w:noWrap w:val="0"/>
            <w:vAlign w:val="center"/>
          </w:tcPr>
          <w:p w14:paraId="7F453D6E">
            <w:pPr>
              <w:keepNext w:val="0"/>
              <w:keepLines w:val="0"/>
              <w:pageBreakBefore w:val="0"/>
              <w:kinsoku/>
              <w:wordWrap/>
              <w:overflowPunct/>
              <w:topLinePunct w:val="0"/>
              <w:autoSpaceDE/>
              <w:autoSpaceDN/>
              <w:bidi w:val="0"/>
              <w:adjustRightInd/>
              <w:snapToGrid/>
              <w:spacing w:line="440" w:lineRule="exact"/>
              <w:ind w:firstLine="480" w:firstLineChars="200"/>
              <w:jc w:val="both"/>
              <w:rPr>
                <w:rFonts w:hint="default" w:ascii="Times New Roman" w:hAnsi="Times New Roman" w:eastAsia="楷体" w:cs="Times New Roman"/>
                <w:color w:val="auto"/>
                <w:sz w:val="24"/>
                <w:szCs w:val="24"/>
                <w:highlight w:val="none"/>
                <w:lang w:val="en-US" w:eastAsia="zh-CN"/>
              </w:rPr>
            </w:pPr>
            <w:r>
              <w:rPr>
                <w:rFonts w:hint="eastAsia" w:eastAsia="楷体" w:cs="Times New Roman"/>
                <w:color w:val="auto"/>
                <w:sz w:val="24"/>
                <w:szCs w:val="24"/>
                <w:highlight w:val="none"/>
                <w:lang w:val="en-US" w:eastAsia="zh-CN"/>
              </w:rPr>
              <w:t>5</w:t>
            </w:r>
          </w:p>
        </w:tc>
        <w:tc>
          <w:tcPr>
            <w:tcW w:w="1507" w:type="dxa"/>
            <w:noWrap w:val="0"/>
            <w:vAlign w:val="center"/>
          </w:tcPr>
          <w:p w14:paraId="2E559A84">
            <w:pPr>
              <w:keepNext w:val="0"/>
              <w:keepLines w:val="0"/>
              <w:pageBreakBefore w:val="0"/>
              <w:kinsoku/>
              <w:wordWrap/>
              <w:overflowPunct/>
              <w:topLinePunct w:val="0"/>
              <w:autoSpaceDE/>
              <w:autoSpaceDN/>
              <w:bidi w:val="0"/>
              <w:adjustRightInd/>
              <w:snapToGrid/>
              <w:spacing w:line="440" w:lineRule="exact"/>
              <w:ind w:left="0" w:leftChars="0" w:firstLine="240" w:firstLineChars="100"/>
              <w:jc w:val="both"/>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前黄镇</w:t>
            </w:r>
          </w:p>
        </w:tc>
        <w:tc>
          <w:tcPr>
            <w:tcW w:w="1909" w:type="dxa"/>
            <w:noWrap w:val="0"/>
            <w:vAlign w:val="center"/>
          </w:tcPr>
          <w:p w14:paraId="4A4FE94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center"/>
              <w:rPr>
                <w:rFonts w:hint="default"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sz w:val="24"/>
                <w:szCs w:val="24"/>
                <w:highlight w:val="none"/>
                <w:lang w:eastAsia="zh-CN"/>
              </w:rPr>
              <w:t>钟凤平</w:t>
            </w:r>
          </w:p>
        </w:tc>
        <w:tc>
          <w:tcPr>
            <w:tcW w:w="2869" w:type="dxa"/>
            <w:noWrap w:val="0"/>
            <w:vAlign w:val="center"/>
          </w:tcPr>
          <w:p w14:paraId="7407159C">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楷体" w:cs="Times New Roman"/>
                <w:i w:val="0"/>
                <w:color w:val="auto"/>
                <w:kern w:val="0"/>
                <w:sz w:val="24"/>
                <w:szCs w:val="24"/>
                <w:highlight w:val="none"/>
                <w:u w:val="none"/>
                <w:lang w:val="en-US" w:eastAsia="zh-CN" w:bidi="ar"/>
              </w:rPr>
            </w:pPr>
            <w:r>
              <w:rPr>
                <w:rFonts w:hint="eastAsia" w:eastAsia="楷体" w:cs="Times New Roman"/>
                <w:i w:val="0"/>
                <w:color w:val="auto"/>
                <w:kern w:val="0"/>
                <w:sz w:val="24"/>
                <w:szCs w:val="24"/>
                <w:highlight w:val="none"/>
                <w:u w:val="none"/>
                <w:lang w:val="en-US" w:eastAsia="zh-CN" w:bidi="ar"/>
              </w:rPr>
              <w:t>前黄镇社会服务中心主任</w:t>
            </w:r>
          </w:p>
        </w:tc>
        <w:tc>
          <w:tcPr>
            <w:tcW w:w="1858" w:type="dxa"/>
            <w:noWrap w:val="0"/>
            <w:vAlign w:val="center"/>
          </w:tcPr>
          <w:p w14:paraId="53543005">
            <w:pPr>
              <w:wordWrap/>
              <w:adjustRightInd/>
              <w:snapToGrid/>
              <w:spacing w:before="0" w:beforeAutospacing="0" w:after="0" w:afterAutospacing="0" w:line="440" w:lineRule="exact"/>
              <w:ind w:left="0" w:leftChars="0" w:right="0" w:rightChars="0"/>
              <w:jc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87966086</w:t>
            </w:r>
          </w:p>
        </w:tc>
      </w:tr>
    </w:tbl>
    <w:p w14:paraId="54B4977D">
      <w:pPr>
        <w:shd w:val="clear" w:color="auto" w:fill="FFFFFF"/>
        <w:rPr>
          <w:rFonts w:eastAsia="楷体"/>
          <w:color w:val="auto"/>
          <w:sz w:val="32"/>
          <w:szCs w:val="32"/>
          <w:highlight w:val="none"/>
        </w:rPr>
      </w:pPr>
    </w:p>
    <w:p w14:paraId="1AB978AA">
      <w:pPr>
        <w:shd w:val="clear" w:color="auto" w:fill="FFFFFF"/>
        <w:rPr>
          <w:rFonts w:eastAsia="楷体"/>
          <w:color w:val="auto"/>
          <w:sz w:val="32"/>
          <w:szCs w:val="32"/>
          <w:highlight w:val="none"/>
        </w:rPr>
      </w:pPr>
    </w:p>
    <w:p w14:paraId="1D3A8DF0">
      <w:pPr>
        <w:jc w:val="center"/>
        <w:outlineLvl w:val="1"/>
        <w:rPr>
          <w:rFonts w:eastAsia="楷体"/>
          <w:b/>
          <w:bCs/>
          <w:color w:val="auto"/>
          <w:sz w:val="28"/>
          <w:szCs w:val="28"/>
          <w:highlight w:val="none"/>
        </w:rPr>
      </w:pPr>
      <w:bookmarkStart w:id="73" w:name="_Toc10959"/>
      <w:r>
        <w:rPr>
          <w:rFonts w:eastAsia="楷体"/>
          <w:b/>
          <w:bCs/>
          <w:color w:val="auto"/>
          <w:sz w:val="28"/>
          <w:szCs w:val="28"/>
          <w:highlight w:val="none"/>
        </w:rPr>
        <w:t>表</w:t>
      </w:r>
      <w:r>
        <w:rPr>
          <w:rFonts w:hint="eastAsia" w:eastAsia="楷体"/>
          <w:b/>
          <w:bCs/>
          <w:color w:val="auto"/>
          <w:sz w:val="28"/>
          <w:szCs w:val="28"/>
          <w:highlight w:val="none"/>
          <w:lang w:val="en-US" w:eastAsia="zh-CN"/>
        </w:rPr>
        <w:t>6</w:t>
      </w:r>
      <w:r>
        <w:rPr>
          <w:rFonts w:eastAsia="楷体"/>
          <w:b/>
          <w:bCs/>
          <w:color w:val="auto"/>
          <w:sz w:val="28"/>
          <w:szCs w:val="28"/>
          <w:highlight w:val="none"/>
        </w:rPr>
        <w:t xml:space="preserve">    四清水库防汛抗洪抢险救灾应急小组成员名单</w:t>
      </w:r>
      <w:bookmarkEnd w:id="73"/>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5"/>
        <w:gridCol w:w="2170"/>
        <w:gridCol w:w="2076"/>
        <w:gridCol w:w="1013"/>
        <w:gridCol w:w="1481"/>
        <w:gridCol w:w="1823"/>
      </w:tblGrid>
      <w:tr w14:paraId="3084A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atLeast"/>
        </w:trPr>
        <w:tc>
          <w:tcPr>
            <w:tcW w:w="855" w:type="dxa"/>
            <w:noWrap w:val="0"/>
            <w:vAlign w:val="center"/>
          </w:tcPr>
          <w:p w14:paraId="33E3EABB">
            <w:pPr>
              <w:jc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sz w:val="24"/>
                <w:highlight w:val="none"/>
              </w:rPr>
              <w:t>序号</w:t>
            </w:r>
          </w:p>
        </w:tc>
        <w:tc>
          <w:tcPr>
            <w:tcW w:w="2170" w:type="dxa"/>
            <w:noWrap w:val="0"/>
            <w:vAlign w:val="center"/>
          </w:tcPr>
          <w:p w14:paraId="57D4E54D">
            <w:pPr>
              <w:jc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sz w:val="24"/>
                <w:highlight w:val="none"/>
              </w:rPr>
              <w:t>名称</w:t>
            </w:r>
          </w:p>
        </w:tc>
        <w:tc>
          <w:tcPr>
            <w:tcW w:w="2076" w:type="dxa"/>
            <w:noWrap w:val="0"/>
            <w:vAlign w:val="center"/>
          </w:tcPr>
          <w:p w14:paraId="5E032C96">
            <w:pPr>
              <w:jc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sz w:val="24"/>
                <w:highlight w:val="none"/>
              </w:rPr>
              <w:t>组成单位</w:t>
            </w:r>
          </w:p>
        </w:tc>
        <w:tc>
          <w:tcPr>
            <w:tcW w:w="1013" w:type="dxa"/>
            <w:noWrap w:val="0"/>
            <w:vAlign w:val="center"/>
          </w:tcPr>
          <w:p w14:paraId="5260590C">
            <w:pPr>
              <w:jc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sz w:val="24"/>
                <w:highlight w:val="none"/>
              </w:rPr>
              <w:t>人数</w:t>
            </w:r>
          </w:p>
        </w:tc>
        <w:tc>
          <w:tcPr>
            <w:tcW w:w="1481" w:type="dxa"/>
            <w:noWrap w:val="0"/>
            <w:vAlign w:val="center"/>
          </w:tcPr>
          <w:p w14:paraId="0CFA6877">
            <w:pPr>
              <w:jc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sz w:val="24"/>
                <w:highlight w:val="none"/>
              </w:rPr>
              <w:t>联系人</w:t>
            </w:r>
          </w:p>
        </w:tc>
        <w:tc>
          <w:tcPr>
            <w:tcW w:w="1823" w:type="dxa"/>
            <w:noWrap w:val="0"/>
            <w:vAlign w:val="center"/>
          </w:tcPr>
          <w:p w14:paraId="5A2D7834">
            <w:pPr>
              <w:jc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sz w:val="24"/>
                <w:highlight w:val="none"/>
              </w:rPr>
              <w:t>联系电话</w:t>
            </w:r>
          </w:p>
        </w:tc>
      </w:tr>
      <w:tr w14:paraId="6FDF8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855" w:type="dxa"/>
            <w:noWrap w:val="0"/>
            <w:vAlign w:val="center"/>
          </w:tcPr>
          <w:p w14:paraId="0096870E">
            <w:pPr>
              <w:jc w:val="center"/>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1</w:t>
            </w:r>
          </w:p>
        </w:tc>
        <w:tc>
          <w:tcPr>
            <w:tcW w:w="2170" w:type="dxa"/>
            <w:noWrap w:val="0"/>
            <w:vAlign w:val="center"/>
          </w:tcPr>
          <w:p w14:paraId="7E4922C5">
            <w:pPr>
              <w:jc w:val="center"/>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eastAsia="zh-CN"/>
              </w:rPr>
              <w:t>前黄镇机关抢险应急队伍</w:t>
            </w:r>
          </w:p>
        </w:tc>
        <w:tc>
          <w:tcPr>
            <w:tcW w:w="2076" w:type="dxa"/>
            <w:noWrap w:val="0"/>
            <w:vAlign w:val="center"/>
          </w:tcPr>
          <w:p w14:paraId="776225DD">
            <w:pPr>
              <w:jc w:val="center"/>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eastAsia="zh-CN"/>
              </w:rPr>
              <w:t>镇机关和</w:t>
            </w:r>
            <w:r>
              <w:rPr>
                <w:rFonts w:hint="eastAsia" w:ascii="楷体" w:hAnsi="楷体" w:eastAsia="楷体" w:cs="楷体"/>
                <w:color w:val="auto"/>
                <w:sz w:val="24"/>
                <w:highlight w:val="none"/>
                <w:lang w:val="en-US" w:eastAsia="zh-CN"/>
              </w:rPr>
              <w:t>13个行政村</w:t>
            </w:r>
          </w:p>
        </w:tc>
        <w:tc>
          <w:tcPr>
            <w:tcW w:w="1013" w:type="dxa"/>
            <w:noWrap w:val="0"/>
            <w:vAlign w:val="center"/>
          </w:tcPr>
          <w:p w14:paraId="69B65F69">
            <w:pPr>
              <w:jc w:val="center"/>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200</w:t>
            </w:r>
          </w:p>
        </w:tc>
        <w:tc>
          <w:tcPr>
            <w:tcW w:w="1481" w:type="dxa"/>
            <w:noWrap w:val="0"/>
            <w:vAlign w:val="center"/>
          </w:tcPr>
          <w:p w14:paraId="07E5C859">
            <w:pPr>
              <w:jc w:val="center"/>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eastAsia="zh-CN"/>
              </w:rPr>
              <w:t>吴谋冻</w:t>
            </w:r>
          </w:p>
        </w:tc>
        <w:tc>
          <w:tcPr>
            <w:tcW w:w="1823" w:type="dxa"/>
            <w:noWrap w:val="0"/>
            <w:vAlign w:val="center"/>
          </w:tcPr>
          <w:p w14:paraId="44BAE50C">
            <w:pPr>
              <w:jc w:val="center"/>
              <w:rPr>
                <w:rFonts w:hint="eastAsia" w:ascii="楷体" w:hAnsi="楷体" w:eastAsia="楷体" w:cs="楷体"/>
                <w:color w:val="auto"/>
                <w:highlight w:val="none"/>
                <w:lang w:val="en-US" w:eastAsia="zh-CN"/>
              </w:rPr>
            </w:pPr>
            <w:r>
              <w:rPr>
                <w:rFonts w:hint="default" w:ascii="Times New Roman" w:hAnsi="Times New Roman" w:eastAsia="楷体" w:cs="Times New Roman"/>
                <w:color w:val="auto"/>
                <w:sz w:val="24"/>
                <w:szCs w:val="24"/>
                <w:highlight w:val="none"/>
                <w:lang w:val="en-US" w:eastAsia="zh-CN"/>
              </w:rPr>
              <w:t>87966218</w:t>
            </w:r>
          </w:p>
        </w:tc>
      </w:tr>
    </w:tbl>
    <w:p w14:paraId="53EC61B4">
      <w:pPr>
        <w:shd w:val="clear" w:color="auto" w:fill="FFFFFF"/>
        <w:spacing w:line="420" w:lineRule="exact"/>
        <w:jc w:val="center"/>
        <w:rPr>
          <w:rFonts w:eastAsia="楷体"/>
          <w:color w:val="auto"/>
          <w:sz w:val="28"/>
          <w:szCs w:val="28"/>
          <w:highlight w:val="none"/>
        </w:rPr>
      </w:pPr>
    </w:p>
    <w:p w14:paraId="7995530B">
      <w:pPr>
        <w:shd w:val="clear" w:color="auto" w:fill="FFFFFF"/>
        <w:ind w:firstLine="640" w:firstLineChars="200"/>
        <w:rPr>
          <w:rFonts w:eastAsia="楷体"/>
          <w:color w:val="auto"/>
          <w:sz w:val="32"/>
          <w:szCs w:val="32"/>
          <w:highlight w:val="none"/>
        </w:rPr>
      </w:pPr>
    </w:p>
    <w:p w14:paraId="474AB174">
      <w:pPr>
        <w:shd w:val="clear" w:color="auto" w:fill="FFFFFF"/>
        <w:ind w:firstLine="640" w:firstLineChars="200"/>
        <w:rPr>
          <w:rFonts w:eastAsia="楷体"/>
          <w:color w:val="auto"/>
          <w:sz w:val="32"/>
          <w:szCs w:val="32"/>
          <w:highlight w:val="none"/>
        </w:rPr>
      </w:pPr>
    </w:p>
    <w:p w14:paraId="790C4E8A">
      <w:pPr>
        <w:shd w:val="clear" w:color="auto" w:fill="FFFFFF"/>
        <w:ind w:firstLine="640" w:firstLineChars="200"/>
        <w:rPr>
          <w:rFonts w:eastAsia="楷体"/>
          <w:color w:val="auto"/>
          <w:sz w:val="32"/>
          <w:szCs w:val="32"/>
          <w:highlight w:val="none"/>
        </w:rPr>
      </w:pPr>
    </w:p>
    <w:p w14:paraId="6695609A">
      <w:pPr>
        <w:shd w:val="clear" w:color="auto" w:fill="FFFFFF"/>
        <w:tabs>
          <w:tab w:val="left" w:pos="840"/>
        </w:tabs>
        <w:spacing w:line="460" w:lineRule="exact"/>
        <w:rPr>
          <w:rFonts w:eastAsia="楷体"/>
          <w:b/>
          <w:color w:val="auto"/>
          <w:spacing w:val="-10"/>
          <w:sz w:val="32"/>
          <w:szCs w:val="32"/>
          <w:highlight w:val="none"/>
        </w:rPr>
      </w:pPr>
    </w:p>
    <w:p w14:paraId="0E00311B">
      <w:pPr>
        <w:shd w:val="clear" w:color="auto" w:fill="FFFFFF"/>
        <w:tabs>
          <w:tab w:val="left" w:pos="840"/>
        </w:tabs>
        <w:spacing w:line="460" w:lineRule="exact"/>
        <w:rPr>
          <w:rFonts w:eastAsia="楷体"/>
          <w:b/>
          <w:color w:val="auto"/>
          <w:spacing w:val="-10"/>
          <w:sz w:val="32"/>
          <w:szCs w:val="32"/>
          <w:highlight w:val="none"/>
        </w:rPr>
      </w:pPr>
    </w:p>
    <w:p w14:paraId="1217EC38">
      <w:pPr>
        <w:rPr>
          <w:rFonts w:eastAsia="楷体"/>
          <w:color w:val="auto"/>
          <w:sz w:val="32"/>
          <w:highlight w:val="none"/>
        </w:rPr>
      </w:pPr>
    </w:p>
    <w:p w14:paraId="0F8839D3">
      <w:pPr>
        <w:spacing w:line="520" w:lineRule="exact"/>
        <w:ind w:firstLine="560" w:firstLineChars="200"/>
        <w:rPr>
          <w:rFonts w:eastAsia="楷体"/>
          <w:bCs/>
          <w:color w:val="auto"/>
          <w:sz w:val="28"/>
          <w:szCs w:val="28"/>
          <w:highlight w:val="none"/>
        </w:rPr>
      </w:pPr>
    </w:p>
    <w:p w14:paraId="55718C40">
      <w:pPr>
        <w:spacing w:line="520" w:lineRule="exact"/>
        <w:ind w:firstLine="560" w:firstLineChars="200"/>
        <w:rPr>
          <w:rFonts w:eastAsia="楷体"/>
          <w:bCs/>
          <w:color w:val="auto"/>
          <w:sz w:val="28"/>
          <w:szCs w:val="28"/>
          <w:highlight w:val="none"/>
        </w:rPr>
      </w:pPr>
    </w:p>
    <w:p w14:paraId="66CA756A">
      <w:pPr>
        <w:spacing w:line="520" w:lineRule="exact"/>
        <w:ind w:firstLine="560" w:firstLineChars="200"/>
        <w:rPr>
          <w:rFonts w:eastAsia="楷体"/>
          <w:bCs/>
          <w:color w:val="auto"/>
          <w:sz w:val="28"/>
          <w:szCs w:val="28"/>
          <w:highlight w:val="none"/>
        </w:rPr>
      </w:pPr>
    </w:p>
    <w:p w14:paraId="4740A95A">
      <w:pPr>
        <w:spacing w:line="520" w:lineRule="exact"/>
        <w:ind w:firstLine="560" w:firstLineChars="200"/>
        <w:rPr>
          <w:rFonts w:eastAsia="楷体"/>
          <w:bCs/>
          <w:color w:val="auto"/>
          <w:sz w:val="28"/>
          <w:szCs w:val="28"/>
          <w:highlight w:val="none"/>
        </w:rPr>
      </w:pPr>
    </w:p>
    <w:p w14:paraId="68DC37CE">
      <w:pPr>
        <w:spacing w:line="520" w:lineRule="exact"/>
        <w:ind w:firstLine="560" w:firstLineChars="200"/>
        <w:rPr>
          <w:rFonts w:eastAsia="楷体"/>
          <w:bCs/>
          <w:color w:val="auto"/>
          <w:sz w:val="28"/>
          <w:szCs w:val="28"/>
          <w:highlight w:val="none"/>
        </w:rPr>
      </w:pPr>
    </w:p>
    <w:p w14:paraId="09276F61">
      <w:pPr>
        <w:spacing w:line="520" w:lineRule="exact"/>
        <w:ind w:firstLine="560" w:firstLineChars="200"/>
        <w:rPr>
          <w:rFonts w:eastAsia="楷体"/>
          <w:bCs/>
          <w:color w:val="auto"/>
          <w:sz w:val="28"/>
          <w:szCs w:val="28"/>
          <w:highlight w:val="none"/>
        </w:rPr>
      </w:pPr>
    </w:p>
    <w:p w14:paraId="66A830C2">
      <w:pPr>
        <w:pStyle w:val="2"/>
        <w:rPr>
          <w:rFonts w:eastAsia="楷体"/>
          <w:bCs/>
          <w:color w:val="auto"/>
          <w:sz w:val="28"/>
          <w:szCs w:val="28"/>
          <w:highlight w:val="none"/>
        </w:rPr>
      </w:pPr>
    </w:p>
    <w:p w14:paraId="53F5F391">
      <w:pPr>
        <w:rPr>
          <w:rFonts w:eastAsia="楷体"/>
          <w:bCs/>
          <w:color w:val="auto"/>
          <w:sz w:val="28"/>
          <w:szCs w:val="28"/>
          <w:highlight w:val="none"/>
        </w:rPr>
      </w:pPr>
    </w:p>
    <w:p w14:paraId="419AEB40">
      <w:pPr>
        <w:pStyle w:val="2"/>
        <w:rPr>
          <w:rFonts w:eastAsia="楷体"/>
          <w:bCs/>
          <w:color w:val="auto"/>
          <w:sz w:val="28"/>
          <w:szCs w:val="28"/>
          <w:highlight w:val="none"/>
        </w:rPr>
      </w:pPr>
    </w:p>
    <w:p w14:paraId="76827F86">
      <w:pPr>
        <w:rPr>
          <w:rFonts w:eastAsia="楷体"/>
          <w:bCs/>
          <w:color w:val="auto"/>
          <w:sz w:val="28"/>
          <w:szCs w:val="28"/>
          <w:highlight w:val="none"/>
        </w:rPr>
      </w:pPr>
    </w:p>
    <w:p w14:paraId="4268ACD2">
      <w:pPr>
        <w:pStyle w:val="2"/>
        <w:rPr>
          <w:rFonts w:eastAsia="楷体"/>
          <w:bCs/>
          <w:color w:val="auto"/>
          <w:sz w:val="28"/>
          <w:szCs w:val="28"/>
          <w:highlight w:val="none"/>
        </w:rPr>
      </w:pPr>
    </w:p>
    <w:p w14:paraId="6161C71D">
      <w:pPr>
        <w:rPr>
          <w:rFonts w:eastAsia="楷体"/>
          <w:bCs/>
          <w:color w:val="auto"/>
          <w:sz w:val="28"/>
          <w:szCs w:val="28"/>
          <w:highlight w:val="none"/>
        </w:rPr>
      </w:pPr>
    </w:p>
    <w:p w14:paraId="094DF0A2">
      <w:pPr>
        <w:bidi w:val="0"/>
        <w:rPr>
          <w:rFonts w:ascii="Times New Roman" w:hAnsi="Times New Roman" w:eastAsia="宋体" w:cs="Times New Roman"/>
          <w:kern w:val="2"/>
          <w:sz w:val="21"/>
          <w:szCs w:val="24"/>
          <w:lang w:val="en-US" w:eastAsia="zh-CN" w:bidi="ar-SA"/>
        </w:rPr>
      </w:pPr>
    </w:p>
    <w:p w14:paraId="0D139F27">
      <w:pPr>
        <w:bidi w:val="0"/>
        <w:rPr>
          <w:lang w:val="en-US" w:eastAsia="zh-CN"/>
        </w:rPr>
      </w:pPr>
    </w:p>
    <w:p w14:paraId="4A4EE8C0">
      <w:pPr>
        <w:bidi w:val="0"/>
        <w:rPr>
          <w:lang w:val="en-US" w:eastAsia="zh-CN"/>
        </w:rPr>
      </w:pPr>
    </w:p>
    <w:p w14:paraId="22C19413">
      <w:pPr>
        <w:bidi w:val="0"/>
        <w:rPr>
          <w:lang w:val="en-US" w:eastAsia="zh-CN"/>
        </w:rPr>
      </w:pPr>
    </w:p>
    <w:p w14:paraId="0C355EC6">
      <w:pPr>
        <w:bidi w:val="0"/>
        <w:rPr>
          <w:lang w:val="en-US" w:eastAsia="zh-CN"/>
        </w:rPr>
      </w:pPr>
    </w:p>
    <w:p w14:paraId="30A97F44">
      <w:pPr>
        <w:bidi w:val="0"/>
        <w:rPr>
          <w:lang w:val="en-US" w:eastAsia="zh-CN"/>
        </w:rPr>
      </w:pPr>
    </w:p>
    <w:p w14:paraId="35C8FD32">
      <w:pPr>
        <w:bidi w:val="0"/>
        <w:rPr>
          <w:lang w:val="en-US" w:eastAsia="zh-CN"/>
        </w:rPr>
      </w:pPr>
    </w:p>
    <w:p w14:paraId="5362989E">
      <w:pPr>
        <w:bidi w:val="0"/>
        <w:rPr>
          <w:lang w:val="en-US" w:eastAsia="zh-CN"/>
        </w:rPr>
      </w:pPr>
    </w:p>
    <w:p w14:paraId="2A773811">
      <w:pPr>
        <w:bidi w:val="0"/>
        <w:rPr>
          <w:lang w:val="en-US" w:eastAsia="zh-CN"/>
        </w:rPr>
      </w:pPr>
    </w:p>
    <w:p w14:paraId="6A131E14">
      <w:pPr>
        <w:bidi w:val="0"/>
        <w:rPr>
          <w:lang w:val="en-US" w:eastAsia="zh-CN"/>
        </w:rPr>
      </w:pPr>
    </w:p>
    <w:p w14:paraId="43693F2D">
      <w:pPr>
        <w:bidi w:val="0"/>
        <w:rPr>
          <w:lang w:val="en-US" w:eastAsia="zh-CN"/>
        </w:rPr>
      </w:pPr>
    </w:p>
    <w:p w14:paraId="5F89B5E4">
      <w:pPr>
        <w:bidi w:val="0"/>
        <w:rPr>
          <w:lang w:val="en-US" w:eastAsia="zh-CN"/>
        </w:rPr>
      </w:pPr>
    </w:p>
    <w:p w14:paraId="2EA57378">
      <w:pPr>
        <w:bidi w:val="0"/>
        <w:rPr>
          <w:lang w:val="en-US" w:eastAsia="zh-CN"/>
        </w:rPr>
      </w:pPr>
    </w:p>
    <w:p w14:paraId="53F447F8">
      <w:pPr>
        <w:bidi w:val="0"/>
        <w:rPr>
          <w:lang w:val="en-US" w:eastAsia="zh-CN"/>
        </w:rPr>
      </w:pPr>
    </w:p>
    <w:p w14:paraId="0AD89779">
      <w:pPr>
        <w:bidi w:val="0"/>
        <w:rPr>
          <w:lang w:val="en-US" w:eastAsia="zh-CN"/>
        </w:rPr>
      </w:pPr>
    </w:p>
    <w:p w14:paraId="7C5A918D">
      <w:pPr>
        <w:bidi w:val="0"/>
        <w:rPr>
          <w:lang w:val="en-US" w:eastAsia="zh-CN"/>
        </w:rPr>
      </w:pPr>
    </w:p>
    <w:p w14:paraId="3EEA1C12">
      <w:pPr>
        <w:bidi w:val="0"/>
        <w:rPr>
          <w:lang w:val="en-US" w:eastAsia="zh-CN"/>
        </w:rPr>
      </w:pPr>
    </w:p>
    <w:p w14:paraId="0495DD1F">
      <w:pPr>
        <w:bidi w:val="0"/>
        <w:rPr>
          <w:lang w:val="en-US" w:eastAsia="zh-CN"/>
        </w:rPr>
      </w:pPr>
    </w:p>
    <w:p w14:paraId="13DB456C">
      <w:pPr>
        <w:bidi w:val="0"/>
        <w:rPr>
          <w:lang w:val="en-US" w:eastAsia="zh-CN"/>
        </w:rPr>
      </w:pPr>
    </w:p>
    <w:p w14:paraId="2D815C4B">
      <w:pPr>
        <w:tabs>
          <w:tab w:val="left" w:pos="3246"/>
        </w:tabs>
        <w:bidi w:val="0"/>
        <w:jc w:val="left"/>
        <w:rPr>
          <w:lang w:val="en-US" w:eastAsia="zh-CN"/>
        </w:rPr>
      </w:pPr>
    </w:p>
    <w:tbl>
      <w:tblPr>
        <w:tblStyle w:val="17"/>
        <w:tblpPr w:leftFromText="180" w:rightFromText="180" w:vertAnchor="text" w:horzAnchor="page" w:tblpX="1615" w:tblpY="1443"/>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31DA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0" w:type="dxa"/>
            <w:tcBorders>
              <w:left w:val="nil"/>
              <w:right w:val="nil"/>
            </w:tcBorders>
            <w:noWrap w:val="0"/>
            <w:vAlign w:val="top"/>
          </w:tcPr>
          <w:p w14:paraId="3BA6DE86">
            <w:pPr>
              <w:spacing w:line="560" w:lineRule="exact"/>
              <w:ind w:right="105" w:rightChars="50" w:firstLine="280" w:firstLineChars="100"/>
              <w:rPr>
                <w:rFonts w:hint="eastAsia" w:ascii="仿宋_GB2312" w:hAnsi="仿宋" w:eastAsia="仿宋_GB2312" w:cs="华文中宋"/>
                <w:color w:val="auto"/>
                <w:sz w:val="28"/>
                <w:szCs w:val="28"/>
              </w:rPr>
            </w:pPr>
            <w:r>
              <w:rPr>
                <w:rFonts w:hint="eastAsia" w:ascii="仿宋_GB2312" w:hAnsi="仿宋" w:eastAsia="仿宋_GB2312" w:cs="华文中宋"/>
                <w:color w:val="auto"/>
                <w:sz w:val="28"/>
                <w:szCs w:val="28"/>
                <w:lang w:val="en-US" w:eastAsia="zh-CN"/>
              </w:rPr>
              <w:t>抄送：区农业农村和水务局，相关工作片片长。</w:t>
            </w:r>
          </w:p>
        </w:tc>
      </w:tr>
      <w:tr w14:paraId="3F3A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0" w:type="dxa"/>
            <w:tcBorders>
              <w:left w:val="nil"/>
              <w:right w:val="nil"/>
            </w:tcBorders>
            <w:noWrap w:val="0"/>
            <w:vAlign w:val="top"/>
          </w:tcPr>
          <w:p w14:paraId="7407D882">
            <w:pPr>
              <w:spacing w:line="560" w:lineRule="exact"/>
              <w:ind w:right="105" w:rightChars="50" w:firstLine="280" w:firstLineChars="100"/>
              <w:rPr>
                <w:rFonts w:hint="eastAsia" w:ascii="仿宋_GB2312" w:hAnsi="仿宋" w:eastAsia="仿宋_GB2312" w:cs="华文中宋"/>
                <w:color w:val="auto"/>
                <w:sz w:val="28"/>
                <w:szCs w:val="28"/>
                <w:lang w:val="en-US" w:eastAsia="zh-CN"/>
              </w:rPr>
            </w:pPr>
            <w:r>
              <w:rPr>
                <w:rFonts w:hint="eastAsia" w:ascii="仿宋_GB2312" w:hAnsi="仿宋" w:eastAsia="仿宋_GB2312" w:cs="华文中宋"/>
                <w:color w:val="auto"/>
                <w:sz w:val="28"/>
                <w:szCs w:val="28"/>
                <w:lang w:val="en-US" w:eastAsia="zh-CN"/>
              </w:rPr>
              <w:t>前黄镇</w:t>
            </w:r>
            <w:r>
              <w:rPr>
                <w:rFonts w:hint="eastAsia" w:ascii="仿宋_GB2312" w:hAnsi="仿宋" w:eastAsia="仿宋_GB2312" w:cs="华文中宋"/>
                <w:color w:val="auto"/>
                <w:sz w:val="28"/>
                <w:szCs w:val="28"/>
              </w:rPr>
              <w:t>党政</w:t>
            </w:r>
            <w:r>
              <w:rPr>
                <w:rFonts w:hint="eastAsia" w:ascii="仿宋_GB2312" w:hAnsi="仿宋" w:eastAsia="仿宋_GB2312" w:cs="华文中宋"/>
                <w:color w:val="auto"/>
                <w:sz w:val="28"/>
                <w:szCs w:val="28"/>
                <w:lang w:eastAsia="zh-CN"/>
              </w:rPr>
              <w:t>综合</w:t>
            </w:r>
            <w:r>
              <w:rPr>
                <w:rFonts w:hint="eastAsia" w:ascii="仿宋_GB2312" w:hAnsi="仿宋" w:eastAsia="仿宋_GB2312" w:cs="华文中宋"/>
                <w:color w:val="auto"/>
                <w:sz w:val="28"/>
                <w:szCs w:val="28"/>
              </w:rPr>
              <w:t>办</w:t>
            </w:r>
            <w:r>
              <w:rPr>
                <w:rFonts w:hint="eastAsia" w:ascii="仿宋_GB2312" w:hAnsi="仿宋" w:eastAsia="仿宋_GB2312" w:cs="华文中宋"/>
                <w:color w:val="auto"/>
                <w:sz w:val="28"/>
                <w:szCs w:val="28"/>
                <w:lang w:eastAsia="zh-CN"/>
              </w:rPr>
              <w:t>公室</w:t>
            </w:r>
            <w:r>
              <w:rPr>
                <w:rFonts w:hint="eastAsia" w:ascii="仿宋_GB2312" w:hAnsi="仿宋" w:eastAsia="仿宋_GB2312" w:cs="华文中宋"/>
                <w:color w:val="auto"/>
                <w:sz w:val="28"/>
                <w:szCs w:val="28"/>
              </w:rPr>
              <w:t xml:space="preserve">          </w:t>
            </w:r>
            <w:r>
              <w:rPr>
                <w:rFonts w:hint="eastAsia" w:ascii="仿宋_GB2312" w:hAnsi="仿宋" w:eastAsia="仿宋_GB2312" w:cs="华文中宋"/>
                <w:color w:val="auto"/>
                <w:sz w:val="28"/>
                <w:szCs w:val="28"/>
                <w:lang w:val="en-US" w:eastAsia="zh-CN"/>
              </w:rPr>
              <w:t xml:space="preserve">  </w:t>
            </w:r>
            <w:r>
              <w:rPr>
                <w:rFonts w:hint="eastAsia" w:ascii="仿宋_GB2312" w:hAnsi="仿宋" w:eastAsia="仿宋_GB2312" w:cs="华文中宋"/>
                <w:color w:val="auto"/>
                <w:sz w:val="28"/>
                <w:szCs w:val="28"/>
              </w:rPr>
              <w:t xml:space="preserve">   </w:t>
            </w:r>
            <w:r>
              <w:rPr>
                <w:rFonts w:hint="eastAsia" w:ascii="仿宋_GB2312" w:hAnsi="仿宋" w:eastAsia="仿宋_GB2312" w:cs="华文中宋"/>
                <w:color w:val="auto"/>
                <w:sz w:val="28"/>
                <w:szCs w:val="28"/>
                <w:lang w:val="en-US" w:eastAsia="zh-CN"/>
              </w:rPr>
              <w:t xml:space="preserve">  </w:t>
            </w:r>
            <w:r>
              <w:rPr>
                <w:rFonts w:hint="eastAsia" w:ascii="仿宋_GB2312" w:hAnsi="仿宋" w:eastAsia="仿宋_GB2312" w:cs="华文中宋"/>
                <w:color w:val="auto"/>
                <w:sz w:val="28"/>
                <w:szCs w:val="28"/>
              </w:rPr>
              <w:t xml:space="preserve">   202</w:t>
            </w:r>
            <w:r>
              <w:rPr>
                <w:rFonts w:hint="eastAsia" w:ascii="仿宋_GB2312" w:hAnsi="仿宋" w:eastAsia="仿宋_GB2312" w:cs="华文中宋"/>
                <w:color w:val="auto"/>
                <w:sz w:val="28"/>
                <w:szCs w:val="28"/>
                <w:lang w:val="en-US" w:eastAsia="zh-CN"/>
              </w:rPr>
              <w:t>4</w:t>
            </w:r>
            <w:r>
              <w:rPr>
                <w:rFonts w:hint="eastAsia" w:ascii="仿宋_GB2312" w:hAnsi="仿宋" w:eastAsia="仿宋_GB2312" w:cs="华文中宋"/>
                <w:color w:val="auto"/>
                <w:sz w:val="28"/>
                <w:szCs w:val="28"/>
              </w:rPr>
              <w:t>年</w:t>
            </w:r>
            <w:r>
              <w:rPr>
                <w:rFonts w:hint="eastAsia" w:ascii="仿宋_GB2312" w:hAnsi="仿宋" w:eastAsia="仿宋_GB2312" w:cs="华文中宋"/>
                <w:color w:val="auto"/>
                <w:sz w:val="28"/>
                <w:szCs w:val="28"/>
                <w:lang w:val="en-US" w:eastAsia="zh-CN"/>
              </w:rPr>
              <w:t>4</w:t>
            </w:r>
            <w:r>
              <w:rPr>
                <w:rFonts w:hint="eastAsia" w:ascii="仿宋_GB2312" w:hAnsi="仿宋" w:eastAsia="仿宋_GB2312" w:cs="华文中宋"/>
                <w:color w:val="auto"/>
                <w:sz w:val="28"/>
                <w:szCs w:val="28"/>
              </w:rPr>
              <w:t>月</w:t>
            </w:r>
            <w:r>
              <w:rPr>
                <w:rFonts w:hint="eastAsia" w:ascii="仿宋_GB2312" w:hAnsi="仿宋" w:eastAsia="仿宋_GB2312" w:cs="华文中宋"/>
                <w:color w:val="auto"/>
                <w:sz w:val="28"/>
                <w:szCs w:val="28"/>
                <w:lang w:val="en-US" w:eastAsia="zh-CN"/>
              </w:rPr>
              <w:t>10</w:t>
            </w:r>
            <w:r>
              <w:rPr>
                <w:rFonts w:hint="eastAsia" w:ascii="仿宋_GB2312" w:hAnsi="仿宋" w:eastAsia="仿宋_GB2312" w:cs="华文中宋"/>
                <w:color w:val="auto"/>
                <w:sz w:val="28"/>
                <w:szCs w:val="28"/>
              </w:rPr>
              <w:t>日印发</w:t>
            </w:r>
          </w:p>
        </w:tc>
      </w:tr>
    </w:tbl>
    <w:p w14:paraId="5C6A1330">
      <w:pPr>
        <w:pStyle w:val="2"/>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altName w:val="宋体"/>
    <w:panose1 w:val="00000000000000000000"/>
    <w:charset w:val="86"/>
    <w:family w:val="auto"/>
    <w:pitch w:val="default"/>
    <w:sig w:usb0="00000000" w:usb1="00000000" w:usb2="00000010" w:usb3="00000000" w:csb0="00040000" w:csb1="00000000"/>
  </w:font>
  <w:font w:name="o?">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379A1">
    <w:pPr>
      <w:pStyle w:val="11"/>
      <w:rPr>
        <w:rStyle w:val="19"/>
      </w:rPr>
    </w:pPr>
    <w:r>
      <w:rPr>
        <w:sz w:val="18"/>
      </w:rP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75382DC">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p w14:paraId="2FFE000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9617E">
    <w:pPr>
      <w:pStyle w:val="11"/>
      <w:framePr w:wrap="around" w:vAnchor="text" w:hAnchor="margin" w:xAlign="center" w:y="1"/>
      <w:rPr>
        <w:rStyle w:val="19"/>
      </w:rPr>
    </w:pPr>
    <w:r>
      <w:fldChar w:fldCharType="begin"/>
    </w:r>
    <w:r>
      <w:rPr>
        <w:rStyle w:val="19"/>
      </w:rPr>
      <w:instrText xml:space="preserve">PAGE  </w:instrText>
    </w:r>
    <w:r>
      <w:fldChar w:fldCharType="separate"/>
    </w:r>
    <w:r>
      <w:fldChar w:fldCharType="end"/>
    </w:r>
  </w:p>
  <w:p w14:paraId="7454CAD1">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A2B7">
    <w:pPr>
      <w:pStyle w:val="11"/>
    </w:pPr>
    <w:r>
      <w:rPr>
        <w:sz w:val="18"/>
      </w:rPr>
      <w:pict>
        <v:shape id="_x0000_s4099" o:spid="_x0000_s409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02B2BEC">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B3C81">
    <w:pPr>
      <w:pStyle w:val="11"/>
    </w:pPr>
    <w:r>
      <w:rPr>
        <w:rFonts w:ascii="Times New Roman" w:hAnsi="Times New Roman" w:eastAsia="宋体" w:cs="Times New Roman"/>
        <w:kern w:val="2"/>
        <w:sz w:val="18"/>
        <w:szCs w:val="18"/>
        <w:lang w:val="en-US" w:eastAsia="zh-CN" w:bidi="ar-SA"/>
      </w:rP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F39E5A6">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6E9D9">
    <w:pPr>
      <w:pStyle w:val="11"/>
      <w:ind w:firstLine="360"/>
    </w:pPr>
    <w:r>
      <w:rPr>
        <w:sz w:val="18"/>
      </w:rPr>
      <w:pict>
        <v:shape id="_x0000_s4100"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434D5E2F">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74C27">
    <w:pPr>
      <w:pStyle w:val="11"/>
      <w:ind w:right="360" w:firstLine="360"/>
      <w:rPr>
        <w:rStyle w:val="19"/>
        <w:rFonts w:hint="eastAsia"/>
      </w:rPr>
    </w:pPr>
    <w:r>
      <w:pict>
        <v:shape id="文本框 4" o:spid="_x0000_s410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DA9C0EF">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p>
            </w:txbxContent>
          </v:textbox>
        </v:shape>
      </w:pict>
    </w:r>
  </w:p>
  <w:p w14:paraId="3FA5FC21">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10EE9">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52019"/>
    <w:multiLevelType w:val="singleLevel"/>
    <w:tmpl w:val="58C52019"/>
    <w:lvl w:ilvl="0" w:tentative="0">
      <w:start w:val="1"/>
      <w:numFmt w:val="decimal"/>
      <w:suff w:val="nothing"/>
      <w:lvlText w:val="%1、"/>
      <w:lvlJc w:val="left"/>
    </w:lvl>
  </w:abstractNum>
  <w:abstractNum w:abstractNumId="1">
    <w:nsid w:val="58C574CD"/>
    <w:multiLevelType w:val="singleLevel"/>
    <w:tmpl w:val="58C574CD"/>
    <w:lvl w:ilvl="0" w:tentative="0">
      <w:start w:val="1"/>
      <w:numFmt w:val="decimal"/>
      <w:suff w:val="nothing"/>
      <w:lvlText w:val="%1、"/>
      <w:lvlJc w:val="left"/>
    </w:lvl>
  </w:abstractNum>
  <w:abstractNum w:abstractNumId="2">
    <w:nsid w:val="58C57F7A"/>
    <w:multiLevelType w:val="singleLevel"/>
    <w:tmpl w:val="58C57F7A"/>
    <w:lvl w:ilvl="0" w:tentative="0">
      <w:start w:val="1"/>
      <w:numFmt w:val="decimal"/>
      <w:suff w:val="nothing"/>
      <w:lvlText w:val="%1）"/>
      <w:lvlJc w:val="left"/>
    </w:lvl>
  </w:abstractNum>
  <w:abstractNum w:abstractNumId="3">
    <w:nsid w:val="58C589AA"/>
    <w:multiLevelType w:val="singleLevel"/>
    <w:tmpl w:val="58C589AA"/>
    <w:lvl w:ilvl="0" w:tentative="0">
      <w:start w:val="3"/>
      <w:numFmt w:val="decimal"/>
      <w:suff w:val="nothing"/>
      <w:lvlText w:val="%1、"/>
      <w:lvlJc w:val="left"/>
    </w:lvl>
  </w:abstractNum>
  <w:abstractNum w:abstractNumId="4">
    <w:nsid w:val="58C58D27"/>
    <w:multiLevelType w:val="singleLevel"/>
    <w:tmpl w:val="58C58D27"/>
    <w:lvl w:ilvl="0" w:tentative="0">
      <w:start w:val="1"/>
      <w:numFmt w:val="decimal"/>
      <w:suff w:val="nothing"/>
      <w:lvlText w:val="%1）"/>
      <w:lvlJc w:val="left"/>
    </w:lvl>
  </w:abstractNum>
  <w:abstractNum w:abstractNumId="5">
    <w:nsid w:val="58C5BA32"/>
    <w:multiLevelType w:val="singleLevel"/>
    <w:tmpl w:val="58C5BA32"/>
    <w:lvl w:ilvl="0" w:tentative="0">
      <w:start w:val="1"/>
      <w:numFmt w:val="chineseCounting"/>
      <w:suff w:val="nothing"/>
      <w:lvlText w:val="（%1）"/>
      <w:lvlJc w:val="left"/>
    </w:lvl>
  </w:abstractNum>
  <w:abstractNum w:abstractNumId="6">
    <w:nsid w:val="58D6D257"/>
    <w:multiLevelType w:val="singleLevel"/>
    <w:tmpl w:val="58D6D257"/>
    <w:lvl w:ilvl="0" w:tentative="0">
      <w:start w:val="1"/>
      <w:numFmt w:val="decimal"/>
      <w:suff w:val="nothing"/>
      <w:lvlText w:val="（%1）"/>
      <w:lvlJc w:val="left"/>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M2N2Y5OWNjYWQxMTVlZWE1MjI3NTE2NzM5ZjE1N2MifQ=="/>
    <w:docVar w:name="KSO_WPS_MARK_KEY" w:val="81424cb3-18af-441e-9b74-7c2a9fb0193e"/>
  </w:docVars>
  <w:rsids>
    <w:rsidRoot w:val="00000000"/>
    <w:rsid w:val="06C50818"/>
    <w:rsid w:val="1008004D"/>
    <w:rsid w:val="12511E91"/>
    <w:rsid w:val="12F614EB"/>
    <w:rsid w:val="15B87321"/>
    <w:rsid w:val="1B923BB5"/>
    <w:rsid w:val="1FC50F0A"/>
    <w:rsid w:val="282F1F95"/>
    <w:rsid w:val="2CD50181"/>
    <w:rsid w:val="2F080BC5"/>
    <w:rsid w:val="31A55B49"/>
    <w:rsid w:val="36E60C3A"/>
    <w:rsid w:val="400D362B"/>
    <w:rsid w:val="44280574"/>
    <w:rsid w:val="453E2E6B"/>
    <w:rsid w:val="46134F5F"/>
    <w:rsid w:val="5A7B0C8A"/>
    <w:rsid w:val="5C86454D"/>
    <w:rsid w:val="5E5F39CB"/>
    <w:rsid w:val="67C04473"/>
    <w:rsid w:val="69007490"/>
    <w:rsid w:val="6C6F1AEB"/>
    <w:rsid w:val="6D036792"/>
    <w:rsid w:val="6FC90017"/>
    <w:rsid w:val="7ADC70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next w:val="1"/>
    <w:autoRedefine/>
    <w:semiHidden/>
    <w:qFormat/>
    <w:uiPriority w:val="0"/>
    <w:rPr>
      <w:sz w:val="18"/>
      <w:szCs w:val="18"/>
    </w:rPr>
  </w:style>
  <w:style w:type="paragraph" w:styleId="6">
    <w:name w:val="Document Map"/>
    <w:basedOn w:val="1"/>
    <w:autoRedefine/>
    <w:semiHidden/>
    <w:qFormat/>
    <w:uiPriority w:val="0"/>
    <w:pPr>
      <w:shd w:val="clear" w:color="auto" w:fill="000080"/>
    </w:pPr>
  </w:style>
  <w:style w:type="paragraph" w:styleId="7">
    <w:name w:val="annotation text"/>
    <w:basedOn w:val="1"/>
    <w:link w:val="30"/>
    <w:autoRedefine/>
    <w:qFormat/>
    <w:uiPriority w:val="0"/>
    <w:pPr>
      <w:jc w:val="left"/>
    </w:pPr>
  </w:style>
  <w:style w:type="paragraph" w:styleId="8">
    <w:name w:val="Body Text"/>
    <w:basedOn w:val="1"/>
    <w:link w:val="34"/>
    <w:autoRedefine/>
    <w:qFormat/>
    <w:uiPriority w:val="0"/>
    <w:pPr>
      <w:spacing w:after="120"/>
    </w:pPr>
  </w:style>
  <w:style w:type="paragraph" w:styleId="9">
    <w:name w:val="Date"/>
    <w:basedOn w:val="1"/>
    <w:next w:val="1"/>
    <w:autoRedefine/>
    <w:qFormat/>
    <w:uiPriority w:val="0"/>
    <w:pPr>
      <w:ind w:left="100" w:leftChars="2500"/>
    </w:pPr>
  </w:style>
  <w:style w:type="paragraph" w:styleId="10">
    <w:name w:val="Body Text Indent 2"/>
    <w:basedOn w:val="1"/>
    <w:link w:val="33"/>
    <w:autoRedefine/>
    <w:qFormat/>
    <w:uiPriority w:val="0"/>
    <w:pPr>
      <w:tabs>
        <w:tab w:val="left" w:pos="0"/>
      </w:tabs>
      <w:ind w:firstLine="555"/>
    </w:pPr>
    <w:rPr>
      <w:rFonts w:hint="eastAsia" w:ascii="仿宋_GB2312" w:eastAsia="仿宋_GB2312"/>
      <w:sz w:val="30"/>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right" w:leader="dot" w:pos="8296"/>
      </w:tabs>
    </w:pPr>
    <w:rPr>
      <w:rFonts w:ascii="仿宋_GB2312" w:eastAsia="仿宋_GB2312"/>
      <w:b/>
      <w:sz w:val="28"/>
      <w:szCs w:val="28"/>
    </w:rPr>
  </w:style>
  <w:style w:type="paragraph" w:styleId="14">
    <w:name w:val="toc 2"/>
    <w:basedOn w:val="1"/>
    <w:next w:val="1"/>
    <w:qFormat/>
    <w:uiPriority w:val="39"/>
    <w:pPr>
      <w:ind w:left="420" w:leftChars="200"/>
    </w:pPr>
  </w:style>
  <w:style w:type="paragraph" w:styleId="15">
    <w:name w:val="Normal (Web)"/>
    <w:basedOn w:val="1"/>
    <w:qFormat/>
    <w:uiPriority w:val="0"/>
    <w:rPr>
      <w:sz w:val="24"/>
    </w:rPr>
  </w:style>
  <w:style w:type="paragraph" w:styleId="16">
    <w:name w:val="annotation subject"/>
    <w:basedOn w:val="7"/>
    <w:next w:val="7"/>
    <w:link w:val="41"/>
    <w:autoRedefine/>
    <w:qFormat/>
    <w:uiPriority w:val="0"/>
    <w:rPr>
      <w:b/>
      <w:bCs/>
    </w:rPr>
  </w:style>
  <w:style w:type="character" w:styleId="19">
    <w:name w:val="page number"/>
    <w:basedOn w:val="18"/>
    <w:autoRedefine/>
    <w:qFormat/>
    <w:uiPriority w:val="0"/>
  </w:style>
  <w:style w:type="character" w:styleId="20">
    <w:name w:val="Hyperlink"/>
    <w:autoRedefine/>
    <w:qFormat/>
    <w:uiPriority w:val="99"/>
    <w:rPr>
      <w:color w:val="0000FF"/>
      <w:u w:val="single"/>
    </w:rPr>
  </w:style>
  <w:style w:type="character" w:styleId="21">
    <w:name w:val="annotation reference"/>
    <w:autoRedefine/>
    <w:qFormat/>
    <w:uiPriority w:val="0"/>
    <w:rPr>
      <w:sz w:val="21"/>
      <w:szCs w:val="21"/>
    </w:rPr>
  </w:style>
  <w:style w:type="paragraph" w:customStyle="1" w:styleId="22">
    <w:name w:val="表头文字"/>
    <w:basedOn w:val="1"/>
    <w:autoRedefine/>
    <w:qFormat/>
    <w:uiPriority w:val="0"/>
    <w:rPr>
      <w:rFonts w:ascii="宋体" w:hAnsi="宋体"/>
      <w:b/>
    </w:rPr>
  </w:style>
  <w:style w:type="paragraph" w:customStyle="1" w:styleId="23">
    <w:name w:val="Char Char Char1 Char Char Char Char Char1 Char"/>
    <w:basedOn w:val="1"/>
    <w:autoRedefine/>
    <w:qFormat/>
    <w:uiPriority w:val="0"/>
  </w:style>
  <w:style w:type="paragraph" w:customStyle="1" w:styleId="24">
    <w:name w:val="_Style 1"/>
    <w:basedOn w:val="1"/>
    <w:qFormat/>
    <w:uiPriority w:val="34"/>
    <w:pPr>
      <w:ind w:firstLine="420" w:firstLineChars="200"/>
    </w:pPr>
  </w:style>
  <w:style w:type="paragraph" w:customStyle="1" w:styleId="25">
    <w:name w:val="表格文字"/>
    <w:basedOn w:val="22"/>
    <w:qFormat/>
    <w:uiPriority w:val="0"/>
    <w:pPr>
      <w:spacing w:line="440" w:lineRule="exact"/>
      <w:jc w:val="center"/>
    </w:pPr>
    <w:rPr>
      <w:b w:val="0"/>
      <w:sz w:val="24"/>
    </w:rPr>
  </w:style>
  <w:style w:type="paragraph" w:customStyle="1" w:styleId="26">
    <w:name w:val="正文首行缩进2"/>
    <w:basedOn w:val="1"/>
    <w:link w:val="43"/>
    <w:autoRedefine/>
    <w:qFormat/>
    <w:uiPriority w:val="0"/>
    <w:pPr>
      <w:spacing w:line="520" w:lineRule="exact"/>
      <w:ind w:firstLine="560" w:firstLineChars="200"/>
    </w:pPr>
    <w:rPr>
      <w:rFonts w:eastAsia="仿宋_GB2312"/>
      <w:kern w:val="0"/>
      <w:sz w:val="28"/>
      <w:szCs w:val="28"/>
    </w:rPr>
  </w:style>
  <w:style w:type="paragraph" w:customStyle="1" w:styleId="27">
    <w:name w:val="正文（郑）"/>
    <w:basedOn w:val="1"/>
    <w:link w:val="44"/>
    <w:autoRedefine/>
    <w:qFormat/>
    <w:uiPriority w:val="0"/>
    <w:pPr>
      <w:spacing w:line="560" w:lineRule="exact"/>
      <w:ind w:firstLine="600"/>
    </w:pPr>
    <w:rPr>
      <w:rFonts w:cs="宋体"/>
      <w:sz w:val="30"/>
      <w:szCs w:val="20"/>
    </w:rPr>
  </w:style>
  <w:style w:type="paragraph" w:customStyle="1" w:styleId="28">
    <w:name w:val="表格"/>
    <w:basedOn w:val="1"/>
    <w:qFormat/>
    <w:uiPriority w:val="0"/>
    <w:pPr>
      <w:spacing w:line="560" w:lineRule="exact"/>
      <w:jc w:val="center"/>
    </w:pPr>
    <w:rPr>
      <w:rFonts w:eastAsia="方正大标宋简体"/>
      <w:sz w:val="30"/>
    </w:rPr>
  </w:style>
  <w:style w:type="paragraph" w:customStyle="1" w:styleId="29">
    <w:name w:val="表号码"/>
    <w:basedOn w:val="1"/>
    <w:autoRedefine/>
    <w:qFormat/>
    <w:uiPriority w:val="0"/>
    <w:pPr>
      <w:spacing w:line="560" w:lineRule="exact"/>
      <w:jc w:val="left"/>
    </w:pPr>
    <w:rPr>
      <w:rFonts w:eastAsia="方正楷体简体"/>
      <w:sz w:val="24"/>
    </w:rPr>
  </w:style>
  <w:style w:type="character" w:customStyle="1" w:styleId="30">
    <w:name w:val="批注文字 Char Char"/>
    <w:link w:val="7"/>
    <w:autoRedefine/>
    <w:qFormat/>
    <w:uiPriority w:val="0"/>
    <w:rPr>
      <w:kern w:val="2"/>
      <w:sz w:val="21"/>
      <w:szCs w:val="24"/>
    </w:rPr>
  </w:style>
  <w:style w:type="character" w:customStyle="1" w:styleId="31">
    <w:name w:val="font01"/>
    <w:basedOn w:val="18"/>
    <w:qFormat/>
    <w:uiPriority w:val="0"/>
    <w:rPr>
      <w:rFonts w:hint="eastAsia" w:ascii="宋体" w:hAnsi="宋体" w:eastAsia="宋体" w:cs="宋体"/>
      <w:color w:val="000000"/>
      <w:sz w:val="24"/>
      <w:szCs w:val="24"/>
      <w:u w:val="none"/>
    </w:rPr>
  </w:style>
  <w:style w:type="character" w:customStyle="1" w:styleId="32">
    <w:name w:val="font71"/>
    <w:basedOn w:val="18"/>
    <w:autoRedefine/>
    <w:qFormat/>
    <w:uiPriority w:val="0"/>
    <w:rPr>
      <w:rFonts w:hint="default" w:ascii="Times New Roman" w:hAnsi="Times New Roman" w:cs="Times New Roman"/>
      <w:color w:val="auto"/>
      <w:sz w:val="24"/>
      <w:szCs w:val="24"/>
      <w:u w:val="none"/>
    </w:rPr>
  </w:style>
  <w:style w:type="character" w:customStyle="1" w:styleId="33">
    <w:name w:val="正文文本缩进 2 Char Char"/>
    <w:link w:val="10"/>
    <w:autoRedefine/>
    <w:qFormat/>
    <w:uiPriority w:val="0"/>
    <w:rPr>
      <w:rFonts w:hint="eastAsia" w:ascii="仿宋_GB2312" w:eastAsia="仿宋_GB2312" w:cs="仿宋_GB2312"/>
      <w:kern w:val="2"/>
      <w:sz w:val="30"/>
      <w:szCs w:val="24"/>
    </w:rPr>
  </w:style>
  <w:style w:type="character" w:customStyle="1" w:styleId="34">
    <w:name w:val="正文文本 Char Char"/>
    <w:link w:val="8"/>
    <w:autoRedefine/>
    <w:qFormat/>
    <w:uiPriority w:val="0"/>
    <w:rPr>
      <w:kern w:val="2"/>
      <w:sz w:val="21"/>
      <w:szCs w:val="24"/>
    </w:rPr>
  </w:style>
  <w:style w:type="character" w:customStyle="1" w:styleId="35">
    <w:name w:val="font21"/>
    <w:basedOn w:val="18"/>
    <w:autoRedefine/>
    <w:qFormat/>
    <w:uiPriority w:val="0"/>
    <w:rPr>
      <w:rFonts w:hint="eastAsia" w:ascii="宋体" w:hAnsi="宋体" w:eastAsia="宋体" w:cs="宋体"/>
      <w:color w:val="000000"/>
      <w:sz w:val="24"/>
      <w:szCs w:val="24"/>
      <w:u w:val="none"/>
      <w:vertAlign w:val="superscript"/>
    </w:rPr>
  </w:style>
  <w:style w:type="character" w:customStyle="1" w:styleId="36">
    <w:name w:val="font11"/>
    <w:basedOn w:val="18"/>
    <w:autoRedefine/>
    <w:qFormat/>
    <w:uiPriority w:val="0"/>
    <w:rPr>
      <w:rFonts w:hint="default" w:ascii="Times New Roman" w:hAnsi="Times New Roman" w:cs="Times New Roman"/>
      <w:color w:val="000000"/>
      <w:sz w:val="22"/>
      <w:szCs w:val="22"/>
      <w:u w:val="none"/>
      <w:vertAlign w:val="superscript"/>
    </w:rPr>
  </w:style>
  <w:style w:type="character" w:customStyle="1" w:styleId="37">
    <w:name w:val="font31"/>
    <w:basedOn w:val="18"/>
    <w:qFormat/>
    <w:uiPriority w:val="0"/>
    <w:rPr>
      <w:rFonts w:hint="default" w:ascii="Times New Roman" w:hAnsi="Times New Roman" w:cs="Times New Roman"/>
      <w:color w:val="000000"/>
      <w:sz w:val="22"/>
      <w:szCs w:val="22"/>
      <w:u w:val="none"/>
    </w:rPr>
  </w:style>
  <w:style w:type="character" w:customStyle="1" w:styleId="38">
    <w:name w:val="font41"/>
    <w:basedOn w:val="18"/>
    <w:autoRedefine/>
    <w:qFormat/>
    <w:uiPriority w:val="0"/>
    <w:rPr>
      <w:rFonts w:hint="default" w:ascii="仿宋_GB2312" w:eastAsia="仿宋_GB2312" w:cs="仿宋_GB2312"/>
      <w:color w:val="000000"/>
      <w:sz w:val="21"/>
      <w:szCs w:val="21"/>
      <w:u w:val="none"/>
      <w:vertAlign w:val="subscript"/>
    </w:rPr>
  </w:style>
  <w:style w:type="character" w:customStyle="1" w:styleId="39">
    <w:name w:val="font81"/>
    <w:basedOn w:val="18"/>
    <w:autoRedefine/>
    <w:qFormat/>
    <w:uiPriority w:val="0"/>
    <w:rPr>
      <w:rFonts w:hint="eastAsia" w:ascii="宋体" w:hAnsi="宋体" w:eastAsia="宋体" w:cs="宋体"/>
      <w:b/>
      <w:color w:val="auto"/>
      <w:sz w:val="24"/>
      <w:szCs w:val="24"/>
      <w:u w:val="none"/>
    </w:rPr>
  </w:style>
  <w:style w:type="character" w:customStyle="1" w:styleId="40">
    <w:name w:val="font51"/>
    <w:basedOn w:val="18"/>
    <w:autoRedefine/>
    <w:qFormat/>
    <w:uiPriority w:val="0"/>
    <w:rPr>
      <w:rFonts w:hint="default" w:ascii="Times New Roman" w:hAnsi="Times New Roman" w:cs="Times New Roman"/>
      <w:b/>
      <w:color w:val="000000"/>
      <w:sz w:val="24"/>
      <w:szCs w:val="24"/>
      <w:u w:val="none"/>
    </w:rPr>
  </w:style>
  <w:style w:type="character" w:customStyle="1" w:styleId="41">
    <w:name w:val="批注主题 Char Char"/>
    <w:link w:val="16"/>
    <w:autoRedefine/>
    <w:qFormat/>
    <w:uiPriority w:val="0"/>
    <w:rPr>
      <w:b/>
      <w:bCs/>
      <w:kern w:val="2"/>
      <w:sz w:val="21"/>
      <w:szCs w:val="24"/>
    </w:rPr>
  </w:style>
  <w:style w:type="character" w:customStyle="1" w:styleId="42">
    <w:name w:val="font61"/>
    <w:basedOn w:val="18"/>
    <w:autoRedefine/>
    <w:qFormat/>
    <w:uiPriority w:val="0"/>
    <w:rPr>
      <w:rFonts w:hint="default" w:ascii="Times New Roman" w:hAnsi="Times New Roman" w:cs="Times New Roman"/>
      <w:color w:val="auto"/>
      <w:sz w:val="24"/>
      <w:szCs w:val="24"/>
      <w:u w:val="none"/>
    </w:rPr>
  </w:style>
  <w:style w:type="character" w:customStyle="1" w:styleId="43">
    <w:name w:val="正文首行缩进2 Char Char"/>
    <w:link w:val="26"/>
    <w:autoRedefine/>
    <w:qFormat/>
    <w:uiPriority w:val="0"/>
    <w:rPr>
      <w:rFonts w:eastAsia="仿宋_GB2312"/>
      <w:sz w:val="28"/>
      <w:szCs w:val="28"/>
      <w:lang w:val="en-US" w:eastAsia="zh-CN" w:bidi="ar-SA"/>
    </w:rPr>
  </w:style>
  <w:style w:type="character" w:customStyle="1" w:styleId="44">
    <w:name w:val="正文（郑） Char Char"/>
    <w:basedOn w:val="18"/>
    <w:link w:val="27"/>
    <w:autoRedefine/>
    <w:qFormat/>
    <w:uiPriority w:val="0"/>
    <w:rPr>
      <w:rFonts w:cs="宋体"/>
      <w:sz w:val="30"/>
      <w:szCs w:val="20"/>
    </w:rPr>
  </w:style>
  <w:style w:type="character" w:customStyle="1" w:styleId="45">
    <w:name w:val="fred1"/>
    <w:autoRedefine/>
    <w:qFormat/>
    <w:uiPriority w:val="0"/>
    <w:rPr>
      <w:rFonts w:hint="default" w:ascii="o?" w:hAnsi="o?"/>
      <w:color w:val="CC0000"/>
      <w:sz w:val="24"/>
      <w:szCs w:val="24"/>
    </w:rPr>
  </w:style>
  <w:style w:type="character" w:customStyle="1" w:styleId="46">
    <w:name w:val="fonta951"/>
    <w:autoRedefine/>
    <w:qFormat/>
    <w:uiPriority w:val="0"/>
    <w:rPr>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8" Type="http://schemas.openxmlformats.org/officeDocument/2006/relationships/fontTable" Target="fontTable.xml"/><Relationship Id="rId77" Type="http://schemas.openxmlformats.org/officeDocument/2006/relationships/numbering" Target="numbering.xml"/><Relationship Id="rId76" Type="http://schemas.openxmlformats.org/officeDocument/2006/relationships/customXml" Target="../customXml/item1.xml"/><Relationship Id="rId75" Type="http://schemas.openxmlformats.org/officeDocument/2006/relationships/image" Target="media/image23.png"/><Relationship Id="rId74" Type="http://schemas.openxmlformats.org/officeDocument/2006/relationships/image" Target="media/image22.png"/><Relationship Id="rId73" Type="http://schemas.openxmlformats.org/officeDocument/2006/relationships/oleObject" Target="embeddings/oleObject42.bin"/><Relationship Id="rId72" Type="http://schemas.openxmlformats.org/officeDocument/2006/relationships/oleObject" Target="embeddings/oleObject41.bin"/><Relationship Id="rId71" Type="http://schemas.openxmlformats.org/officeDocument/2006/relationships/oleObject" Target="embeddings/oleObject40.bin"/><Relationship Id="rId70" Type="http://schemas.openxmlformats.org/officeDocument/2006/relationships/oleObject" Target="embeddings/oleObject39.bin"/><Relationship Id="rId7" Type="http://schemas.openxmlformats.org/officeDocument/2006/relationships/header" Target="header1.xml"/><Relationship Id="rId69" Type="http://schemas.openxmlformats.org/officeDocument/2006/relationships/oleObject" Target="embeddings/oleObject38.bin"/><Relationship Id="rId68" Type="http://schemas.openxmlformats.org/officeDocument/2006/relationships/oleObject" Target="embeddings/oleObject37.bin"/><Relationship Id="rId67" Type="http://schemas.openxmlformats.org/officeDocument/2006/relationships/oleObject" Target="embeddings/oleObject36.bin"/><Relationship Id="rId66" Type="http://schemas.openxmlformats.org/officeDocument/2006/relationships/oleObject" Target="embeddings/oleObject35.bin"/><Relationship Id="rId65" Type="http://schemas.openxmlformats.org/officeDocument/2006/relationships/oleObject" Target="embeddings/oleObject34.bin"/><Relationship Id="rId64" Type="http://schemas.openxmlformats.org/officeDocument/2006/relationships/oleObject" Target="embeddings/oleObject33.bin"/><Relationship Id="rId63" Type="http://schemas.openxmlformats.org/officeDocument/2006/relationships/oleObject" Target="embeddings/oleObject32.bin"/><Relationship Id="rId62" Type="http://schemas.openxmlformats.org/officeDocument/2006/relationships/oleObject" Target="embeddings/oleObject31.bin"/><Relationship Id="rId61" Type="http://schemas.openxmlformats.org/officeDocument/2006/relationships/oleObject" Target="embeddings/oleObject30.bin"/><Relationship Id="rId60" Type="http://schemas.openxmlformats.org/officeDocument/2006/relationships/oleObject" Target="embeddings/oleObject29.bin"/><Relationship Id="rId6" Type="http://schemas.openxmlformats.org/officeDocument/2006/relationships/footer" Target="footer4.xml"/><Relationship Id="rId59" Type="http://schemas.openxmlformats.org/officeDocument/2006/relationships/oleObject" Target="embeddings/oleObject28.bin"/><Relationship Id="rId58" Type="http://schemas.openxmlformats.org/officeDocument/2006/relationships/oleObject" Target="embeddings/oleObject27.bin"/><Relationship Id="rId57" Type="http://schemas.openxmlformats.org/officeDocument/2006/relationships/oleObject" Target="embeddings/oleObject26.bin"/><Relationship Id="rId56" Type="http://schemas.openxmlformats.org/officeDocument/2006/relationships/oleObject" Target="embeddings/oleObject25.bin"/><Relationship Id="rId55" Type="http://schemas.openxmlformats.org/officeDocument/2006/relationships/oleObject" Target="embeddings/oleObject24.bin"/><Relationship Id="rId54" Type="http://schemas.openxmlformats.org/officeDocument/2006/relationships/oleObject" Target="embeddings/oleObject23.bin"/><Relationship Id="rId53" Type="http://schemas.openxmlformats.org/officeDocument/2006/relationships/oleObject" Target="embeddings/oleObject22.bin"/><Relationship Id="rId52" Type="http://schemas.openxmlformats.org/officeDocument/2006/relationships/image" Target="media/image21.wmf"/><Relationship Id="rId51" Type="http://schemas.openxmlformats.org/officeDocument/2006/relationships/oleObject" Target="embeddings/oleObject21.bin"/><Relationship Id="rId50" Type="http://schemas.openxmlformats.org/officeDocument/2006/relationships/image" Target="media/image20.wmf"/><Relationship Id="rId5" Type="http://schemas.openxmlformats.org/officeDocument/2006/relationships/footer" Target="footer3.xml"/><Relationship Id="rId49" Type="http://schemas.openxmlformats.org/officeDocument/2006/relationships/oleObject" Target="embeddings/oleObject20.bin"/><Relationship Id="rId48" Type="http://schemas.openxmlformats.org/officeDocument/2006/relationships/image" Target="media/image19.wmf"/><Relationship Id="rId47" Type="http://schemas.openxmlformats.org/officeDocument/2006/relationships/oleObject" Target="embeddings/oleObject19.bin"/><Relationship Id="rId46" Type="http://schemas.openxmlformats.org/officeDocument/2006/relationships/image" Target="media/image18.wmf"/><Relationship Id="rId45" Type="http://schemas.openxmlformats.org/officeDocument/2006/relationships/oleObject" Target="embeddings/oleObject18.bin"/><Relationship Id="rId44" Type="http://schemas.openxmlformats.org/officeDocument/2006/relationships/image" Target="media/image17.wmf"/><Relationship Id="rId43" Type="http://schemas.openxmlformats.org/officeDocument/2006/relationships/oleObject" Target="embeddings/oleObject17.bin"/><Relationship Id="rId42" Type="http://schemas.openxmlformats.org/officeDocument/2006/relationships/image" Target="media/image16.wmf"/><Relationship Id="rId41" Type="http://schemas.openxmlformats.org/officeDocument/2006/relationships/oleObject" Target="embeddings/oleObject16.bin"/><Relationship Id="rId40" Type="http://schemas.openxmlformats.org/officeDocument/2006/relationships/image" Target="media/image15.wmf"/><Relationship Id="rId4" Type="http://schemas.openxmlformats.org/officeDocument/2006/relationships/footer" Target="footer2.xml"/><Relationship Id="rId39" Type="http://schemas.openxmlformats.org/officeDocument/2006/relationships/oleObject" Target="embeddings/oleObject15.bin"/><Relationship Id="rId38" Type="http://schemas.openxmlformats.org/officeDocument/2006/relationships/image" Target="media/image14.wmf"/><Relationship Id="rId37" Type="http://schemas.openxmlformats.org/officeDocument/2006/relationships/oleObject" Target="embeddings/oleObject14.bin"/><Relationship Id="rId36" Type="http://schemas.openxmlformats.org/officeDocument/2006/relationships/image" Target="media/image13.wmf"/><Relationship Id="rId35" Type="http://schemas.openxmlformats.org/officeDocument/2006/relationships/oleObject" Target="embeddings/oleObject13.bin"/><Relationship Id="rId34" Type="http://schemas.openxmlformats.org/officeDocument/2006/relationships/image" Target="media/image12.wmf"/><Relationship Id="rId33" Type="http://schemas.openxmlformats.org/officeDocument/2006/relationships/oleObject" Target="embeddings/oleObject12.bin"/><Relationship Id="rId32" Type="http://schemas.openxmlformats.org/officeDocument/2006/relationships/image" Target="media/image11.wmf"/><Relationship Id="rId31" Type="http://schemas.openxmlformats.org/officeDocument/2006/relationships/oleObject" Target="embeddings/oleObject11.bin"/><Relationship Id="rId30" Type="http://schemas.openxmlformats.org/officeDocument/2006/relationships/image" Target="media/image10.wmf"/><Relationship Id="rId3" Type="http://schemas.openxmlformats.org/officeDocument/2006/relationships/footer" Target="footer1.xml"/><Relationship Id="rId29" Type="http://schemas.openxmlformats.org/officeDocument/2006/relationships/oleObject" Target="embeddings/oleObject10.bin"/><Relationship Id="rId28" Type="http://schemas.openxmlformats.org/officeDocument/2006/relationships/image" Target="media/image9.wmf"/><Relationship Id="rId27" Type="http://schemas.openxmlformats.org/officeDocument/2006/relationships/oleObject" Target="embeddings/oleObject9.bin"/><Relationship Id="rId26" Type="http://schemas.openxmlformats.org/officeDocument/2006/relationships/image" Target="media/image8.wmf"/><Relationship Id="rId25" Type="http://schemas.openxmlformats.org/officeDocument/2006/relationships/oleObject" Target="embeddings/oleObject8.bin"/><Relationship Id="rId24" Type="http://schemas.openxmlformats.org/officeDocument/2006/relationships/image" Target="media/image7.wmf"/><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textRotate="1"/>
    <customShpInfo spid="_x0000_s4099" textRotate="1"/>
    <customShpInfo spid="_x0000_s4097"/>
    <customShpInfo spid="_x0000_s4100" textRotate="1"/>
    <customShpInfo spid="_x0000_s4101"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10305</Words>
  <Characters>12099</Characters>
  <Lines>87</Lines>
  <Paragraphs>24</Paragraphs>
  <TotalTime>36</TotalTime>
  <ScaleCrop>false</ScaleCrop>
  <LinksUpToDate>false</LinksUpToDate>
  <CharactersWithSpaces>12474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2017-02-09T03:34:00Z</dcterms:created>
  <dc:creator>LENOVO</dc:creator>
  <cp:lastModifiedBy>ω偽谁婷镏</cp:lastModifiedBy>
  <cp:lastPrinted>2024-04-22T08:59:00Z</cp:lastPrinted>
  <dcterms:modified xsi:type="dcterms:W3CDTF">2025-05-27T08:45:48Z</dcterms:modified>
  <dc:title>福州市闽侯县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2052-12.1.0.20784</vt:lpwstr>
  </property>
  <property fmtid="{D5CDD505-2E9C-101B-9397-08002B2CF9AE}" pid="4" name="ICV">
    <vt:lpwstr>051CDCF5B01D40D7BA5D8C71D3ED9591</vt:lpwstr>
  </property>
  <property fmtid="{D5CDD505-2E9C-101B-9397-08002B2CF9AE}" pid="5" name="KSOTemplateDocerSaveRecord">
    <vt:lpwstr>eyJoZGlkIjoiYmM2N2Y5OWNjYWQxMTVlZWE1MjI3NTE2NzM5ZjE1N2MiLCJ1c2VySWQiOiIyNDE4OTgzMTYifQ==</vt:lpwstr>
  </property>
</Properties>
</file>