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任务清单（市级）</w:t>
      </w:r>
    </w:p>
    <w:p>
      <w:pPr>
        <w:spacing w:line="40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467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重点工作</w:t>
            </w: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责任制，配备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食品安全总监和食品安全员。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督促建立健全进货查验、生产经营过程控制、出厂检验等制度。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督促建立健全《食品安全总监职责》和《食品安全员守则》。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督促建立健全“日管控、周排查、月调度”工作机制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食品安全追溯体系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从业人员健康管理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制度。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督促加快建立和实施危害分析和关键控制点体系。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督促特殊食品生产企业建立健全生产质量管理体系。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“日管控、周排查、月调度”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记录台账。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抽查进货查验、过程控制、出厂检验等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督促保持生产经营场所环境整洁和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督促严格执行保质期标识等规定，及时清理变质或超过保质期的食品。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督促不得对生产经营的食品虚假宣传。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婴幼儿配方食品生产企业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落实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从原料进厂到成品出厂的全过程质量控制。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督促学校、幼儿园落实大宗食品公开招标、集中定点采购制度，加快“明厨亮灶”建设。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督促餐饮服务单位按要求对餐具、饮具进行清洗消毒。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督促及时整改监管部门指出的食品安全问题隐患。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督促及时处理食品质量安全投诉、举报。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督促落实问题食品下架召回制度。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三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强化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应急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处置</w:t>
            </w: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制定食品安全事故处置方案。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督促及时向市场监管部门报告食品安全事故潜在风险。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督促配合监管部门做好事故调查处理工作。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四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总监和食品安全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67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746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>
      <w:pPr>
        <w:adjustRightInd/>
        <w:snapToGrid/>
        <w:spacing w:line="40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说明：任务清单包括但不限于以上内容，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  <w:lang w:eastAsia="zh-CN"/>
        </w:rPr>
        <w:t>根据填报需要调整表格大小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。</w:t>
      </w:r>
    </w:p>
    <w:p>
      <w:pPr>
        <w:pStyle w:val="7"/>
        <w:ind w:left="-619" w:leftChars="-295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7"/>
        <w:ind w:left="-619" w:leftChars="-295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包保主体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(企业名称）：                包保干部签字：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(盖章）</w:t>
      </w:r>
    </w:p>
    <w:p>
      <w:pPr>
        <w:pStyle w:val="7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7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   年      月      日</w:t>
      </w: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任务清单（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38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重点工作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责任制，配备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食品安全总监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督促建立健全进货查验、生产经营过程控制、出厂检验等制度。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督促建立健全《食品安全总监职责》和《食品安全员守则》。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督促建立健全“日管控、周排查、月调度”工作机制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食品安全追溯体系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从业人员健康管理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制度。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“日管控、周排查、月调度”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记录台账。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抽查进货查验、过程控制、出厂检验等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督促保持生产经营场所环境整洁和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0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督促严格执行保质期标识等规定，及时清理变质或超过保质期的食品。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督促不得对生产经营的食品虚假宣传。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4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督促餐饮服务单位按要求对餐具、饮具进行清洗消毒。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督促及时整改监管部门指出的食品安全问题隐患。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督促及时处理食品质量安全投诉、举报。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督促落实问题食品下架召回制度。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0" w:hRule="exac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三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制定食品安全事故处置方案。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督促及时向市场监管部门报告食品安全事故潜在风险。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督促配合监管部门做好事故调查处理工作。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四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总监和食品安全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8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833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/>
        <w:snapToGrid/>
        <w:spacing w:line="40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说明：任务清单包括但不限于以上内容，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  <w:lang w:eastAsia="zh-CN"/>
        </w:rPr>
        <w:t>根据填报需要调整表格大小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。</w:t>
      </w:r>
    </w:p>
    <w:p>
      <w:pPr>
        <w:pStyle w:val="7"/>
        <w:ind w:left="-619" w:leftChars="-295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9" w:leftChars="-295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包保主体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(企业名称）：                包保干部签字：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(盖章）</w:t>
      </w:r>
    </w:p>
    <w:p>
      <w:pPr>
        <w:pStyle w:val="7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8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   年      月      日</w:t>
      </w:r>
    </w:p>
    <w:p>
      <w:pPr>
        <w:adjustRightInd/>
        <w:snapToGrid/>
        <w:spacing w:line="400" w:lineRule="exac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br w:type="page"/>
      </w:r>
    </w:p>
    <w:p>
      <w:pPr>
        <w:adjustRightInd w:val="0"/>
        <w:snapToGrid w:val="0"/>
        <w:spacing w:line="340" w:lineRule="exact"/>
        <w:ind w:left="1200" w:hanging="1200" w:hangingChars="500"/>
        <w:rPr>
          <w:rFonts w:hint="default" w:ascii="Times New Roman" w:hAnsi="Times New Roman" w:eastAsia="楷体" w:cs="Times New Roman"/>
          <w:b w:val="0"/>
          <w:bCs w:val="0"/>
          <w:sz w:val="2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任务清单（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级）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24"/>
        </w:rPr>
      </w:pPr>
    </w:p>
    <w:tbl>
      <w:tblPr>
        <w:tblStyle w:val="11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392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重点工作</w:t>
            </w: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责任制，配备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推动建立健全进货查验、生产经营过程控制、出厂检验等制度。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推动建立健全《食品安全员守则》。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推动建立健全“日管控、周排查、月调度”工作机制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  <w:t>食品安全追溯体系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推动建立健全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从业人员健康管理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制度。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“日管控、周排查、月调度”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记录台账。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抽查进货查验、过程控制、出厂检验等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推动保持生产经营场所环境整洁和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推动严格执行保质期标识等规定，及时清理变质或超过保质期的食品。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推动不得对生产经营的食品虚假宣传。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推动餐饮服务单位按照要求对餐具、饮具进行清洗消毒。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推动及时整改监管部门指出的食品安全问题隐患。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推动及时处理食品质量安全投诉、举报。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推动建立落实问题食品下架召回制度。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三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制定食品安全事故处置方案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或处置措施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推动及时向市场监管部门报告食品安全事故潜在风险。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推动配合监管部门做好事故调查处理工作。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四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2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2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/>
        <w:snapToGrid/>
        <w:spacing w:line="40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说明：任务清单包括但不限于以上内容，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  <w:lang w:eastAsia="zh-CN"/>
        </w:rPr>
        <w:t>根据填报需要调整表格大小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9" w:leftChars="-295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9" w:leftChars="-295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9" w:leftChars="-295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包保主体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(企业名称）：                包保干部签字：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（盖章）</w:t>
      </w:r>
    </w:p>
    <w:p>
      <w:pPr>
        <w:pStyle w:val="8"/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           年      月      日</w:t>
      </w:r>
    </w:p>
    <w:p>
      <w:pPr>
        <w:pStyle w:val="7"/>
        <w:rPr>
          <w:rFonts w:hint="default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/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任务清单（村级）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11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31"/>
        <w:gridCol w:w="1187"/>
        <w:gridCol w:w="740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重点工作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具体任务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管理体系</w:t>
            </w:r>
          </w:p>
        </w:tc>
        <w:tc>
          <w:tcPr>
            <w:tcW w:w="740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推动配备或明确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食品安全员。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及时取得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健康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证。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抓好常态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防控</w:t>
            </w: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推动开展食品安全自查。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抽查进货查验、过程控制等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信息记录情况。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推动保持场所环境整洁和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人员卫生。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推动及时清理变质或超过保质期的食品。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推动不得对生产经营的食品虚假宣传。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推动学校、幼儿园实行食品安全校长（园长）负责制；推动中小学、幼儿园建立集中用餐陪餐制度。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推动餐饮服务单位按照要求对餐具、饮具进行清洗消毒。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推动及时整改监管部门指出的食品安全问题隐患。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推动及时处理食品质量安全投诉、举报，依法下架并召回问题食品。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三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强化应急处置</w:t>
            </w: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推动完善食品安全事故处置措施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推动及时向市场监管部门报告食品安全事故潜在风险。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推动配合监管部门做好事故调查处理工作。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四</w:t>
            </w:r>
          </w:p>
        </w:tc>
        <w:tc>
          <w:tcPr>
            <w:tcW w:w="1187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加强宣传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培训</w:t>
            </w: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从业人员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进行食品安全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法律、法规、标准、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知识培训。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员开展考核。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推动主动开展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食品安全知识普及。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6" w:hRule="atLeast"/>
          <w:tblHeader/>
          <w:jc w:val="center"/>
        </w:trPr>
        <w:tc>
          <w:tcPr>
            <w:tcW w:w="731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05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推动学校、幼儿园开展食品安全与营养健康科学知识普及和宣传教育活动，将相关知识纳入教学内容。</w:t>
            </w:r>
          </w:p>
        </w:tc>
        <w:tc>
          <w:tcPr>
            <w:tcW w:w="808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/>
        <w:snapToGrid/>
        <w:spacing w:line="40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说明：任务清单包括但不限于以上内容，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  <w:lang w:eastAsia="zh-CN"/>
        </w:rPr>
        <w:t>根据填报需要调整表格大小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8"/>
          <w:kern w:val="0"/>
          <w:sz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9" w:leftChars="-295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包保主体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(企业名称）：                包保干部签字：</w:t>
      </w:r>
    </w:p>
    <w:p>
      <w:pPr>
        <w:pStyle w:val="5"/>
        <w:ind w:left="0" w:leftChars="0" w:firstLine="0" w:firstLineChars="0"/>
      </w:pPr>
      <w:r>
        <w:rPr>
          <w:rFonts w:hint="eastAsia" w:eastAsia="仿宋_GB2312" w:cs="Times New Roman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(盖章）                          年      月      日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979A6-D653-4EDA-88B4-D24F459F4E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A8BD7F1-0834-4581-84CE-A2F50CD52B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EC7636-181A-45E9-81B6-D78CEE5D6E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485E6A-3A23-491F-88AA-24E9BC9D1C1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637740-616C-46C0-88EE-F50F994560E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07452"/>
    <w:multiLevelType w:val="singleLevel"/>
    <w:tmpl w:val="8F80745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977A26ED"/>
    <w:multiLevelType w:val="singleLevel"/>
    <w:tmpl w:val="977A26E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A5B44924"/>
    <w:multiLevelType w:val="singleLevel"/>
    <w:tmpl w:val="A5B4492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B5AD7191"/>
    <w:multiLevelType w:val="singleLevel"/>
    <w:tmpl w:val="B5AD7191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>
    <w:nsid w:val="DF139F7C"/>
    <w:multiLevelType w:val="singleLevel"/>
    <w:tmpl w:val="DF139F7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EA128472"/>
    <w:multiLevelType w:val="singleLevel"/>
    <w:tmpl w:val="EA12847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EBE1D722"/>
    <w:multiLevelType w:val="singleLevel"/>
    <w:tmpl w:val="EBE1D72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7">
    <w:nsid w:val="010D069C"/>
    <w:multiLevelType w:val="singleLevel"/>
    <w:tmpl w:val="010D069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8">
    <w:nsid w:val="0CD499BD"/>
    <w:multiLevelType w:val="singleLevel"/>
    <w:tmpl w:val="0CD499B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9">
    <w:nsid w:val="0FDE257F"/>
    <w:multiLevelType w:val="singleLevel"/>
    <w:tmpl w:val="0FDE257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0">
    <w:nsid w:val="14E8721B"/>
    <w:multiLevelType w:val="singleLevel"/>
    <w:tmpl w:val="14E8721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1">
    <w:nsid w:val="16C774C0"/>
    <w:multiLevelType w:val="singleLevel"/>
    <w:tmpl w:val="16C774C0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2">
    <w:nsid w:val="26EF9A6A"/>
    <w:multiLevelType w:val="singleLevel"/>
    <w:tmpl w:val="26EF9A6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3">
    <w:nsid w:val="2C8386FF"/>
    <w:multiLevelType w:val="singleLevel"/>
    <w:tmpl w:val="2C8386F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4">
    <w:nsid w:val="4E9D46E6"/>
    <w:multiLevelType w:val="singleLevel"/>
    <w:tmpl w:val="4E9D46E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5">
    <w:nsid w:val="7B5F3CFD"/>
    <w:multiLevelType w:val="singleLevel"/>
    <w:tmpl w:val="7B5F3CF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0463FC9"/>
    <w:rsid w:val="0007509A"/>
    <w:rsid w:val="000A4840"/>
    <w:rsid w:val="001E732B"/>
    <w:rsid w:val="0023528F"/>
    <w:rsid w:val="00244572"/>
    <w:rsid w:val="002829A0"/>
    <w:rsid w:val="002B6896"/>
    <w:rsid w:val="002E4807"/>
    <w:rsid w:val="002F1AD2"/>
    <w:rsid w:val="00351CD9"/>
    <w:rsid w:val="0036663C"/>
    <w:rsid w:val="0038563C"/>
    <w:rsid w:val="003F268C"/>
    <w:rsid w:val="00402034"/>
    <w:rsid w:val="00463FC9"/>
    <w:rsid w:val="004B7B22"/>
    <w:rsid w:val="005760BB"/>
    <w:rsid w:val="005D2611"/>
    <w:rsid w:val="005E59B8"/>
    <w:rsid w:val="005F4DB2"/>
    <w:rsid w:val="00780626"/>
    <w:rsid w:val="008B1118"/>
    <w:rsid w:val="008C368C"/>
    <w:rsid w:val="0097063E"/>
    <w:rsid w:val="00984FAF"/>
    <w:rsid w:val="0098641F"/>
    <w:rsid w:val="009E4967"/>
    <w:rsid w:val="00A77AD9"/>
    <w:rsid w:val="00AF18E2"/>
    <w:rsid w:val="00B80DD7"/>
    <w:rsid w:val="00BF4C72"/>
    <w:rsid w:val="00C3367A"/>
    <w:rsid w:val="00DB4850"/>
    <w:rsid w:val="00DD1862"/>
    <w:rsid w:val="00EE57E7"/>
    <w:rsid w:val="00F13AFF"/>
    <w:rsid w:val="013C524F"/>
    <w:rsid w:val="03012852"/>
    <w:rsid w:val="034445B5"/>
    <w:rsid w:val="048C212A"/>
    <w:rsid w:val="08447F90"/>
    <w:rsid w:val="085D0282"/>
    <w:rsid w:val="0A604BBA"/>
    <w:rsid w:val="0B4D5672"/>
    <w:rsid w:val="0FA66CF5"/>
    <w:rsid w:val="10C2058B"/>
    <w:rsid w:val="10EF12A7"/>
    <w:rsid w:val="11BD58B2"/>
    <w:rsid w:val="11D63220"/>
    <w:rsid w:val="12D21CC3"/>
    <w:rsid w:val="13400029"/>
    <w:rsid w:val="134925B4"/>
    <w:rsid w:val="13BF2985"/>
    <w:rsid w:val="16687698"/>
    <w:rsid w:val="16AC677F"/>
    <w:rsid w:val="181A7D83"/>
    <w:rsid w:val="19205CB5"/>
    <w:rsid w:val="196B7B59"/>
    <w:rsid w:val="1A4D05A5"/>
    <w:rsid w:val="1CB57848"/>
    <w:rsid w:val="1E7F76C2"/>
    <w:rsid w:val="1F2B2044"/>
    <w:rsid w:val="20384465"/>
    <w:rsid w:val="25D96AD1"/>
    <w:rsid w:val="2B142E26"/>
    <w:rsid w:val="2FEB5279"/>
    <w:rsid w:val="347D30BF"/>
    <w:rsid w:val="35FF97BC"/>
    <w:rsid w:val="377F8816"/>
    <w:rsid w:val="380C2E59"/>
    <w:rsid w:val="38115571"/>
    <w:rsid w:val="3BDF6D20"/>
    <w:rsid w:val="3BE4693D"/>
    <w:rsid w:val="3C207A5E"/>
    <w:rsid w:val="3C9C7C85"/>
    <w:rsid w:val="3FEF2915"/>
    <w:rsid w:val="43292C01"/>
    <w:rsid w:val="43F2C238"/>
    <w:rsid w:val="464A1648"/>
    <w:rsid w:val="47C94587"/>
    <w:rsid w:val="49BB23AA"/>
    <w:rsid w:val="4ADA4ABB"/>
    <w:rsid w:val="4BC03D9F"/>
    <w:rsid w:val="4BFFD799"/>
    <w:rsid w:val="4E88544B"/>
    <w:rsid w:val="4FD03316"/>
    <w:rsid w:val="52545335"/>
    <w:rsid w:val="526E0FEB"/>
    <w:rsid w:val="5478660B"/>
    <w:rsid w:val="55D954D1"/>
    <w:rsid w:val="56495C02"/>
    <w:rsid w:val="56CE6D76"/>
    <w:rsid w:val="59497C88"/>
    <w:rsid w:val="5B860FB2"/>
    <w:rsid w:val="5BA862F5"/>
    <w:rsid w:val="5D7FA5E8"/>
    <w:rsid w:val="5DB27CAF"/>
    <w:rsid w:val="5DDB55AC"/>
    <w:rsid w:val="5F6F8AEA"/>
    <w:rsid w:val="61EC5B65"/>
    <w:rsid w:val="696F20FA"/>
    <w:rsid w:val="6BB74120"/>
    <w:rsid w:val="6C3C3653"/>
    <w:rsid w:val="6CA51246"/>
    <w:rsid w:val="6E7D020A"/>
    <w:rsid w:val="6ED22F0F"/>
    <w:rsid w:val="6FFB3C5C"/>
    <w:rsid w:val="704F3769"/>
    <w:rsid w:val="713E03A0"/>
    <w:rsid w:val="731E1683"/>
    <w:rsid w:val="74B531D5"/>
    <w:rsid w:val="750E67FA"/>
    <w:rsid w:val="77972F48"/>
    <w:rsid w:val="77DE63D2"/>
    <w:rsid w:val="797FD435"/>
    <w:rsid w:val="7A3FDFB7"/>
    <w:rsid w:val="7B9FCBB9"/>
    <w:rsid w:val="7C004E8F"/>
    <w:rsid w:val="7DDE0D49"/>
    <w:rsid w:val="7ED9391B"/>
    <w:rsid w:val="7FDC3252"/>
    <w:rsid w:val="7FFFF5F4"/>
    <w:rsid w:val="9BBBD93C"/>
    <w:rsid w:val="AFDFC59A"/>
    <w:rsid w:val="BF7DDD19"/>
    <w:rsid w:val="CCAB41BB"/>
    <w:rsid w:val="D7BBE1F7"/>
    <w:rsid w:val="DCD77D53"/>
    <w:rsid w:val="DE9F1E63"/>
    <w:rsid w:val="EF7EFEF8"/>
    <w:rsid w:val="F6EF22B5"/>
    <w:rsid w:val="FF1F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next w:val="7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纯文本 Char"/>
    <w:basedOn w:val="13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3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一级标题"/>
    <w:basedOn w:val="20"/>
    <w:next w:val="20"/>
    <w:qFormat/>
    <w:uiPriority w:val="0"/>
    <w:pPr>
      <w:outlineLvl w:val="2"/>
    </w:pPr>
    <w:rPr>
      <w:rFonts w:eastAsia="黑体"/>
    </w:rPr>
  </w:style>
  <w:style w:type="paragraph" w:customStyle="1" w:styleId="2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10655</Words>
  <Characters>11076</Characters>
  <Lines>36</Lines>
  <Paragraphs>10</Paragraphs>
  <TotalTime>2</TotalTime>
  <ScaleCrop>false</ScaleCrop>
  <LinksUpToDate>false</LinksUpToDate>
  <CharactersWithSpaces>11789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2022-03-02T18:59:00Z</dcterms:created>
  <dc:creator>吴芸苹</dc:creator>
  <cp:lastModifiedBy>Administrator</cp:lastModifiedBy>
  <cp:lastPrinted>2022-11-22T12:14:00Z</cp:lastPrinted>
  <dcterms:modified xsi:type="dcterms:W3CDTF">2022-12-05T01:58:07Z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1D467551475A4EDAA84B49DF9E6C80CD</vt:lpwstr>
  </property>
</Properties>
</file>