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Arial" w:eastAsia="黑体" w:cs="Arial"/>
          <w:kern w:val="0"/>
          <w:sz w:val="32"/>
          <w:szCs w:val="32"/>
        </w:rPr>
      </w:pPr>
      <w:r>
        <w:rPr>
          <w:rFonts w:hint="eastAsia" w:ascii="黑体" w:hAnsi="Arial" w:eastAsia="黑体" w:cs="Arial"/>
          <w:kern w:val="0"/>
          <w:sz w:val="32"/>
          <w:szCs w:val="32"/>
        </w:rPr>
        <w:t>附件3</w:t>
      </w:r>
    </w:p>
    <w:p>
      <w:pPr>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峰尾镇前亭村山洪灾害防御预案</w:t>
      </w:r>
    </w:p>
    <w:p>
      <w:pPr>
        <w:spacing w:line="288" w:lineRule="auto"/>
        <w:jc w:val="center"/>
        <w:rPr>
          <w:rFonts w:hint="eastAsia" w:ascii="仿宋_GB2312" w:hAnsi="宋体" w:eastAsia="仿宋_GB2312"/>
          <w:b/>
          <w:sz w:val="32"/>
          <w:szCs w:val="32"/>
        </w:rPr>
      </w:pPr>
    </w:p>
    <w:p>
      <w:pPr>
        <w:spacing w:line="512"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一、概况</w:t>
      </w:r>
    </w:p>
    <w:p>
      <w:pPr>
        <w:widowControl/>
        <w:spacing w:line="512" w:lineRule="exact"/>
        <w:ind w:firstLine="640" w:firstLineChars="200"/>
        <w:rPr>
          <w:rFonts w:hint="eastAsia" w:ascii="仿宋_GB2312" w:hAnsi="宋体" w:eastAsia="仿宋_GB2312"/>
          <w:sz w:val="32"/>
          <w:szCs w:val="32"/>
        </w:rPr>
      </w:pPr>
      <w:r>
        <w:rPr>
          <w:rFonts w:hint="eastAsia" w:ascii="仿宋_GB2312" w:hAnsi="宋体" w:eastAsia="仿宋_GB2312" w:cs="宋体"/>
          <w:sz w:val="32"/>
          <w:szCs w:val="32"/>
        </w:rPr>
        <w:t>前亭村地处峰尾镇半岛东南面, 总面积约0.86平方公里，村有15个村民小组，1917户6023人，已</w:t>
      </w:r>
      <w:r>
        <w:rPr>
          <w:rFonts w:hint="eastAsia" w:ascii="仿宋_GB2312" w:hAnsi="宋体" w:eastAsia="仿宋_GB2312"/>
          <w:sz w:val="32"/>
          <w:szCs w:val="32"/>
        </w:rPr>
        <w:t>全</w:t>
      </w:r>
      <w:r>
        <w:rPr>
          <w:rFonts w:hint="eastAsia" w:ascii="仿宋_GB2312" w:hAnsi="宋体" w:eastAsia="仿宋_GB2312" w:cs="宋体"/>
          <w:sz w:val="32"/>
          <w:szCs w:val="32"/>
        </w:rPr>
        <w:t>部纳入本预案管理。</w:t>
      </w:r>
    </w:p>
    <w:p>
      <w:pPr>
        <w:spacing w:line="512"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二、危险区、安全区划分</w:t>
      </w:r>
    </w:p>
    <w:p>
      <w:pPr>
        <w:spacing w:line="512" w:lineRule="exact"/>
        <w:ind w:firstLine="640" w:firstLineChars="200"/>
        <w:rPr>
          <w:rFonts w:hint="eastAsia" w:ascii="仿宋_GB2312" w:hAnsi="宋体" w:eastAsia="仿宋_GB2312"/>
          <w:spacing w:val="-10"/>
          <w:sz w:val="32"/>
          <w:szCs w:val="32"/>
        </w:rPr>
      </w:pPr>
      <w:r>
        <w:rPr>
          <w:rFonts w:hint="eastAsia" w:ascii="仿宋_GB2312" w:hAnsi="宋体" w:eastAsia="仿宋_GB2312"/>
          <w:sz w:val="32"/>
          <w:szCs w:val="32"/>
        </w:rPr>
        <w:t>本</w:t>
      </w:r>
      <w:r>
        <w:rPr>
          <w:rFonts w:hint="eastAsia" w:ascii="仿宋_GB2312" w:hAnsi="宋体" w:eastAsia="仿宋_GB2312"/>
          <w:spacing w:val="-10"/>
          <w:sz w:val="32"/>
          <w:szCs w:val="32"/>
        </w:rPr>
        <w:t>村辖区范围内主要有危房2户、3人，内河沟1条约1050米。</w:t>
      </w:r>
    </w:p>
    <w:p>
      <w:pPr>
        <w:spacing w:line="512"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三、抢险救灾组织机构与职责分工</w:t>
      </w:r>
    </w:p>
    <w:p>
      <w:pPr>
        <w:suppressAutoHyphens/>
        <w:overflowPunct w:val="0"/>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村级山洪灾害防御工作组，组长为村党支部书记，副组长为村主任，各村民小组组长为成员，设立广播员、监测员、预警员及应急分队。各工作组职责任务以及组长、副组长和监测员、预警员等职责任务，如下：</w:t>
      </w:r>
    </w:p>
    <w:p>
      <w:pPr>
        <w:pStyle w:val="6"/>
        <w:spacing w:line="240" w:lineRule="auto"/>
        <w:ind w:firstLine="0" w:firstLineChars="0"/>
        <w:jc w:val="center"/>
        <w:rPr>
          <w:rFonts w:hint="eastAsia" w:ascii="黑体" w:hAnsi="宋体" w:eastAsia="黑体"/>
          <w:sz w:val="32"/>
          <w:szCs w:val="32"/>
        </w:rPr>
      </w:pPr>
      <w:r>
        <w:rPr>
          <w:rFonts w:hint="eastAsia" w:ascii="黑体" w:hAnsi="宋体" w:eastAsia="黑体"/>
          <w:sz w:val="32"/>
          <w:szCs w:val="32"/>
        </w:rPr>
        <w:t>峰尾镇前亭村抢险救灾工作小组人员名单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93"/>
        <w:gridCol w:w="561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blHeader/>
        </w:trPr>
        <w:tc>
          <w:tcPr>
            <w:tcW w:w="988"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组织</w:t>
            </w:r>
          </w:p>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机构</w:t>
            </w:r>
          </w:p>
        </w:tc>
        <w:tc>
          <w:tcPr>
            <w:tcW w:w="89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人员</w:t>
            </w:r>
          </w:p>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组成</w:t>
            </w:r>
          </w:p>
        </w:tc>
        <w:tc>
          <w:tcPr>
            <w:tcW w:w="561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职责</w:t>
            </w:r>
          </w:p>
        </w:tc>
        <w:tc>
          <w:tcPr>
            <w:tcW w:w="145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88"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组长</w:t>
            </w:r>
          </w:p>
        </w:tc>
        <w:tc>
          <w:tcPr>
            <w:tcW w:w="89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房文明</w:t>
            </w:r>
          </w:p>
        </w:tc>
        <w:tc>
          <w:tcPr>
            <w:tcW w:w="5613" w:type="dxa"/>
            <w:noWrap w:val="0"/>
            <w:vAlign w:val="center"/>
          </w:tcPr>
          <w:p>
            <w:pPr>
              <w:adjustRightInd w:val="0"/>
              <w:snapToGrid w:val="0"/>
              <w:spacing w:line="280" w:lineRule="exact"/>
              <w:ind w:left="-107" w:leftChars="-51" w:right="-53" w:rightChars="-25"/>
              <w:rPr>
                <w:rFonts w:hint="eastAsia" w:ascii="宋体" w:hAnsi="宋体" w:cs="宋体"/>
                <w:sz w:val="24"/>
              </w:rPr>
            </w:pPr>
            <w:r>
              <w:rPr>
                <w:rFonts w:hint="eastAsia" w:ascii="宋体" w:hAnsi="宋体" w:cs="宋体"/>
                <w:sz w:val="24"/>
              </w:rPr>
              <w:t>负责本村山洪灾害预案的组织实施，根据山洪预警信息；进行全村总动员，负责村民安全转移和抢险救灾工作的组织协调</w:t>
            </w:r>
          </w:p>
        </w:tc>
        <w:tc>
          <w:tcPr>
            <w:tcW w:w="145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18359413731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88"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副组长</w:t>
            </w:r>
          </w:p>
        </w:tc>
        <w:tc>
          <w:tcPr>
            <w:tcW w:w="89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刘继月</w:t>
            </w:r>
          </w:p>
        </w:tc>
        <w:tc>
          <w:tcPr>
            <w:tcW w:w="5613" w:type="dxa"/>
            <w:noWrap w:val="0"/>
            <w:vAlign w:val="center"/>
          </w:tcPr>
          <w:p>
            <w:pPr>
              <w:adjustRightInd w:val="0"/>
              <w:snapToGrid w:val="0"/>
              <w:spacing w:line="280" w:lineRule="exact"/>
              <w:ind w:left="-107" w:leftChars="-51" w:right="-53" w:rightChars="-25"/>
              <w:rPr>
                <w:rFonts w:hint="eastAsia" w:ascii="宋体" w:hAnsi="宋体" w:cs="宋体"/>
                <w:sz w:val="24"/>
              </w:rPr>
            </w:pPr>
            <w:r>
              <w:rPr>
                <w:rFonts w:hint="eastAsia" w:ascii="宋体" w:hAnsi="宋体" w:cs="宋体"/>
                <w:sz w:val="24"/>
              </w:rPr>
              <w:t>落实组长发布的防御抢险指令，指挥村民安全转移、洪灾抢险，并负责灾后工程设施修复等重点工作</w:t>
            </w:r>
          </w:p>
        </w:tc>
        <w:tc>
          <w:tcPr>
            <w:tcW w:w="145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15959580308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88"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监测员</w:t>
            </w:r>
          </w:p>
        </w:tc>
        <w:tc>
          <w:tcPr>
            <w:tcW w:w="89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林法珍</w:t>
            </w:r>
          </w:p>
        </w:tc>
        <w:tc>
          <w:tcPr>
            <w:tcW w:w="5613" w:type="dxa"/>
            <w:noWrap w:val="0"/>
            <w:vAlign w:val="center"/>
          </w:tcPr>
          <w:p>
            <w:pPr>
              <w:adjustRightInd w:val="0"/>
              <w:snapToGrid w:val="0"/>
              <w:spacing w:line="280" w:lineRule="exact"/>
              <w:ind w:left="-107" w:leftChars="-51" w:right="-53" w:rightChars="-25"/>
              <w:rPr>
                <w:rFonts w:hint="eastAsia" w:ascii="宋体" w:hAnsi="宋体" w:cs="宋体"/>
                <w:sz w:val="24"/>
              </w:rPr>
            </w:pPr>
            <w:r>
              <w:rPr>
                <w:rFonts w:hint="eastAsia" w:ascii="宋体" w:hAnsi="宋体" w:cs="宋体"/>
                <w:sz w:val="24"/>
              </w:rPr>
              <w:t>负责观察雨情、水情变化，观察地质灾害隐患点是否异常</w:t>
            </w:r>
          </w:p>
        </w:tc>
        <w:tc>
          <w:tcPr>
            <w:tcW w:w="145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15859730090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88"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预警员</w:t>
            </w:r>
          </w:p>
        </w:tc>
        <w:tc>
          <w:tcPr>
            <w:tcW w:w="893" w:type="dxa"/>
            <w:noWrap w:val="0"/>
            <w:vAlign w:val="center"/>
          </w:tcPr>
          <w:p>
            <w:pPr>
              <w:adjustRightInd w:val="0"/>
              <w:snapToGrid w:val="0"/>
              <w:spacing w:line="280" w:lineRule="exact"/>
              <w:ind w:left="-107" w:leftChars="-51" w:right="-53" w:rightChars="-25"/>
              <w:jc w:val="center"/>
              <w:rPr>
                <w:rFonts w:hint="default" w:ascii="宋体" w:hAnsi="宋体" w:eastAsia="宋体" w:cs="宋体"/>
                <w:sz w:val="24"/>
                <w:lang w:val="en-US" w:eastAsia="zh-CN"/>
              </w:rPr>
            </w:pPr>
            <w:r>
              <w:rPr>
                <w:rFonts w:hint="eastAsia" w:ascii="宋体" w:hAnsi="宋体" w:cs="宋体"/>
                <w:sz w:val="24"/>
                <w:lang w:val="en-US" w:eastAsia="zh-CN"/>
              </w:rPr>
              <w:t>张温娥</w:t>
            </w:r>
          </w:p>
        </w:tc>
        <w:tc>
          <w:tcPr>
            <w:tcW w:w="5613" w:type="dxa"/>
            <w:noWrap w:val="0"/>
            <w:vAlign w:val="center"/>
          </w:tcPr>
          <w:p>
            <w:pPr>
              <w:adjustRightInd w:val="0"/>
              <w:snapToGrid w:val="0"/>
              <w:spacing w:line="280" w:lineRule="exact"/>
              <w:ind w:left="-107" w:leftChars="-51" w:right="-53" w:rightChars="-25"/>
              <w:rPr>
                <w:rFonts w:hint="eastAsia" w:ascii="宋体" w:hAnsi="宋体" w:cs="宋体"/>
                <w:sz w:val="24"/>
              </w:rPr>
            </w:pPr>
            <w:r>
              <w:rPr>
                <w:rFonts w:hint="eastAsia" w:ascii="宋体" w:hAnsi="宋体" w:cs="宋体"/>
                <w:sz w:val="24"/>
              </w:rPr>
              <w:t>对村级指挥长负责，接到紧急转移通知后，鸣锣示警，通过广播、喇叭、铜锣声、电话、手机短信等提醒群众应急转移</w:t>
            </w:r>
          </w:p>
        </w:tc>
        <w:tc>
          <w:tcPr>
            <w:tcW w:w="145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lang w:val="en-US" w:eastAsia="zh-CN"/>
              </w:rPr>
              <w:t>13505910335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88" w:type="dxa"/>
            <w:noWrap w:val="0"/>
            <w:vAlign w:val="center"/>
          </w:tcPr>
          <w:p>
            <w:pPr>
              <w:adjustRightInd w:val="0"/>
              <w:snapToGrid w:val="0"/>
              <w:spacing w:line="280" w:lineRule="exact"/>
              <w:ind w:left="-107" w:leftChars="-51" w:right="-40" w:rightChars="-19"/>
              <w:jc w:val="center"/>
              <w:rPr>
                <w:rFonts w:hint="eastAsia" w:ascii="宋体" w:hAnsi="宋体" w:cs="宋体"/>
                <w:sz w:val="24"/>
              </w:rPr>
            </w:pPr>
            <w:r>
              <w:rPr>
                <w:rFonts w:hint="eastAsia" w:ascii="宋体" w:hAnsi="宋体" w:cs="宋体"/>
                <w:sz w:val="24"/>
              </w:rPr>
              <w:t>应急分队</w:t>
            </w:r>
          </w:p>
        </w:tc>
        <w:tc>
          <w:tcPr>
            <w:tcW w:w="89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林芳良</w:t>
            </w:r>
          </w:p>
        </w:tc>
        <w:tc>
          <w:tcPr>
            <w:tcW w:w="5613" w:type="dxa"/>
            <w:noWrap w:val="0"/>
            <w:vAlign w:val="center"/>
          </w:tcPr>
          <w:p>
            <w:pPr>
              <w:adjustRightInd w:val="0"/>
              <w:snapToGrid w:val="0"/>
              <w:spacing w:line="280" w:lineRule="exact"/>
              <w:ind w:left="-107" w:leftChars="-51" w:right="-53" w:rightChars="-25"/>
              <w:rPr>
                <w:rFonts w:hint="eastAsia" w:ascii="宋体" w:hAnsi="宋体" w:cs="宋体"/>
                <w:sz w:val="24"/>
              </w:rPr>
            </w:pPr>
            <w:r>
              <w:rPr>
                <w:rFonts w:hint="eastAsia" w:ascii="宋体" w:hAnsi="宋体" w:cs="宋体"/>
                <w:sz w:val="24"/>
              </w:rPr>
              <w:t>负责水利工程突发险情的抢护，帮助实施紧急转移</w:t>
            </w:r>
          </w:p>
        </w:tc>
        <w:tc>
          <w:tcPr>
            <w:tcW w:w="1453" w:type="dxa"/>
            <w:noWrap w:val="0"/>
            <w:vAlign w:val="center"/>
          </w:tcPr>
          <w:p>
            <w:pPr>
              <w:adjustRightInd w:val="0"/>
              <w:snapToGrid w:val="0"/>
              <w:spacing w:line="280" w:lineRule="exact"/>
              <w:ind w:left="-107" w:leftChars="-51" w:right="-53" w:rightChars="-25"/>
              <w:jc w:val="center"/>
              <w:rPr>
                <w:rFonts w:hint="eastAsia" w:ascii="宋体" w:hAnsi="宋体" w:cs="宋体"/>
                <w:sz w:val="24"/>
              </w:rPr>
            </w:pPr>
            <w:r>
              <w:rPr>
                <w:rFonts w:hint="eastAsia" w:ascii="宋体" w:hAnsi="宋体" w:cs="宋体"/>
                <w:sz w:val="24"/>
              </w:rPr>
              <w:t>87755985</w:t>
            </w:r>
          </w:p>
        </w:tc>
      </w:tr>
    </w:tbl>
    <w:p>
      <w:pPr>
        <w:spacing w:line="512" w:lineRule="exact"/>
        <w:ind w:firstLine="640" w:firstLineChars="200"/>
        <w:outlineLvl w:val="0"/>
        <w:rPr>
          <w:rFonts w:hint="eastAsia" w:ascii="黑体" w:hAnsi="宋体" w:eastAsia="黑体"/>
          <w:sz w:val="32"/>
          <w:szCs w:val="32"/>
        </w:rPr>
      </w:pPr>
      <w:r>
        <w:rPr>
          <w:rFonts w:hint="eastAsia" w:ascii="黑体" w:hAnsi="宋体" w:eastAsia="黑体"/>
          <w:sz w:val="32"/>
          <w:szCs w:val="32"/>
        </w:rPr>
        <w:t>四、预警方式</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1、值班带班</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进入汛期(4月1日至10月15日)，村值班室指定</w:t>
      </w:r>
      <w:r>
        <w:rPr>
          <w:rFonts w:hint="eastAsia" w:ascii="仿宋_GB2312" w:hAnsi="宋体" w:eastAsia="仿宋_GB2312"/>
          <w:sz w:val="32"/>
          <w:szCs w:val="32"/>
          <w:lang w:val="en-US" w:eastAsia="zh-CN"/>
        </w:rPr>
        <w:t>房文明</w:t>
      </w:r>
      <w:r>
        <w:rPr>
          <w:rFonts w:hint="eastAsia" w:ascii="仿宋_GB2312" w:hAnsi="宋体" w:eastAsia="仿宋_GB2312"/>
          <w:sz w:val="32"/>
          <w:szCs w:val="32"/>
        </w:rPr>
        <w:t>负责值守。在接到镇灾害性天气预报(暴雨以上降水)后，村领导应24小时带班，并安排相关人员进行临时简易监测。</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简易雨量计监测人：林法珍    </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2、信息发布</w:t>
      </w:r>
    </w:p>
    <w:p>
      <w:pPr>
        <w:spacing w:line="512" w:lineRule="exact"/>
        <w:ind w:firstLine="672"/>
        <w:rPr>
          <w:rFonts w:hint="eastAsia" w:ascii="仿宋_GB2312" w:hAnsi="宋体" w:eastAsia="仿宋_GB2312"/>
          <w:sz w:val="32"/>
          <w:szCs w:val="32"/>
        </w:rPr>
      </w:pPr>
      <w:r>
        <w:rPr>
          <w:rFonts w:hint="eastAsia" w:ascii="仿宋_GB2312" w:hAnsi="宋体" w:eastAsia="仿宋_GB2312"/>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主任和中心户长分头入户通知易发灾害点村民，做到不漏一户、不漏一人。发现灾情苗头或出现灾情险情时要及时上报镇政府。</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3、应急巡查</w:t>
      </w:r>
    </w:p>
    <w:p>
      <w:pPr>
        <w:spacing w:line="512" w:lineRule="exact"/>
        <w:ind w:firstLine="672"/>
        <w:rPr>
          <w:rFonts w:hint="eastAsia" w:ascii="仿宋_GB2312" w:hAnsi="宋体" w:eastAsia="仿宋_GB2312"/>
          <w:sz w:val="32"/>
          <w:szCs w:val="32"/>
        </w:rPr>
      </w:pPr>
      <w:r>
        <w:rPr>
          <w:rFonts w:hint="eastAsia" w:ascii="仿宋_GB2312" w:hAnsi="宋体" w:eastAsia="仿宋_GB2312"/>
          <w:sz w:val="32"/>
          <w:szCs w:val="32"/>
        </w:rPr>
        <w:t>接到灾害性天气预报时，主要水利工程、重点部位责任人要上岗到位，加强巡查，出现暴雨以上降水，村两委组织应急小组不间断进行全面巡查。</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4、预警指标</w:t>
      </w:r>
    </w:p>
    <w:p>
      <w:pPr>
        <w:spacing w:line="512" w:lineRule="exact"/>
        <w:ind w:firstLine="672"/>
        <w:rPr>
          <w:rFonts w:hint="eastAsia" w:ascii="仿宋_GB2312" w:hAnsi="宋体" w:eastAsia="仿宋_GB2312"/>
          <w:sz w:val="32"/>
          <w:szCs w:val="32"/>
        </w:rPr>
      </w:pPr>
      <w:r>
        <w:rPr>
          <w:rFonts w:hint="eastAsia" w:ascii="仿宋_GB2312" w:hAnsi="宋体" w:eastAsia="仿宋_GB2312"/>
          <w:sz w:val="32"/>
          <w:szCs w:val="32"/>
        </w:rPr>
        <w:t>接到巡查人员、村民发现灾情苗头或接到险情报告后，工作小组人员应在10分钟内赶到指定地点，开展抢险救灾、撤离受威胁人员，村</w:t>
      </w:r>
      <w:r>
        <w:rPr>
          <w:rFonts w:hint="eastAsia" w:ascii="仿宋_GB2312" w:hAnsi="宋体" w:eastAsia="仿宋_GB2312"/>
          <w:sz w:val="32"/>
          <w:szCs w:val="32"/>
          <w:lang w:val="en-US" w:eastAsia="zh-CN"/>
        </w:rPr>
        <w:t>书记</w:t>
      </w:r>
      <w:r>
        <w:rPr>
          <w:rFonts w:hint="eastAsia" w:ascii="仿宋_GB2312" w:hAnsi="宋体" w:eastAsia="仿宋_GB2312"/>
          <w:sz w:val="32"/>
          <w:szCs w:val="32"/>
        </w:rPr>
        <w:t>、</w:t>
      </w:r>
      <w:r>
        <w:rPr>
          <w:rFonts w:hint="eastAsia" w:ascii="仿宋_GB2312" w:hAnsi="宋体" w:eastAsia="仿宋_GB2312"/>
          <w:sz w:val="32"/>
          <w:szCs w:val="32"/>
          <w:lang w:val="en-US" w:eastAsia="zh-CN"/>
        </w:rPr>
        <w:t>主任</w:t>
      </w:r>
      <w:r>
        <w:rPr>
          <w:rFonts w:hint="eastAsia" w:ascii="仿宋_GB2312" w:hAnsi="宋体" w:eastAsia="仿宋_GB2312"/>
          <w:sz w:val="32"/>
          <w:szCs w:val="32"/>
        </w:rPr>
        <w:t xml:space="preserve">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pacing w:line="512" w:lineRule="exact"/>
        <w:ind w:firstLine="672"/>
        <w:rPr>
          <w:rFonts w:hint="eastAsia" w:ascii="仿宋_GB2312" w:hAnsi="宋体" w:eastAsia="仿宋_GB2312"/>
          <w:sz w:val="32"/>
          <w:szCs w:val="32"/>
        </w:rPr>
      </w:pPr>
      <w:r>
        <w:rPr>
          <w:rFonts w:hint="eastAsia" w:ascii="仿宋_GB2312" w:hAnsi="宋体" w:eastAsia="仿宋_GB2312"/>
          <w:sz w:val="32"/>
          <w:szCs w:val="32"/>
        </w:rPr>
        <w:t>(1)铜锣：慢速敲击准备转移；急速敲击立即转移。</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(2)手摇报警器:立即转移。</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(3)电话和口头通知：按通知内容执行。</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5、转移、撤离方案</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各主要易灾点群众按照已经安排好的转移路线安全转移到避灾安置点。</w:t>
      </w:r>
    </w:p>
    <w:p>
      <w:pPr>
        <w:suppressAutoHyphens/>
        <w:overflowPunct w:val="0"/>
        <w:spacing w:line="500" w:lineRule="exact"/>
        <w:ind w:firstLine="601"/>
        <w:rPr>
          <w:rFonts w:hint="eastAsia" w:ascii="仿宋_GB2312" w:hAnsi="宋体" w:eastAsia="仿宋_GB2312"/>
          <w:spacing w:val="-6"/>
          <w:sz w:val="32"/>
          <w:szCs w:val="32"/>
        </w:rPr>
      </w:pPr>
      <w:r>
        <w:rPr>
          <w:rFonts w:hint="eastAsia" w:ascii="仿宋_GB2312" w:hAnsi="宋体" w:eastAsia="仿宋_GB2312"/>
          <w:spacing w:val="-6"/>
          <w:sz w:val="32"/>
          <w:szCs w:val="32"/>
        </w:rPr>
        <w:t>在组织撤离时，要服从联系负责人的统一指挥和安排，做到动作迅速、秩序井然和相互关照，要以保证生命安全为主，千万不要为了顾及家里财产而延误撤离时机，在较短的时间内撤离到指定安全地带。村支部</w:t>
      </w:r>
      <w:bookmarkStart w:id="0" w:name="_GoBack"/>
      <w:bookmarkEnd w:id="0"/>
      <w:r>
        <w:rPr>
          <w:rFonts w:hint="eastAsia" w:ascii="仿宋_GB2312" w:hAnsi="宋体" w:eastAsia="仿宋_GB2312"/>
          <w:spacing w:val="-6"/>
          <w:sz w:val="32"/>
          <w:szCs w:val="32"/>
        </w:rPr>
        <w:t>书记、主任在本村遭遇严重山洪组织群众撤离时，要尽早向镇政府和泉港区防汛抗旱指挥部办公室汇报。</w:t>
      </w:r>
    </w:p>
    <w:p>
      <w:pPr>
        <w:spacing w:line="50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6、灾后自救</w:t>
      </w:r>
    </w:p>
    <w:p>
      <w:pPr>
        <w:spacing w:line="500" w:lineRule="exact"/>
        <w:ind w:firstLine="662" w:firstLineChars="207"/>
        <w:rPr>
          <w:rFonts w:hint="eastAsia" w:ascii="仿宋_GB2312" w:hAnsi="宋体" w:eastAsia="仿宋_GB2312"/>
          <w:sz w:val="32"/>
          <w:szCs w:val="32"/>
        </w:rPr>
      </w:pPr>
      <w:r>
        <w:rPr>
          <w:rFonts w:hint="eastAsia" w:ascii="仿宋_GB2312" w:hAnsi="宋体" w:eastAsia="仿宋_GB2312"/>
          <w:sz w:val="32"/>
          <w:szCs w:val="32"/>
        </w:rPr>
        <w:t>村书记、主任及工作组组织村民开展恢复生活、生产、安置、卫生防疫、水毁抢修等灾后自救工作，并及时补充防汛抢险物资。</w:t>
      </w:r>
    </w:p>
    <w:p>
      <w:pPr>
        <w:spacing w:line="50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7、灾情上报</w:t>
      </w:r>
    </w:p>
    <w:p>
      <w:pPr>
        <w:spacing w:line="500" w:lineRule="exact"/>
        <w:ind w:firstLine="672"/>
        <w:rPr>
          <w:rFonts w:hint="eastAsia" w:ascii="仿宋_GB2312" w:hAnsi="宋体" w:eastAsia="仿宋_GB2312"/>
          <w:sz w:val="32"/>
          <w:szCs w:val="32"/>
        </w:rPr>
      </w:pPr>
      <w:r>
        <w:rPr>
          <w:rFonts w:hint="eastAsia" w:ascii="仿宋_GB2312" w:hAnsi="宋体" w:eastAsia="仿宋_GB2312"/>
          <w:sz w:val="32"/>
          <w:szCs w:val="32"/>
        </w:rPr>
        <w:t>村书记、主任指定专人负责收集受灾情况和抢险救灾典型事迹，并及时上报镇政府。</w:t>
      </w:r>
    </w:p>
    <w:p>
      <w:pPr>
        <w:spacing w:line="500" w:lineRule="exact"/>
        <w:ind w:firstLine="662" w:firstLineChars="207"/>
        <w:rPr>
          <w:rFonts w:hint="eastAsia" w:ascii="黑体" w:hAnsi="黑体" w:eastAsia="黑体" w:cs="黑体"/>
          <w:sz w:val="32"/>
          <w:szCs w:val="32"/>
        </w:rPr>
      </w:pPr>
      <w:r>
        <w:rPr>
          <w:rFonts w:hint="eastAsia" w:ascii="黑体" w:hAnsi="黑体" w:eastAsia="黑体" w:cs="黑体"/>
          <w:sz w:val="32"/>
          <w:szCs w:val="32"/>
        </w:rPr>
        <w:t>五、宣传培训演练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每年汛前，由村委会统一安排，举办山洪灾害防御知识的宣传与培训，并组织相关人员参加防汛抗洪抢险救灾演练。</w:t>
      </w:r>
    </w:p>
    <w:p>
      <w:pPr>
        <w:rPr>
          <w:rFonts w:hint="eastAsia" w:ascii="黑体" w:hAnsi="Arial" w:eastAsia="黑体" w:cs="Arial"/>
          <w:bCs/>
          <w:kern w:val="0"/>
          <w:sz w:val="32"/>
          <w:szCs w:val="32"/>
        </w:rPr>
      </w:pPr>
    </w:p>
    <w:p>
      <w:pPr>
        <w:rPr>
          <w:rFonts w:hint="eastAsia" w:ascii="黑体" w:hAnsi="Arial" w:eastAsia="黑体" w:cs="Arial"/>
          <w:bCs/>
          <w:kern w:val="0"/>
          <w:sz w:val="32"/>
          <w:szCs w:val="32"/>
        </w:rPr>
      </w:pPr>
    </w:p>
    <w:p>
      <w:pPr>
        <w:rPr>
          <w:rFonts w:hint="eastAsia" w:ascii="黑体" w:hAnsi="Arial" w:eastAsia="黑体" w:cs="Arial"/>
          <w:bCs/>
          <w:kern w:val="0"/>
          <w:sz w:val="32"/>
          <w:szCs w:val="32"/>
        </w:rPr>
      </w:pPr>
    </w:p>
    <w:p>
      <w:pPr>
        <w:rPr>
          <w:rFonts w:hint="eastAsia" w:ascii="黑体" w:hAnsi="Arial" w:eastAsia="黑体" w:cs="Arial"/>
          <w:bCs/>
          <w:kern w:val="0"/>
          <w:sz w:val="32"/>
          <w:szCs w:val="32"/>
        </w:rPr>
      </w:pPr>
    </w:p>
    <w:p>
      <w:pPr>
        <w:rPr>
          <w:rFonts w:hint="eastAsia" w:ascii="黑体" w:hAnsi="Arial" w:eastAsia="黑体" w:cs="Arial"/>
          <w:bCs/>
          <w:kern w:val="0"/>
          <w:sz w:val="32"/>
          <w:szCs w:val="32"/>
        </w:rPr>
      </w:pPr>
    </w:p>
    <w:p>
      <w:pPr>
        <w:rPr>
          <w:rFonts w:hint="eastAsia" w:ascii="黑体" w:hAnsi="Arial" w:eastAsia="黑体" w:cs="Arial"/>
          <w:bCs/>
          <w:kern w:val="0"/>
          <w:sz w:val="32"/>
          <w:szCs w:val="32"/>
        </w:rPr>
      </w:pPr>
    </w:p>
    <w:p>
      <w:pPr>
        <w:rPr>
          <w:rFonts w:hint="eastAsia" w:ascii="黑体" w:hAnsi="Arial" w:eastAsia="黑体" w:cs="Arial"/>
          <w:bCs/>
          <w:kern w:val="0"/>
          <w:sz w:val="32"/>
          <w:szCs w:val="32"/>
        </w:rPr>
      </w:pPr>
    </w:p>
    <w:p>
      <w:pPr>
        <w:rPr>
          <w:rFonts w:hint="eastAsia" w:ascii="黑体" w:hAnsi="Arial" w:eastAsia="黑体" w:cs="Arial"/>
          <w:bCs/>
          <w:kern w:val="0"/>
          <w:sz w:val="32"/>
          <w:szCs w:val="32"/>
        </w:rPr>
      </w:pPr>
      <w:r>
        <w:rPr>
          <w:rFonts w:hint="eastAsia" w:ascii="黑体" w:hAnsi="Arial" w:eastAsia="黑体" w:cs="Arial"/>
          <w:bCs/>
          <w:kern w:val="0"/>
          <w:sz w:val="32"/>
          <w:szCs w:val="32"/>
        </w:rPr>
        <w:t>附件1</w:t>
      </w:r>
    </w:p>
    <w:p>
      <w:pPr>
        <w:spacing w:line="24" w:lineRule="atLeas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前亭村防汛抢险救灾流程图</w:t>
      </w:r>
    </w:p>
    <w:p>
      <w:pPr>
        <w:spacing w:line="240" w:lineRule="exact"/>
        <w:jc w:val="center"/>
        <w:rPr>
          <w:rFonts w:hint="eastAsia" w:ascii="仿宋_GB2312" w:hAnsi="宋体" w:eastAsia="仿宋_GB2312"/>
          <w:b/>
          <w:sz w:val="32"/>
          <w:szCs w:val="32"/>
        </w:rPr>
      </w:pPr>
    </w:p>
    <w:p>
      <w:pPr>
        <w:spacing w:line="24" w:lineRule="atLeast"/>
        <w:jc w:val="center"/>
        <w:rPr>
          <w:rFonts w:hint="eastAsia" w:ascii="仿宋_GB2312" w:hAnsi="宋体" w:eastAsia="仿宋_GB2312"/>
          <w:sz w:val="32"/>
          <w:szCs w:val="32"/>
        </w:rPr>
      </w:pPr>
      <w:r>
        <w:rPr>
          <w:rFonts w:hint="eastAsia" w:ascii="仿宋_GB2312" w:hAnsi="宋体"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160020</wp:posOffset>
                </wp:positionV>
                <wp:extent cx="5512435" cy="7014845"/>
                <wp:effectExtent l="5080" t="4445" r="6985" b="10160"/>
                <wp:wrapNone/>
                <wp:docPr id="106" name="组合 106"/>
                <wp:cNvGraphicFramePr/>
                <a:graphic xmlns:a="http://schemas.openxmlformats.org/drawingml/2006/main">
                  <a:graphicData uri="http://schemas.microsoft.com/office/word/2010/wordprocessingGroup">
                    <wpg:wgp>
                      <wpg:cNvGrpSpPr/>
                      <wpg:grpSpPr>
                        <a:xfrm>
                          <a:off x="0" y="0"/>
                          <a:ext cx="5512435" cy="7014845"/>
                          <a:chOff x="0" y="0"/>
                          <a:chExt cx="9072" cy="11609"/>
                        </a:xfrm>
                      </wpg:grpSpPr>
                      <wpg:grpSp>
                        <wpg:cNvPr id="104" name="组合 104"/>
                        <wpg:cNvGrpSpPr/>
                        <wpg:grpSpPr>
                          <a:xfrm>
                            <a:off x="0" y="0"/>
                            <a:ext cx="9072" cy="11609"/>
                            <a:chOff x="0" y="0"/>
                            <a:chExt cx="9072" cy="11609"/>
                          </a:xfrm>
                        </wpg:grpSpPr>
                        <wps:wsp>
                          <wps:cNvPr id="1" name="直接连接符 1"/>
                          <wps:cNvCnPr/>
                          <wps:spPr>
                            <a:xfrm>
                              <a:off x="5544" y="5928"/>
                              <a:ext cx="0" cy="1729"/>
                            </a:xfrm>
                            <a:prstGeom prst="line">
                              <a:avLst/>
                            </a:prstGeom>
                            <a:ln w="9525" cap="flat" cmpd="sng">
                              <a:solidFill>
                                <a:srgbClr val="000000"/>
                              </a:solidFill>
                              <a:prstDash val="solid"/>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CnPr/>
                              <wps:spPr>
                                <a:xfrm>
                                  <a:off x="1176" y="0"/>
                                  <a:ext cx="0" cy="247"/>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247"/>
                                  <a:ext cx="0" cy="49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1176" y="988"/>
                                  <a:ext cx="1848" cy="0"/>
                                </a:xfrm>
                                <a:prstGeom prst="line">
                                  <a:avLst/>
                                </a:prstGeom>
                                <a:ln w="9525" cap="flat" cmpd="sng">
                                  <a:solidFill>
                                    <a:srgbClr val="000000"/>
                                  </a:solidFill>
                                  <a:prstDash val="solid"/>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CnPr/>
                              <wps:spPr>
                                <a:xfrm>
                                  <a:off x="336" y="6175"/>
                                  <a:ext cx="0" cy="2470"/>
                                </a:xfrm>
                                <a:prstGeom prst="line">
                                  <a:avLst/>
                                </a:prstGeom>
                                <a:ln w="9525" cap="flat" cmpd="sng">
                                  <a:solidFill>
                                    <a:srgbClr val="000000"/>
                                  </a:solidFill>
                                  <a:prstDash val="solid"/>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CnPr/>
                                <wps:spPr>
                                  <a:xfrm>
                                    <a:off x="336" y="6175"/>
                                    <a:ext cx="840" cy="0"/>
                                  </a:xfrm>
                                  <a:prstGeom prst="line">
                                    <a:avLst/>
                                  </a:prstGeom>
                                  <a:ln w="9525" cap="flat" cmpd="sng">
                                    <a:solidFill>
                                      <a:srgbClr val="000000"/>
                                    </a:solidFill>
                                    <a:prstDash val="solid"/>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CnPr/>
                                  <wps:spPr>
                                    <a:xfrm>
                                      <a:off x="7728" y="5928"/>
                                      <a:ext cx="0" cy="494"/>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a:off x="6216" y="6175"/>
                                      <a:ext cx="1512" cy="0"/>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20"/>
                                              </w:rPr>
                                            </w:pPr>
                                            <w:r>
                                              <w:rPr>
                                                <w:rFonts w:hint="eastAsia" w:ascii="宋体"/>
                                                <w:sz w:val="20"/>
                                              </w:rPr>
                                              <w:t>组织抢险、转移人员：封桥、封路、挂警示牌等措施</w:t>
                                            </w:r>
                                          </w:p>
                                        </w:txbxContent>
                                      </wps:txbx>
                                      <wps:bodyPr upright="1"/>
                                    </wps:wsp>
                                    <wps:wsp>
                                      <wps:cNvPr id="12" name="直接连接符 12"/>
                                      <wps:cNvCnPr/>
                                      <wps:spPr>
                                        <a:xfrm>
                                          <a:off x="0" y="494"/>
                                          <a:ext cx="672"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flipV="1">
                                          <a:off x="336" y="247"/>
                                          <a:ext cx="408"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3696" y="247"/>
                                          <a:ext cx="2520"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3696" y="494"/>
                                          <a:ext cx="3024"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7896" y="494"/>
                                          <a:ext cx="1008"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6720" y="24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CnPr/>
                                      <wps:spPr>
                                        <a:xfrm>
                                          <a:off x="2856" y="1482"/>
                                          <a:ext cx="5040" cy="0"/>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2016" y="1729"/>
                                          <a:ext cx="0" cy="494"/>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a:off x="336" y="2223"/>
                                          <a:ext cx="6384"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336" y="2223"/>
                                          <a:ext cx="0" cy="494"/>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6720" y="2223"/>
                                          <a:ext cx="0" cy="49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2184" y="2223"/>
                                          <a:ext cx="0" cy="494"/>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864" y="2223"/>
                                          <a:ext cx="0" cy="494"/>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灾民安置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卫生防疫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恢复生产</w:t>
                                            </w:r>
                                          </w:p>
                                        </w:txbxContent>
                                      </wps:txbx>
                                      <wps:bodyPr upright="1"/>
                                    </wps:wsp>
                                    <wps:wsp>
                                      <wps:cNvPr id="31" name="直接连接符 31"/>
                                      <wps:cNvCnPr/>
                                      <wps:spPr>
                                        <a:xfrm>
                                          <a:off x="5208" y="2223"/>
                                          <a:ext cx="0" cy="494"/>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CnPr/>
                                      <wps:spPr>
                                        <a:xfrm>
                                          <a:off x="2256" y="741"/>
                                          <a:ext cx="0" cy="494"/>
                                        </a:xfrm>
                                        <a:prstGeom prst="line">
                                          <a:avLst/>
                                        </a:prstGeom>
                                        <a:ln w="9525" cap="flat" cmpd="sng">
                                          <a:solidFill>
                                            <a:srgbClr val="000000"/>
                                          </a:solidFill>
                                          <a:prstDash val="solid"/>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CnPr/>
                                    <wps:spPr>
                                      <a:xfrm>
                                        <a:off x="2184" y="6422"/>
                                        <a:ext cx="0" cy="988"/>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CnPr/>
                                    <wps:spPr>
                                      <a:xfrm flipH="1">
                                        <a:off x="3192" y="7657"/>
                                        <a:ext cx="2352"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2184" y="7904"/>
                                        <a:ext cx="0" cy="49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216" y="6168"/>
                                        <a:ext cx="0" cy="2477"/>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CnPr/>
                                    <wps:spPr>
                                      <a:xfrm>
                                        <a:off x="1176" y="4940"/>
                                        <a:ext cx="0" cy="24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76" y="5187"/>
                                        <a:ext cx="2184" cy="0"/>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CnPr/>
                                    <wps:spPr>
                                      <a:xfrm>
                                        <a:off x="6048" y="4940"/>
                                        <a:ext cx="1680"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7728" y="4940"/>
                                        <a:ext cx="0" cy="494"/>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6048" y="4940"/>
                                        <a:ext cx="0" cy="494"/>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CnPr/>
                                      <wps:spPr>
                                        <a:xfrm flipV="1">
                                          <a:off x="1176" y="3705"/>
                                          <a:ext cx="0" cy="74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696" y="3952"/>
                                          <a:ext cx="0" cy="494"/>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CnPr/>
                                      <wps:spPr>
                                        <a:xfrm flipV="1">
                                          <a:off x="5208" y="3705"/>
                                          <a:ext cx="0" cy="2223"/>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6888" y="4199"/>
                                          <a:ext cx="0" cy="741"/>
                                        </a:xfrm>
                                        <a:prstGeom prst="line">
                                          <a:avLst/>
                                        </a:prstGeom>
                                        <a:ln w="9525" cap="flat" cmpd="sng">
                                          <a:solidFill>
                                            <a:srgbClr val="000000"/>
                                          </a:solidFill>
                                          <a:prstDash val="solid"/>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62" name="直接连接符 62"/>
                                      <wps:cNvCnPr/>
                                      <wps:spPr>
                                        <a:xfrm>
                                          <a:off x="8904" y="3705"/>
                                          <a:ext cx="0" cy="5928"/>
                                        </a:xfrm>
                                        <a:prstGeom prst="line">
                                          <a:avLst/>
                                        </a:prstGeom>
                                        <a:ln w="9525" cap="flat" cmpd="sng">
                                          <a:solidFill>
                                            <a:srgbClr val="000000"/>
                                          </a:solidFill>
                                          <a:prstDash val="solid"/>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w:t>
                                              </w:r>
                                              <w:r>
                                                <w:rPr>
                                                  <w:rFonts w:hint="eastAsia" w:ascii="宋体"/>
                                                  <w:sz w:val="20"/>
                                                  <w:szCs w:val="20"/>
                                                  <w:lang w:val="en-US" w:eastAsia="zh-CN"/>
                                                </w:rPr>
                                                <w:t>87768276</w:t>
                                              </w:r>
                                              <w:r>
                                                <w:rPr>
                                                  <w:rFonts w:hint="eastAsia" w:ascii="宋体"/>
                                                  <w:sz w:val="20"/>
                                                  <w:szCs w:val="20"/>
                                                </w:rPr>
                                                <w:t xml:space="preserve">  </w:t>
                                              </w:r>
                                            </w:p>
                                          </w:txbxContent>
                                        </wps:txbx>
                                        <wps:bodyPr upright="1"/>
                                      </wps:wsp>
                                      <wps:wsp>
                                        <wps:cNvPr id="64" name="文本框 64"/>
                                        <wps:cNvSpPr txBox="1"/>
                                        <wps:spPr>
                                          <a:xfrm>
                                            <a:off x="5880" y="3458"/>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p>
                                          </w:txbxContent>
                                        </wps:txbx>
                                        <wps:bodyPr upright="1"/>
                                      </wps:wsp>
                                      <wps:wsp>
                                        <wps:cNvPr id="65" name="直接连接符 65"/>
                                        <wps:cNvCnPr/>
                                        <wps:spPr>
                                          <a:xfrm>
                                            <a:off x="5040" y="3705"/>
                                            <a:ext cx="840" cy="0"/>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CnPr/>
                                        <wps:spPr>
                                          <a:xfrm>
                                            <a:off x="2016" y="3458"/>
                                            <a:ext cx="504"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flipH="1">
                                            <a:off x="8400" y="3705"/>
                                            <a:ext cx="504" cy="0"/>
                                          </a:xfrm>
                                          <a:prstGeom prst="line">
                                            <a:avLst/>
                                          </a:prstGeom>
                                          <a:ln w="9525" cap="flat" cmpd="sng">
                                            <a:solidFill>
                                              <a:srgbClr val="000000"/>
                                            </a:solidFill>
                                            <a:prstDash val="solid"/>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CnPr/>
                                          <wps:spPr>
                                            <a:xfrm>
                                              <a:off x="0" y="2223"/>
                                              <a:ext cx="0" cy="6669"/>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7560" y="2223"/>
                                              <a:ext cx="0" cy="1235"/>
                                            </a:xfrm>
                                            <a:prstGeom prst="line">
                                              <a:avLst/>
                                            </a:prstGeom>
                                            <a:ln w="9525" cap="flat" cmpd="sng">
                                              <a:solidFill>
                                                <a:srgbClr val="000000"/>
                                              </a:solidFill>
                                              <a:prstDash val="solid"/>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CnPr/>
                                              <wps:spPr>
                                                <a:xfrm>
                                                  <a:off x="0" y="494"/>
                                                  <a:ext cx="3024"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5544" y="247"/>
                                                  <a:ext cx="1680" cy="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a:off x="5544" y="494"/>
                                                  <a:ext cx="2016" cy="0"/>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CnPr/>
                                                <wps:spPr>
                                                  <a:xfrm flipH="1">
                                                    <a:off x="4032" y="247"/>
                                                    <a:ext cx="672" cy="0"/>
                                                  </a:xfrm>
                                                  <a:prstGeom prst="line">
                                                    <a:avLst/>
                                                  </a:prstGeom>
                                                  <a:ln w="9525" cap="flat" cmpd="sng">
                                                    <a:solidFill>
                                                      <a:srgbClr val="000000"/>
                                                    </a:solidFill>
                                                    <a:prstDash val="solid"/>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CnPr/>
                                                <wps:spPr>
                                                  <a:xfrm>
                                                    <a:off x="3528" y="0"/>
                                                    <a:ext cx="0" cy="1729"/>
                                                  </a:xfrm>
                                                  <a:prstGeom prst="line">
                                                    <a:avLst/>
                                                  </a:prstGeom>
                                                  <a:ln w="9525" cap="flat" cmpd="sng">
                                                    <a:solidFill>
                                                      <a:srgbClr val="000000"/>
                                                    </a:solidFill>
                                                    <a:prstDash val="solid"/>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CnPr/>
                                                    <wps:spPr>
                                                      <a:xfrm>
                                                        <a:off x="1008" y="0"/>
                                                        <a:ext cx="0" cy="988"/>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flipV="1">
                                                        <a:off x="0" y="0"/>
                                                        <a:ext cx="0" cy="988"/>
                                                      </a:xfrm>
                                                      <a:prstGeom prst="line">
                                                        <a:avLst/>
                                                      </a:prstGeom>
                                                      <a:ln w="9525" cap="flat" cmpd="sng">
                                                        <a:solidFill>
                                                          <a:srgbClr val="000000"/>
                                                        </a:solidFill>
                                                        <a:prstDash val="solid"/>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CnPr/>
                                            <wps:spPr>
                                              <a:xfrm flipV="1">
                                                <a:off x="0" y="0"/>
                                                <a:ext cx="0" cy="74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1008" y="0"/>
                                                <a:ext cx="0" cy="741"/>
                                              </a:xfrm>
                                              <a:prstGeom prst="line">
                                                <a:avLst/>
                                              </a:prstGeom>
                                              <a:ln w="9525" cap="flat" cmpd="sng">
                                                <a:solidFill>
                                                  <a:srgbClr val="000000"/>
                                                </a:solidFill>
                                                <a:prstDash val="solid"/>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6" y="5681"/>
                            <a:ext cx="319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eastAsia="宋体"/>
                                  <w:sz w:val="20"/>
                                  <w:szCs w:val="20"/>
                                  <w:lang w:val="en-US" w:eastAsia="zh-CN"/>
                                </w:rPr>
                              </w:pPr>
                              <w:r>
                                <w:rPr>
                                  <w:rFonts w:hint="eastAsia" w:ascii="宋体" w:hAnsi="宋体"/>
                                  <w:sz w:val="20"/>
                                  <w:szCs w:val="20"/>
                                </w:rPr>
                                <w:t>书记、主任</w:t>
                              </w:r>
                              <w:r>
                                <w:rPr>
                                  <w:rFonts w:hint="eastAsia" w:ascii="宋体" w:hAnsi="宋体"/>
                                  <w:sz w:val="20"/>
                                  <w:szCs w:val="20"/>
                                  <w:lang w:eastAsia="zh-CN"/>
                                </w:rPr>
                                <w:t>：</w:t>
                              </w:r>
                              <w:r>
                                <w:rPr>
                                  <w:rFonts w:hint="eastAsia" w:ascii="宋体" w:hAnsi="宋体"/>
                                  <w:sz w:val="20"/>
                                  <w:szCs w:val="20"/>
                                </w:rPr>
                                <w:t>房文</w:t>
                              </w:r>
                              <w:r>
                                <w:rPr>
                                  <w:rFonts w:hint="eastAsia" w:ascii="宋体" w:hAnsi="宋体"/>
                                  <w:sz w:val="20"/>
                                  <w:szCs w:val="20"/>
                                  <w:lang w:val="en-US" w:eastAsia="zh-CN"/>
                                </w:rPr>
                                <w:t>明</w:t>
                              </w:r>
                            </w:p>
                          </w:txbxContent>
                        </wps:txbx>
                        <wps:bodyPr upright="1"/>
                      </wps:wsp>
                    </wpg:wgp>
                  </a:graphicData>
                </a:graphic>
              </wp:anchor>
            </w:drawing>
          </mc:Choice>
          <mc:Fallback>
            <w:pict>
              <v:group id="_x0000_s1026" o:spid="_x0000_s1026" o:spt="203" style="position:absolute;left:0pt;margin-left:0.35pt;margin-top:12.6pt;height:552.35pt;width:434.05pt;z-index:251659264;mso-width-relative:page;mso-height-relative:page;" coordsize="9072,11609" o:gfxdata="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">
                <o:lock v:ext="edit"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544;top:5928;height:1729;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176;top:0;height:247;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7;height:49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76;top:988;height:0;width:184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36;top:6175;height:247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36;top:6175;height:0;width:84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28;top:5928;height:49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6216;top:6175;height:0;width:1512;"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20"/>
                                        </w:rPr>
                                      </w:pPr>
                                      <w:r>
                                        <w:rPr>
                                          <w:rFonts w:hint="eastAsia" w:ascii="宋体"/>
                                          <w:sz w:val="20"/>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36;top:247;flip:y;height:0;width:40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96;top:247;flip:x;height:0;width:252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96;top:494;height:0;width:302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6;top:494;height:0;width:100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720;top:247;height:494;width:11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016;top:1729;height:494;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36;top:2223;height:0;width:638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top:2223;height:49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20;top:2223;height:49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84;top:2223;height:494;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64;top:2223;height:49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灾民安置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卫生防疫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恢复生产</w:t>
                                      </w:r>
                                    </w:p>
                                  </w:txbxContent>
                                </v:textbox>
                              </v:shape>
                              <v:line id="_x0000_s1026" o:spid="_x0000_s1026" o:spt="20" style="position:absolute;left:5208;top:2223;height:494;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84;top:7904;height:49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16;top:6168;height:247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6;top:5187;height:0;width:218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728;top:4940;height:494;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48;top:4940;height:49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76;top:3705;flip:y;height:741;width: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96;top:3952;height:494;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888;top:4199;height:74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8904;top:3705;height:5928;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w:t>
                                        </w:r>
                                        <w:r>
                                          <w:rPr>
                                            <w:rFonts w:hint="eastAsia" w:ascii="宋体"/>
                                            <w:sz w:val="20"/>
                                            <w:szCs w:val="20"/>
                                            <w:lang w:val="en-US" w:eastAsia="zh-CN"/>
                                          </w:rPr>
                                          <w:t>87768276</w:t>
                                        </w:r>
                                        <w:r>
                                          <w:rPr>
                                            <w:rFonts w:hint="eastAsia" w:ascii="宋体"/>
                                            <w:sz w:val="20"/>
                                            <w:szCs w:val="20"/>
                                          </w:rPr>
                                          <w:t xml:space="preserve">  </w:t>
                                        </w:r>
                                      </w:p>
                                    </w:txbxContent>
                                  </v:textbox>
                                </v:shape>
                                <v:shape id="_x0000_s1026" o:spid="_x0000_s1026" o:spt="202" type="#_x0000_t202" style="position:absolute;left:5880;top:3458;height:741;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p>
                                    </w:txbxContent>
                                  </v:textbox>
                                </v:shape>
                                <v:line id="_x0000_s1026" o:spid="_x0000_s1026" o:spt="20" style="position:absolute;left:5040;top:3705;height:0;width:84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00;top:3705;flip:x;height:0;width:504;"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2223;height:6669;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560;top:2223;height:1235;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4;top:247;height:0;width:16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494;flip:x;height:0;width:2016;"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528;top:0;height:1729;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008;top:0;height:988;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988;width: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y;height:741;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08;top:0;height:74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6;top:5681;height:741;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hint="eastAsia" w:ascii="宋体" w:hAnsi="宋体" w:eastAsia="宋体"/>
                            <w:sz w:val="20"/>
                            <w:szCs w:val="20"/>
                            <w:lang w:val="en-US" w:eastAsia="zh-CN"/>
                          </w:rPr>
                        </w:pPr>
                        <w:r>
                          <w:rPr>
                            <w:rFonts w:hint="eastAsia" w:ascii="宋体" w:hAnsi="宋体"/>
                            <w:sz w:val="20"/>
                            <w:szCs w:val="20"/>
                          </w:rPr>
                          <w:t>书记、主任</w:t>
                        </w:r>
                        <w:r>
                          <w:rPr>
                            <w:rFonts w:hint="eastAsia" w:ascii="宋体" w:hAnsi="宋体"/>
                            <w:sz w:val="20"/>
                            <w:szCs w:val="20"/>
                            <w:lang w:eastAsia="zh-CN"/>
                          </w:rPr>
                          <w:t>：</w:t>
                        </w:r>
                        <w:r>
                          <w:rPr>
                            <w:rFonts w:hint="eastAsia" w:ascii="宋体" w:hAnsi="宋体"/>
                            <w:sz w:val="20"/>
                            <w:szCs w:val="20"/>
                          </w:rPr>
                          <w:t>房文</w:t>
                        </w:r>
                        <w:r>
                          <w:rPr>
                            <w:rFonts w:hint="eastAsia" w:ascii="宋体" w:hAnsi="宋体"/>
                            <w:sz w:val="20"/>
                            <w:szCs w:val="20"/>
                            <w:lang w:val="en-US" w:eastAsia="zh-CN"/>
                          </w:rPr>
                          <w:t>明</w:t>
                        </w:r>
                      </w:p>
                    </w:txbxContent>
                  </v:textbox>
                </v:shape>
              </v:group>
            </w:pict>
          </mc:Fallback>
        </mc:AlternateContent>
      </w: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rPr>
          <w:rFonts w:hint="eastAsia" w:ascii="黑体" w:hAnsi="Arial" w:eastAsia="黑体" w:cs="Arial"/>
          <w:b/>
          <w:bCs/>
          <w:kern w:val="0"/>
          <w:sz w:val="32"/>
          <w:szCs w:val="32"/>
        </w:rPr>
      </w:pPr>
    </w:p>
    <w:p>
      <w:pPr>
        <w:rPr>
          <w:rFonts w:hint="eastAsia" w:ascii="黑体" w:hAnsi="Arial" w:eastAsia="黑体" w:cs="Arial"/>
          <w:b/>
          <w:bCs/>
          <w:kern w:val="0"/>
          <w:sz w:val="32"/>
          <w:szCs w:val="32"/>
        </w:rPr>
      </w:pPr>
    </w:p>
    <w:p>
      <w:pPr>
        <w:rPr>
          <w:rFonts w:hint="eastAsia" w:ascii="黑体" w:hAnsi="Arial" w:eastAsia="黑体" w:cs="Arial"/>
          <w:b/>
          <w:bCs/>
          <w:kern w:val="0"/>
          <w:sz w:val="32"/>
          <w:szCs w:val="32"/>
        </w:rPr>
      </w:pPr>
    </w:p>
    <w:p>
      <w:pPr>
        <w:rPr>
          <w:rFonts w:hint="eastAsia" w:ascii="黑体" w:hAnsi="Arial" w:eastAsia="黑体" w:cs="Arial"/>
          <w:b/>
          <w:bCs/>
          <w:kern w:val="0"/>
          <w:sz w:val="32"/>
          <w:szCs w:val="32"/>
        </w:rPr>
      </w:pPr>
    </w:p>
    <w:p>
      <w:pPr>
        <w:rPr>
          <w:rFonts w:hint="eastAsia" w:ascii="黑体" w:hAnsi="Arial" w:eastAsia="黑体" w:cs="Arial"/>
          <w:b/>
          <w:bCs/>
          <w:kern w:val="0"/>
          <w:sz w:val="32"/>
          <w:szCs w:val="32"/>
        </w:rPr>
      </w:pPr>
    </w:p>
    <w:p>
      <w:pPr>
        <w:rPr>
          <w:rFonts w:hint="eastAsia" w:ascii="黑体" w:hAnsi="Arial" w:eastAsia="黑体" w:cs="Arial"/>
          <w:b/>
          <w:bCs/>
          <w:kern w:val="0"/>
          <w:sz w:val="32"/>
          <w:szCs w:val="32"/>
        </w:rPr>
      </w:pPr>
    </w:p>
    <w:p>
      <w:pPr>
        <w:rPr>
          <w:rFonts w:hint="eastAsia" w:ascii="黑体" w:hAnsi="Arial" w:eastAsia="黑体" w:cs="Arial"/>
          <w:b/>
          <w:bCs/>
          <w:kern w:val="0"/>
          <w:sz w:val="32"/>
          <w:szCs w:val="32"/>
        </w:rPr>
      </w:pPr>
    </w:p>
    <w:p>
      <w:pPr>
        <w:rPr>
          <w:rFonts w:hint="eastAsia" w:ascii="黑体" w:hAnsi="Arial" w:eastAsia="黑体" w:cs="Arial"/>
          <w:bCs/>
          <w:kern w:val="0"/>
          <w:sz w:val="32"/>
          <w:szCs w:val="32"/>
        </w:rPr>
      </w:pPr>
      <w:r>
        <w:rPr>
          <w:rFonts w:hint="eastAsia" w:ascii="黑体" w:hAnsi="Arial" w:eastAsia="黑体" w:cs="Arial"/>
          <w:bCs/>
          <w:kern w:val="0"/>
          <w:sz w:val="32"/>
          <w:szCs w:val="32"/>
        </w:rPr>
        <w:t>附件2</w:t>
      </w:r>
    </w:p>
    <w:p>
      <w:pPr>
        <w:spacing w:line="24" w:lineRule="atLeast"/>
        <w:rPr>
          <w:rFonts w:hint="eastAsia" w:ascii="仿宋_GB2312" w:hAnsi="宋体" w:eastAsia="仿宋_GB2312"/>
          <w:sz w:val="32"/>
          <w:szCs w:val="32"/>
        </w:rPr>
      </w:pPr>
    </w:p>
    <w:p>
      <w:pPr>
        <w:spacing w:line="24" w:lineRule="atLeas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前亭村防汛抢险物资储备情况表</w:t>
      </w:r>
    </w:p>
    <w:p>
      <w:pPr>
        <w:spacing w:line="24" w:lineRule="atLeast"/>
        <w:jc w:val="center"/>
        <w:rPr>
          <w:rFonts w:hint="eastAsia" w:ascii="仿宋_GB2312" w:hAnsi="宋体" w:eastAsia="仿宋_GB2312"/>
          <w:sz w:val="32"/>
          <w:szCs w:val="32"/>
        </w:rPr>
      </w:pPr>
      <w:r>
        <w:rPr>
          <w:rFonts w:hint="eastAsia" w:ascii="仿宋_GB2312" w:hAnsi="宋体" w:eastAsia="仿宋_GB2312"/>
          <w:sz w:val="32"/>
          <w:szCs w:val="32"/>
        </w:rPr>
        <w:t>物资管理员：</w:t>
      </w:r>
      <w:r>
        <w:rPr>
          <w:rFonts w:hint="eastAsia" w:ascii="仿宋_GB2312" w:hAnsi="宋体" w:eastAsia="仿宋_GB2312"/>
          <w:sz w:val="32"/>
          <w:szCs w:val="32"/>
          <w:lang w:val="en-US" w:eastAsia="zh-CN"/>
        </w:rPr>
        <w:t>张温娥</w:t>
      </w:r>
      <w:r>
        <w:rPr>
          <w:rFonts w:hint="eastAsia" w:ascii="仿宋_GB2312" w:hAnsi="宋体" w:eastAsia="仿宋_GB2312"/>
          <w:sz w:val="32"/>
          <w:szCs w:val="32"/>
        </w:rPr>
        <w:t>，</w:t>
      </w:r>
    </w:p>
    <w:tbl>
      <w:tblPr>
        <w:tblStyle w:val="4"/>
        <w:tblpPr w:leftFromText="180" w:rightFromText="180" w:vertAnchor="text" w:horzAnchor="page" w:tblpX="1896" w:tblpY="1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184"/>
        <w:gridCol w:w="1469"/>
        <w:gridCol w:w="3040"/>
        <w:gridCol w:w="1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物资名称</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单位</w:t>
            </w:r>
          </w:p>
        </w:tc>
        <w:tc>
          <w:tcPr>
            <w:tcW w:w="1469"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数量</w:t>
            </w:r>
          </w:p>
        </w:tc>
        <w:tc>
          <w:tcPr>
            <w:tcW w:w="3040"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存放地点</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救生衣</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件</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30</w:t>
            </w:r>
          </w:p>
        </w:tc>
        <w:tc>
          <w:tcPr>
            <w:tcW w:w="3040"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村部</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编织袋</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条</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500</w:t>
            </w:r>
          </w:p>
        </w:tc>
        <w:tc>
          <w:tcPr>
            <w:tcW w:w="3040"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村部、各农户</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手电筒</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把</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25</w:t>
            </w:r>
          </w:p>
        </w:tc>
        <w:tc>
          <w:tcPr>
            <w:tcW w:w="3040" w:type="dxa"/>
            <w:noWrap w:val="0"/>
            <w:vAlign w:val="center"/>
          </w:tcPr>
          <w:p>
            <w:pPr>
              <w:jc w:val="center"/>
              <w:rPr>
                <w:rFonts w:hint="eastAsia" w:ascii="仿宋_GB2312" w:hAnsi="宋体" w:eastAsia="仿宋_GB2312" w:cs="宋体"/>
                <w:b/>
                <w:bCs/>
                <w:sz w:val="32"/>
                <w:szCs w:val="32"/>
              </w:rPr>
            </w:pPr>
            <w:r>
              <w:rPr>
                <w:rFonts w:hint="eastAsia" w:ascii="仿宋_GB2312" w:hAnsi="宋体" w:eastAsia="仿宋_GB2312" w:cs="宋体"/>
                <w:sz w:val="32"/>
                <w:szCs w:val="32"/>
              </w:rPr>
              <w:t>拟分发给抢险人员</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锄头</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把</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18</w:t>
            </w:r>
          </w:p>
        </w:tc>
        <w:tc>
          <w:tcPr>
            <w:tcW w:w="3040"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各抢险人员</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铁锹</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把</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3040"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各抢险人员</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土箕</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担</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3040"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各抢险人员</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雨鞋</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双</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20</w:t>
            </w:r>
          </w:p>
        </w:tc>
        <w:tc>
          <w:tcPr>
            <w:tcW w:w="3040"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拟分发给抢险人员</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雨衣</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件</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23</w:t>
            </w:r>
          </w:p>
        </w:tc>
        <w:tc>
          <w:tcPr>
            <w:tcW w:w="3040"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村部</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手摇警报器</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套</w:t>
            </w:r>
          </w:p>
        </w:tc>
        <w:tc>
          <w:tcPr>
            <w:tcW w:w="1469"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3040"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村部</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铜锣</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套</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3040" w:type="dxa"/>
            <w:noWrap w:val="0"/>
            <w:vAlign w:val="center"/>
          </w:tcPr>
          <w:p>
            <w:pPr>
              <w:tabs>
                <w:tab w:val="right" w:pos="2844"/>
              </w:tabs>
              <w:jc w:val="center"/>
              <w:rPr>
                <w:rFonts w:hint="eastAsia" w:ascii="仿宋_GB2312" w:hAnsi="宋体" w:eastAsia="仿宋_GB2312" w:cs="宋体"/>
                <w:sz w:val="32"/>
                <w:szCs w:val="32"/>
              </w:rPr>
            </w:pPr>
            <w:r>
              <w:rPr>
                <w:rFonts w:hint="eastAsia" w:ascii="仿宋_GB2312" w:hAnsi="宋体" w:eastAsia="仿宋_GB2312" w:cs="宋体"/>
                <w:sz w:val="32"/>
                <w:szCs w:val="32"/>
              </w:rPr>
              <w:t>村部、铜锣长</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警戒线</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条</w:t>
            </w:r>
          </w:p>
        </w:tc>
        <w:tc>
          <w:tcPr>
            <w:tcW w:w="1469"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3</w:t>
            </w:r>
          </w:p>
        </w:tc>
        <w:tc>
          <w:tcPr>
            <w:tcW w:w="3040"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村部</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25"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砂石料</w:t>
            </w:r>
          </w:p>
        </w:tc>
        <w:tc>
          <w:tcPr>
            <w:tcW w:w="11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立方米</w:t>
            </w:r>
          </w:p>
        </w:tc>
        <w:tc>
          <w:tcPr>
            <w:tcW w:w="1469"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12</w:t>
            </w:r>
          </w:p>
        </w:tc>
        <w:tc>
          <w:tcPr>
            <w:tcW w:w="3040" w:type="dxa"/>
            <w:noWrap w:val="0"/>
            <w:vAlign w:val="center"/>
          </w:tcPr>
          <w:p>
            <w:pPr>
              <w:ind w:firstLine="160" w:firstLineChars="50"/>
              <w:jc w:val="center"/>
              <w:rPr>
                <w:rFonts w:hint="eastAsia" w:ascii="仿宋_GB2312" w:hAnsi="宋体" w:eastAsia="仿宋_GB2312" w:cs="宋体"/>
                <w:sz w:val="32"/>
                <w:szCs w:val="32"/>
              </w:rPr>
            </w:pPr>
            <w:r>
              <w:rPr>
                <w:rFonts w:hint="eastAsia" w:ascii="仿宋_GB2312" w:hAnsi="宋体" w:eastAsia="仿宋_GB2312" w:cs="宋体"/>
                <w:sz w:val="32"/>
                <w:szCs w:val="32"/>
              </w:rPr>
              <w:t>村内河沟旁</w:t>
            </w:r>
          </w:p>
        </w:tc>
        <w:tc>
          <w:tcPr>
            <w:tcW w:w="1229" w:type="dxa"/>
            <w:noWrap w:val="0"/>
            <w:vAlign w:val="center"/>
          </w:tcPr>
          <w:p>
            <w:pPr>
              <w:spacing w:line="440" w:lineRule="exact"/>
              <w:ind w:left="-170" w:right="-170"/>
              <w:jc w:val="center"/>
              <w:rPr>
                <w:rFonts w:hint="eastAsia" w:ascii="仿宋_GB2312" w:hAnsi="宋体" w:eastAsia="仿宋_GB2312" w:cs="宋体"/>
                <w:sz w:val="32"/>
                <w:szCs w:val="32"/>
              </w:rPr>
            </w:pPr>
          </w:p>
        </w:tc>
      </w:tr>
    </w:tbl>
    <w:p>
      <w:pPr>
        <w:rPr>
          <w:rFonts w:hint="eastAsia" w:ascii="黑体" w:hAnsi="Arial" w:eastAsia="黑体" w:cs="Arial"/>
          <w:kern w:val="0"/>
          <w:sz w:val="32"/>
          <w:szCs w:val="32"/>
        </w:rPr>
        <w:sectPr>
          <w:headerReference r:id="rId3" w:type="default"/>
          <w:footerReference r:id="rId4" w:type="default"/>
          <w:pgSz w:w="11907" w:h="16840"/>
          <w:pgMar w:top="2098" w:right="1588" w:bottom="1871" w:left="1588" w:header="851" w:footer="1417" w:gutter="0"/>
          <w:cols w:space="720" w:num="1"/>
          <w:docGrid w:linePitch="49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kern w:val="0"/>
        <w:szCs w:val="21"/>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1136650" cy="230505"/>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136650" cy="230505"/>
                      </a:xfrm>
                      <a:prstGeom prst="rect">
                        <a:avLst/>
                      </a:prstGeom>
                      <a:noFill/>
                      <a:ln>
                        <a:noFill/>
                      </a:ln>
                    </wps:spPr>
                    <wps:txbx>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15</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0"/>
                  </wps:wsp>
                </a:graphicData>
              </a:graphic>
            </wp:anchor>
          </w:drawing>
        </mc:Choice>
        <mc:Fallback>
          <w:pict>
            <v:shape id="_x0000_s1026" o:spid="_x0000_s1026" o:spt="202" type="#_x0000_t202" style="position:absolute;left:0pt;margin-top:0.1pt;height:18.15pt;width:89.5pt;mso-position-horizontal:outside;mso-position-horizontal-relative:margin;z-index:251660288;mso-width-relative:page;mso-height-relative:page;" filled="f" stroked="f" coordsize="21600,21600" o:gfxdata="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iktmNMAAAAEAQAADwAAAAAAAAABACAAAAAiAAAAZHJzL2Rvd25yZXYueG1sUEsBAhQAFAAA&#10;AAgAh07iQNYyAje7AQAAdgMAAA4AAAAAAAAAAQAgAAAAIgEAAGRycy9lMm9Eb2MueG1sUEsFBgAA&#10;AAAGAAYAWQEAAE8FAAAAAA==&#10;">
              <v:fill on="f" focussize="0,0"/>
              <v:stroke on="f"/>
              <v:imagedata o:title=""/>
              <o:lock v:ext="edit" aspectratio="f"/>
              <v:textbox inset="0mm,0mm,0mm,0mm">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15</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08A60865"/>
    <w:rsid w:val="08A60865"/>
    <w:rsid w:val="7985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
    <w:basedOn w:val="1"/>
    <w:qFormat/>
    <w:uiPriority w:val="0"/>
    <w:pPr>
      <w:spacing w:line="560" w:lineRule="exact"/>
      <w:ind w:firstLine="42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1614</Words>
  <Characters>1703</Characters>
  <Lines>0</Lines>
  <Paragraphs>0</Paragraphs>
  <TotalTime>1</TotalTime>
  <ScaleCrop>false</ScaleCrop>
  <LinksUpToDate>false</LinksUpToDate>
  <CharactersWithSpaces>1710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2023-03-15T08:47:00Z</dcterms:created>
  <dc:creator>小悦</dc:creator>
  <cp:lastModifiedBy>小悦</cp:lastModifiedBy>
  <dcterms:modified xsi:type="dcterms:W3CDTF">2023-03-17T01:51:19Z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12A9729CA00C4C119D321AAF927888B8</vt:lpwstr>
  </property>
</Properties>
</file>