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color w:val="000000"/>
          <w:sz w:val="32"/>
          <w:szCs w:val="32"/>
        </w:rPr>
      </w:pPr>
    </w:p>
    <w:p>
      <w:pPr>
        <w:spacing w:line="560" w:lineRule="exact"/>
        <w:jc w:val="center"/>
        <w:rPr>
          <w:rFonts w:hint="eastAsia" w:ascii="仿宋_GB2312" w:hAnsi="Times New Roman" w:eastAsia="仿宋_GB2312"/>
          <w:color w:val="000000"/>
          <w:sz w:val="32"/>
          <w:szCs w:val="32"/>
        </w:rPr>
      </w:pPr>
    </w:p>
    <w:p>
      <w:pPr>
        <w:spacing w:line="560" w:lineRule="exact"/>
        <w:jc w:val="center"/>
        <w:rPr>
          <w:rFonts w:hint="eastAsia" w:ascii="仿宋_GB2312" w:hAnsi="Times New Roman" w:eastAsia="仿宋_GB2312"/>
          <w:color w:val="000000"/>
          <w:sz w:val="32"/>
          <w:szCs w:val="32"/>
        </w:rPr>
      </w:pPr>
    </w:p>
    <w:p>
      <w:pPr>
        <w:spacing w:line="560" w:lineRule="exact"/>
        <w:jc w:val="center"/>
        <w:rPr>
          <w:rFonts w:hint="eastAsia" w:ascii="仿宋_GB2312" w:hAnsi="Times New Roman" w:eastAsia="仿宋_GB2312"/>
          <w:color w:val="000000"/>
          <w:sz w:val="32"/>
          <w:szCs w:val="32"/>
        </w:rPr>
      </w:pPr>
    </w:p>
    <w:p>
      <w:pPr>
        <w:spacing w:line="560" w:lineRule="exact"/>
        <w:jc w:val="center"/>
        <w:rPr>
          <w:rFonts w:hint="eastAsia" w:ascii="仿宋_GB2312" w:hAnsi="Times New Roman" w:eastAsia="仿宋_GB2312"/>
          <w:color w:val="000000"/>
          <w:sz w:val="32"/>
          <w:szCs w:val="32"/>
        </w:rPr>
      </w:pPr>
    </w:p>
    <w:p>
      <w:pPr>
        <w:spacing w:line="560" w:lineRule="exact"/>
        <w:jc w:val="center"/>
        <w:rPr>
          <w:rFonts w:hint="eastAsia" w:ascii="仿宋_GB2312" w:hAnsi="Times New Roman" w:eastAsia="仿宋_GB2312"/>
          <w:color w:val="000000"/>
          <w:sz w:val="32"/>
          <w:szCs w:val="32"/>
        </w:rPr>
      </w:pPr>
    </w:p>
    <w:p>
      <w:pPr>
        <w:spacing w:line="560" w:lineRule="exact"/>
        <w:jc w:val="center"/>
        <w:rPr>
          <w:rFonts w:hint="eastAsia" w:ascii="仿宋_GB2312" w:hAnsi="Times New Roman" w:eastAsia="仿宋_GB2312"/>
          <w:color w:val="000000"/>
          <w:sz w:val="32"/>
          <w:szCs w:val="32"/>
        </w:rPr>
      </w:pPr>
    </w:p>
    <w:p>
      <w:pPr>
        <w:spacing w:line="560" w:lineRule="exact"/>
        <w:jc w:val="center"/>
        <w:rPr>
          <w:rFonts w:hint="eastAsia" w:ascii="仿宋_GB2312" w:eastAsia="仿宋_GB2312"/>
          <w:sz w:val="32"/>
          <w:szCs w:val="32"/>
        </w:rPr>
      </w:pPr>
      <w:r>
        <w:rPr>
          <w:rFonts w:hint="eastAsia" w:ascii="仿宋_GB2312" w:hAnsi="Times New Roman" w:eastAsia="仿宋_GB2312"/>
          <w:color w:val="000000"/>
          <w:sz w:val="32"/>
          <w:szCs w:val="32"/>
        </w:rPr>
        <w:t>泉港文旅发委办〔2021〕5号</w:t>
      </w:r>
    </w:p>
    <w:p>
      <w:pPr>
        <w:spacing w:line="520" w:lineRule="exact"/>
        <w:rPr>
          <w:rFonts w:hint="eastAsia" w:ascii="方正小标宋简体" w:eastAsia="方正小标宋简体"/>
          <w:b/>
          <w:sz w:val="44"/>
          <w:szCs w:val="44"/>
        </w:rPr>
      </w:pPr>
      <w:r>
        <w:rPr>
          <w:rFonts w:hint="eastAsia" w:ascii="方正小标宋简体" w:eastAsia="方正小标宋简体"/>
          <w:b/>
          <w:sz w:val="44"/>
          <w:szCs w:val="44"/>
        </w:rPr>
        <w:t xml:space="preserve"> </w:t>
      </w:r>
    </w:p>
    <w:p>
      <w:pPr>
        <w:spacing w:line="560" w:lineRule="exact"/>
        <w:jc w:val="center"/>
        <w:rPr>
          <w:rFonts w:hint="eastAsia" w:ascii="宋体" w:cs="方正小标宋简体"/>
          <w:b/>
          <w:sz w:val="44"/>
          <w:szCs w:val="44"/>
        </w:rPr>
      </w:pPr>
      <w:bookmarkStart w:id="0" w:name="_GoBack"/>
      <w:r>
        <w:rPr>
          <w:rFonts w:hint="eastAsia" w:ascii="宋体" w:hAnsi="宋体" w:cs="方正小标宋简体"/>
          <w:b/>
          <w:sz w:val="44"/>
          <w:szCs w:val="44"/>
        </w:rPr>
        <w:t>泉港区文化旅游发展委员会办公室关于印发《全区A级景区、旅行社和体育场馆安全</w:t>
      </w:r>
    </w:p>
    <w:p>
      <w:pPr>
        <w:spacing w:line="560" w:lineRule="exact"/>
        <w:jc w:val="center"/>
        <w:rPr>
          <w:rFonts w:hint="eastAsia" w:ascii="宋体" w:cs="方正小标宋简体"/>
          <w:b/>
          <w:sz w:val="44"/>
          <w:szCs w:val="44"/>
        </w:rPr>
      </w:pPr>
      <w:r>
        <w:rPr>
          <w:rFonts w:hint="eastAsia" w:ascii="宋体" w:hAnsi="宋体" w:cs="方正小标宋简体"/>
          <w:b/>
          <w:sz w:val="44"/>
          <w:szCs w:val="44"/>
        </w:rPr>
        <w:t>管理专项整治工作方案》的通知</w:t>
      </w:r>
    </w:p>
    <w:bookmarkEnd w:id="0"/>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p>
    <w:p>
      <w:pPr>
        <w:pBdr>
          <w:bottom w:val="single" w:color="FFFFFF" w:sz="4" w:space="31"/>
        </w:pBdr>
        <w:spacing w:line="500" w:lineRule="exact"/>
        <w:rPr>
          <w:rFonts w:hint="eastAsia" w:ascii="仿宋_GB2312" w:hAnsi="楷体" w:eastAsia="仿宋_GB2312" w:cs="楷体"/>
          <w:sz w:val="32"/>
          <w:szCs w:val="32"/>
        </w:rPr>
      </w:pPr>
      <w:r>
        <w:rPr>
          <w:rFonts w:hint="eastAsia" w:ascii="仿宋_GB2312" w:hAnsi="楷体" w:eastAsia="仿宋_GB2312" w:cs="楷体"/>
          <w:sz w:val="32"/>
          <w:szCs w:val="32"/>
        </w:rPr>
        <w:t>各镇（街道），文体旅游局：</w:t>
      </w:r>
    </w:p>
    <w:p>
      <w:pPr>
        <w:pBdr>
          <w:bottom w:val="single" w:color="FFFFFF" w:sz="4" w:space="31"/>
        </w:pBdr>
        <w:spacing w:line="50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按照上级工作部署要求，为进一步加强对A级景区、旅行社和体育场馆的安全指导和安全管理，结合我区文体旅游行业工作实际，现制定《全区A级景区、旅行社和体育场馆安全管理专项整治工作方案》，请各单位结合实际认真贯彻执行。</w:t>
      </w:r>
    </w:p>
    <w:p>
      <w:pPr>
        <w:pBdr>
          <w:bottom w:val="single" w:color="FFFFFF" w:sz="4" w:space="31"/>
        </w:pBdr>
        <w:spacing w:line="50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 xml:space="preserve">                    </w:t>
      </w:r>
    </w:p>
    <w:p>
      <w:pPr>
        <w:spacing w:line="520" w:lineRule="exact"/>
        <w:ind w:firstLine="2880" w:firstLineChars="900"/>
        <w:jc w:val="right"/>
        <w:rPr>
          <w:rFonts w:hint="eastAsia" w:ascii="仿宋_GB2312" w:eastAsia="仿宋_GB2312"/>
          <w:sz w:val="32"/>
          <w:szCs w:val="32"/>
        </w:rPr>
      </w:pPr>
      <w:r>
        <w:rPr>
          <w:rFonts w:hint="eastAsia" w:ascii="仿宋_GB2312" w:hAnsi="Times New Roman" w:eastAsia="仿宋_GB2312"/>
          <w:sz w:val="32"/>
          <w:szCs w:val="32"/>
        </w:rPr>
        <w:t xml:space="preserve">  泉港区文化旅游发展委员会办公室</w:t>
      </w:r>
    </w:p>
    <w:p>
      <w:pPr>
        <w:spacing w:line="520" w:lineRule="exact"/>
        <w:ind w:firstLine="2880" w:firstLineChars="900"/>
        <w:jc w:val="right"/>
        <w:rPr>
          <w:rFonts w:hint="eastAsia" w:ascii="仿宋_GB2312" w:eastAsia="仿宋_GB2312"/>
          <w:sz w:val="32"/>
          <w:szCs w:val="32"/>
        </w:rPr>
      </w:pPr>
      <w:r>
        <w:rPr>
          <w:rFonts w:hint="eastAsia" w:ascii="仿宋_GB2312" w:hAnsi="Times New Roman" w:eastAsia="仿宋_GB2312"/>
          <w:sz w:val="32"/>
          <w:szCs w:val="32"/>
        </w:rPr>
        <w:t>泉港区文化体育和旅游局（代）</w:t>
      </w:r>
    </w:p>
    <w:p>
      <w:pPr>
        <w:spacing w:line="520" w:lineRule="exact"/>
        <w:ind w:right="640" w:firstLine="5600" w:firstLineChars="1750"/>
        <w:rPr>
          <w:rFonts w:hint="eastAsia" w:ascii="仿宋_GB2312" w:hAnsi="仿宋" w:eastAsia="仿宋_GB2312"/>
          <w:sz w:val="32"/>
          <w:szCs w:val="32"/>
        </w:rPr>
      </w:pPr>
      <w:r>
        <w:rPr>
          <w:rFonts w:hint="eastAsia" w:ascii="仿宋_GB2312" w:hAnsi="仿宋" w:eastAsia="仿宋_GB2312"/>
          <w:sz w:val="32"/>
          <w:szCs w:val="32"/>
        </w:rPr>
        <w:t>2021年9月7日</w:t>
      </w:r>
      <w:r>
        <w:rPr>
          <w:rFonts w:hint="eastAsia" w:ascii="宋体" w:hAnsi="宋体" w:cs="方正小标宋简体"/>
          <w:b/>
          <w:sz w:val="44"/>
          <w:szCs w:val="44"/>
        </w:rPr>
        <w:t xml:space="preserve"> </w:t>
      </w:r>
    </w:p>
    <w:p>
      <w:pPr>
        <w:spacing w:line="560" w:lineRule="exact"/>
        <w:rPr>
          <w:rFonts w:hint="eastAsia" w:ascii="宋体" w:cs="方正小标宋简体"/>
          <w:b/>
          <w:sz w:val="44"/>
          <w:szCs w:val="44"/>
        </w:rPr>
      </w:pPr>
      <w:r>
        <w:rPr>
          <w:rFonts w:hint="eastAsia" w:ascii="宋体" w:hAnsi="宋体" w:cs="方正小标宋简体"/>
          <w:b/>
          <w:sz w:val="44"/>
          <w:szCs w:val="44"/>
        </w:rPr>
        <w:t xml:space="preserve"> </w:t>
      </w:r>
    </w:p>
    <w:p>
      <w:pPr>
        <w:spacing w:line="560" w:lineRule="exact"/>
        <w:jc w:val="center"/>
        <w:rPr>
          <w:rFonts w:hint="eastAsia" w:ascii="宋体" w:cs="方正小标宋简体"/>
          <w:b/>
          <w:sz w:val="44"/>
          <w:szCs w:val="44"/>
        </w:rPr>
      </w:pPr>
      <w:r>
        <w:rPr>
          <w:rFonts w:hint="eastAsia" w:ascii="宋体" w:cs="方正小标宋简体"/>
          <w:b/>
          <w:sz w:val="44"/>
          <w:szCs w:val="44"/>
        </w:rPr>
        <w:t xml:space="preserve"> </w:t>
      </w:r>
    </w:p>
    <w:p>
      <w:pPr>
        <w:spacing w:line="560" w:lineRule="exact"/>
        <w:jc w:val="center"/>
        <w:rPr>
          <w:rFonts w:hint="eastAsia" w:ascii="宋体" w:hAnsi="宋体" w:cs="方正小标宋简体"/>
          <w:b/>
          <w:sz w:val="44"/>
          <w:szCs w:val="44"/>
        </w:rPr>
      </w:pPr>
      <w:r>
        <w:rPr>
          <w:rFonts w:hint="eastAsia" w:ascii="宋体" w:hAnsi="宋体" w:cs="方正小标宋简体"/>
          <w:b/>
          <w:sz w:val="44"/>
          <w:szCs w:val="44"/>
        </w:rPr>
        <w:t>全区A级景区、旅行社和体育场馆安全管理</w:t>
      </w:r>
    </w:p>
    <w:p>
      <w:pPr>
        <w:autoSpaceDE w:val="0"/>
        <w:spacing w:line="560" w:lineRule="exact"/>
        <w:jc w:val="center"/>
        <w:rPr>
          <w:rFonts w:hint="eastAsia" w:ascii="宋体" w:cs="方正小标宋简体"/>
          <w:b/>
          <w:sz w:val="44"/>
          <w:szCs w:val="44"/>
        </w:rPr>
      </w:pPr>
      <w:r>
        <w:rPr>
          <w:rFonts w:hint="eastAsia" w:ascii="宋体" w:hAnsi="宋体" w:cs="方正小标宋简体"/>
          <w:b/>
          <w:sz w:val="44"/>
          <w:szCs w:val="44"/>
        </w:rPr>
        <w:t>专项整治工作方案</w:t>
      </w:r>
    </w:p>
    <w:p>
      <w:pPr>
        <w:autoSpaceDE w:val="0"/>
        <w:spacing w:line="560" w:lineRule="exact"/>
        <w:jc w:val="center"/>
        <w:rPr>
          <w:rFonts w:hint="eastAsia" w:ascii="宋体" w:cs="方正小标宋简体"/>
          <w:b/>
          <w:sz w:val="44"/>
          <w:szCs w:val="44"/>
        </w:rPr>
      </w:pPr>
      <w:r>
        <w:rPr>
          <w:rFonts w:hint="eastAsia" w:ascii="宋体" w:cs="方正小标宋简体"/>
          <w:b/>
          <w:sz w:val="44"/>
          <w:szCs w:val="44"/>
        </w:rPr>
        <w:t xml:space="preserve"> </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为认真贯彻落实习近平总书记关于统筹发展与安全的重要论述和安全生产的重要指示批示精神，按照区委区政府、市文旅局、体育局工作部署要求，进一步加强我区A级景区、旅行社和体育场馆的安全管理，决定在全区文体旅游系统范围内开展A级景区、旅行社和体育场馆安全管理专项整治行动。</w:t>
      </w:r>
    </w:p>
    <w:p>
      <w:pPr>
        <w:pBdr>
          <w:bottom w:val="single" w:color="FFFFFF" w:sz="4" w:space="31"/>
        </w:pBdr>
        <w:autoSpaceDE w:val="0"/>
        <w:spacing w:line="560" w:lineRule="exact"/>
        <w:ind w:firstLine="640" w:firstLineChars="200"/>
        <w:rPr>
          <w:rFonts w:hint="eastAsia" w:ascii="黑体" w:hAnsi="宋体" w:eastAsia="黑体"/>
          <w:sz w:val="32"/>
          <w:szCs w:val="32"/>
        </w:rPr>
      </w:pPr>
      <w:r>
        <w:rPr>
          <w:rFonts w:hint="eastAsia" w:ascii="黑体" w:hAnsi="黑体" w:eastAsia="黑体"/>
          <w:sz w:val="32"/>
          <w:szCs w:val="32"/>
        </w:rPr>
        <w:t>一、总体要求</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各镇（街道），文体旅游局要提高政治站位，坚持人民至上、生命至上，压实责任，强化A级景区的安全指导，强化旅行社和体育场馆的安全管理，进一步加强安全隐患排查治理，完善相关安全措施，切实担负起“促一方发展、保一方平安”的政治责任，通过专项行动，A级景区、旅行社和体育场馆等重点领域的安全隐患得到有力整治，安全措施更加健全完善。</w:t>
      </w:r>
    </w:p>
    <w:p>
      <w:pPr>
        <w:pBdr>
          <w:bottom w:val="single" w:color="FFFFFF" w:sz="4" w:space="31"/>
        </w:pBdr>
        <w:autoSpaceDE w:val="0"/>
        <w:spacing w:line="560" w:lineRule="exact"/>
        <w:ind w:firstLine="640" w:firstLineChars="200"/>
        <w:rPr>
          <w:rFonts w:hint="eastAsia" w:ascii="黑体" w:hAnsi="宋体" w:eastAsia="黑体"/>
          <w:sz w:val="32"/>
          <w:szCs w:val="32"/>
        </w:rPr>
      </w:pPr>
      <w:r>
        <w:rPr>
          <w:rFonts w:hint="eastAsia" w:ascii="黑体" w:hAnsi="黑体" w:eastAsia="黑体"/>
          <w:sz w:val="32"/>
          <w:szCs w:val="32"/>
        </w:rPr>
        <w:t>二、整治内容</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重点加强A级景区的安全指导，加强旅行社和体育场馆的安全管理。</w:t>
      </w:r>
    </w:p>
    <w:p>
      <w:pPr>
        <w:pBdr>
          <w:bottom w:val="single" w:color="FFFFFF" w:sz="4" w:space="31"/>
        </w:pBdr>
        <w:autoSpaceDE w:val="0"/>
        <w:spacing w:line="560" w:lineRule="exact"/>
        <w:ind w:firstLine="643" w:firstLineChars="200"/>
        <w:rPr>
          <w:rFonts w:hint="eastAsia" w:ascii="楷体_GB2312" w:eastAsia="楷体_GB2312"/>
          <w:b/>
          <w:bCs/>
          <w:sz w:val="32"/>
          <w:szCs w:val="32"/>
        </w:rPr>
      </w:pPr>
      <w:r>
        <w:rPr>
          <w:rFonts w:hint="eastAsia" w:ascii="楷体_GB2312" w:hAnsi="Times New Roman" w:eastAsia="楷体_GB2312"/>
          <w:b/>
          <w:bCs/>
          <w:sz w:val="32"/>
          <w:szCs w:val="32"/>
        </w:rPr>
        <w:t>（一）指导督促A级景区</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文体旅游局要指导A级景区在当地党委、政府的统一部署下，弹性采取限流措施，科学设置景区游客接待上限。指导A级景区在游客接近最大承载量时，配合交通、公安等部门采取远端分流、交通疏导、临时管制、入口封闭“只出不进”等方式疏导客流。</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同时，指导督促A级景区：</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1.健全完善安全生产和应急管理制度，建立健全安全生产责任体系。</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2.加强地质灾害、火灾（含森林火灾）等隐患排查整治。</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3.在危险区域（临水、临崖路段，漂流、游船、攀岩等）设置安全警示标识，警示或提示可能出现的安全隐患情况、划定安全警戒线，建设必要的安全防护设施。</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4.设立安全巡查督导员，并建立常态化巡查制度:设置安全探头，对事故易发多发区域实现监控全覆盖，实施24小时监控，对人员聚集和可能发生安全隐患行为及时发出警示。</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5.严格高空、高速、水上等高风险娱乐项目安全监管，依法依规禁止不适合人员参与。</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6.涉水区域的安全防护设施和游乐设施设备要定期维护保养，并配备足够的救生设施设备。对含有沙滩、人工泳池、海滨浴场等涉水区域的景点，需配备至少1名救生员，负责安全监管以及突发事件处置，并就近配备救生筏、救生绳、防水手电筒等救生装备，严防发生溺水等意外事件。</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7.做好灾害天气、交通拥堵、设备停运、突发事件等的应急预案，并实施演练。</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8.做好其他安全隐患的整治。</w:t>
      </w:r>
    </w:p>
    <w:p>
      <w:pPr>
        <w:pBdr>
          <w:bottom w:val="single" w:color="FFFFFF" w:sz="4" w:space="31"/>
        </w:pBdr>
        <w:autoSpaceDE w:val="0"/>
        <w:spacing w:line="560" w:lineRule="exact"/>
        <w:ind w:firstLine="643" w:firstLineChars="200"/>
        <w:rPr>
          <w:rFonts w:hint="eastAsia" w:ascii="楷体_GB2312" w:eastAsia="楷体_GB2312"/>
          <w:b/>
          <w:bCs/>
          <w:sz w:val="32"/>
          <w:szCs w:val="32"/>
        </w:rPr>
      </w:pPr>
      <w:r>
        <w:rPr>
          <w:rFonts w:hint="eastAsia" w:ascii="楷体_GB2312" w:hAnsi="Times New Roman" w:eastAsia="楷体_GB2312"/>
          <w:b/>
          <w:bCs/>
          <w:sz w:val="32"/>
          <w:szCs w:val="32"/>
        </w:rPr>
        <w:t>（二）严格要求旅行社</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仿宋_GB2312" w:hAnsi="Times New Roman" w:eastAsia="仿宋_GB2312"/>
          <w:b/>
          <w:bCs/>
          <w:sz w:val="32"/>
          <w:szCs w:val="32"/>
        </w:rPr>
        <w:t>1.健全完善安全管理机制。</w:t>
      </w:r>
      <w:r>
        <w:rPr>
          <w:rFonts w:hint="eastAsia" w:ascii="仿宋_GB2312" w:hAnsi="Times New Roman" w:eastAsia="仿宋_GB2312"/>
          <w:sz w:val="32"/>
          <w:szCs w:val="32"/>
        </w:rPr>
        <w:t>全面落实安全生产主体责任，制定完善安全教育培训、配套应急预案等各项安全生产责任制度，定期开展应急演练，提高应急处置能力。建立健全安全风险分级管控体系和隐患排查治理双重机制，做好安全风险辨识、评估和管控工作，着力防范化解安全风险；大力推进企业安全生产标准化建设，推动全员参与创建、全员岗位达标，确保标准化安全管理体系得到有效运行和持续改进。</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仿宋_GB2312" w:hAnsi="Times New Roman" w:eastAsia="仿宋_GB2312"/>
          <w:b/>
          <w:bCs/>
          <w:sz w:val="32"/>
          <w:szCs w:val="32"/>
        </w:rPr>
        <w:t>2.做好旅游产品安全评估。</w:t>
      </w:r>
      <w:r>
        <w:rPr>
          <w:rFonts w:hint="eastAsia" w:ascii="仿宋_GB2312" w:hAnsi="Times New Roman" w:eastAsia="仿宋_GB2312"/>
          <w:sz w:val="32"/>
          <w:szCs w:val="32"/>
        </w:rPr>
        <w:t>应按照“一团一报”制度，在全国旅游监管服务平台填报旅游团队信息，上传规范化电子合同（必须包含安全条款）；提供符合保障游客人身、财产安全的要求的旅游产品和服务；采取必要和可行的安全防护措施，防止避免影响游客安全的风险和侵害；组织游客参加登山、驾车、潜水、滑雪、游船、探险、攀越、狩猎、漂流、蹦极、骑马等旅游项目，事先应当制定具体的安全防范措施和救援预案，并向游客明示，重要团队按照规定报相关行政管理部门备案；严禁组织游客到存在安全隐患，特别是涉水危险区域以及未开放的景点和未开发的区域旅游。</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仿宋_GB2312" w:hAnsi="Times New Roman" w:eastAsia="仿宋_GB2312"/>
          <w:b/>
          <w:bCs/>
          <w:sz w:val="32"/>
          <w:szCs w:val="32"/>
        </w:rPr>
        <w:t>3.加强旅行社租赁旅游包车治理。</w:t>
      </w:r>
      <w:r>
        <w:rPr>
          <w:rFonts w:hint="eastAsia" w:ascii="仿宋_GB2312" w:hAnsi="Times New Roman" w:eastAsia="仿宋_GB2312"/>
          <w:sz w:val="32"/>
          <w:szCs w:val="32"/>
        </w:rPr>
        <w:t>应租赁合法的旅游车辆和驾驶人，签订规范的租车协议，合理安排行程，避免因行程紧凑超速赶路；督促导游在带团过程中对游客进行安全宣传和提示，提醒司机注意休息，检查车辆车况，不要疲劳驾驶、超速驾驶。</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仿宋_GB2312" w:hAnsi="Times New Roman" w:eastAsia="仿宋_GB2312"/>
          <w:b/>
          <w:bCs/>
          <w:sz w:val="32"/>
          <w:szCs w:val="32"/>
        </w:rPr>
        <w:t>4.落实重点人群安全防范。</w:t>
      </w:r>
      <w:r>
        <w:rPr>
          <w:rFonts w:hint="eastAsia" w:ascii="仿宋_GB2312" w:hAnsi="Times New Roman" w:eastAsia="仿宋_GB2312"/>
          <w:sz w:val="32"/>
          <w:szCs w:val="32"/>
        </w:rPr>
        <w:t>组织未成年学生、老年人参加旅游团队活动，行前应当与未成年学生的监护人订立含有安全条款的旅游合同，为老年游客配备具有个人基本信息的胸卡；提倡老年旅游团全程配备专门的陪护和医务人员，配备常见急救药品，预约行程中的救护医院。</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仿宋_GB2312" w:hAnsi="Times New Roman" w:eastAsia="仿宋_GB2312"/>
          <w:b/>
          <w:bCs/>
          <w:sz w:val="32"/>
          <w:szCs w:val="32"/>
        </w:rPr>
        <w:t>5.发布旅游安全风险提示。</w:t>
      </w:r>
      <w:r>
        <w:rPr>
          <w:rFonts w:hint="eastAsia" w:ascii="仿宋_GB2312" w:hAnsi="Times New Roman" w:eastAsia="仿宋_GB2312"/>
          <w:sz w:val="32"/>
          <w:szCs w:val="32"/>
        </w:rPr>
        <w:t>导游在开展团队旅游活动前，应当向游客明确提示行程安全注意事项，提醒游客遵守各项安全规定，告知旅游目的地风土民情、民俗禁忌和法律规定、紧急救援途径和相关机构的联系方式，加强个人安全防范，特别是加强节假日、旅游旺季等游客密集时段团队安全管理。同时，提醒游客购买旅游意外保险；在组织团队旅游活动中，应就可能发生危及游客人身、财产安全的情形，向游客做出真实说明和明确警示，并采取防止危害发生的安全防范措施；组织旅游团队活动结束后，应当对旅游团队活动做出安全风险分析评估。</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仿宋_GB2312" w:hAnsi="Times New Roman" w:eastAsia="仿宋_GB2312"/>
          <w:b/>
          <w:bCs/>
          <w:sz w:val="32"/>
          <w:szCs w:val="32"/>
        </w:rPr>
        <w:t>6.落实常态化疫情防控。</w:t>
      </w:r>
      <w:r>
        <w:rPr>
          <w:rFonts w:hint="eastAsia" w:ascii="仿宋_GB2312" w:hAnsi="Times New Roman" w:eastAsia="仿宋_GB2312"/>
          <w:sz w:val="32"/>
          <w:szCs w:val="32"/>
        </w:rPr>
        <w:t>应严格落实《旅行社有序恢复经营疫情防控措施指南》要求，坚持常态化疫情防控措施，选择具有相应资质且符合当地疫情防控要求的供应商、合作商，做好游客信息采集、健康档案、检测登记等工作。及时了解和掌握旅游目的地和客源地卫生健康部门疫情防控情况，严禁组织团队前往疫情中高风险地区和接待来自疫情中高风险地区游客；根据各地防控要求，合理确定团队人数，科学安排旅游活动，避免游客聚集。</w:t>
      </w:r>
    </w:p>
    <w:p>
      <w:pPr>
        <w:pBdr>
          <w:bottom w:val="single" w:color="FFFFFF" w:sz="4" w:space="31"/>
        </w:pBdr>
        <w:autoSpaceDE w:val="0"/>
        <w:spacing w:line="560" w:lineRule="exact"/>
        <w:ind w:firstLine="640" w:firstLineChars="200"/>
        <w:rPr>
          <w:rFonts w:hint="eastAsia" w:ascii="黑体" w:hAnsi="宋体" w:eastAsia="黑体"/>
          <w:sz w:val="32"/>
          <w:szCs w:val="32"/>
        </w:rPr>
      </w:pPr>
      <w:r>
        <w:rPr>
          <w:rFonts w:hint="eastAsia" w:ascii="黑体" w:hAnsi="黑体" w:eastAsia="黑体"/>
          <w:sz w:val="32"/>
          <w:szCs w:val="32"/>
        </w:rPr>
        <w:t>三、加强体育场馆安全管理</w:t>
      </w:r>
    </w:p>
    <w:p>
      <w:pPr>
        <w:pBdr>
          <w:bottom w:val="single" w:color="FFFFFF" w:sz="4" w:space="31"/>
        </w:pBdr>
        <w:autoSpaceDE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各镇（街道）、文体旅游局要做好体育场馆、运动项目和群众健身设施的安全工作，加强对漂流、攀岩、游泳等高危体育项目的安全监管。</w:t>
      </w:r>
    </w:p>
    <w:p>
      <w:pPr>
        <w:pBdr>
          <w:bottom w:val="single" w:color="FFFFFF" w:sz="4" w:space="31"/>
        </w:pBdr>
        <w:autoSpaceDE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1.健全完善安全管理机制。</w:t>
      </w:r>
      <w:r>
        <w:rPr>
          <w:rFonts w:hint="eastAsia" w:ascii="仿宋_GB2312" w:hAnsi="Times New Roman" w:eastAsia="仿宋_GB2312"/>
          <w:sz w:val="32"/>
          <w:szCs w:val="32"/>
        </w:rPr>
        <w:t>全面落实企业安全生产主体责任，制定完善安全教育培训、配套应急预案等各项安全生产责任制度，定期开展应急演练，提高应急处置能力。建立健全安全风险分级管控体系和隐患排查治理双重机制，做好安全风险辨识、评估和管控工作，着力防范化解安全风险；大力推进企业安全生产标准化建设，推动全员参与创建、全员岗位达标，确保标准化安全管理体系得到有效运行和持续改进。</w:t>
      </w:r>
    </w:p>
    <w:p>
      <w:pPr>
        <w:pBdr>
          <w:bottom w:val="single" w:color="FFFFFF" w:sz="4" w:space="31"/>
        </w:pBdr>
        <w:autoSpaceDE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2.加强群众健身设施管理。</w:t>
      </w:r>
      <w:r>
        <w:rPr>
          <w:rFonts w:hint="eastAsia" w:ascii="仿宋_GB2312" w:hAnsi="Times New Roman" w:eastAsia="仿宋_GB2312"/>
          <w:sz w:val="32"/>
          <w:szCs w:val="32"/>
        </w:rPr>
        <w:t>各公共体育设施管理单位应落实主体责任，按照“谁使用，谁管理，谁负责”的要求，安排专人管理，加强日常管护。各镇（街道）应建立公共体育基础设施管理的长期有效机制，形成镇、村联动检查机制，不定期对辖区公共体育基础设施进行实地进行巡查，形成齐抓共管、常抓不懈的局面，及时发现存在问题，形成台账，并报送至区文体旅游局。</w:t>
      </w:r>
    </w:p>
    <w:p>
      <w:pPr>
        <w:pBdr>
          <w:bottom w:val="single" w:color="FFFFFF" w:sz="4" w:space="31"/>
        </w:pBdr>
        <w:autoSpaceDE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3.加强高危体育项目的安全监管。</w:t>
      </w:r>
      <w:r>
        <w:rPr>
          <w:rFonts w:hint="eastAsia" w:ascii="仿宋_GB2312" w:hAnsi="Times New Roman" w:eastAsia="仿宋_GB2312"/>
          <w:sz w:val="32"/>
          <w:szCs w:val="32"/>
        </w:rPr>
        <w:t>各高危体育项目（游泳、漂流等）经营单位须严格按照《中华人民共和国体育法》、《全民健身条例》、《体育场所开放条件与技术要求（国家标准 26 项）》和《福建省公共游泳场所管理办法》(2014年6月28日福建省人民政府令第145号公布) 要求，建立健全安全生产组织管理机构和各项安全责任制度，制定突发事件应急预案和溺水事故处理预案，明确专人负责。游泳场所应取得高危经营许可证方可开放经营，漂流、攀岩等项目应备案后方可经营。各场所应配备足量的救生人员和救生器材，场所设施设备、救生设施、水质必须符合标准，救生员和社会体育指导员须持证上岗，并对经营场地、设施、器材进行定期检查，保证其符合游泳场所开放的要求。若发生突发性事件和溺水等事故，必须按照规定及时向文体旅游局和公安部门报告。</w:t>
      </w:r>
    </w:p>
    <w:p>
      <w:pPr>
        <w:pBdr>
          <w:bottom w:val="single" w:color="FFFFFF" w:sz="4" w:space="31"/>
        </w:pBdr>
        <w:autoSpaceDE w:val="0"/>
        <w:spacing w:line="560" w:lineRule="exact"/>
        <w:ind w:firstLine="640" w:firstLineChars="200"/>
        <w:rPr>
          <w:rFonts w:hint="eastAsia" w:ascii="黑体" w:hAnsi="宋体" w:eastAsia="黑体"/>
          <w:sz w:val="32"/>
          <w:szCs w:val="32"/>
        </w:rPr>
      </w:pPr>
      <w:r>
        <w:rPr>
          <w:rFonts w:hint="eastAsia" w:ascii="黑体" w:hAnsi="黑体" w:eastAsia="黑体"/>
          <w:sz w:val="32"/>
          <w:szCs w:val="32"/>
        </w:rPr>
        <w:t>三、方法步骤</w:t>
      </w:r>
    </w:p>
    <w:p>
      <w:pPr>
        <w:pBdr>
          <w:bottom w:val="single" w:color="FFFFFF" w:sz="4" w:space="31"/>
        </w:pBdr>
        <w:autoSpaceDE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本方案自印发之日起至2021年11月30日开展为期三个月专项整治，全面摸排A级景区和体育场馆等重点区域存在的安全管理短板和漏洞；严格加强对旅行社的安全管理；全面加强安全隐患整改，健全完善长效机制，提升基础保障能力，做好常态化安全管理工作。</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（一）开展全覆盖拉网式自查。</w:t>
      </w:r>
      <w:r>
        <w:rPr>
          <w:rFonts w:hint="eastAsia" w:ascii="仿宋_GB2312" w:hAnsi="Times New Roman" w:eastAsia="仿宋_GB2312"/>
          <w:sz w:val="32"/>
          <w:szCs w:val="32"/>
        </w:rPr>
        <w:t>即日起，各镇（街道）、文体旅游局要督促景区主体从设施设备、安全组织体系、规章制度、现场管理、风险管控、应急管理等方面，全面排查风险隐患、管理漏洞，积极推进整改。重点查安全隐患，看整改是否到位；查责任制度，看是否层层落实责任和签订安全责任书；查操作规程和规章制度，看是否严格执行和落实；查设施设备，看是否安全运行；查主体资格和生产经营行为，看是否合法、有效、规范；查应急预案，看是否落实到人、财、物和工作保障措施。对排查出的问题隐患，要建立问题清单、责任清单、销号清单，找准问题和短板，定准对策措施，倒排时间表，做到</w:t>
      </w:r>
      <w:r>
        <w:rPr>
          <w:rFonts w:hint="eastAsia" w:ascii="仿宋_GB2312" w:hAnsi="Times New Roman" w:eastAsia="仿宋_GB2312"/>
          <w:spacing w:val="-20"/>
          <w:sz w:val="32"/>
          <w:szCs w:val="32"/>
        </w:rPr>
        <w:t>闭环管理。（见附件2；9月10日前由各镇（街道）汇总文体旅游局存档备查）。</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（二）开展全覆盖巡查落实管控。</w:t>
      </w:r>
      <w:r>
        <w:rPr>
          <w:rFonts w:hint="eastAsia" w:ascii="仿宋_GB2312" w:hAnsi="Times New Roman" w:eastAsia="仿宋_GB2312"/>
          <w:sz w:val="32"/>
          <w:szCs w:val="32"/>
        </w:rPr>
        <w:t>即日起至9月底，各镇（街道）、文体旅游局要对照相关法律法规、规程规范和技术标准要求，坚持“边排查、边整改、边完善机制”，从设施设备、安全组织体系、规章制度、现场管理、风险管控、应急管理等方面，按照职责，督促景区全面开展风险隐患排查（建立台账），对于能立即整改的，要立即抓好整改落实，对于不能立即整改的，要落实临时管控措施，严格按照“五个一律”要求抓好落实。对辖区内旅行社安全执法检查全覆盖（建立台账），做到底数清、情况明。发现存在安全隐患和薄弱环节的，要督促立即整改到位；发现存在重大隐患的，要挂牌督办；存在重大隐患且无法整改到位的，依法依规从严处理。“国庆节”前，能整改的必须整改到位，一时难以整改的，一律暂停使用。</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（三）加强督促指导。</w:t>
      </w:r>
      <w:r>
        <w:rPr>
          <w:rFonts w:hint="eastAsia" w:ascii="仿宋_GB2312" w:hAnsi="Times New Roman" w:eastAsia="仿宋_GB2312"/>
          <w:sz w:val="32"/>
          <w:szCs w:val="32"/>
        </w:rPr>
        <w:t>各镇（街道）、文体旅游局要按照职责，加强督促指导、加密巡查频次，对排查出的问题隐患清单、整改清单开展整改情况“回头看”，对A级景区发现存在安全隐患和薄弱环节的，要函告行业监管部门抓好督促整改，同时督促责任单位及时整改到位；发现违法违规的，要提请有权处理部门及时查处；不具备安全资质的景区区域要依法坚决予以关停。配合交通、公安等部门对旅行社租赁旅游包车过程开展联合执法检查，依法严处旅行社租用无资质车辆的违规违法行为。</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（四）建立健全常态化防范机制。</w:t>
      </w:r>
      <w:r>
        <w:rPr>
          <w:rFonts w:hint="eastAsia" w:ascii="仿宋_GB2312" w:hAnsi="Times New Roman" w:eastAsia="仿宋_GB2312"/>
          <w:sz w:val="32"/>
          <w:szCs w:val="32"/>
        </w:rPr>
        <w:t>各镇（街道）、文体旅游局要针对A级景区和旅行社的特点，指导督促A级景区、旅行社和体育场馆进一步健全完善安全管理制度和应急处置预案，总结提炼及时出台相关管理办法；认真总结专项行动的做法，纠正存在的不足和问题，推广好的经验和做法；请各单位于11月25日前报送专项整治工作总结（含好的经验做法），建立常态化的安全风险防范化解长效机制，努力把问题解决在萌芽之前、成灾之前。</w:t>
      </w:r>
    </w:p>
    <w:p>
      <w:pPr>
        <w:pBdr>
          <w:bottom w:val="single" w:color="FFFFFF" w:sz="4" w:space="31"/>
        </w:pBdr>
        <w:autoSpaceDE w:val="0"/>
        <w:spacing w:line="560" w:lineRule="exact"/>
        <w:ind w:firstLine="640" w:firstLineChars="200"/>
        <w:rPr>
          <w:rFonts w:hint="eastAsia" w:ascii="黑体" w:hAnsi="宋体" w:eastAsia="黑体"/>
          <w:sz w:val="32"/>
          <w:szCs w:val="32"/>
        </w:rPr>
      </w:pPr>
      <w:r>
        <w:rPr>
          <w:rFonts w:hint="eastAsia" w:ascii="黑体" w:hAnsi="黑体" w:eastAsia="黑体"/>
          <w:sz w:val="32"/>
          <w:szCs w:val="32"/>
        </w:rPr>
        <w:t>四、工作要求</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（一）强化思想认识。</w:t>
      </w:r>
      <w:r>
        <w:rPr>
          <w:rFonts w:hint="eastAsia" w:ascii="仿宋_GB2312" w:hAnsi="Times New Roman" w:eastAsia="仿宋_GB2312"/>
          <w:sz w:val="32"/>
          <w:szCs w:val="32"/>
        </w:rPr>
        <w:t>各镇（街道）、文体旅游局务必高度重视，站在讲政治的高度，切实把本次专项行动作为当前工作的重要之重，主要负责同志要亲自研究、亲自部署，认真研究制定具体实施方案，明确分工、落实责任、细化措施，夯实各层级、各环节责任，督促A级景区、旅行社和体育场馆落实好安全生产主体责任。</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（二）夯实主体责任。</w:t>
      </w:r>
      <w:r>
        <w:rPr>
          <w:rFonts w:hint="eastAsia" w:ascii="仿宋_GB2312" w:hAnsi="Times New Roman" w:eastAsia="仿宋_GB2312"/>
          <w:sz w:val="32"/>
          <w:szCs w:val="32"/>
        </w:rPr>
        <w:t>各镇（街道）、文体旅游局要压实A级景区主体责任，完善安全管理制度、细化应急处置方案，严密内部安全防范措施，加大防护设施投入，完善景区内安全提示、警示标识和安全防护设施，打造优质平安景区。督促A级景区扎实开展日常安全检查，及时清除安全隐患。压实辖区旅行社主体责任，督促旅行社对照整治重点全面自查并立即整改到位，同时建立三个清单（问题清单、责任清单、销号清单），实行闭环管理。推进体育行业安全风险分级管控和隐患排查治理双重预防机制建设，及时出台相关管理办法。</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（三）强化安全宣传培训。</w:t>
      </w:r>
      <w:r>
        <w:rPr>
          <w:rFonts w:hint="eastAsia" w:ascii="仿宋_GB2312" w:hAnsi="Times New Roman" w:eastAsia="仿宋_GB2312"/>
          <w:sz w:val="32"/>
          <w:szCs w:val="32"/>
        </w:rPr>
        <w:t>各镇（街道）、文体旅游局要采取多种形式开展旅游安全宣传，引导游客预约、错峰出行，营造文明旅游、安全出行的良好氛围。加强安全和应急知识培训，特别是对各单位新任相关人员要开展安全生产业务培训，提高安全意识和应急处置能力。</w:t>
      </w:r>
    </w:p>
    <w:p>
      <w:pPr>
        <w:pBdr>
          <w:bottom w:val="single" w:color="FFFFFF" w:sz="4" w:space="31"/>
        </w:pBdr>
        <w:autoSpaceDE w:val="0"/>
        <w:spacing w:line="560" w:lineRule="exact"/>
        <w:ind w:firstLine="643" w:firstLineChars="200"/>
        <w:rPr>
          <w:rFonts w:hint="eastAsia" w:ascii="仿宋_GB2312" w:eastAsia="仿宋_GB2312"/>
          <w:sz w:val="32"/>
          <w:szCs w:val="32"/>
        </w:rPr>
      </w:pPr>
      <w:r>
        <w:rPr>
          <w:rFonts w:hint="eastAsia" w:ascii="楷体_GB2312" w:hAnsi="Times New Roman" w:eastAsia="楷体_GB2312"/>
          <w:b/>
          <w:bCs/>
          <w:sz w:val="32"/>
          <w:szCs w:val="32"/>
        </w:rPr>
        <w:t>（四）提升联动处置及应急能力。</w:t>
      </w:r>
      <w:r>
        <w:rPr>
          <w:rFonts w:hint="eastAsia" w:ascii="仿宋_GB2312" w:hAnsi="Times New Roman" w:eastAsia="仿宋_GB2312"/>
          <w:sz w:val="32"/>
          <w:szCs w:val="32"/>
        </w:rPr>
        <w:t>各镇（街道）针对存在溺水、坠崖、落石等风险的危险区域，该封闭的要坚决封闭；不能封闭的必须设置明显安全警示标志，划定安全警戒线，建设必要的安全防护设施和应急避难场所。指导A级景区健全完善救援协调联动机制，协同应对各类安全事件。要加强值班备勤，确保一旦发生险情，能够第一时间出动、及时有效应对，最大程度减少人员伤亡和财产损失。针对重要节假日、重要活动、汛期等重要时段，加密重要区域的巡查频次，一旦出现苗头性动向，能够及时发现并高效处置，同时，各单位要严格落实信息报送和发布审核审查机制，按照规定做好信息报送和发布工作。</w:t>
      </w:r>
    </w:p>
    <w:p>
      <w:pPr>
        <w:pBdr>
          <w:bottom w:val="single" w:color="FFFFFF" w:sz="4" w:space="31"/>
        </w:pBdr>
        <w:autoSpaceDE w:val="0"/>
        <w:spacing w:line="560" w:lineRule="exact"/>
        <w:ind w:firstLine="643" w:firstLineChars="200"/>
        <w:rPr>
          <w:rFonts w:hint="eastAsia" w:ascii="仿宋_GB2312" w:hAnsi="Times New Roman" w:eastAsia="仿宋_GB2312"/>
          <w:kern w:val="0"/>
          <w:sz w:val="32"/>
          <w:szCs w:val="32"/>
        </w:rPr>
      </w:pPr>
      <w:r>
        <w:rPr>
          <w:rFonts w:hint="eastAsia" w:ascii="楷体_GB2312" w:hAnsi="Times New Roman" w:eastAsia="楷体_GB2312"/>
          <w:b/>
          <w:bCs/>
          <w:sz w:val="32"/>
          <w:szCs w:val="32"/>
        </w:rPr>
        <w:t>（五）强化监督力度。</w:t>
      </w:r>
      <w:r>
        <w:rPr>
          <w:rFonts w:hint="eastAsia" w:ascii="仿宋_GB2312" w:hAnsi="Times New Roman" w:eastAsia="仿宋_GB2312"/>
          <w:sz w:val="32"/>
          <w:szCs w:val="32"/>
        </w:rPr>
        <w:t>对于A级景区、旅行社和体育场馆存在的非法违法行为，文体旅游局要按程序纳入安全生产联合惩戒“黑名单”，督促企业切实消除安全隐患。本次A级景区、旅行社和体育场馆专项整治工作开展情况将纳入绩效考评。区文体旅游局将成立督促检查工作组，采取“四不两直”等方式，对各镇（街道）专项整治开展情况进行督促检查，推动各单位认真落实行业主体责任</w:t>
      </w:r>
      <w:r>
        <w:rPr>
          <w:rFonts w:hint="eastAsia" w:ascii="仿宋_GB2312" w:hAnsi="Times New Roman" w:eastAsia="仿宋_GB2312"/>
          <w:kern w:val="0"/>
          <w:sz w:val="32"/>
          <w:szCs w:val="32"/>
        </w:rPr>
        <w:t>。</w:t>
      </w:r>
    </w:p>
    <w:p>
      <w:pPr>
        <w:pBdr>
          <w:bottom w:val="single" w:color="FFFFFF" w:sz="4" w:space="31"/>
        </w:pBdr>
        <w:autoSpaceDE w:val="0"/>
        <w:spacing w:line="560" w:lineRule="exact"/>
        <w:ind w:firstLine="640" w:firstLineChars="200"/>
        <w:rPr>
          <w:rFonts w:hint="eastAsia" w:ascii="仿宋_GB2312" w:hAnsi="Times New Roman" w:eastAsia="仿宋_GB2312"/>
          <w:spacing w:val="-20"/>
          <w:sz w:val="32"/>
          <w:szCs w:val="32"/>
        </w:rPr>
      </w:pPr>
      <w:r>
        <w:rPr>
          <w:rFonts w:hint="eastAsia" w:ascii="仿宋_GB2312" w:hAnsi="Times New Roman" w:eastAsia="仿宋_GB2312"/>
          <w:kern w:val="0"/>
          <w:sz w:val="32"/>
          <w:szCs w:val="32"/>
        </w:rPr>
        <w:t>附件：</w:t>
      </w:r>
      <w:r>
        <w:rPr>
          <w:rFonts w:hint="eastAsia" w:ascii="仿宋_GB2312" w:hAnsi="Times New Roman" w:eastAsia="仿宋_GB2312"/>
          <w:spacing w:val="-20"/>
          <w:kern w:val="0"/>
          <w:sz w:val="32"/>
          <w:szCs w:val="32"/>
        </w:rPr>
        <w:t>1.全区A级景区、旅行社和体育场馆安全管理专项</w:t>
      </w:r>
      <w:r>
        <w:rPr>
          <w:rFonts w:hint="eastAsia" w:ascii="仿宋_GB2312" w:hAnsi="Times New Roman" w:eastAsia="仿宋_GB2312"/>
          <w:spacing w:val="-20"/>
          <w:sz w:val="32"/>
          <w:szCs w:val="32"/>
        </w:rPr>
        <w:t>整治</w:t>
      </w:r>
    </w:p>
    <w:p>
      <w:pPr>
        <w:pBdr>
          <w:bottom w:val="single" w:color="FFFFFF" w:sz="4" w:space="31"/>
        </w:pBdr>
        <w:autoSpaceDE w:val="0"/>
        <w:spacing w:line="560" w:lineRule="exact"/>
        <w:ind w:firstLine="1680" w:firstLineChars="600"/>
        <w:rPr>
          <w:rFonts w:hint="eastAsia" w:ascii="仿宋_GB2312" w:hAnsi="Times New Roman" w:eastAsia="仿宋_GB2312"/>
          <w:spacing w:val="-20"/>
          <w:sz w:val="32"/>
          <w:szCs w:val="32"/>
        </w:rPr>
      </w:pPr>
      <w:r>
        <w:rPr>
          <w:rFonts w:hint="eastAsia" w:ascii="仿宋_GB2312" w:hAnsi="Times New Roman" w:eastAsia="仿宋_GB2312"/>
          <w:spacing w:val="-20"/>
          <w:sz w:val="32"/>
          <w:szCs w:val="32"/>
        </w:rPr>
        <w:t>工作领导小组</w:t>
      </w:r>
    </w:p>
    <w:p>
      <w:pPr>
        <w:pBdr>
          <w:bottom w:val="single" w:color="FFFFFF" w:sz="4" w:space="31"/>
        </w:pBdr>
        <w:autoSpaceDE w:val="0"/>
        <w:spacing w:line="560" w:lineRule="exact"/>
        <w:ind w:firstLine="1600" w:firstLineChars="5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2.隐患排查整改工作表格</w:t>
      </w:r>
    </w:p>
    <w:p>
      <w:pPr>
        <w:pBdr>
          <w:bottom w:val="single" w:color="FFFFFF" w:sz="4" w:space="31"/>
        </w:pBdr>
        <w:autoSpaceDE w:val="0"/>
        <w:spacing w:line="560" w:lineRule="exact"/>
        <w:ind w:firstLine="1600" w:firstLineChars="5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3.泉港区A级景区、旅行社和体育场馆安全管理专项</w:t>
      </w:r>
    </w:p>
    <w:p>
      <w:pPr>
        <w:pBdr>
          <w:bottom w:val="single" w:color="FFFFFF" w:sz="4" w:space="31"/>
        </w:pBdr>
        <w:autoSpaceDE w:val="0"/>
        <w:spacing w:line="560" w:lineRule="exact"/>
        <w:ind w:firstLine="1600" w:firstLineChars="500"/>
        <w:rPr>
          <w:rFonts w:hint="eastAsia" w:ascii="仿宋_GB2312" w:hAnsi="Times New Roman" w:eastAsia="仿宋_GB2312"/>
          <w:kern w:val="0"/>
          <w:sz w:val="32"/>
          <w:szCs w:val="32"/>
        </w:rPr>
      </w:pPr>
      <w:r>
        <w:rPr>
          <w:rFonts w:hint="eastAsia" w:ascii="仿宋_GB2312" w:hAnsi="Times New Roman" w:eastAsia="仿宋_GB2312"/>
          <w:kern w:val="0"/>
          <w:sz w:val="32"/>
          <w:szCs w:val="32"/>
        </w:rPr>
        <w:t>整治工作情况汇总表</w:t>
      </w:r>
    </w:p>
    <w:p>
      <w:pPr>
        <w:pBdr>
          <w:bottom w:val="single" w:color="FFFFFF" w:sz="4" w:space="31"/>
        </w:pBdr>
        <w:autoSpaceDE w:val="0"/>
        <w:spacing w:line="560" w:lineRule="exact"/>
        <w:ind w:firstLine="1600" w:firstLineChars="5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4.重大隐患填报表（累计数）</w:t>
      </w:r>
    </w:p>
    <w:p>
      <w:pPr>
        <w:pStyle w:val="2"/>
        <w:rPr>
          <w:rFonts w:hint="eastAsia"/>
        </w:rPr>
      </w:pPr>
      <w:r>
        <w:rPr>
          <w:rFonts w:hint="eastAsia"/>
        </w:rPr>
        <w:t xml:space="preserve"> </w:t>
      </w:r>
    </w:p>
    <w:p>
      <w:pPr>
        <w:pStyle w:val="2"/>
        <w:rPr>
          <w:rFonts w:hint="eastAsia"/>
        </w:rPr>
      </w:pPr>
      <w:r>
        <w:rPr>
          <w:rFonts w:hint="eastAsia"/>
        </w:rPr>
        <w:t xml:space="preserve"> </w:t>
      </w:r>
    </w:p>
    <w:p>
      <w:pPr>
        <w:pBdr>
          <w:bottom w:val="single" w:color="FFFFFF" w:sz="4" w:space="31"/>
        </w:pBdr>
        <w:autoSpaceDE w:val="0"/>
        <w:spacing w:line="560" w:lineRule="exact"/>
        <w:rPr>
          <w:rFonts w:hint="eastAsia" w:eastAsia="仿宋_GB2312"/>
        </w:rPr>
      </w:pPr>
      <w:r>
        <w:rPr>
          <w:rFonts w:hint="eastAsia" w:ascii="黑体" w:hAnsi="黑体" w:eastAsia="黑体"/>
          <w:sz w:val="32"/>
          <w:szCs w:val="32"/>
        </w:rPr>
        <w:t>附件</w:t>
      </w:r>
      <w:r>
        <w:rPr>
          <w:rFonts w:hint="eastAsia" w:ascii="黑体" w:hAnsi="宋体" w:eastAsia="黑体"/>
          <w:sz w:val="32"/>
          <w:szCs w:val="32"/>
        </w:rPr>
        <w:t>1</w:t>
      </w:r>
    </w:p>
    <w:p>
      <w:pPr>
        <w:spacing w:line="560" w:lineRule="exact"/>
        <w:jc w:val="center"/>
        <w:rPr>
          <w:rFonts w:hint="eastAsia" w:ascii="宋体" w:cs="方正小标宋简体"/>
          <w:b/>
          <w:sz w:val="44"/>
          <w:szCs w:val="44"/>
        </w:rPr>
      </w:pPr>
      <w:r>
        <w:rPr>
          <w:rFonts w:hint="eastAsia" w:ascii="宋体" w:hAnsi="宋体" w:cs="方正小标宋简体"/>
          <w:b/>
          <w:sz w:val="44"/>
          <w:szCs w:val="44"/>
        </w:rPr>
        <w:t xml:space="preserve"> </w:t>
      </w:r>
    </w:p>
    <w:p>
      <w:pPr>
        <w:spacing w:line="560" w:lineRule="exact"/>
        <w:jc w:val="center"/>
        <w:rPr>
          <w:rFonts w:hint="eastAsia" w:ascii="宋体" w:cs="方正小标宋简体"/>
          <w:b/>
          <w:sz w:val="44"/>
          <w:szCs w:val="44"/>
        </w:rPr>
      </w:pPr>
      <w:r>
        <w:rPr>
          <w:rFonts w:hint="eastAsia" w:ascii="宋体" w:hAnsi="宋体" w:cs="方正小标宋简体"/>
          <w:b/>
          <w:sz w:val="44"/>
          <w:szCs w:val="44"/>
        </w:rPr>
        <w:t>全区A级景区、旅行社和体育场馆安全管理专项整治工作领导小组</w:t>
      </w:r>
    </w:p>
    <w:p>
      <w:pPr>
        <w:pBdr>
          <w:bottom w:val="single" w:color="FFFFFF" w:sz="4" w:space="31"/>
        </w:pBdr>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 xml:space="preserve"> </w:t>
      </w:r>
    </w:p>
    <w:p>
      <w:pPr>
        <w:pBdr>
          <w:bottom w:val="single" w:color="FFFFFF" w:sz="4" w:space="31"/>
        </w:pBdr>
        <w:spacing w:line="52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为更好地推进全区A级景区、旅行社和体育场馆安全管理专项整治工作，经研究，成立区文体旅游局A级景区、旅行社和体育场馆安全管理专项整治工作领导小组。具体名单如下：</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组</w:t>
      </w:r>
      <w:r>
        <w:rPr>
          <w:rFonts w:hint="eastAsia" w:ascii="黑体" w:hAnsi="宋体" w:eastAsia="黑体"/>
          <w:sz w:val="32"/>
          <w:szCs w:val="32"/>
        </w:rPr>
        <w:t xml:space="preserve">  </w:t>
      </w:r>
      <w:r>
        <w:rPr>
          <w:rFonts w:hint="eastAsia" w:ascii="黑体" w:hAnsi="黑体" w:eastAsia="黑体"/>
          <w:sz w:val="32"/>
          <w:szCs w:val="32"/>
        </w:rPr>
        <w:t>长：</w:t>
      </w:r>
      <w:r>
        <w:rPr>
          <w:rFonts w:hint="eastAsia" w:ascii="仿宋_GB2312" w:hAnsi="Times New Roman" w:eastAsia="仿宋_GB2312"/>
          <w:sz w:val="32"/>
          <w:szCs w:val="32"/>
        </w:rPr>
        <w:t>刘  冰（党组书记、局长）</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副组长：</w:t>
      </w:r>
      <w:r>
        <w:rPr>
          <w:rFonts w:hint="eastAsia" w:ascii="仿宋_GB2312" w:hAnsi="Times New Roman" w:eastAsia="仿宋_GB2312"/>
          <w:sz w:val="32"/>
          <w:szCs w:val="32"/>
        </w:rPr>
        <w:t>丁思金（副局长、二级主任科员）</w:t>
      </w:r>
    </w:p>
    <w:p>
      <w:pPr>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 xml:space="preserve">        连阿富（党组成员、三级主任科员）</w:t>
      </w:r>
    </w:p>
    <w:p>
      <w:pPr>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 xml:space="preserve">        肖良水（文化市场综合执法大队大队长）</w:t>
      </w:r>
    </w:p>
    <w:p>
      <w:pPr>
        <w:spacing w:line="560" w:lineRule="exact"/>
        <w:ind w:left="2078" w:leftChars="304" w:hanging="1440" w:hangingChars="450"/>
        <w:rPr>
          <w:rFonts w:hint="eastAsia" w:ascii="仿宋_GB2312" w:hAnsi="Times New Roman" w:eastAsia="仿宋_GB2312"/>
          <w:sz w:val="32"/>
          <w:szCs w:val="32"/>
        </w:rPr>
      </w:pPr>
      <w:r>
        <w:rPr>
          <w:rFonts w:hint="eastAsia" w:ascii="黑体" w:hAnsi="黑体" w:eastAsia="黑体"/>
          <w:sz w:val="32"/>
          <w:szCs w:val="32"/>
        </w:rPr>
        <w:t>成</w:t>
      </w:r>
      <w:r>
        <w:rPr>
          <w:rFonts w:hint="eastAsia" w:ascii="黑体" w:hAnsi="宋体" w:eastAsia="黑体"/>
          <w:sz w:val="32"/>
          <w:szCs w:val="32"/>
        </w:rPr>
        <w:t xml:space="preserve">  </w:t>
      </w:r>
      <w:r>
        <w:rPr>
          <w:rFonts w:hint="eastAsia" w:ascii="黑体" w:hAnsi="黑体" w:eastAsia="黑体"/>
          <w:sz w:val="32"/>
          <w:szCs w:val="32"/>
        </w:rPr>
        <w:t>员：</w:t>
      </w:r>
      <w:r>
        <w:rPr>
          <w:rFonts w:hint="eastAsia" w:ascii="仿宋_GB2312" w:hAnsi="Times New Roman" w:eastAsia="仿宋_GB2312"/>
          <w:sz w:val="32"/>
          <w:szCs w:val="32"/>
        </w:rPr>
        <w:t>庄学民（综合股负责人）</w:t>
      </w:r>
    </w:p>
    <w:p>
      <w:pPr>
        <w:spacing w:line="58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邱秀松（体育股负责人）</w:t>
      </w:r>
    </w:p>
    <w:p>
      <w:pPr>
        <w:pStyle w:val="2"/>
        <w:ind w:firstLine="1920" w:firstLineChars="600"/>
        <w:rPr>
          <w:rFonts w:hint="eastAsia"/>
        </w:rPr>
      </w:pPr>
      <w:r>
        <w:rPr>
          <w:rFonts w:hint="eastAsia" w:ascii="仿宋_GB2312" w:eastAsia="仿宋_GB2312"/>
          <w:sz w:val="32"/>
          <w:szCs w:val="32"/>
        </w:rPr>
        <w:t>陈小平（文博股负责人）</w:t>
      </w:r>
    </w:p>
    <w:p>
      <w:pPr>
        <w:pStyle w:val="2"/>
        <w:ind w:firstLine="1920" w:firstLineChars="600"/>
        <w:rPr>
          <w:rFonts w:ascii="仿宋_GB2312" w:eastAsia="仿宋_GB2312"/>
          <w:sz w:val="32"/>
          <w:szCs w:val="32"/>
        </w:rPr>
      </w:pPr>
      <w:r>
        <w:rPr>
          <w:rFonts w:hint="eastAsia" w:ascii="仿宋_GB2312" w:eastAsia="仿宋_GB2312"/>
          <w:sz w:val="32"/>
          <w:szCs w:val="32"/>
        </w:rPr>
        <w:t>连世勇（综合股工作人员）</w:t>
      </w:r>
    </w:p>
    <w:p>
      <w:pPr>
        <w:spacing w:line="560" w:lineRule="exact"/>
        <w:ind w:left="2075" w:leftChars="912" w:hanging="160" w:hangingChars="50"/>
        <w:rPr>
          <w:rFonts w:hint="eastAsia" w:ascii="仿宋_GB2312" w:eastAsia="仿宋_GB2312"/>
          <w:sz w:val="32"/>
          <w:szCs w:val="32"/>
        </w:rPr>
      </w:pPr>
      <w:r>
        <w:rPr>
          <w:rFonts w:hint="eastAsia" w:ascii="仿宋_GB2312" w:hAnsi="Times New Roman" w:eastAsia="仿宋_GB2312"/>
          <w:sz w:val="32"/>
          <w:szCs w:val="32"/>
        </w:rPr>
        <w:t>陈东坤（综合股工作人员）</w:t>
      </w:r>
    </w:p>
    <w:p>
      <w:pPr>
        <w:pStyle w:val="2"/>
        <w:rPr>
          <w:rFonts w:hint="eastAsia" w:ascii="仿宋_GB2312" w:eastAsia="仿宋_GB2312"/>
          <w:sz w:val="32"/>
          <w:szCs w:val="32"/>
        </w:rPr>
      </w:pPr>
      <w:r>
        <w:rPr>
          <w:rFonts w:hint="eastAsia" w:ascii="仿宋_GB2312" w:eastAsia="仿宋_GB2312"/>
          <w:sz w:val="32"/>
          <w:szCs w:val="32"/>
        </w:rPr>
        <w:t xml:space="preserve">            庄国柱（综合股工作人员）</w:t>
      </w:r>
    </w:p>
    <w:p>
      <w:pPr>
        <w:spacing w:line="58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巫永祥（文旅股工作人员）</w:t>
      </w:r>
    </w:p>
    <w:p>
      <w:pPr>
        <w:pStyle w:val="2"/>
        <w:rPr>
          <w:rFonts w:ascii="仿宋_GB2312" w:eastAsia="仿宋_GB2312"/>
          <w:sz w:val="32"/>
          <w:szCs w:val="32"/>
        </w:rPr>
        <w:sectPr>
          <w:footerReference r:id="rId3" w:type="default"/>
          <w:pgSz w:w="11906" w:h="16838"/>
          <w:pgMar w:top="1871" w:right="1531" w:bottom="1814" w:left="1531" w:header="851" w:footer="1135" w:gutter="0"/>
          <w:pgNumType w:fmt="numberInDash"/>
          <w:cols w:space="720" w:num="1"/>
          <w:docGrid w:type="lines" w:linePitch="319" w:charSpace="0"/>
        </w:sectPr>
      </w:pPr>
      <w:r>
        <w:rPr>
          <w:rFonts w:hint="eastAsia" w:ascii="仿宋_GB2312" w:eastAsia="仿宋_GB2312"/>
          <w:sz w:val="32"/>
          <w:szCs w:val="32"/>
        </w:rPr>
        <w:t xml:space="preserve"> </w:t>
      </w:r>
    </w:p>
    <w:p>
      <w:pPr>
        <w:pStyle w:val="2"/>
        <w:widowControl/>
        <w:spacing w:line="540" w:lineRule="exact"/>
        <w:rPr>
          <w:rFonts w:hint="eastAsia" w:ascii="黑体" w:hAnsi="宋体" w:eastAsia="黑体"/>
          <w:sz w:val="32"/>
          <w:szCs w:val="32"/>
        </w:rPr>
      </w:pPr>
      <w:r>
        <w:rPr>
          <w:rFonts w:hint="eastAsia" w:ascii="黑体" w:hAnsi="黑体" w:eastAsia="黑体"/>
          <w:sz w:val="32"/>
          <w:szCs w:val="32"/>
        </w:rPr>
        <w:t>附件</w:t>
      </w:r>
      <w:r>
        <w:rPr>
          <w:rFonts w:hint="eastAsia" w:ascii="黑体" w:hAnsi="宋体" w:eastAsia="黑体"/>
          <w:sz w:val="32"/>
          <w:szCs w:val="32"/>
        </w:rPr>
        <w:t>2</w:t>
      </w:r>
    </w:p>
    <w:p>
      <w:pPr>
        <w:spacing w:line="540" w:lineRule="exact"/>
        <w:jc w:val="center"/>
        <w:rPr>
          <w:rFonts w:hint="eastAsia" w:eastAsia="方正小标宋简体"/>
          <w:sz w:val="44"/>
          <w:szCs w:val="44"/>
        </w:rPr>
      </w:pPr>
      <w:r>
        <w:rPr>
          <w:rFonts w:hint="eastAsia" w:ascii="方正小标宋简体" w:eastAsia="方正小标宋简体"/>
          <w:sz w:val="44"/>
          <w:szCs w:val="44"/>
        </w:rPr>
        <w:t>隐患排查整改工作表格</w:t>
      </w:r>
    </w:p>
    <w:p>
      <w:pPr>
        <w:pStyle w:val="2"/>
        <w:widowControl/>
        <w:spacing w:line="540" w:lineRule="exact"/>
      </w:pPr>
      <w:r>
        <w:t xml:space="preserve"> </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2041"/>
        <w:gridCol w:w="2229"/>
        <w:gridCol w:w="2088"/>
        <w:gridCol w:w="1811"/>
        <w:gridCol w:w="1672"/>
        <w:gridCol w:w="2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7"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景区</w:t>
            </w:r>
          </w:p>
          <w:p>
            <w:pPr>
              <w:pStyle w:val="2"/>
              <w:widowControl/>
              <w:spacing w:line="400" w:lineRule="exact"/>
              <w:jc w:val="center"/>
              <w:rPr>
                <w:rFonts w:hint="eastAsia" w:ascii="楷体_GB2312" w:eastAsia="楷体_GB2312"/>
                <w:sz w:val="28"/>
                <w:szCs w:val="28"/>
              </w:rPr>
            </w:pPr>
            <w:r>
              <w:rPr>
                <w:rFonts w:hint="eastAsia" w:ascii="楷体_GB2312" w:eastAsia="楷体_GB2312"/>
                <w:sz w:val="28"/>
                <w:szCs w:val="28"/>
              </w:rPr>
              <w:t>（旅行社、</w:t>
            </w:r>
          </w:p>
          <w:p>
            <w:pPr>
              <w:pStyle w:val="2"/>
              <w:widowControl/>
              <w:spacing w:line="400" w:lineRule="exact"/>
              <w:jc w:val="center"/>
              <w:rPr>
                <w:rFonts w:hint="eastAsia" w:ascii="楷体_GB2312" w:eastAsia="楷体_GB2312"/>
                <w:sz w:val="28"/>
                <w:szCs w:val="28"/>
              </w:rPr>
            </w:pPr>
            <w:r>
              <w:rPr>
                <w:rFonts w:hint="eastAsia" w:ascii="楷体_GB2312" w:eastAsia="楷体_GB2312"/>
                <w:sz w:val="28"/>
                <w:szCs w:val="28"/>
              </w:rPr>
              <w:t>体育场馆）</w:t>
            </w:r>
          </w:p>
          <w:p>
            <w:pPr>
              <w:pStyle w:val="2"/>
              <w:widowControl/>
              <w:spacing w:line="400" w:lineRule="exact"/>
              <w:jc w:val="center"/>
              <w:rPr>
                <w:rFonts w:ascii="楷体_GB2312" w:eastAsia="楷体_GB2312"/>
                <w:sz w:val="28"/>
                <w:szCs w:val="28"/>
              </w:rPr>
            </w:pPr>
            <w:r>
              <w:rPr>
                <w:rFonts w:hint="eastAsia" w:ascii="楷体_GB2312" w:eastAsia="楷体_GB2312"/>
                <w:sz w:val="28"/>
                <w:szCs w:val="28"/>
              </w:rPr>
              <w:t>名称</w:t>
            </w:r>
          </w:p>
        </w:tc>
        <w:tc>
          <w:tcPr>
            <w:tcW w:w="2041"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问题隐患</w:t>
            </w:r>
          </w:p>
        </w:tc>
        <w:tc>
          <w:tcPr>
            <w:tcW w:w="2229"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责任人</w:t>
            </w:r>
          </w:p>
          <w:p>
            <w:pPr>
              <w:pStyle w:val="2"/>
              <w:widowControl/>
              <w:spacing w:line="400" w:lineRule="exact"/>
              <w:jc w:val="center"/>
              <w:rPr>
                <w:rFonts w:hint="eastAsia" w:ascii="楷体_GB2312" w:eastAsia="楷体_GB2312"/>
                <w:sz w:val="28"/>
                <w:szCs w:val="28"/>
              </w:rPr>
            </w:pPr>
            <w:r>
              <w:rPr>
                <w:rFonts w:hint="eastAsia" w:ascii="楷体_GB2312" w:eastAsia="楷体_GB2312"/>
                <w:sz w:val="28"/>
                <w:szCs w:val="28"/>
              </w:rPr>
              <w:t>（姓名、职务、</w:t>
            </w:r>
          </w:p>
          <w:p>
            <w:pPr>
              <w:pStyle w:val="2"/>
              <w:widowControl/>
              <w:spacing w:line="400" w:lineRule="exact"/>
              <w:jc w:val="center"/>
              <w:rPr>
                <w:rFonts w:ascii="楷体_GB2312" w:eastAsia="楷体_GB2312"/>
                <w:sz w:val="28"/>
                <w:szCs w:val="28"/>
              </w:rPr>
            </w:pPr>
            <w:r>
              <w:rPr>
                <w:rFonts w:hint="eastAsia" w:ascii="楷体_GB2312" w:eastAsia="楷体_GB2312"/>
                <w:sz w:val="28"/>
                <w:szCs w:val="28"/>
              </w:rPr>
              <w:t>联系电话）</w:t>
            </w:r>
          </w:p>
        </w:tc>
        <w:tc>
          <w:tcPr>
            <w:tcW w:w="2088"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整改措施</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整改期限</w:t>
            </w:r>
          </w:p>
        </w:tc>
        <w:tc>
          <w:tcPr>
            <w:tcW w:w="1672"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是否完成</w:t>
            </w:r>
          </w:p>
        </w:tc>
        <w:tc>
          <w:tcPr>
            <w:tcW w:w="2785" w:type="dxa"/>
            <w:tcBorders>
              <w:top w:val="single" w:color="000000" w:sz="4" w:space="0"/>
              <w:left w:val="single" w:color="000000" w:sz="4" w:space="0"/>
              <w:bottom w:val="single" w:color="000000" w:sz="4" w:space="0"/>
              <w:right w:val="single" w:color="000000" w:sz="4" w:space="0"/>
            </w:tcBorders>
            <w:vAlign w:val="center"/>
          </w:tcPr>
          <w:p>
            <w:pPr>
              <w:pStyle w:val="2"/>
              <w:widowControl/>
              <w:spacing w:line="400" w:lineRule="exact"/>
              <w:jc w:val="center"/>
              <w:rPr>
                <w:rFonts w:ascii="楷体_GB2312" w:eastAsia="楷体_GB2312"/>
                <w:sz w:val="28"/>
                <w:szCs w:val="28"/>
              </w:rPr>
            </w:pPr>
            <w:r>
              <w:rPr>
                <w:rFonts w:hint="eastAsia" w:ascii="楷体_GB2312" w:eastAsia="楷体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7"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4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229"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88"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81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672"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785"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7"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4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229"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88"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81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672"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785"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7"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4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229"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88"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81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672"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785"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7"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4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229"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088"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811"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1672"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c>
          <w:tcPr>
            <w:tcW w:w="2785" w:type="dxa"/>
            <w:tcBorders>
              <w:top w:val="single" w:color="000000" w:sz="4" w:space="0"/>
              <w:left w:val="single" w:color="000000" w:sz="4" w:space="0"/>
              <w:bottom w:val="single" w:color="000000" w:sz="4" w:space="0"/>
              <w:right w:val="single" w:color="000000" w:sz="4" w:space="0"/>
            </w:tcBorders>
          </w:tcPr>
          <w:p>
            <w:pPr>
              <w:pStyle w:val="2"/>
              <w:widowControl/>
              <w:spacing w:line="540" w:lineRule="exact"/>
            </w:pPr>
          </w:p>
        </w:tc>
      </w:tr>
    </w:tbl>
    <w:p>
      <w:pPr>
        <w:spacing w:line="540" w:lineRule="exact"/>
        <w:rPr>
          <w:rFonts w:eastAsia="方正仿宋简体"/>
          <w:sz w:val="32"/>
          <w:szCs w:val="32"/>
        </w:rPr>
      </w:pPr>
      <w:r>
        <w:rPr>
          <w:rFonts w:ascii="Times New Roman" w:hAnsi="Times New Roman" w:eastAsia="方正仿宋简体"/>
          <w:sz w:val="32"/>
          <w:szCs w:val="32"/>
        </w:rPr>
        <w:t xml:space="preserve"> </w:t>
      </w:r>
    </w:p>
    <w:p>
      <w:pPr>
        <w:pStyle w:val="2"/>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hAnsi="Times New Roman" w:eastAsia="仿宋_GB2312"/>
          <w:sz w:val="32"/>
          <w:szCs w:val="32"/>
        </w:rPr>
        <w:t xml:space="preserve"> </w:t>
      </w:r>
    </w:p>
    <w:p>
      <w:pPr>
        <w:widowControl/>
        <w:jc w:val="left"/>
        <w:rPr>
          <w:rFonts w:ascii="黑体" w:hAnsi="宋体" w:eastAsia="黑体" w:cs="宋体"/>
          <w:sz w:val="32"/>
          <w:szCs w:val="32"/>
        </w:rPr>
        <w:sectPr>
          <w:pgSz w:w="16838" w:h="11906" w:orient="landscape"/>
          <w:pgMar w:top="1531" w:right="1871" w:bottom="1531" w:left="1814" w:header="851" w:footer="1135" w:gutter="0"/>
          <w:pgNumType w:fmt="numberInDash"/>
          <w:cols w:space="720" w:num="1"/>
          <w:docGrid w:type="linesAndChars" w:linePitch="319" w:charSpace="0"/>
        </w:sectPr>
      </w:pPr>
    </w:p>
    <w:p>
      <w:pPr>
        <w:spacing w:line="540" w:lineRule="exact"/>
        <w:jc w:val="left"/>
        <w:rPr>
          <w:rFonts w:hint="eastAsia" w:eastAsia="方正仿宋简体"/>
          <w:sz w:val="32"/>
          <w:szCs w:val="32"/>
        </w:rPr>
      </w:pPr>
      <w:r>
        <w:rPr>
          <w:rFonts w:hint="eastAsia" w:ascii="黑体" w:hAnsi="黑体" w:eastAsia="黑体"/>
          <w:sz w:val="32"/>
          <w:szCs w:val="32"/>
        </w:rPr>
        <w:t>附件</w:t>
      </w:r>
      <w:r>
        <w:rPr>
          <w:rFonts w:hint="eastAsia" w:ascii="黑体" w:hAnsi="宋体" w:eastAsia="黑体"/>
          <w:sz w:val="32"/>
          <w:szCs w:val="32"/>
        </w:rPr>
        <w:t>3</w:t>
      </w:r>
    </w:p>
    <w:p>
      <w:pPr>
        <w:spacing w:line="400" w:lineRule="exact"/>
        <w:rPr>
          <w:rFonts w:hint="eastAsia" w:eastAsia="方正黑体简体"/>
        </w:rPr>
      </w:pPr>
      <w:r>
        <w:rPr>
          <w:rFonts w:ascii="Times New Roman" w:hAnsi="Times New Roman" w:eastAsia="方正黑体简体"/>
        </w:rPr>
        <w:t xml:space="preserve"> </w:t>
      </w:r>
    </w:p>
    <w:p>
      <w:pPr>
        <w:spacing w:line="480" w:lineRule="exact"/>
        <w:rPr>
          <w:rFonts w:ascii="仿宋_GB2312" w:eastAsia="仿宋_GB2312"/>
          <w:color w:val="000000"/>
          <w:kern w:val="0"/>
          <w:sz w:val="28"/>
          <w:szCs w:val="28"/>
        </w:rPr>
      </w:pPr>
      <w:r>
        <w:rPr>
          <w:rFonts w:hint="eastAsia" w:ascii="方正小标宋简体" w:eastAsia="方正小标宋简体"/>
          <w:sz w:val="44"/>
          <w:szCs w:val="44"/>
        </w:rPr>
        <w:t>泉港区A级景区、旅行社和体育场馆安全管理专项整治工作情况汇总表</w:t>
      </w:r>
    </w:p>
    <w:p>
      <w:pPr>
        <w:spacing w:line="480" w:lineRule="exact"/>
        <w:rPr>
          <w:rFonts w:hint="eastAsia" w:eastAsia="仿宋_GB2312"/>
          <w:color w:val="000000"/>
          <w:kern w:val="0"/>
          <w:sz w:val="28"/>
          <w:szCs w:val="28"/>
        </w:rPr>
      </w:pPr>
      <w:r>
        <w:rPr>
          <w:rFonts w:hint="eastAsia" w:ascii="仿宋_GB2312" w:hAnsi="Times New Roman" w:eastAsia="仿宋_GB2312"/>
          <w:color w:val="000000"/>
          <w:kern w:val="0"/>
          <w:sz w:val="28"/>
          <w:szCs w:val="28"/>
        </w:rPr>
        <w:t xml:space="preserve">   填报地区（单位）：</w:t>
      </w:r>
    </w:p>
    <w:tbl>
      <w:tblPr>
        <w:tblStyle w:val="5"/>
        <w:tblW w:w="0" w:type="auto"/>
        <w:jc w:val="center"/>
        <w:tblLayout w:type="fixed"/>
        <w:tblCellMar>
          <w:top w:w="0" w:type="dxa"/>
          <w:left w:w="0" w:type="dxa"/>
          <w:bottom w:w="0" w:type="dxa"/>
          <w:right w:w="0" w:type="dxa"/>
        </w:tblCellMar>
      </w:tblPr>
      <w:tblGrid>
        <w:gridCol w:w="775"/>
        <w:gridCol w:w="704"/>
        <w:gridCol w:w="867"/>
        <w:gridCol w:w="934"/>
        <w:gridCol w:w="866"/>
        <w:gridCol w:w="600"/>
        <w:gridCol w:w="654"/>
        <w:gridCol w:w="627"/>
        <w:gridCol w:w="936"/>
        <w:gridCol w:w="893"/>
        <w:gridCol w:w="797"/>
        <w:gridCol w:w="1321"/>
        <w:gridCol w:w="799"/>
        <w:gridCol w:w="1009"/>
        <w:gridCol w:w="674"/>
        <w:gridCol w:w="1070"/>
      </w:tblGrid>
      <w:tr>
        <w:tblPrEx>
          <w:tblCellMar>
            <w:top w:w="0" w:type="dxa"/>
            <w:left w:w="0" w:type="dxa"/>
            <w:bottom w:w="0" w:type="dxa"/>
            <w:right w:w="0" w:type="dxa"/>
          </w:tblCellMar>
        </w:tblPrEx>
        <w:trPr>
          <w:trHeight w:val="618" w:hRule="atLeast"/>
          <w:jc w:val="center"/>
        </w:trPr>
        <w:tc>
          <w:tcPr>
            <w:tcW w:w="775" w:type="dxa"/>
            <w:vMerge w:val="restart"/>
            <w:tcBorders>
              <w:top w:val="single" w:color="000000" w:sz="8" w:space="0"/>
              <w:left w:val="single" w:color="000000" w:sz="8" w:space="0"/>
              <w:bottom w:val="nil"/>
              <w:right w:val="single" w:color="000000" w:sz="8" w:space="0"/>
            </w:tcBorders>
            <w:tcMar>
              <w:top w:w="15" w:type="dxa"/>
              <w:left w:w="15" w:type="dxa"/>
              <w:bottom w:w="0" w:type="dxa"/>
              <w:right w:w="15" w:type="dxa"/>
            </w:tcMar>
            <w:vAlign w:val="center"/>
          </w:tcPr>
          <w:p>
            <w:pPr>
              <w:pStyle w:val="2"/>
              <w:widowControl/>
              <w:ind w:left="113" w:right="113"/>
              <w:jc w:val="center"/>
              <w:rPr>
                <w:rFonts w:ascii="楷体_GB2312" w:eastAsia="楷体_GB2312"/>
                <w:sz w:val="24"/>
                <w:szCs w:val="24"/>
              </w:rPr>
            </w:pPr>
            <w:r>
              <w:rPr>
                <w:rFonts w:hint="eastAsia" w:ascii="楷体_GB2312" w:eastAsia="楷体_GB2312"/>
                <w:color w:val="000000"/>
                <w:sz w:val="24"/>
                <w:szCs w:val="24"/>
              </w:rPr>
              <w:t>类  别</w:t>
            </w:r>
          </w:p>
        </w:tc>
        <w:tc>
          <w:tcPr>
            <w:tcW w:w="704" w:type="dxa"/>
            <w:vMerge w:val="restart"/>
            <w:tcBorders>
              <w:top w:val="single" w:color="000000" w:sz="8" w:space="0"/>
              <w:left w:val="nil"/>
              <w:bottom w:val="nil"/>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center"/>
              <w:rPr>
                <w:rFonts w:ascii="楷体_GB2312" w:eastAsia="楷体_GB2312"/>
                <w:color w:val="000000"/>
                <w:kern w:val="0"/>
                <w:sz w:val="24"/>
                <w:szCs w:val="24"/>
              </w:rPr>
            </w:pPr>
            <w:r>
              <w:rPr>
                <w:rFonts w:hint="eastAsia" w:ascii="楷体_GB2312" w:hAnsi="Times New Roman" w:eastAsia="楷体_GB2312"/>
                <w:color w:val="000000"/>
                <w:kern w:val="0"/>
                <w:sz w:val="24"/>
                <w:szCs w:val="24"/>
              </w:rPr>
              <w:t>总  数</w:t>
            </w:r>
          </w:p>
        </w:tc>
        <w:tc>
          <w:tcPr>
            <w:tcW w:w="2667"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排查发现</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隐患数</w:t>
            </w:r>
          </w:p>
        </w:tc>
        <w:tc>
          <w:tcPr>
            <w:tcW w:w="1881"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已完成整改</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隐患数</w:t>
            </w:r>
          </w:p>
        </w:tc>
        <w:tc>
          <w:tcPr>
            <w:tcW w:w="1829"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群众隐患举报</w:t>
            </w:r>
          </w:p>
        </w:tc>
        <w:tc>
          <w:tcPr>
            <w:tcW w:w="5670" w:type="dxa"/>
            <w:gridSpan w:val="6"/>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执法检查情况</w:t>
            </w:r>
          </w:p>
        </w:tc>
      </w:tr>
      <w:tr>
        <w:tblPrEx>
          <w:tblCellMar>
            <w:top w:w="0" w:type="dxa"/>
            <w:left w:w="0" w:type="dxa"/>
            <w:bottom w:w="0" w:type="dxa"/>
            <w:right w:w="0" w:type="dxa"/>
          </w:tblCellMar>
        </w:tblPrEx>
        <w:trPr>
          <w:trHeight w:val="1055" w:hRule="atLeast"/>
          <w:jc w:val="center"/>
        </w:trPr>
        <w:tc>
          <w:tcPr>
            <w:tcW w:w="775" w:type="dxa"/>
            <w:vMerge w:val="continue"/>
            <w:tcBorders>
              <w:top w:val="single" w:color="000000" w:sz="8" w:space="0"/>
              <w:left w:val="single" w:color="000000" w:sz="8" w:space="0"/>
              <w:bottom w:val="nil"/>
              <w:right w:val="single" w:color="000000" w:sz="8" w:space="0"/>
            </w:tcBorders>
            <w:vAlign w:val="center"/>
          </w:tcPr>
          <w:p>
            <w:pPr>
              <w:widowControl/>
              <w:jc w:val="left"/>
              <w:rPr>
                <w:rFonts w:ascii="楷体_GB2312" w:hAnsi="Times New Roman" w:eastAsia="楷体_GB2312"/>
                <w:sz w:val="24"/>
                <w:szCs w:val="24"/>
              </w:rPr>
            </w:pPr>
          </w:p>
        </w:tc>
        <w:tc>
          <w:tcPr>
            <w:tcW w:w="704" w:type="dxa"/>
            <w:vMerge w:val="continue"/>
            <w:tcBorders>
              <w:top w:val="single" w:color="000000" w:sz="8" w:space="0"/>
              <w:left w:val="nil"/>
              <w:bottom w:val="nil"/>
              <w:right w:val="single" w:color="000000" w:sz="8" w:space="0"/>
            </w:tcBorders>
            <w:vAlign w:val="center"/>
          </w:tcPr>
          <w:p>
            <w:pPr>
              <w:widowControl/>
              <w:jc w:val="left"/>
              <w:rPr>
                <w:rFonts w:ascii="楷体_GB2312" w:eastAsia="楷体_GB2312"/>
                <w:color w:val="000000"/>
                <w:kern w:val="0"/>
                <w:sz w:val="24"/>
                <w:szCs w:val="24"/>
              </w:rPr>
            </w:pPr>
          </w:p>
        </w:tc>
        <w:tc>
          <w:tcPr>
            <w:tcW w:w="86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总  数</w:t>
            </w:r>
          </w:p>
        </w:tc>
        <w:tc>
          <w:tcPr>
            <w:tcW w:w="93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hint="eastAsia" w:ascii="楷体_GB2312" w:eastAsia="楷体_GB2312"/>
                <w:color w:val="000000"/>
                <w:kern w:val="0"/>
                <w:sz w:val="24"/>
                <w:szCs w:val="24"/>
              </w:rPr>
            </w:pPr>
            <w:r>
              <w:rPr>
                <w:rFonts w:hint="eastAsia" w:ascii="楷体_GB2312" w:hAnsi="Times New Roman" w:eastAsia="楷体_GB2312"/>
                <w:color w:val="000000"/>
                <w:kern w:val="0"/>
                <w:sz w:val="24"/>
                <w:szCs w:val="24"/>
              </w:rPr>
              <w:t>一般</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隐患</w:t>
            </w:r>
          </w:p>
        </w:tc>
        <w:tc>
          <w:tcPr>
            <w:tcW w:w="86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重 大  隐 患</w:t>
            </w:r>
          </w:p>
        </w:tc>
        <w:tc>
          <w:tcPr>
            <w:tcW w:w="60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总  数</w:t>
            </w:r>
          </w:p>
        </w:tc>
        <w:tc>
          <w:tcPr>
            <w:tcW w:w="65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hint="eastAsia" w:ascii="楷体_GB2312" w:eastAsia="楷体_GB2312"/>
                <w:color w:val="000000"/>
                <w:kern w:val="0"/>
                <w:sz w:val="24"/>
                <w:szCs w:val="24"/>
              </w:rPr>
            </w:pPr>
            <w:r>
              <w:rPr>
                <w:rFonts w:hint="eastAsia" w:ascii="楷体_GB2312" w:hAnsi="Times New Roman" w:eastAsia="楷体_GB2312"/>
                <w:color w:val="000000"/>
                <w:kern w:val="0"/>
                <w:sz w:val="24"/>
                <w:szCs w:val="24"/>
              </w:rPr>
              <w:t>一般</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隐患</w:t>
            </w:r>
          </w:p>
        </w:tc>
        <w:tc>
          <w:tcPr>
            <w:tcW w:w="62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hint="eastAsia" w:ascii="楷体_GB2312" w:eastAsia="楷体_GB2312"/>
                <w:color w:val="000000"/>
                <w:kern w:val="0"/>
                <w:sz w:val="24"/>
                <w:szCs w:val="24"/>
              </w:rPr>
            </w:pPr>
            <w:r>
              <w:rPr>
                <w:rFonts w:hint="eastAsia" w:ascii="楷体_GB2312" w:hAnsi="Times New Roman" w:eastAsia="楷体_GB2312"/>
                <w:color w:val="000000"/>
                <w:kern w:val="0"/>
                <w:sz w:val="24"/>
                <w:szCs w:val="24"/>
              </w:rPr>
              <w:t>重大</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隐患</w:t>
            </w:r>
          </w:p>
        </w:tc>
        <w:tc>
          <w:tcPr>
            <w:tcW w:w="9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隐患数</w:t>
            </w:r>
          </w:p>
        </w:tc>
        <w:tc>
          <w:tcPr>
            <w:tcW w:w="89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核实查处数</w:t>
            </w:r>
          </w:p>
        </w:tc>
        <w:tc>
          <w:tcPr>
            <w:tcW w:w="79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限期  整改</w:t>
            </w:r>
          </w:p>
        </w:tc>
        <w:tc>
          <w:tcPr>
            <w:tcW w:w="132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停 产 停 业 整 改</w:t>
            </w:r>
          </w:p>
        </w:tc>
        <w:tc>
          <w:tcPr>
            <w:tcW w:w="79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ind w:left="113"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取缔  关闭</w:t>
            </w:r>
          </w:p>
        </w:tc>
        <w:tc>
          <w:tcPr>
            <w:tcW w:w="100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罚款企</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业数</w:t>
            </w:r>
          </w:p>
        </w:tc>
        <w:tc>
          <w:tcPr>
            <w:tcW w:w="67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罚</w:t>
            </w: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款</w:t>
            </w:r>
          </w:p>
        </w:tc>
        <w:tc>
          <w:tcPr>
            <w:tcW w:w="1070" w:type="dxa"/>
            <w:tcBorders>
              <w:top w:val="single" w:color="000000" w:sz="8" w:space="0"/>
              <w:left w:val="nil"/>
              <w:bottom w:val="single" w:color="000000" w:sz="8" w:space="0"/>
              <w:right w:val="single" w:color="000000" w:sz="8" w:space="0"/>
            </w:tcBorders>
          </w:tcPr>
          <w:p>
            <w:pPr>
              <w:widowControl/>
              <w:spacing w:line="400" w:lineRule="exact"/>
              <w:ind w:left="113" w:right="113"/>
              <w:jc w:val="center"/>
              <w:textAlignment w:val="top"/>
              <w:rPr>
                <w:rFonts w:ascii="楷体_GB2312" w:eastAsia="楷体_GB2312"/>
                <w:color w:val="000000"/>
                <w:kern w:val="0"/>
                <w:sz w:val="24"/>
                <w:szCs w:val="24"/>
              </w:rPr>
            </w:pPr>
          </w:p>
          <w:p>
            <w:pPr>
              <w:widowControl/>
              <w:spacing w:line="400" w:lineRule="exact"/>
              <w:ind w:right="113"/>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其 他 行 政 处 罚</w:t>
            </w:r>
          </w:p>
        </w:tc>
      </w:tr>
      <w:tr>
        <w:tblPrEx>
          <w:tblCellMar>
            <w:top w:w="0" w:type="dxa"/>
            <w:left w:w="0" w:type="dxa"/>
            <w:bottom w:w="0" w:type="dxa"/>
            <w:right w:w="0" w:type="dxa"/>
          </w:tblCellMar>
        </w:tblPrEx>
        <w:trPr>
          <w:trHeight w:val="327" w:hRule="atLeast"/>
          <w:jc w:val="center"/>
        </w:trPr>
        <w:tc>
          <w:tcPr>
            <w:tcW w:w="775"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line="400" w:lineRule="exact"/>
              <w:jc w:val="center"/>
              <w:rPr>
                <w:rFonts w:ascii="楷体_GB2312" w:eastAsia="楷体_GB2312"/>
                <w:color w:val="000000"/>
                <w:sz w:val="24"/>
                <w:szCs w:val="24"/>
              </w:rPr>
            </w:pPr>
            <w:r>
              <w:rPr>
                <w:rFonts w:hint="eastAsia" w:ascii="楷体_GB2312" w:hAnsi="Times New Roman" w:eastAsia="楷体_GB2312"/>
                <w:color w:val="000000"/>
                <w:sz w:val="24"/>
                <w:szCs w:val="24"/>
              </w:rPr>
              <w:t>A级</w:t>
            </w:r>
          </w:p>
          <w:p>
            <w:pPr>
              <w:spacing w:line="400" w:lineRule="exact"/>
              <w:jc w:val="center"/>
              <w:rPr>
                <w:rFonts w:ascii="楷体_GB2312" w:eastAsia="楷体_GB2312"/>
                <w:color w:val="000000"/>
                <w:sz w:val="24"/>
                <w:szCs w:val="24"/>
              </w:rPr>
            </w:pPr>
            <w:r>
              <w:rPr>
                <w:rFonts w:hint="eastAsia" w:ascii="楷体_GB2312" w:hAnsi="Times New Roman" w:eastAsia="楷体_GB2312"/>
                <w:color w:val="000000"/>
                <w:sz w:val="24"/>
                <w:szCs w:val="24"/>
              </w:rPr>
              <w:t>景区</w:t>
            </w:r>
          </w:p>
        </w:tc>
        <w:tc>
          <w:tcPr>
            <w:tcW w:w="70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jc w:val="center"/>
              <w:rPr>
                <w:rFonts w:ascii="楷体_GB2312" w:eastAsia="楷体_GB2312"/>
                <w:color w:val="000000"/>
                <w:sz w:val="24"/>
                <w:szCs w:val="24"/>
              </w:rPr>
            </w:pPr>
          </w:p>
        </w:tc>
        <w:tc>
          <w:tcPr>
            <w:tcW w:w="86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93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66"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00"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5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2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936"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93"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79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321"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799"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009"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7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070" w:type="dxa"/>
            <w:tcBorders>
              <w:top w:val="single" w:color="000000" w:sz="8" w:space="0"/>
              <w:left w:val="nil"/>
              <w:bottom w:val="single" w:color="000000" w:sz="8" w:space="0"/>
              <w:right w:val="single" w:color="000000" w:sz="8" w:space="0"/>
            </w:tcBorders>
          </w:tcPr>
          <w:p>
            <w:pPr>
              <w:spacing w:line="400" w:lineRule="exact"/>
              <w:rPr>
                <w:rFonts w:ascii="楷体_GB2312" w:eastAsia="楷体_GB2312"/>
                <w:color w:val="000000"/>
                <w:sz w:val="24"/>
                <w:szCs w:val="24"/>
              </w:rPr>
            </w:pPr>
          </w:p>
        </w:tc>
      </w:tr>
      <w:tr>
        <w:tblPrEx>
          <w:tblCellMar>
            <w:top w:w="0" w:type="dxa"/>
            <w:left w:w="0" w:type="dxa"/>
            <w:bottom w:w="0" w:type="dxa"/>
            <w:right w:w="0" w:type="dxa"/>
          </w:tblCellMar>
        </w:tblPrEx>
        <w:trPr>
          <w:trHeight w:val="327" w:hRule="atLeast"/>
          <w:jc w:val="center"/>
        </w:trPr>
        <w:tc>
          <w:tcPr>
            <w:tcW w:w="775"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line="400" w:lineRule="exact"/>
              <w:jc w:val="center"/>
              <w:rPr>
                <w:rFonts w:ascii="楷体_GB2312" w:eastAsia="楷体_GB2312"/>
                <w:color w:val="000000"/>
                <w:sz w:val="24"/>
                <w:szCs w:val="24"/>
              </w:rPr>
            </w:pPr>
            <w:r>
              <w:rPr>
                <w:rFonts w:hint="eastAsia" w:ascii="楷体_GB2312" w:hAnsi="Times New Roman" w:eastAsia="楷体_GB2312"/>
                <w:color w:val="000000"/>
                <w:sz w:val="24"/>
                <w:szCs w:val="24"/>
              </w:rPr>
              <w:t>旅行社</w:t>
            </w:r>
          </w:p>
        </w:tc>
        <w:tc>
          <w:tcPr>
            <w:tcW w:w="70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6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93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66"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00"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5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2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936"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93"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79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321"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799"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009"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7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070" w:type="dxa"/>
            <w:tcBorders>
              <w:top w:val="single" w:color="000000" w:sz="8" w:space="0"/>
              <w:left w:val="nil"/>
              <w:bottom w:val="single" w:color="000000" w:sz="8" w:space="0"/>
              <w:right w:val="single" w:color="000000" w:sz="8" w:space="0"/>
            </w:tcBorders>
          </w:tcPr>
          <w:p>
            <w:pPr>
              <w:spacing w:line="400" w:lineRule="exact"/>
              <w:rPr>
                <w:rFonts w:ascii="楷体_GB2312" w:eastAsia="楷体_GB2312"/>
                <w:color w:val="000000"/>
                <w:sz w:val="24"/>
                <w:szCs w:val="24"/>
              </w:rPr>
            </w:pPr>
          </w:p>
        </w:tc>
      </w:tr>
      <w:tr>
        <w:tblPrEx>
          <w:tblCellMar>
            <w:top w:w="0" w:type="dxa"/>
            <w:left w:w="0" w:type="dxa"/>
            <w:bottom w:w="0" w:type="dxa"/>
            <w:right w:w="0" w:type="dxa"/>
          </w:tblCellMar>
        </w:tblPrEx>
        <w:trPr>
          <w:trHeight w:val="327" w:hRule="atLeast"/>
          <w:jc w:val="center"/>
        </w:trPr>
        <w:tc>
          <w:tcPr>
            <w:tcW w:w="775"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line="400" w:lineRule="exact"/>
              <w:jc w:val="center"/>
              <w:rPr>
                <w:rFonts w:ascii="楷体_GB2312" w:eastAsia="楷体_GB2312"/>
                <w:color w:val="000000"/>
                <w:sz w:val="24"/>
                <w:szCs w:val="24"/>
              </w:rPr>
            </w:pPr>
            <w:r>
              <w:rPr>
                <w:rFonts w:hint="eastAsia" w:ascii="楷体_GB2312" w:hAnsi="Times New Roman" w:eastAsia="楷体_GB2312"/>
                <w:color w:val="000000"/>
                <w:sz w:val="24"/>
                <w:szCs w:val="24"/>
              </w:rPr>
              <w:t>体育</w:t>
            </w:r>
          </w:p>
          <w:p>
            <w:pPr>
              <w:spacing w:line="400" w:lineRule="exact"/>
              <w:jc w:val="center"/>
              <w:rPr>
                <w:rFonts w:ascii="楷体_GB2312" w:eastAsia="楷体_GB2312"/>
                <w:color w:val="000000"/>
                <w:sz w:val="24"/>
                <w:szCs w:val="24"/>
              </w:rPr>
            </w:pPr>
            <w:r>
              <w:rPr>
                <w:rFonts w:hint="eastAsia" w:ascii="楷体_GB2312" w:hAnsi="Times New Roman" w:eastAsia="楷体_GB2312"/>
                <w:color w:val="000000"/>
                <w:sz w:val="24"/>
                <w:szCs w:val="24"/>
              </w:rPr>
              <w:t>场馆</w:t>
            </w:r>
          </w:p>
        </w:tc>
        <w:tc>
          <w:tcPr>
            <w:tcW w:w="70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6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93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66"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00"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5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2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936"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893"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797"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321"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799"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009"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67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spacing w:line="400" w:lineRule="exact"/>
              <w:rPr>
                <w:rFonts w:ascii="楷体_GB2312" w:eastAsia="楷体_GB2312"/>
                <w:color w:val="000000"/>
                <w:sz w:val="24"/>
                <w:szCs w:val="24"/>
              </w:rPr>
            </w:pPr>
          </w:p>
        </w:tc>
        <w:tc>
          <w:tcPr>
            <w:tcW w:w="1070" w:type="dxa"/>
            <w:tcBorders>
              <w:top w:val="single" w:color="000000" w:sz="8" w:space="0"/>
              <w:left w:val="nil"/>
              <w:bottom w:val="single" w:color="000000" w:sz="8" w:space="0"/>
              <w:right w:val="single" w:color="000000" w:sz="8" w:space="0"/>
            </w:tcBorders>
          </w:tcPr>
          <w:p>
            <w:pPr>
              <w:spacing w:line="400" w:lineRule="exact"/>
              <w:rPr>
                <w:rFonts w:ascii="楷体_GB2312" w:eastAsia="楷体_GB2312"/>
                <w:color w:val="000000"/>
                <w:sz w:val="24"/>
                <w:szCs w:val="24"/>
              </w:rPr>
            </w:pPr>
          </w:p>
        </w:tc>
      </w:tr>
      <w:tr>
        <w:tblPrEx>
          <w:tblCellMar>
            <w:top w:w="0" w:type="dxa"/>
            <w:left w:w="0" w:type="dxa"/>
            <w:bottom w:w="0" w:type="dxa"/>
            <w:right w:w="0" w:type="dxa"/>
          </w:tblCellMar>
        </w:tblPrEx>
        <w:trPr>
          <w:trHeight w:val="887" w:hRule="atLeast"/>
          <w:jc w:val="center"/>
        </w:trPr>
        <w:tc>
          <w:tcPr>
            <w:tcW w:w="775"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center"/>
              <w:rPr>
                <w:rFonts w:ascii="楷体_GB2312" w:eastAsia="楷体_GB2312"/>
                <w:color w:val="000000"/>
                <w:kern w:val="0"/>
                <w:sz w:val="24"/>
                <w:szCs w:val="24"/>
              </w:rPr>
            </w:pPr>
          </w:p>
        </w:tc>
        <w:tc>
          <w:tcPr>
            <w:tcW w:w="704" w:type="dxa"/>
            <w:tcBorders>
              <w:top w:val="single" w:color="000000" w:sz="8" w:space="0"/>
              <w:left w:val="nil"/>
              <w:bottom w:val="single" w:color="000000" w:sz="8" w:space="0"/>
              <w:right w:val="single" w:color="000000" w:sz="8" w:space="0"/>
            </w:tcBorders>
            <w:tcMar>
              <w:top w:w="15" w:type="dxa"/>
              <w:left w:w="15" w:type="dxa"/>
              <w:bottom w:w="0" w:type="dxa"/>
              <w:right w:w="15" w:type="dxa"/>
            </w:tcMar>
          </w:tcPr>
          <w:p>
            <w:pPr>
              <w:widowControl/>
              <w:spacing w:line="400" w:lineRule="exact"/>
              <w:textAlignment w:val="center"/>
              <w:rPr>
                <w:rFonts w:hint="eastAsia" w:ascii="楷体_GB2312" w:eastAsia="楷体_GB2312"/>
                <w:color w:val="000000"/>
                <w:kern w:val="0"/>
                <w:sz w:val="24"/>
                <w:szCs w:val="24"/>
              </w:rPr>
            </w:pPr>
          </w:p>
          <w:p>
            <w:pPr>
              <w:widowControl/>
              <w:spacing w:line="400" w:lineRule="exact"/>
              <w:textAlignment w:val="center"/>
              <w:rPr>
                <w:rFonts w:ascii="楷体_GB2312" w:eastAsia="楷体_GB2312"/>
                <w:color w:val="000000"/>
                <w:kern w:val="0"/>
                <w:sz w:val="24"/>
                <w:szCs w:val="24"/>
              </w:rPr>
            </w:pPr>
            <w:r>
              <w:rPr>
                <w:rFonts w:hint="eastAsia" w:ascii="楷体_GB2312" w:hAnsi="Times New Roman" w:eastAsia="楷体_GB2312"/>
                <w:color w:val="000000"/>
                <w:kern w:val="0"/>
                <w:sz w:val="24"/>
                <w:szCs w:val="24"/>
              </w:rPr>
              <w:t>（家）</w:t>
            </w:r>
          </w:p>
        </w:tc>
        <w:tc>
          <w:tcPr>
            <w:tcW w:w="86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93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86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60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65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62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9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spacing w:line="400" w:lineRule="exact"/>
              <w:jc w:val="center"/>
              <w:rPr>
                <w:rFonts w:ascii="楷体_GB2312" w:eastAsia="楷体_GB2312"/>
                <w:color w:val="000000"/>
                <w:kern w:val="0"/>
                <w:sz w:val="24"/>
                <w:szCs w:val="24"/>
              </w:rPr>
            </w:pPr>
          </w:p>
          <w:p>
            <w:pPr>
              <w:spacing w:line="400" w:lineRule="exact"/>
              <w:jc w:val="center"/>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89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spacing w:line="400" w:lineRule="exact"/>
              <w:jc w:val="center"/>
              <w:rPr>
                <w:rFonts w:ascii="楷体_GB2312" w:eastAsia="楷体_GB2312"/>
                <w:color w:val="000000"/>
                <w:kern w:val="0"/>
                <w:sz w:val="24"/>
                <w:szCs w:val="24"/>
              </w:rPr>
            </w:pPr>
          </w:p>
          <w:p>
            <w:pPr>
              <w:spacing w:line="400" w:lineRule="exact"/>
              <w:jc w:val="center"/>
              <w:rPr>
                <w:rFonts w:ascii="楷体_GB2312" w:eastAsia="楷体_GB2312"/>
                <w:color w:val="000000"/>
                <w:kern w:val="0"/>
                <w:sz w:val="24"/>
                <w:szCs w:val="24"/>
              </w:rPr>
            </w:pPr>
            <w:r>
              <w:rPr>
                <w:rFonts w:hint="eastAsia" w:ascii="楷体_GB2312" w:hAnsi="Times New Roman" w:eastAsia="楷体_GB2312"/>
                <w:color w:val="000000"/>
                <w:kern w:val="0"/>
                <w:sz w:val="24"/>
                <w:szCs w:val="24"/>
              </w:rPr>
              <w:t>(项)</w:t>
            </w:r>
          </w:p>
        </w:tc>
        <w:tc>
          <w:tcPr>
            <w:tcW w:w="79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(家)</w:t>
            </w:r>
          </w:p>
        </w:tc>
        <w:tc>
          <w:tcPr>
            <w:tcW w:w="132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(家)</w:t>
            </w:r>
          </w:p>
        </w:tc>
        <w:tc>
          <w:tcPr>
            <w:tcW w:w="79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(家)</w:t>
            </w:r>
          </w:p>
        </w:tc>
        <w:tc>
          <w:tcPr>
            <w:tcW w:w="100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(家)</w:t>
            </w:r>
          </w:p>
        </w:tc>
        <w:tc>
          <w:tcPr>
            <w:tcW w:w="67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(万元)</w:t>
            </w:r>
          </w:p>
        </w:tc>
        <w:tc>
          <w:tcPr>
            <w:tcW w:w="1070" w:type="dxa"/>
            <w:tcBorders>
              <w:top w:val="single" w:color="000000" w:sz="8" w:space="0"/>
              <w:left w:val="nil"/>
              <w:bottom w:val="single" w:color="000000" w:sz="8" w:space="0"/>
              <w:right w:val="single" w:color="000000" w:sz="8" w:space="0"/>
            </w:tcBorders>
            <w:vAlign w:val="bottom"/>
          </w:tcPr>
          <w:p>
            <w:pPr>
              <w:widowControl/>
              <w:spacing w:line="400" w:lineRule="exact"/>
              <w:jc w:val="center"/>
              <w:textAlignment w:val="top"/>
              <w:rPr>
                <w:rFonts w:ascii="楷体_GB2312" w:eastAsia="楷体_GB2312"/>
                <w:color w:val="000000"/>
                <w:kern w:val="0"/>
                <w:sz w:val="24"/>
                <w:szCs w:val="24"/>
              </w:rPr>
            </w:pPr>
          </w:p>
          <w:p>
            <w:pPr>
              <w:widowControl/>
              <w:spacing w:line="400" w:lineRule="exact"/>
              <w:jc w:val="center"/>
              <w:textAlignment w:val="top"/>
              <w:rPr>
                <w:rFonts w:ascii="楷体_GB2312" w:eastAsia="楷体_GB2312"/>
                <w:color w:val="000000"/>
                <w:kern w:val="0"/>
                <w:sz w:val="24"/>
                <w:szCs w:val="24"/>
              </w:rPr>
            </w:pPr>
            <w:r>
              <w:rPr>
                <w:rFonts w:hint="eastAsia" w:ascii="楷体_GB2312" w:hAnsi="Times New Roman" w:eastAsia="楷体_GB2312"/>
                <w:color w:val="000000"/>
                <w:kern w:val="0"/>
                <w:sz w:val="24"/>
                <w:szCs w:val="24"/>
              </w:rPr>
              <w:t>(家)</w:t>
            </w:r>
          </w:p>
        </w:tc>
      </w:tr>
    </w:tbl>
    <w:p>
      <w:pPr>
        <w:spacing w:line="400" w:lineRule="exact"/>
        <w:rPr>
          <w:rFonts w:eastAsia="仿宋_GB2312"/>
          <w:sz w:val="24"/>
          <w:szCs w:val="24"/>
        </w:rPr>
      </w:pPr>
      <w:r>
        <w:rPr>
          <w:rFonts w:hint="eastAsia" w:ascii="仿宋_GB2312" w:hAnsi="Times New Roman" w:eastAsia="仿宋_GB2312"/>
          <w:sz w:val="24"/>
          <w:szCs w:val="24"/>
        </w:rPr>
        <w:t>审核人：</w:t>
      </w:r>
      <w:r>
        <w:rPr>
          <w:rFonts w:ascii="Times New Roman" w:hAnsi="Times New Roman" w:eastAsia="仿宋_GB2312"/>
          <w:sz w:val="24"/>
          <w:szCs w:val="24"/>
        </w:rPr>
        <w:t xml:space="preserve">              </w:t>
      </w:r>
      <w:r>
        <w:rPr>
          <w:rFonts w:hint="eastAsia" w:ascii="仿宋_GB2312" w:hAnsi="Times New Roman" w:eastAsia="仿宋_GB2312"/>
          <w:sz w:val="24"/>
          <w:szCs w:val="24"/>
        </w:rPr>
        <w:t>填报人：</w:t>
      </w:r>
      <w:r>
        <w:rPr>
          <w:rFonts w:ascii="Times New Roman" w:hAnsi="Times New Roman" w:eastAsia="仿宋_GB2312"/>
          <w:sz w:val="24"/>
          <w:szCs w:val="24"/>
        </w:rPr>
        <w:t xml:space="preserve">                   </w:t>
      </w:r>
      <w:r>
        <w:rPr>
          <w:rFonts w:hint="eastAsia" w:ascii="仿宋_GB2312" w:hAnsi="Times New Roman" w:eastAsia="仿宋_GB2312"/>
          <w:sz w:val="24"/>
          <w:szCs w:val="24"/>
        </w:rPr>
        <w:t>联系电话：</w:t>
      </w:r>
      <w:r>
        <w:rPr>
          <w:rFonts w:ascii="Times New Roman" w:hAnsi="Times New Roman" w:eastAsia="仿宋_GB2312"/>
          <w:sz w:val="24"/>
          <w:szCs w:val="24"/>
        </w:rPr>
        <w:t xml:space="preserve">                                2021</w:t>
      </w:r>
      <w:r>
        <w:rPr>
          <w:rFonts w:hint="eastAsia" w:ascii="仿宋_GB2312" w:hAnsi="Times New Roman" w:eastAsia="仿宋_GB2312"/>
          <w:sz w:val="24"/>
          <w:szCs w:val="24"/>
        </w:rPr>
        <w:t>年  月  日</w:t>
      </w:r>
    </w:p>
    <w:p>
      <w:pPr>
        <w:spacing w:line="400" w:lineRule="exact"/>
        <w:rPr>
          <w:spacing w:val="-20"/>
        </w:rPr>
      </w:pPr>
      <w:r>
        <w:rPr>
          <w:rFonts w:hint="eastAsia" w:ascii="仿宋_GB2312" w:hAnsi="Times New Roman" w:eastAsia="仿宋_GB2312"/>
          <w:spacing w:val="-20"/>
          <w:sz w:val="24"/>
          <w:szCs w:val="24"/>
        </w:rPr>
        <w:t>注：</w:t>
      </w:r>
      <w:r>
        <w:rPr>
          <w:rFonts w:ascii="Times New Roman" w:hAnsi="Times New Roman" w:eastAsia="仿宋_GB2312"/>
          <w:spacing w:val="-20"/>
          <w:sz w:val="24"/>
          <w:szCs w:val="24"/>
        </w:rPr>
        <w:t>1.</w:t>
      </w:r>
      <w:r>
        <w:rPr>
          <w:rFonts w:hint="eastAsia" w:ascii="仿宋_GB2312" w:hAnsi="Times New Roman" w:eastAsia="仿宋_GB2312"/>
          <w:spacing w:val="-20"/>
          <w:sz w:val="24"/>
          <w:szCs w:val="24"/>
        </w:rPr>
        <w:t>执法检查具体情况请填入本表，以便汇总统计；</w:t>
      </w:r>
      <w:r>
        <w:rPr>
          <w:rFonts w:ascii="Times New Roman" w:hAnsi="Times New Roman" w:eastAsia="仿宋_GB2312"/>
          <w:spacing w:val="-20"/>
          <w:sz w:val="24"/>
          <w:szCs w:val="24"/>
        </w:rPr>
        <w:t>2.</w:t>
      </w:r>
      <w:r>
        <w:rPr>
          <w:rFonts w:hint="eastAsia" w:ascii="仿宋_GB2312" w:hAnsi="Times New Roman" w:eastAsia="仿宋_GB2312"/>
          <w:spacing w:val="-20"/>
          <w:sz w:val="24"/>
          <w:szCs w:val="24"/>
        </w:rPr>
        <w:t>各镇(街道）统计辖区各</w:t>
      </w:r>
      <w:r>
        <w:rPr>
          <w:rFonts w:ascii="Times New Roman" w:hAnsi="Times New Roman" w:eastAsia="仿宋_GB2312"/>
          <w:spacing w:val="-20"/>
          <w:sz w:val="24"/>
          <w:szCs w:val="24"/>
        </w:rPr>
        <w:t>A</w:t>
      </w:r>
      <w:r>
        <w:rPr>
          <w:rFonts w:hint="eastAsia" w:ascii="仿宋_GB2312" w:hAnsi="Times New Roman" w:eastAsia="仿宋_GB2312"/>
          <w:spacing w:val="-20"/>
          <w:sz w:val="24"/>
          <w:szCs w:val="24"/>
        </w:rPr>
        <w:t>级景区、旅行社和体育场馆安全管理专项整治工作开展情况汇总。</w:t>
      </w:r>
    </w:p>
    <w:p>
      <w:pPr>
        <w:widowControl/>
        <w:jc w:val="left"/>
        <w:rPr>
          <w:rFonts w:ascii="黑体" w:hAnsi="宋体" w:eastAsia="黑体" w:cs="宋体"/>
          <w:sz w:val="32"/>
          <w:szCs w:val="32"/>
        </w:rPr>
        <w:sectPr>
          <w:pgSz w:w="16838" w:h="11906" w:orient="landscape"/>
          <w:pgMar w:top="1871" w:right="1531" w:bottom="1814" w:left="1531" w:header="851" w:footer="992" w:gutter="0"/>
          <w:pgNumType w:fmt="numberInDash"/>
          <w:cols w:space="720" w:num="1"/>
          <w:docGrid w:type="linesAndChars" w:linePitch="312" w:charSpace="0"/>
        </w:sectPr>
      </w:pPr>
    </w:p>
    <w:p>
      <w:pPr>
        <w:spacing w:line="600" w:lineRule="exact"/>
        <w:jc w:val="left"/>
        <w:rPr>
          <w:rFonts w:ascii="黑体" w:hAnsi="宋体" w:eastAsia="黑体"/>
          <w:sz w:val="32"/>
          <w:szCs w:val="32"/>
        </w:rPr>
      </w:pPr>
      <w:r>
        <w:rPr>
          <w:rFonts w:hint="eastAsia" w:ascii="黑体" w:hAnsi="黑体" w:eastAsia="黑体"/>
          <w:sz w:val="32"/>
          <w:szCs w:val="32"/>
        </w:rPr>
        <w:t>附件</w:t>
      </w:r>
      <w:r>
        <w:rPr>
          <w:rFonts w:hint="eastAsia" w:ascii="黑体" w:hAnsi="宋体" w:eastAsia="黑体"/>
          <w:sz w:val="32"/>
          <w:szCs w:val="32"/>
        </w:rPr>
        <w:t>4</w:t>
      </w:r>
    </w:p>
    <w:p>
      <w:pPr>
        <w:spacing w:line="600" w:lineRule="exact"/>
        <w:jc w:val="left"/>
        <w:rPr>
          <w:rFonts w:hint="eastAsia" w:eastAsia="方正黑体简体"/>
        </w:rPr>
      </w:pPr>
      <w:r>
        <w:rPr>
          <w:rFonts w:ascii="Times New Roman" w:hAnsi="Times New Roman" w:eastAsia="方正黑体简体"/>
        </w:rPr>
        <w:t xml:space="preserve"> </w:t>
      </w:r>
    </w:p>
    <w:p>
      <w:pPr>
        <w:spacing w:line="600" w:lineRule="exact"/>
        <w:jc w:val="center"/>
        <w:rPr>
          <w:rFonts w:eastAsia="方正小标宋简体"/>
          <w:sz w:val="44"/>
          <w:szCs w:val="44"/>
        </w:rPr>
      </w:pPr>
      <w:r>
        <w:rPr>
          <w:rFonts w:hint="eastAsia" w:ascii="方正小标宋简体" w:eastAsia="方正小标宋简体"/>
          <w:sz w:val="44"/>
          <w:szCs w:val="44"/>
        </w:rPr>
        <w:t>重大隐患填报表（累计数）</w:t>
      </w:r>
    </w:p>
    <w:p>
      <w:pPr>
        <w:pStyle w:val="2"/>
        <w:widowControl/>
        <w:spacing w:line="600" w:lineRule="exact"/>
        <w:rPr>
          <w:sz w:val="44"/>
          <w:szCs w:val="44"/>
        </w:rPr>
      </w:pPr>
      <w:r>
        <w:rPr>
          <w:rFonts w:hint="eastAsia" w:ascii="仿宋_GB2312" w:eastAsia="仿宋_GB2312"/>
          <w:color w:val="000000"/>
          <w:kern w:val="0"/>
          <w:sz w:val="28"/>
          <w:szCs w:val="28"/>
        </w:rPr>
        <w:t>填报地区（单位）：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872"/>
        <w:gridCol w:w="2269"/>
        <w:gridCol w:w="3150"/>
        <w:gridCol w:w="167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pStyle w:val="2"/>
              <w:widowControl/>
              <w:spacing w:line="600" w:lineRule="exact"/>
              <w:jc w:val="center"/>
              <w:rPr>
                <w:rFonts w:ascii="楷体_GB2312" w:eastAsia="楷体_GB2312"/>
                <w:sz w:val="24"/>
                <w:szCs w:val="24"/>
              </w:rPr>
            </w:pPr>
            <w:r>
              <w:rPr>
                <w:rFonts w:hint="eastAsia" w:ascii="楷体_GB2312" w:eastAsia="楷体_GB2312"/>
                <w:sz w:val="24"/>
                <w:szCs w:val="24"/>
              </w:rPr>
              <w:t>序号</w:t>
            </w:r>
          </w:p>
        </w:tc>
        <w:tc>
          <w:tcPr>
            <w:tcW w:w="3872" w:type="dxa"/>
            <w:tcBorders>
              <w:top w:val="single" w:color="auto" w:sz="4" w:space="0"/>
              <w:left w:val="single" w:color="auto" w:sz="4" w:space="0"/>
              <w:bottom w:val="single" w:color="auto" w:sz="4" w:space="0"/>
              <w:right w:val="single" w:color="auto" w:sz="4" w:space="0"/>
            </w:tcBorders>
            <w:vAlign w:val="center"/>
          </w:tcPr>
          <w:p>
            <w:pPr>
              <w:pStyle w:val="2"/>
              <w:widowControl/>
              <w:spacing w:line="600" w:lineRule="exact"/>
              <w:jc w:val="center"/>
              <w:rPr>
                <w:rFonts w:ascii="楷体_GB2312" w:eastAsia="楷体_GB2312"/>
                <w:sz w:val="24"/>
                <w:szCs w:val="24"/>
              </w:rPr>
            </w:pPr>
            <w:r>
              <w:rPr>
                <w:rFonts w:hint="eastAsia" w:ascii="楷体_GB2312" w:eastAsia="楷体_GB2312"/>
                <w:sz w:val="24"/>
                <w:szCs w:val="24"/>
              </w:rPr>
              <w:t>A级景区、旅行社、体育场馆名称</w:t>
            </w:r>
          </w:p>
        </w:tc>
        <w:tc>
          <w:tcPr>
            <w:tcW w:w="2269" w:type="dxa"/>
            <w:tcBorders>
              <w:top w:val="single" w:color="auto" w:sz="4" w:space="0"/>
              <w:left w:val="single" w:color="auto" w:sz="4" w:space="0"/>
              <w:bottom w:val="single" w:color="auto" w:sz="4" w:space="0"/>
              <w:right w:val="single" w:color="auto" w:sz="4" w:space="0"/>
            </w:tcBorders>
            <w:vAlign w:val="center"/>
          </w:tcPr>
          <w:p>
            <w:pPr>
              <w:pStyle w:val="2"/>
              <w:widowControl/>
              <w:spacing w:line="600" w:lineRule="exact"/>
              <w:jc w:val="center"/>
              <w:rPr>
                <w:rFonts w:ascii="楷体_GB2312" w:eastAsia="楷体_GB2312"/>
                <w:sz w:val="24"/>
                <w:szCs w:val="24"/>
              </w:rPr>
            </w:pPr>
            <w:r>
              <w:rPr>
                <w:rFonts w:hint="eastAsia" w:ascii="楷体_GB2312" w:eastAsia="楷体_GB2312"/>
                <w:sz w:val="24"/>
                <w:szCs w:val="24"/>
              </w:rPr>
              <w:t>重大隐患情况</w:t>
            </w:r>
          </w:p>
        </w:tc>
        <w:tc>
          <w:tcPr>
            <w:tcW w:w="3150" w:type="dxa"/>
            <w:tcBorders>
              <w:top w:val="single" w:color="auto" w:sz="4" w:space="0"/>
              <w:left w:val="single" w:color="auto" w:sz="4" w:space="0"/>
              <w:bottom w:val="single" w:color="auto" w:sz="4" w:space="0"/>
              <w:right w:val="single" w:color="auto" w:sz="4" w:space="0"/>
            </w:tcBorders>
            <w:vAlign w:val="center"/>
          </w:tcPr>
          <w:p>
            <w:pPr>
              <w:pStyle w:val="2"/>
              <w:widowControl/>
              <w:spacing w:line="600" w:lineRule="exact"/>
              <w:jc w:val="center"/>
              <w:rPr>
                <w:rFonts w:ascii="楷体_GB2312" w:eastAsia="楷体_GB2312"/>
                <w:sz w:val="24"/>
                <w:szCs w:val="24"/>
              </w:rPr>
            </w:pPr>
            <w:r>
              <w:rPr>
                <w:rFonts w:hint="eastAsia" w:ascii="楷体_GB2312" w:eastAsia="楷体_GB2312"/>
                <w:sz w:val="24"/>
                <w:szCs w:val="24"/>
              </w:rPr>
              <w:t>整改情况/整改措施</w:t>
            </w:r>
          </w:p>
        </w:tc>
        <w:tc>
          <w:tcPr>
            <w:tcW w:w="1678" w:type="dxa"/>
            <w:tcBorders>
              <w:top w:val="single" w:color="auto" w:sz="4" w:space="0"/>
              <w:left w:val="single" w:color="auto" w:sz="4" w:space="0"/>
              <w:bottom w:val="single" w:color="auto" w:sz="4" w:space="0"/>
              <w:right w:val="single" w:color="auto" w:sz="4" w:space="0"/>
            </w:tcBorders>
            <w:vAlign w:val="center"/>
          </w:tcPr>
          <w:p>
            <w:pPr>
              <w:pStyle w:val="2"/>
              <w:widowControl/>
              <w:spacing w:line="600" w:lineRule="exact"/>
              <w:jc w:val="center"/>
              <w:rPr>
                <w:rFonts w:ascii="楷体_GB2312" w:eastAsia="楷体_GB2312"/>
                <w:sz w:val="24"/>
                <w:szCs w:val="24"/>
              </w:rPr>
            </w:pPr>
            <w:r>
              <w:rPr>
                <w:rFonts w:hint="eastAsia" w:ascii="楷体_GB2312" w:eastAsia="楷体_GB2312"/>
                <w:sz w:val="24"/>
                <w:szCs w:val="24"/>
              </w:rPr>
              <w:t>挂账销号</w:t>
            </w:r>
          </w:p>
        </w:tc>
        <w:tc>
          <w:tcPr>
            <w:tcW w:w="1678" w:type="dxa"/>
            <w:tcBorders>
              <w:top w:val="single" w:color="auto" w:sz="4" w:space="0"/>
              <w:left w:val="single" w:color="auto" w:sz="4" w:space="0"/>
              <w:bottom w:val="single" w:color="auto" w:sz="4" w:space="0"/>
              <w:right w:val="single" w:color="auto" w:sz="4" w:space="0"/>
            </w:tcBorders>
            <w:vAlign w:val="center"/>
          </w:tcPr>
          <w:p>
            <w:pPr>
              <w:pStyle w:val="2"/>
              <w:widowControl/>
              <w:spacing w:line="600" w:lineRule="exact"/>
              <w:jc w:val="center"/>
              <w:rPr>
                <w:rFonts w:ascii="楷体_GB2312" w:eastAsia="楷体_GB2312"/>
                <w:sz w:val="24"/>
                <w:szCs w:val="24"/>
              </w:rPr>
            </w:pPr>
            <w:r>
              <w:rPr>
                <w:rFonts w:hint="eastAsia" w:ascii="楷体_GB2312" w:eastAsia="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tcPr>
          <w:p>
            <w:pPr>
              <w:pStyle w:val="2"/>
              <w:widowControl/>
              <w:spacing w:line="600" w:lineRule="exact"/>
              <w:rPr>
                <w:rFonts w:ascii="楷体_GB2312" w:eastAsia="楷体_GB2312"/>
                <w:sz w:val="24"/>
                <w:szCs w:val="24"/>
              </w:rPr>
            </w:pPr>
          </w:p>
        </w:tc>
        <w:tc>
          <w:tcPr>
            <w:tcW w:w="3872" w:type="dxa"/>
            <w:tcBorders>
              <w:top w:val="single" w:color="auto" w:sz="4" w:space="0"/>
              <w:left w:val="single" w:color="auto" w:sz="4" w:space="0"/>
              <w:bottom w:val="single" w:color="auto" w:sz="4" w:space="0"/>
              <w:right w:val="single" w:color="auto" w:sz="4" w:space="0"/>
            </w:tcBorders>
          </w:tcPr>
          <w:p>
            <w:pPr>
              <w:pStyle w:val="2"/>
              <w:widowControl/>
              <w:spacing w:line="600" w:lineRule="exact"/>
              <w:rPr>
                <w:rFonts w:ascii="楷体_GB2312" w:eastAsia="楷体_GB2312"/>
                <w:sz w:val="24"/>
                <w:szCs w:val="24"/>
              </w:rPr>
            </w:pPr>
          </w:p>
        </w:tc>
        <w:tc>
          <w:tcPr>
            <w:tcW w:w="2269" w:type="dxa"/>
            <w:tcBorders>
              <w:top w:val="single" w:color="auto" w:sz="4" w:space="0"/>
              <w:left w:val="single" w:color="auto" w:sz="4" w:space="0"/>
              <w:bottom w:val="single" w:color="auto" w:sz="4" w:space="0"/>
              <w:right w:val="single" w:color="auto" w:sz="4" w:space="0"/>
            </w:tcBorders>
          </w:tcPr>
          <w:p>
            <w:pPr>
              <w:pStyle w:val="2"/>
              <w:widowControl/>
              <w:spacing w:line="600" w:lineRule="exact"/>
              <w:rPr>
                <w:rFonts w:ascii="楷体_GB2312" w:eastAsia="楷体_GB2312"/>
                <w:sz w:val="24"/>
                <w:szCs w:val="24"/>
              </w:rPr>
            </w:pPr>
          </w:p>
        </w:tc>
        <w:tc>
          <w:tcPr>
            <w:tcW w:w="3150" w:type="dxa"/>
            <w:tcBorders>
              <w:top w:val="single" w:color="auto" w:sz="4" w:space="0"/>
              <w:left w:val="single" w:color="auto" w:sz="4" w:space="0"/>
              <w:bottom w:val="single" w:color="auto" w:sz="4" w:space="0"/>
              <w:right w:val="single" w:color="auto" w:sz="4" w:space="0"/>
            </w:tcBorders>
          </w:tcPr>
          <w:p>
            <w:pPr>
              <w:pStyle w:val="2"/>
              <w:widowControl/>
              <w:spacing w:line="600" w:lineRule="exact"/>
              <w:rPr>
                <w:rFonts w:ascii="楷体_GB2312" w:eastAsia="楷体_GB2312"/>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2"/>
              <w:widowControl/>
              <w:spacing w:line="600" w:lineRule="exact"/>
              <w:rPr>
                <w:rFonts w:ascii="楷体_GB2312" w:eastAsia="楷体_GB2312"/>
                <w:sz w:val="24"/>
                <w:szCs w:val="24"/>
              </w:rPr>
            </w:pPr>
            <w:r>
              <w:rPr>
                <w:rFonts w:hint="eastAsia" w:ascii="楷体_GB2312" w:eastAsia="楷体_GB2312"/>
                <w:sz w:val="24"/>
                <w:szCs w:val="24"/>
              </w:rPr>
              <w:t>整改完成/</w:t>
            </w:r>
          </w:p>
          <w:p>
            <w:pPr>
              <w:pStyle w:val="2"/>
              <w:widowControl/>
              <w:spacing w:line="600" w:lineRule="exact"/>
              <w:rPr>
                <w:rFonts w:ascii="楷体_GB2312" w:eastAsia="楷体_GB2312"/>
                <w:sz w:val="24"/>
                <w:szCs w:val="24"/>
              </w:rPr>
            </w:pPr>
            <w:r>
              <w:rPr>
                <w:rFonts w:hint="eastAsia" w:ascii="楷体_GB2312" w:eastAsia="楷体_GB2312"/>
                <w:sz w:val="24"/>
                <w:szCs w:val="24"/>
              </w:rPr>
              <w:t>正在整改</w:t>
            </w:r>
          </w:p>
        </w:tc>
        <w:tc>
          <w:tcPr>
            <w:tcW w:w="1678" w:type="dxa"/>
            <w:tcBorders>
              <w:top w:val="single" w:color="auto" w:sz="4" w:space="0"/>
              <w:left w:val="single" w:color="auto" w:sz="4" w:space="0"/>
              <w:bottom w:val="single" w:color="auto" w:sz="4" w:space="0"/>
              <w:right w:val="single" w:color="auto" w:sz="4" w:space="0"/>
            </w:tcBorders>
          </w:tcPr>
          <w:p>
            <w:pPr>
              <w:pStyle w:val="2"/>
              <w:widowControl/>
              <w:spacing w:line="600" w:lineRule="exac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065" w:type="dxa"/>
            <w:tcBorders>
              <w:top w:val="single" w:color="auto" w:sz="4" w:space="0"/>
              <w:left w:val="single" w:color="auto" w:sz="4" w:space="0"/>
              <w:bottom w:val="single" w:color="auto" w:sz="4" w:space="0"/>
              <w:right w:val="single" w:color="auto" w:sz="4" w:space="0"/>
            </w:tcBorders>
          </w:tcPr>
          <w:p>
            <w:pPr>
              <w:pStyle w:val="2"/>
              <w:widowControl/>
              <w:spacing w:line="600" w:lineRule="exact"/>
              <w:rPr>
                <w:sz w:val="44"/>
                <w:szCs w:val="44"/>
              </w:rPr>
            </w:pPr>
          </w:p>
        </w:tc>
        <w:tc>
          <w:tcPr>
            <w:tcW w:w="3872" w:type="dxa"/>
            <w:tcBorders>
              <w:top w:val="single" w:color="auto" w:sz="4" w:space="0"/>
              <w:left w:val="single" w:color="auto" w:sz="4" w:space="0"/>
              <w:bottom w:val="single" w:color="auto" w:sz="4" w:space="0"/>
              <w:right w:val="single" w:color="auto" w:sz="4" w:space="0"/>
            </w:tcBorders>
          </w:tcPr>
          <w:p>
            <w:pPr>
              <w:pStyle w:val="2"/>
              <w:widowControl/>
              <w:spacing w:line="600" w:lineRule="exact"/>
              <w:rPr>
                <w:sz w:val="44"/>
                <w:szCs w:val="44"/>
              </w:rPr>
            </w:pPr>
          </w:p>
        </w:tc>
        <w:tc>
          <w:tcPr>
            <w:tcW w:w="2269" w:type="dxa"/>
            <w:tcBorders>
              <w:top w:val="single" w:color="auto" w:sz="4" w:space="0"/>
              <w:left w:val="single" w:color="auto" w:sz="4" w:space="0"/>
              <w:bottom w:val="single" w:color="auto" w:sz="4" w:space="0"/>
              <w:right w:val="single" w:color="auto" w:sz="4" w:space="0"/>
            </w:tcBorders>
          </w:tcPr>
          <w:p>
            <w:pPr>
              <w:pStyle w:val="2"/>
              <w:widowControl/>
              <w:spacing w:line="600" w:lineRule="exact"/>
              <w:rPr>
                <w:sz w:val="44"/>
                <w:szCs w:val="44"/>
              </w:rPr>
            </w:pPr>
          </w:p>
        </w:tc>
        <w:tc>
          <w:tcPr>
            <w:tcW w:w="3150" w:type="dxa"/>
            <w:tcBorders>
              <w:top w:val="single" w:color="auto" w:sz="4" w:space="0"/>
              <w:left w:val="single" w:color="auto" w:sz="4" w:space="0"/>
              <w:bottom w:val="single" w:color="auto" w:sz="4" w:space="0"/>
              <w:right w:val="single" w:color="auto" w:sz="4" w:space="0"/>
            </w:tcBorders>
          </w:tcPr>
          <w:p>
            <w:pPr>
              <w:pStyle w:val="2"/>
              <w:widowControl/>
              <w:spacing w:line="600" w:lineRule="exact"/>
              <w:rPr>
                <w:sz w:val="44"/>
                <w:szCs w:val="44"/>
              </w:rPr>
            </w:pPr>
          </w:p>
        </w:tc>
        <w:tc>
          <w:tcPr>
            <w:tcW w:w="1678" w:type="dxa"/>
            <w:tcBorders>
              <w:top w:val="single" w:color="auto" w:sz="4" w:space="0"/>
              <w:left w:val="single" w:color="auto" w:sz="4" w:space="0"/>
              <w:bottom w:val="single" w:color="auto" w:sz="4" w:space="0"/>
              <w:right w:val="single" w:color="auto" w:sz="4" w:space="0"/>
            </w:tcBorders>
          </w:tcPr>
          <w:p>
            <w:pPr>
              <w:pStyle w:val="2"/>
              <w:widowControl/>
              <w:spacing w:line="600" w:lineRule="exact"/>
              <w:rPr>
                <w:sz w:val="44"/>
                <w:szCs w:val="44"/>
              </w:rPr>
            </w:pPr>
          </w:p>
        </w:tc>
        <w:tc>
          <w:tcPr>
            <w:tcW w:w="1678" w:type="dxa"/>
            <w:tcBorders>
              <w:top w:val="single" w:color="auto" w:sz="4" w:space="0"/>
              <w:left w:val="single" w:color="auto" w:sz="4" w:space="0"/>
              <w:bottom w:val="single" w:color="auto" w:sz="4" w:space="0"/>
              <w:right w:val="single" w:color="auto" w:sz="4" w:space="0"/>
            </w:tcBorders>
          </w:tcPr>
          <w:p>
            <w:pPr>
              <w:pStyle w:val="2"/>
              <w:widowControl/>
              <w:spacing w:line="600" w:lineRule="exact"/>
              <w:rPr>
                <w:sz w:val="44"/>
                <w:szCs w:val="44"/>
              </w:rPr>
            </w:pPr>
          </w:p>
        </w:tc>
      </w:tr>
    </w:tbl>
    <w:p>
      <w:pPr>
        <w:spacing w:line="400" w:lineRule="exact"/>
        <w:rPr>
          <w:rFonts w:eastAsia="仿宋_GB2312"/>
          <w:sz w:val="24"/>
          <w:szCs w:val="24"/>
        </w:rPr>
      </w:pPr>
      <w:r>
        <w:rPr>
          <w:rFonts w:hint="eastAsia" w:ascii="仿宋_GB2312" w:hAnsi="Times New Roman" w:eastAsia="仿宋_GB2312"/>
          <w:sz w:val="24"/>
          <w:szCs w:val="24"/>
        </w:rPr>
        <w:t>审核人：</w:t>
      </w:r>
      <w:r>
        <w:rPr>
          <w:rFonts w:ascii="Times New Roman" w:hAnsi="Times New Roman" w:eastAsia="仿宋_GB2312"/>
          <w:sz w:val="24"/>
          <w:szCs w:val="24"/>
        </w:rPr>
        <w:t xml:space="preserve">              </w:t>
      </w:r>
      <w:r>
        <w:rPr>
          <w:rFonts w:hint="eastAsia" w:ascii="仿宋_GB2312" w:hAnsi="Times New Roman" w:eastAsia="仿宋_GB2312"/>
          <w:sz w:val="24"/>
          <w:szCs w:val="24"/>
        </w:rPr>
        <w:t>填报人：</w:t>
      </w:r>
      <w:r>
        <w:rPr>
          <w:rFonts w:ascii="Times New Roman" w:hAnsi="Times New Roman" w:eastAsia="仿宋_GB2312"/>
          <w:sz w:val="24"/>
          <w:szCs w:val="24"/>
        </w:rPr>
        <w:t xml:space="preserve">                   </w:t>
      </w:r>
      <w:r>
        <w:rPr>
          <w:rFonts w:hint="eastAsia" w:ascii="仿宋_GB2312" w:hAnsi="Times New Roman" w:eastAsia="仿宋_GB2312"/>
          <w:sz w:val="24"/>
          <w:szCs w:val="24"/>
        </w:rPr>
        <w:t>联系电话：</w:t>
      </w:r>
      <w:r>
        <w:rPr>
          <w:rFonts w:ascii="Times New Roman" w:hAnsi="Times New Roman" w:eastAsia="仿宋_GB2312"/>
          <w:sz w:val="24"/>
          <w:szCs w:val="24"/>
        </w:rPr>
        <w:t xml:space="preserve">                                2021</w:t>
      </w:r>
      <w:r>
        <w:rPr>
          <w:rFonts w:hint="eastAsia" w:ascii="仿宋_GB2312" w:hAnsi="Times New Roman" w:eastAsia="仿宋_GB2312"/>
          <w:sz w:val="24"/>
          <w:szCs w:val="24"/>
        </w:rPr>
        <w:t>年  月  日</w:t>
      </w:r>
    </w:p>
    <w:p>
      <w:pPr>
        <w:spacing w:line="580" w:lineRule="exact"/>
        <w:ind w:firstLine="480" w:firstLineChars="200"/>
        <w:rPr>
          <w:sz w:val="44"/>
          <w:szCs w:val="44"/>
        </w:rPr>
      </w:pPr>
      <w:r>
        <w:rPr>
          <w:rFonts w:hint="eastAsia" w:ascii="仿宋_GB2312" w:hAnsi="Times New Roman" w:eastAsia="仿宋_GB2312"/>
          <w:sz w:val="24"/>
          <w:szCs w:val="24"/>
        </w:rPr>
        <w:t>注：各镇（街道）在隐患排查过程中认定为重大隐患的，统计填报该表上报，并按要求跟踪落实直至挂账销号。</w:t>
      </w:r>
    </w:p>
    <w:p>
      <w:r>
        <w:t xml:space="preserve"> </w:t>
      </w:r>
    </w:p>
    <w:p>
      <w:pPr>
        <w:widowControl/>
        <w:jc w:val="left"/>
        <w:sectPr>
          <w:pgSz w:w="16838" w:h="11906" w:orient="landscape"/>
          <w:pgMar w:top="1531" w:right="1871" w:bottom="1531" w:left="1814" w:header="720" w:footer="720" w:gutter="0"/>
          <w:pgNumType w:fmt="numberInDash"/>
          <w:cols w:space="720" w:num="1"/>
          <w:docGrid w:type="linesAndChars" w:linePitch="312" w:charSpace="0"/>
        </w:sectPr>
      </w:pPr>
    </w:p>
    <w:p>
      <w:pPr>
        <w:widowControl/>
        <w:jc w:val="left"/>
        <w:sectPr>
          <w:pgSz w:w="11906" w:h="16838"/>
          <w:pgMar w:top="1871" w:right="1531" w:bottom="1814" w:left="1531" w:header="720" w:footer="720" w:gutter="0"/>
          <w:pgNumType w:fmt="numberInDash"/>
          <w:cols w:space="720" w:num="1"/>
          <w:docGrid w:type="lines" w:linePitch="312" w:charSpace="0"/>
        </w:sectPr>
      </w:pP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spacing w:line="500" w:lineRule="exact"/>
        <w:ind w:right="640"/>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00" w:lineRule="exact"/>
        <w:ind w:right="640" w:firstLine="640" w:firstLineChars="200"/>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Bdr>
          <w:top w:val="single" w:color="auto" w:sz="6" w:space="1"/>
          <w:bottom w:val="single" w:color="auto" w:sz="6" w:space="1"/>
        </w:pBdr>
        <w:spacing w:line="500" w:lineRule="exact"/>
        <w:ind w:firstLine="280" w:firstLineChars="100"/>
        <w:rPr>
          <w:rFonts w:hint="eastAsia"/>
        </w:rPr>
      </w:pPr>
      <w:r>
        <w:rPr>
          <w:rFonts w:hint="eastAsia" w:ascii="仿宋_GB2312" w:eastAsia="仿宋_GB2312"/>
          <w:color w:val="000000"/>
          <w:sz w:val="28"/>
          <w:szCs w:val="28"/>
        </w:rPr>
        <w:t>泉港区文化旅游发展委员会办公室         2021年9月7日印发</w:t>
      </w:r>
    </w:p>
    <w:p/>
    <w:sectPr>
      <w:pgSz w:w="11906" w:h="16838"/>
      <w:pgMar w:top="1871"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228"/>
    <w:rsid w:val="004F0B99"/>
    <w:rsid w:val="005F5890"/>
    <w:rsid w:val="007E1228"/>
    <w:rsid w:val="3891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rFonts w:ascii="Times New Roman" w:hAnsi="Times New Roman"/>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990</Words>
  <Characters>5647</Characters>
  <Lines>47</Lines>
  <Paragraphs>13</Paragraphs>
  <TotalTime>12</TotalTime>
  <ScaleCrop>false</ScaleCrop>
  <LinksUpToDate>false</LinksUpToDate>
  <CharactersWithSpaces>6624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2021-09-08T03:40:00Z</dcterms:created>
  <dc:creator>Administrator</dc:creator>
  <cp:lastModifiedBy>天才连</cp:lastModifiedBy>
  <dcterms:modified xsi:type="dcterms:W3CDTF">2021-09-08T03:53:31Z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484621304_btnclosed</vt:lpwstr>
  </property>
  <property fmtid="{D5CDD505-2E9C-101B-9397-08002B2CF9AE}" pid="3" name="KSOProductBuildVer">
    <vt:lpwstr>2052-11.1.0.10503</vt:lpwstr>
  </property>
  <property fmtid="{D5CDD505-2E9C-101B-9397-08002B2CF9AE}" pid="4" name="ICV">
    <vt:lpwstr>8542F85791A04604A71BEB3524AA92C5</vt:lpwstr>
  </property>
</Properties>
</file>