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80" w:lineRule="exact"/>
        <w:jc w:val="center"/>
        <w:rPr>
          <w:rFonts w:ascii="Times New Roman" w:hAnsi="Times New Roman" w:eastAsia="宋体" w:cs="Times New Roman"/>
          <w:b/>
          <w:sz w:val="44"/>
          <w:szCs w:val="44"/>
        </w:rPr>
      </w:pPr>
      <w:bookmarkStart w:id="0" w:name="_GoBack"/>
      <w:r>
        <w:rPr>
          <w:rFonts w:hint="eastAsia" w:ascii="Times New Roman" w:hAnsi="Times New Roman" w:eastAsia="宋体" w:cs="Times New Roman"/>
          <w:b/>
          <w:sz w:val="44"/>
          <w:szCs w:val="44"/>
        </w:rPr>
        <w:t>2</w:t>
      </w:r>
      <w:r>
        <w:rPr>
          <w:rFonts w:ascii="Times New Roman" w:hAnsi="Times New Roman" w:eastAsia="宋体" w:cs="Times New Roman"/>
          <w:b/>
          <w:sz w:val="44"/>
          <w:szCs w:val="44"/>
        </w:rPr>
        <w:t>023</w:t>
      </w:r>
      <w:r>
        <w:rPr>
          <w:rFonts w:hint="eastAsia" w:ascii="Times New Roman" w:hAnsi="Times New Roman" w:eastAsia="宋体" w:cs="Times New Roman"/>
          <w:b/>
          <w:sz w:val="44"/>
          <w:szCs w:val="44"/>
        </w:rPr>
        <w:t>年度科技局法治政府建设年度报告</w:t>
      </w:r>
    </w:p>
    <w:p>
      <w:pPr>
        <w:keepNext w:val="0"/>
        <w:keepLines w:val="0"/>
        <w:pageBreakBefore w:val="0"/>
        <w:kinsoku/>
        <w:wordWrap/>
        <w:overflowPunct/>
        <w:topLinePunct w:val="0"/>
        <w:autoSpaceDE/>
        <w:autoSpaceDN/>
        <w:bidi w:val="0"/>
        <w:adjustRightInd/>
        <w:snapToGrid/>
        <w:spacing w:beforeAutospacing="0" w:afterAutospacing="0" w:line="580" w:lineRule="exact"/>
        <w:rPr>
          <w:rFonts w:ascii="Times New Roman" w:hAnsi="Times New Roman" w:eastAsia="宋体" w:cs="Times New Roman"/>
          <w:b/>
          <w:sz w:val="44"/>
          <w:szCs w:val="44"/>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3</w:t>
      </w:r>
      <w:r>
        <w:rPr>
          <w:rFonts w:hint="eastAsia" w:ascii="仿宋_GB2312" w:hAnsi="宋体" w:eastAsia="仿宋_GB2312" w:cs="宋体"/>
          <w:sz w:val="32"/>
          <w:szCs w:val="32"/>
        </w:rPr>
        <w:t>年，区科技局以习近平新时代中国特色社会主义思想为指导，认真贯彻落实党的二十大精神，深入学习习近平法治思想的核心要义，紧紧围绕区委全面依法治区2</w:t>
      </w:r>
      <w:r>
        <w:rPr>
          <w:rFonts w:ascii="仿宋_GB2312" w:hAnsi="宋体" w:eastAsia="仿宋_GB2312" w:cs="宋体"/>
          <w:sz w:val="32"/>
          <w:szCs w:val="32"/>
        </w:rPr>
        <w:t>023</w:t>
      </w:r>
      <w:r>
        <w:rPr>
          <w:rFonts w:hint="eastAsia" w:ascii="仿宋_GB2312" w:hAnsi="宋体" w:eastAsia="仿宋_GB2312" w:cs="宋体"/>
          <w:sz w:val="32"/>
          <w:szCs w:val="32"/>
        </w:rPr>
        <w:t>年工作要点和我区法治建设“一规划两方案”，持续深入推进区委全面依法治区各项工作。</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一、2023年主要工作情况</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3" w:firstLineChars="200"/>
        <w:rPr>
          <w:rFonts w:ascii="仿宋_GB2312" w:hAnsi="宋体" w:eastAsia="仿宋_GB2312" w:cs="宋体"/>
          <w:sz w:val="32"/>
          <w:szCs w:val="32"/>
        </w:rPr>
      </w:pPr>
      <w:r>
        <w:rPr>
          <w:rFonts w:hint="eastAsia" w:ascii="楷体_GB2312" w:hAnsi="楷体_GB2312" w:eastAsia="楷体_GB2312" w:cs="楷体_GB2312"/>
          <w:b/>
          <w:bCs/>
          <w:sz w:val="32"/>
          <w:szCs w:val="32"/>
        </w:rPr>
        <w:t>加强法治学习，强化思想认知。</w:t>
      </w:r>
      <w:r>
        <w:rPr>
          <w:rFonts w:ascii="仿宋_GB2312" w:hAnsi="宋体" w:eastAsia="仿宋_GB2312" w:cs="宋体"/>
          <w:sz w:val="32"/>
          <w:szCs w:val="32"/>
        </w:rPr>
        <w:t>坚持以习近平法治思想为指导，及时组织法治知识学习，提升全体干部职工法治理论水平。</w:t>
      </w:r>
      <w:r>
        <w:rPr>
          <w:rFonts w:hint="eastAsia" w:ascii="仿宋_GB2312" w:hAnsi="宋体" w:eastAsia="仿宋_GB2312" w:cs="宋体"/>
          <w:sz w:val="32"/>
          <w:szCs w:val="32"/>
        </w:rPr>
        <w:t>深入落实理论中心组集体学法制度，</w:t>
      </w:r>
      <w:r>
        <w:rPr>
          <w:rFonts w:ascii="仿宋_GB2312" w:hAnsi="宋体" w:eastAsia="仿宋_GB2312" w:cs="宋体"/>
          <w:sz w:val="32"/>
          <w:szCs w:val="32"/>
        </w:rPr>
        <w:t>采取集中学习、观看法治教育片、交流研讨等方式深入学习宣传党的二十大关于全面依法治国的新理念新思想新战略；</w:t>
      </w:r>
      <w:r>
        <w:rPr>
          <w:rFonts w:hint="eastAsia" w:ascii="仿宋_GB2312" w:hAnsi="宋体" w:eastAsia="仿宋_GB2312" w:cs="宋体"/>
          <w:sz w:val="32"/>
          <w:szCs w:val="32"/>
        </w:rPr>
        <w:t>二是</w:t>
      </w:r>
      <w:r>
        <w:rPr>
          <w:rFonts w:ascii="仿宋_GB2312" w:hAnsi="宋体" w:eastAsia="仿宋_GB2312" w:cs="宋体"/>
          <w:sz w:val="32"/>
          <w:szCs w:val="32"/>
        </w:rPr>
        <w:t>积极组织参与各类线上线下学法活动，充分利用学习强国APP、线上直播公开课等方式，组织领导干部参与线上学法，组织党员干部通过</w:t>
      </w:r>
      <w:r>
        <w:rPr>
          <w:rFonts w:hint="eastAsia" w:ascii="仿宋_GB2312" w:hAnsi="宋体" w:eastAsia="仿宋_GB2312" w:cs="宋体"/>
          <w:sz w:val="32"/>
          <w:szCs w:val="32"/>
        </w:rPr>
        <w:t>法治讲座</w:t>
      </w:r>
      <w:r>
        <w:rPr>
          <w:rFonts w:ascii="仿宋_GB2312" w:hAnsi="宋体" w:eastAsia="仿宋_GB2312" w:cs="宋体"/>
          <w:sz w:val="32"/>
          <w:szCs w:val="32"/>
        </w:rPr>
        <w:t>、志愿服务活动等参与线下学法活动，提高了领导干部法治意识和依法执政能力，为更好地依法履职、依法行政奠定了坚实基础。</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3" w:firstLineChars="200"/>
        <w:rPr>
          <w:rFonts w:ascii="仿宋_GB2312" w:hAnsi="宋体" w:eastAsia="仿宋_GB2312" w:cs="宋体"/>
          <w:sz w:val="32"/>
          <w:szCs w:val="32"/>
        </w:rPr>
      </w:pPr>
      <w:r>
        <w:rPr>
          <w:rFonts w:hint="eastAsia" w:ascii="楷体_GB2312" w:hAnsi="楷体_GB2312" w:eastAsia="楷体_GB2312" w:cs="楷体_GB2312"/>
          <w:b/>
          <w:bCs/>
          <w:sz w:val="32"/>
          <w:szCs w:val="32"/>
        </w:rPr>
        <w:t>加强规范管理，强化执法能力。</w:t>
      </w:r>
      <w:r>
        <w:rPr>
          <w:rFonts w:ascii="仿宋_GB2312" w:hAnsi="宋体" w:eastAsia="仿宋_GB2312" w:cs="宋体"/>
          <w:sz w:val="32"/>
          <w:szCs w:val="32"/>
        </w:rPr>
        <w:t>着力加强规范性文件管理，提升依法行政能力。</w:t>
      </w:r>
      <w:r>
        <w:rPr>
          <w:rFonts w:hint="eastAsia" w:ascii="仿宋_GB2312" w:hAnsi="宋体" w:eastAsia="仿宋_GB2312" w:cs="宋体"/>
          <w:sz w:val="32"/>
          <w:szCs w:val="32"/>
        </w:rPr>
        <w:t>高度重视，精心组织，严格按照上级要求组织清理规范性文件</w:t>
      </w:r>
      <w:r>
        <w:rPr>
          <w:rFonts w:ascii="仿宋_GB2312" w:hAnsi="宋体" w:eastAsia="仿宋_GB2312" w:cs="宋体"/>
          <w:sz w:val="32"/>
          <w:szCs w:val="32"/>
        </w:rPr>
        <w:t>；积极推进政府法律顾问制度。聘请</w:t>
      </w:r>
      <w:r>
        <w:rPr>
          <w:rFonts w:hint="eastAsia" w:ascii="仿宋_GB2312" w:hAnsi="宋体" w:eastAsia="仿宋_GB2312" w:cs="宋体"/>
          <w:sz w:val="32"/>
          <w:szCs w:val="32"/>
        </w:rPr>
        <w:t>专业</w:t>
      </w:r>
      <w:r>
        <w:rPr>
          <w:rFonts w:ascii="仿宋_GB2312" w:hAnsi="宋体" w:eastAsia="仿宋_GB2312" w:cs="宋体"/>
          <w:sz w:val="32"/>
          <w:szCs w:val="32"/>
        </w:rPr>
        <w:t>律师担任我局法律顾问，申请专项经费用于法律顾问费支出。在重大决策咨询、规范性文件审核等方面充分吸取法律顾问等各方意见。</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3" w:firstLineChars="200"/>
        <w:rPr>
          <w:rFonts w:ascii="仿宋_GB2312" w:hAnsi="Verdana" w:eastAsia="仿宋_GB2312"/>
          <w:sz w:val="32"/>
          <w:szCs w:val="32"/>
        </w:rPr>
      </w:pPr>
      <w:r>
        <w:rPr>
          <w:rFonts w:hint="eastAsia" w:ascii="楷体_GB2312" w:hAnsi="楷体_GB2312" w:eastAsia="楷体_GB2312" w:cs="楷体_GB2312"/>
          <w:b/>
          <w:bCs/>
          <w:sz w:val="32"/>
          <w:szCs w:val="32"/>
        </w:rPr>
        <w:t>加加强法治规范化建设，强化科技“放管服”改革。</w:t>
      </w:r>
      <w:r>
        <w:rPr>
          <w:rFonts w:hint="eastAsia" w:ascii="仿宋_GB2312" w:hAnsi="仿宋" w:eastAsia="仿宋_GB2312"/>
          <w:color w:val="000000"/>
          <w:sz w:val="32"/>
          <w:szCs w:val="32"/>
        </w:rPr>
        <w:t>坚持便民利民。公布服务指南、事项流程图、受理条件、办理时限、示范文本等，完善一次性告知书制度，对照梳理“最多跑一趟”办事清单</w:t>
      </w:r>
      <w:r>
        <w:rPr>
          <w:rFonts w:hint="eastAsia" w:ascii="仿宋_GB2312" w:hAnsi="仿宋_GB2312" w:eastAsia="仿宋_GB2312" w:cs="仿宋_GB2312"/>
          <w:color w:val="000000"/>
          <w:sz w:val="32"/>
          <w:szCs w:val="32"/>
        </w:rPr>
        <w:t>10</w:t>
      </w:r>
      <w:r>
        <w:rPr>
          <w:rFonts w:hint="eastAsia" w:ascii="仿宋_GB2312" w:hAnsi="仿宋" w:eastAsia="仿宋_GB2312"/>
          <w:color w:val="000000"/>
          <w:sz w:val="32"/>
          <w:szCs w:val="32"/>
        </w:rPr>
        <w:t>个，</w:t>
      </w:r>
      <w:r>
        <w:rPr>
          <w:rFonts w:hint="eastAsia" w:ascii="仿宋_GB2312" w:eastAsia="仿宋_GB2312"/>
          <w:color w:val="000000"/>
          <w:sz w:val="32"/>
          <w:szCs w:val="32"/>
        </w:rPr>
        <w:t>排查行政审批和服务自由裁量权限事项</w:t>
      </w:r>
      <w:r>
        <w:rPr>
          <w:rFonts w:hint="eastAsia" w:ascii="仿宋_GB2312" w:hAnsi="仿宋_GB2312" w:eastAsia="仿宋_GB2312" w:cs="仿宋_GB2312"/>
          <w:color w:val="000000"/>
          <w:sz w:val="32"/>
          <w:szCs w:val="32"/>
        </w:rPr>
        <w:t>12</w:t>
      </w:r>
      <w:r>
        <w:rPr>
          <w:rFonts w:hint="eastAsia" w:ascii="仿宋_GB2312" w:eastAsia="仿宋_GB2312"/>
          <w:color w:val="000000"/>
          <w:sz w:val="32"/>
          <w:szCs w:val="32"/>
        </w:rPr>
        <w:t>项；</w:t>
      </w:r>
      <w:r>
        <w:rPr>
          <w:rFonts w:hint="eastAsia" w:ascii="仿宋_GB2312" w:hAnsi="仿宋" w:eastAsia="仿宋_GB2312"/>
          <w:color w:val="000000"/>
          <w:sz w:val="32"/>
          <w:szCs w:val="32"/>
        </w:rPr>
        <w:t>引导企业和群众通过福建省网上办事大厅申请办件，入驻窗口审批服务事项实现“一趟不用跑”占比100%；精简政务服务事项申报材料，所有审批服务流程统一整合为“受理、审查、办结”3个环节，精简流程10个，压缩政务服务事项办理时间由10个工作日变为3个工作日，提升科技服务效率和水平。</w:t>
      </w:r>
    </w:p>
    <w:p>
      <w:pPr>
        <w:pStyle w:val="19"/>
        <w:keepNext w:val="0"/>
        <w:keepLines w:val="0"/>
        <w:pageBreakBefore w:val="0"/>
        <w:kinsoku/>
        <w:wordWrap/>
        <w:overflowPunct/>
        <w:topLinePunct w:val="0"/>
        <w:autoSpaceDE/>
        <w:autoSpaceDN/>
        <w:bidi w:val="0"/>
        <w:adjustRightInd/>
        <w:snapToGrid/>
        <w:spacing w:beforeAutospacing="0" w:after="0" w:afterAutospacing="0" w:line="580" w:lineRule="exact"/>
        <w:ind w:firstLine="643" w:firstLineChars="200"/>
        <w:rPr>
          <w:rFonts w:ascii="仿宋_GB2312" w:hAnsi="宋体" w:cs="宋体"/>
          <w:szCs w:val="32"/>
        </w:rPr>
      </w:pPr>
      <w:r>
        <w:rPr>
          <w:rFonts w:hint="eastAsia" w:ascii="楷体_GB2312" w:hAnsi="楷体_GB2312" w:eastAsia="楷体_GB2312" w:cs="楷体_GB2312"/>
          <w:b/>
          <w:bCs/>
          <w:kern w:val="2"/>
          <w:sz w:val="32"/>
          <w:szCs w:val="32"/>
          <w:lang w:val="en-US" w:eastAsia="zh-CN" w:bidi="ar-SA"/>
        </w:rPr>
        <w:t>加强普法宣传，强化法治素养。</w:t>
      </w:r>
      <w:r>
        <w:rPr>
          <w:rFonts w:hint="eastAsia" w:ascii="仿宋_GB2312"/>
          <w:szCs w:val="32"/>
        </w:rPr>
        <w:t>认真做好科技进步</w:t>
      </w:r>
      <w:r>
        <w:rPr>
          <w:rFonts w:hint="eastAsia" w:ascii="仿宋_GB2312" w:hAnsi="宋体" w:cs="宋体"/>
          <w:szCs w:val="32"/>
        </w:rPr>
        <w:t>“一法一例”宣传贯彻。</w:t>
      </w:r>
      <w:r>
        <w:rPr>
          <w:rFonts w:hint="eastAsia" w:ascii="仿宋_GB2312" w:hAnsi="仿宋_GB2312" w:cs="仿宋_GB2312"/>
          <w:szCs w:val="32"/>
        </w:rPr>
        <w:t>组织</w:t>
      </w:r>
      <w:r>
        <w:rPr>
          <w:rFonts w:hint="eastAsia" w:ascii="仿宋_GB2312" w:hAnsi="黑体" w:cs="宋体"/>
          <w:kern w:val="0"/>
          <w:szCs w:val="32"/>
        </w:rPr>
        <w:t>开展“一法一例”宣传和科技惠企政策解读，</w:t>
      </w:r>
      <w:r>
        <w:rPr>
          <w:rFonts w:hint="eastAsia" w:ascii="仿宋_GB2312"/>
          <w:szCs w:val="32"/>
        </w:rPr>
        <w:t>召开政策辅导专场，举办产学研对接活动，组织泉港区“最美科技工作者”评选和学习宣传，开展“全国科技活动周”暨“全国科技工作者日”系列活动</w:t>
      </w:r>
      <w:r>
        <w:rPr>
          <w:rFonts w:hint="eastAsia"/>
          <w:szCs w:val="32"/>
        </w:rPr>
        <w:t>，进一步做好</w:t>
      </w:r>
      <w:r>
        <w:rPr>
          <w:rFonts w:hint="eastAsia" w:ascii="仿宋_GB2312"/>
          <w:szCs w:val="32"/>
        </w:rPr>
        <w:t>科技进步“一法一例”宣传贯彻</w:t>
      </w:r>
      <w:r>
        <w:rPr>
          <w:rFonts w:hint="eastAsia"/>
          <w:szCs w:val="32"/>
        </w:rPr>
        <w:t>。</w:t>
      </w:r>
      <w:r>
        <w:rPr>
          <w:rFonts w:ascii="仿宋_GB2312" w:hAnsi="宋体" w:cs="宋体"/>
          <w:szCs w:val="32"/>
        </w:rPr>
        <w:t>注重科技法律政策解读回应力度。结合“宪法日、科技·人才活动周、科技工作者日、科普日”等重要时间节点，借助科技三下乡、科技志愿服务活动等机会，</w:t>
      </w:r>
      <w:r>
        <w:rPr>
          <w:rFonts w:hint="eastAsia" w:ascii="仿宋_GB2312" w:hAnsi="宋体" w:cs="宋体"/>
          <w:szCs w:val="32"/>
        </w:rPr>
        <w:t>利用科技特派员等制度，“泉港科技服务”微信公众号等，</w:t>
      </w:r>
      <w:r>
        <w:rPr>
          <w:rFonts w:ascii="仿宋_GB2312" w:hAnsi="宋体" w:cs="宋体"/>
          <w:szCs w:val="32"/>
        </w:rPr>
        <w:t>开展</w:t>
      </w:r>
      <w:r>
        <w:rPr>
          <w:rFonts w:hint="eastAsia" w:ascii="仿宋_GB2312" w:hAnsi="宋体" w:cs="宋体"/>
          <w:szCs w:val="32"/>
        </w:rPr>
        <w:t>普法</w:t>
      </w:r>
      <w:r>
        <w:rPr>
          <w:rFonts w:ascii="仿宋_GB2312" w:hAnsi="宋体" w:cs="宋体"/>
          <w:szCs w:val="32"/>
        </w:rPr>
        <w:t>宣传活动。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二、存在问题及2024年工作思路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虽然在推进法治政府建设工作上取得了一定成绩，但是仍然存在着一些不足，如监督检查还不够完善、执法人员数量较少、人员综合素质需进一步提高、宣传工作形式较单一等问题。</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4</w:t>
      </w:r>
      <w:r>
        <w:rPr>
          <w:rFonts w:hint="eastAsia" w:ascii="仿宋_GB2312" w:hAnsi="宋体" w:eastAsia="仿宋_GB2312" w:cs="宋体"/>
          <w:sz w:val="32"/>
          <w:szCs w:val="32"/>
        </w:rPr>
        <w:t>年，我局将继续围绕贯彻落实党的二十大精神扎实做好推进法治政府建设各项工作，为推进我区科技创新发展提供法治和政策保障。一是进一步完善工作机制，营造齐抓共管的良好工作氛围，推动法治建设工作持续取得好成效；二是深化法治学习，着力提升党员干部的依法行政能力和法治素养，进一步夯实科技系统推进法治建设的基础；三是持续加强法治规范化建设，做好规范性文件合法性审查；四是持之以恒推进行政审批制度改革，进一步优化办事流程，严格规范办理程序。</w:t>
      </w:r>
    </w:p>
    <w:p>
      <w:pPr>
        <w:pStyle w:val="14"/>
        <w:rPr>
          <w:rFonts w:hint="eastAsia" w:ascii="仿宋_GB2312" w:hAnsi="宋体" w:eastAsia="仿宋_GB2312" w:cs="宋体"/>
          <w:sz w:val="32"/>
          <w:szCs w:val="32"/>
        </w:rPr>
      </w:pPr>
    </w:p>
    <w:p>
      <w:pPr>
        <w:pStyle w:val="15"/>
        <w:rPr>
          <w:rFonts w:hint="eastAsia"/>
        </w:rPr>
      </w:pPr>
    </w:p>
    <w:p>
      <w:pPr>
        <w:widowControl/>
        <w:spacing w:line="560" w:lineRule="exact"/>
        <w:ind w:firstLine="4800" w:firstLineChars="150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泉州市</w:t>
      </w:r>
      <w:r>
        <w:rPr>
          <w:rFonts w:hint="eastAsia" w:ascii="仿宋_GB2312" w:hAnsi="Arial" w:eastAsia="仿宋_GB2312" w:cs="Arial"/>
          <w:color w:val="000000"/>
          <w:kern w:val="0"/>
          <w:sz w:val="32"/>
          <w:szCs w:val="32"/>
        </w:rPr>
        <w:t>泉港区</w:t>
      </w:r>
      <w:r>
        <w:rPr>
          <w:rFonts w:hint="eastAsia" w:ascii="仿宋_GB2312" w:hAnsi="Arial" w:eastAsia="仿宋_GB2312" w:cs="Arial"/>
          <w:color w:val="000000"/>
          <w:kern w:val="0"/>
          <w:sz w:val="32"/>
          <w:szCs w:val="32"/>
          <w:lang w:eastAsia="zh-CN"/>
        </w:rPr>
        <w:t>科学技术局</w:t>
      </w:r>
    </w:p>
    <w:p>
      <w:pPr>
        <w:widowControl/>
        <w:spacing w:line="560" w:lineRule="exact"/>
        <w:ind w:firstLine="5440" w:firstLineChars="17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20</w:t>
      </w:r>
      <w:r>
        <w:rPr>
          <w:rFonts w:hint="eastAsia" w:ascii="仿宋_GB2312" w:hAnsi="Arial" w:eastAsia="仿宋_GB2312" w:cs="Arial"/>
          <w:color w:val="000000"/>
          <w:kern w:val="0"/>
          <w:sz w:val="32"/>
          <w:szCs w:val="32"/>
          <w:lang w:val="en-US" w:eastAsia="zh-CN"/>
        </w:rPr>
        <w:t>23</w:t>
      </w:r>
      <w:r>
        <w:rPr>
          <w:rFonts w:hint="eastAsia" w:ascii="仿宋_GB2312" w:hAnsi="Arial" w:eastAsia="仿宋_GB2312" w:cs="Arial"/>
          <w:color w:val="000000"/>
          <w:kern w:val="0"/>
          <w:sz w:val="32"/>
          <w:szCs w:val="32"/>
        </w:rPr>
        <w:t>年</w:t>
      </w:r>
      <w:r>
        <w:rPr>
          <w:rFonts w:hint="eastAsia" w:ascii="仿宋_GB2312" w:hAnsi="Arial" w:eastAsia="仿宋_GB2312" w:cs="Arial"/>
          <w:color w:val="000000"/>
          <w:kern w:val="0"/>
          <w:sz w:val="32"/>
          <w:szCs w:val="32"/>
          <w:lang w:val="en-US" w:eastAsia="zh-CN"/>
        </w:rPr>
        <w:t>12</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29</w:t>
      </w:r>
      <w:r>
        <w:rPr>
          <w:rFonts w:hint="eastAsia" w:ascii="仿宋_GB2312" w:hAnsi="Arial" w:eastAsia="仿宋_GB2312" w:cs="Arial"/>
          <w:color w:val="000000"/>
          <w:kern w:val="0"/>
          <w:sz w:val="32"/>
          <w:szCs w:val="32"/>
        </w:rPr>
        <w:t>日</w:t>
      </w:r>
    </w:p>
    <w:bookmarkEnd w:id="0"/>
    <w:p>
      <w:pPr>
        <w:pStyle w:val="15"/>
      </w:pPr>
    </w:p>
    <w:p>
      <w:pPr>
        <w:ind w:firstLine="640" w:firstLineChars="200"/>
        <w:rPr>
          <w:rFonts w:ascii="仿宋_GB2312" w:hAnsi="宋体" w:eastAsia="仿宋_GB2312" w:cs="宋体"/>
          <w:sz w:val="32"/>
          <w:szCs w:val="32"/>
        </w:rPr>
      </w:pPr>
    </w:p>
    <w:sectPr>
      <w:footerReference r:id="rId3" w:type="default"/>
      <w:pgSz w:w="11906" w:h="16838"/>
      <w:pgMar w:top="2098" w:right="1304"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xMzRmZThkNWMwNmZlYjM5NzQxY2M0YTA5Y2EyOTkifQ=="/>
  </w:docVars>
  <w:rsids>
    <w:rsidRoot w:val="00B93E58"/>
    <w:rsid w:val="0013237B"/>
    <w:rsid w:val="0022050B"/>
    <w:rsid w:val="0026094F"/>
    <w:rsid w:val="00356C98"/>
    <w:rsid w:val="003B2F68"/>
    <w:rsid w:val="006238D6"/>
    <w:rsid w:val="00821532"/>
    <w:rsid w:val="0094208F"/>
    <w:rsid w:val="00B93E58"/>
    <w:rsid w:val="00C66DA3"/>
    <w:rsid w:val="00DC747A"/>
    <w:rsid w:val="00EF2478"/>
    <w:rsid w:val="088A53C4"/>
    <w:rsid w:val="08EE3663"/>
    <w:rsid w:val="191D416A"/>
    <w:rsid w:val="1E2076D1"/>
    <w:rsid w:val="345268E8"/>
    <w:rsid w:val="4CED3C0E"/>
    <w:rsid w:val="636D49DC"/>
    <w:rsid w:val="75624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3"/>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4"/>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5"/>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6"/>
    <w:autoRedefine/>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7"/>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8"/>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11">
    <w:name w:val="Body Text"/>
    <w:basedOn w:val="1"/>
    <w:next w:val="12"/>
    <w:qFormat/>
    <w:uiPriority w:val="99"/>
    <w:pPr>
      <w:spacing w:after="120"/>
    </w:pPr>
  </w:style>
  <w:style w:type="paragraph" w:styleId="12">
    <w:name w:val="Title"/>
    <w:basedOn w:val="1"/>
    <w:next w:val="1"/>
    <w:link w:val="31"/>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3">
    <w:name w:val="Body Text Indent"/>
    <w:basedOn w:val="1"/>
    <w:next w:val="14"/>
    <w:qFormat/>
    <w:uiPriority w:val="99"/>
    <w:pPr>
      <w:spacing w:after="120"/>
      <w:ind w:left="420" w:leftChars="200"/>
    </w:pPr>
  </w:style>
  <w:style w:type="paragraph" w:styleId="14">
    <w:name w:val="Body Text First Indent 2"/>
    <w:basedOn w:val="13"/>
    <w:next w:val="15"/>
    <w:qFormat/>
    <w:uiPriority w:val="99"/>
    <w:pPr>
      <w:ind w:firstLine="420" w:firstLineChars="200"/>
    </w:p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Subtitle"/>
    <w:basedOn w:val="1"/>
    <w:next w:val="1"/>
    <w:link w:val="32"/>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Body Text First Indent"/>
    <w:basedOn w:val="11"/>
    <w:qFormat/>
    <w:uiPriority w:val="99"/>
    <w:pPr>
      <w:spacing w:after="140" w:line="276" w:lineRule="auto"/>
      <w:ind w:firstLine="420" w:firstLineChars="100"/>
      <w:textAlignment w:val="baseline"/>
    </w:pPr>
    <w:rPr>
      <w:rFonts w:eastAsia="仿宋_GB2312"/>
      <w:sz w:val="32"/>
    </w:rPr>
  </w:style>
  <w:style w:type="character" w:customStyle="1" w:styleId="22">
    <w:name w:val="标题 1 字符"/>
    <w:basedOn w:val="21"/>
    <w:link w:val="2"/>
    <w:qFormat/>
    <w:uiPriority w:val="9"/>
    <w:rPr>
      <w:rFonts w:asciiTheme="majorHAnsi" w:hAnsiTheme="majorHAnsi" w:eastAsiaTheme="majorEastAsia" w:cstheme="majorBidi"/>
      <w:color w:val="104862" w:themeColor="accent1" w:themeShade="BF"/>
      <w:sz w:val="48"/>
      <w:szCs w:val="48"/>
    </w:rPr>
  </w:style>
  <w:style w:type="character" w:customStyle="1" w:styleId="23">
    <w:name w:val="标题 2 字符"/>
    <w:basedOn w:val="21"/>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4">
    <w:name w:val="标题 3 字符"/>
    <w:basedOn w:val="21"/>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5">
    <w:name w:val="标题 4 字符"/>
    <w:basedOn w:val="21"/>
    <w:link w:val="5"/>
    <w:semiHidden/>
    <w:qFormat/>
    <w:uiPriority w:val="9"/>
    <w:rPr>
      <w:rFonts w:cstheme="majorBidi"/>
      <w:color w:val="104862" w:themeColor="accent1" w:themeShade="BF"/>
      <w:sz w:val="28"/>
      <w:szCs w:val="28"/>
    </w:rPr>
  </w:style>
  <w:style w:type="character" w:customStyle="1" w:styleId="26">
    <w:name w:val="标题 5 字符"/>
    <w:basedOn w:val="21"/>
    <w:link w:val="6"/>
    <w:semiHidden/>
    <w:qFormat/>
    <w:uiPriority w:val="9"/>
    <w:rPr>
      <w:rFonts w:cstheme="majorBidi"/>
      <w:color w:val="104862" w:themeColor="accent1" w:themeShade="BF"/>
      <w:sz w:val="24"/>
      <w:szCs w:val="24"/>
    </w:rPr>
  </w:style>
  <w:style w:type="character" w:customStyle="1" w:styleId="27">
    <w:name w:val="标题 6 字符"/>
    <w:basedOn w:val="21"/>
    <w:link w:val="7"/>
    <w:semiHidden/>
    <w:qFormat/>
    <w:uiPriority w:val="9"/>
    <w:rPr>
      <w:rFonts w:cstheme="majorBidi"/>
      <w:b/>
      <w:bCs/>
      <w:color w:val="104862" w:themeColor="accent1" w:themeShade="BF"/>
    </w:rPr>
  </w:style>
  <w:style w:type="character" w:customStyle="1" w:styleId="28">
    <w:name w:val="标题 7 字符"/>
    <w:basedOn w:val="21"/>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21"/>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21"/>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21"/>
    <w:link w:val="12"/>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21"/>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21"/>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明显强调1"/>
    <w:basedOn w:val="21"/>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明显引用 字符"/>
    <w:basedOn w:val="21"/>
    <w:link w:val="37"/>
    <w:qFormat/>
    <w:uiPriority w:val="30"/>
    <w:rPr>
      <w:i/>
      <w:iCs/>
      <w:color w:val="104862" w:themeColor="accent1" w:themeShade="BF"/>
    </w:rPr>
  </w:style>
  <w:style w:type="character" w:customStyle="1" w:styleId="39">
    <w:name w:val="明显参考1"/>
    <w:basedOn w:val="21"/>
    <w:qFormat/>
    <w:uiPriority w:val="32"/>
    <w:rPr>
      <w:b/>
      <w:bCs/>
      <w:smallCaps/>
      <w:color w:val="104862" w:themeColor="accent1" w:themeShade="BF"/>
      <w:spacing w:val="5"/>
    </w:rPr>
  </w:style>
  <w:style w:type="character" w:customStyle="1" w:styleId="40">
    <w:name w:val="b-free-read-leaf"/>
    <w:basedOn w:val="21"/>
    <w:qFormat/>
    <w:uiPriority w:val="0"/>
  </w:style>
  <w:style w:type="character" w:customStyle="1" w:styleId="41">
    <w:name w:val="b-free-read-leaf1"/>
    <w:basedOn w:val="2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202</Words>
  <Characters>1152</Characters>
  <Lines>9</Lines>
  <Paragraphs>2</Paragraphs>
  <TotalTime>4</TotalTime>
  <ScaleCrop>false</ScaleCrop>
  <LinksUpToDate>false</LinksUpToDate>
  <CharactersWithSpaces>1352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2023-12-24T15:32:00Z</dcterms:created>
  <dc:creator>清鸿 刘</dc:creator>
  <cp:lastModifiedBy>强</cp:lastModifiedBy>
  <dcterms:modified xsi:type="dcterms:W3CDTF">2024-04-01T09:45:51Z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461041199F0843D4919A6B9DEF9F1FA6_12</vt:lpwstr>
  </property>
</Properties>
</file>