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4" w:leftChars="0" w:firstLine="4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泉港区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养老机构重点检查事项清单（试行）</w:t>
      </w:r>
    </w:p>
    <w:p>
      <w:pPr>
        <w:pStyle w:val="2"/>
        <w:rPr>
          <w:sz w:val="2"/>
        </w:rPr>
      </w:pPr>
    </w:p>
    <w:tbl>
      <w:tblPr>
        <w:tblStyle w:val="4"/>
        <w:tblW w:w="1008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61"/>
        <w:gridCol w:w="2918"/>
        <w:gridCol w:w="1110"/>
        <w:gridCol w:w="1260"/>
        <w:gridCol w:w="2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Header/>
          <w:jc w:val="center"/>
        </w:trPr>
        <w:tc>
          <w:tcPr>
            <w:tcW w:w="5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46" w:right="42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检查项目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检查内容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5"/>
                <w:sz w:val="21"/>
                <w:szCs w:val="21"/>
              </w:rPr>
              <w:t>检查方式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检查主体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检查依据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</w:rPr>
              <w:t>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养老机构备案监督检查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对养老机构备案情况的监督检查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《养老机构管理办法》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</w:rPr>
              <w:t>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</w:t>
            </w:r>
            <w:r>
              <w:rPr>
                <w:rFonts w:hint="eastAsia" w:cs="仿宋_GB2312"/>
                <w:sz w:val="21"/>
                <w:szCs w:val="21"/>
                <w:lang w:eastAsia="zh-CN"/>
              </w:rPr>
              <w:t>设工程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消防设计审查验收监督检查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对年度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实施的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养老机构建设工程履行消防设计审查验收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程序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住建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《中华人民共和国建筑法》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《中华人民共和国消防法》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《建设工程质量管理条例》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《建设工程消防设计审查验收管理暂行规定》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</w:rPr>
              <w:t>3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特种设备使用单位监督检查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对特种设备使用单位的监督检查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市场监管</w:t>
            </w:r>
            <w:r>
              <w:rPr>
                <w:rFonts w:hint="eastAsia" w:cs="仿宋_GB2312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《中华人民共和国特种设备安全法》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《特种设备安全监察条例》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</w:rPr>
              <w:t>4</w:t>
            </w:r>
          </w:p>
        </w:tc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cs="仿宋_GB2312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sz w:val="21"/>
                <w:szCs w:val="21"/>
                <w:lang w:eastAsia="zh-CN"/>
              </w:rPr>
              <w:t>服务质量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  <w:lang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检查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安全标志使用情况的检查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现场检查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 w:rightChars="0"/>
              <w:jc w:val="center"/>
              <w:rPr>
                <w:rFonts w:hint="eastAsia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2766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《中华人民共和国老年人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权益保障法》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《中华人民共和国安全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生产法》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《养老机构管理办法》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《养老机构服务安全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基本规范》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养老护理员培训情况的检查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 w:rightChars="0"/>
              <w:jc w:val="center"/>
              <w:rPr>
                <w:rFonts w:hint="eastAsia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54" w:right="128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昼夜巡查、交接班制度实施情况的检查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 w:rightChars="0"/>
              <w:jc w:val="center"/>
              <w:rPr>
                <w:rFonts w:hint="eastAsia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54" w:leftChars="0" w:right="128" w:rightChars="0"/>
              <w:jc w:val="left"/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老年人个人信息和监控内容保密制度实施情况的检查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现场检查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54" w:leftChars="0" w:right="128" w:righ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防止兜售保健食品、药品措施的检查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现场检查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54" w:leftChars="0" w:right="128" w:righ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污染织物单独清洗、消毒、处置情况的检查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现场检查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54" w:leftChars="0" w:right="128" w:righ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老年人生活、活动区域禁止吸烟情况的检查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现场检查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54" w:leftChars="0" w:right="128" w:righ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入住养老机构服务安全风险评估情况的检查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现场检查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54" w:leftChars="0" w:right="128" w:righ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入住养老机构签订服务协议情况的检查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现场检查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Lines="0" w:beforeAutospacing="0" w:after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防噎食措施的检查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jc w:val="left"/>
              <w:rPr>
                <w:rFonts w:hint="default" w:ascii="Times New Roman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54" w:leftChars="0" w:right="0" w:righ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防食品药品误食措施的检查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服务质量安全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检查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/>
              <w:suppressLineNumbers w:val="0"/>
              <w:spacing w:before="0" w:beforeLines="0" w:beforeAutospacing="0" w:afterLines="0" w:afterAutospacing="0" w:line="320" w:lineRule="exact"/>
              <w:ind w:left="54" w:leftChars="0" w:right="0" w:righ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防烫伤措施的检查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/>
              <w:suppressLineNumbers w:val="0"/>
              <w:spacing w:before="0" w:beforeLines="0" w:beforeAutospacing="0" w:afterLines="0" w:afterAutospacing="0" w:line="320" w:lineRule="exact"/>
              <w:ind w:lef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pageBreakBefore/>
              <w:suppressLineNumbers w:val="0"/>
              <w:spacing w:before="0"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/>
              <w:suppressLineNumbers w:val="0"/>
              <w:spacing w:beforeLines="0" w:beforeAutospacing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中华人民共和国老年人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权益保障法》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</w:rPr>
              <w:t>《中华人民共和国安全生产法》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《养老机构管理办法》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《养老机构服务安全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beforeAutospacing="0" w:afterLines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基本规范》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54" w:leftChars="0" w:right="0" w:righ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防坠床措施的检查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54" w:leftChars="0" w:right="0" w:righ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防跌倒措施的检查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54" w:leftChars="0" w:right="0" w:righ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防他伤和自伤措施的检查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54" w:leftChars="0" w:right="0" w:righ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防走失措施的检查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54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防文娱活动意外措施的检查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54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服务安全意外突发事件应急预案的检查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left="54" w:leftChars="0" w:right="128" w:rightChars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服务安全风险防范评价工作的检查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54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安全隐患排查整改情况的检</w:t>
            </w:r>
            <w:r>
              <w:rPr>
                <w:rFonts w:hint="default"/>
                <w:w w:val="100"/>
                <w:sz w:val="21"/>
                <w:szCs w:val="21"/>
              </w:rPr>
              <w:t>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54" w:leftChars="0" w:right="0" w:rightChars="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安全教育开展情况的检查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资金安全</w:t>
            </w:r>
          </w:p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监督检查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right="0" w:rightChars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涉嫌</w:t>
            </w:r>
            <w:r>
              <w:rPr>
                <w:rFonts w:hint="eastAsia"/>
                <w:sz w:val="21"/>
                <w:szCs w:val="21"/>
                <w:lang w:eastAsia="zh-CN"/>
              </w:rPr>
              <w:t>非法集资、诈骗行为</w:t>
            </w:r>
            <w:r>
              <w:rPr>
                <w:rFonts w:hint="default"/>
                <w:sz w:val="21"/>
                <w:szCs w:val="21"/>
              </w:rPr>
              <w:t>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right="0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/>
              <w:jc w:val="center"/>
              <w:rPr>
                <w:rFonts w:hint="default"/>
                <w:color w:val="auto"/>
                <w:spacing w:val="-11"/>
                <w:sz w:val="21"/>
                <w:szCs w:val="21"/>
              </w:rPr>
            </w:pPr>
            <w:r>
              <w:rPr>
                <w:rFonts w:hint="default"/>
                <w:color w:val="auto"/>
                <w:spacing w:val="-11"/>
                <w:sz w:val="21"/>
                <w:szCs w:val="21"/>
              </w:rPr>
              <w:t>《防范和处置非法集资条例》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</w:rPr>
              <w:t>《养老机构管理办法》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54" w:leftChars="0" w:right="0" w:rightChars="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预收费行为的检查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right="0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jc w:val="center"/>
              <w:rPr>
                <w:rFonts w:hint="default" w:ascii="Times New Roman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4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突发事件应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对监督检查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54" w:right="128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制定突发事件应急预案，配备应急救援设备、设施，定期开展突发事件应急演练情况的检查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right="0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/>
              <w:jc w:val="center"/>
              <w:rPr>
                <w:rFonts w:hint="default"/>
                <w:color w:val="auto"/>
                <w:spacing w:val="-11"/>
                <w:sz w:val="21"/>
                <w:szCs w:val="21"/>
              </w:rPr>
            </w:pPr>
            <w:r>
              <w:rPr>
                <w:rFonts w:hint="default"/>
                <w:color w:val="auto"/>
                <w:spacing w:val="1"/>
                <w:w w:val="84"/>
                <w:kern w:val="0"/>
                <w:sz w:val="21"/>
                <w:szCs w:val="21"/>
                <w:fitText w:val="2485" w:id="0"/>
              </w:rPr>
              <w:t>《中华人民共和国安全生产法</w:t>
            </w:r>
            <w:r>
              <w:rPr>
                <w:rFonts w:hint="default"/>
                <w:color w:val="auto"/>
                <w:spacing w:val="0"/>
                <w:w w:val="84"/>
                <w:kern w:val="0"/>
                <w:sz w:val="21"/>
                <w:szCs w:val="21"/>
                <w:fitText w:val="2485" w:id="0"/>
              </w:rPr>
              <w:t>》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color w:val="auto"/>
                <w:sz w:val="21"/>
                <w:szCs w:val="21"/>
              </w:rPr>
              <w:t>《养老机构管理办法》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jc w:val="center"/>
              <w:rPr>
                <w:rFonts w:hint="default" w:ascii="Times New Roman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4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w w:val="1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从业人员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监督检查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left="54" w:leftChars="0" w:right="128" w:rightChars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从业医疗、康复、消防等服务的人员执业资格的检查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现场检查</w:t>
            </w:r>
          </w:p>
          <w:p>
            <w:pPr>
              <w:pStyle w:val="6"/>
              <w:keepNext w:val="0"/>
              <w:keepLines w:val="0"/>
              <w:suppressLineNumbers w:val="0"/>
              <w:spacing w:beforeLines="0" w:beforeAutospacing="0" w:afterLines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sz w:val="21"/>
                <w:szCs w:val="21"/>
              </w:rPr>
              <w:t>书面检查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right="0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Lines="0" w:afterAutospacing="0" w:line="3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default"/>
                <w:color w:val="auto"/>
                <w:sz w:val="21"/>
                <w:szCs w:val="21"/>
              </w:rPr>
              <w:t>《养老机构管理办法》</w:t>
            </w:r>
          </w:p>
        </w:tc>
      </w:tr>
    </w:tbl>
    <w:p>
      <w:pPr>
        <w:spacing w:before="0"/>
        <w:ind w:right="0"/>
        <w:jc w:val="left"/>
        <w:rPr>
          <w:sz w:val="32"/>
        </w:rPr>
      </w:pPr>
      <w:r>
        <w:rPr>
          <w:rFonts w:ascii="Times New Roman"/>
          <w:sz w:val="20"/>
        </w:rPr>
        <w:br w:type="page"/>
      </w:r>
      <w:bookmarkStart w:id="0" w:name="_GoBack"/>
      <w:bookmarkEnd w:id="0"/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泉港区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养老机构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一般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抽查事项清单（试行）</w:t>
      </w:r>
    </w:p>
    <w:tbl>
      <w:tblPr>
        <w:tblStyle w:val="4"/>
        <w:tblW w:w="104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46"/>
        <w:gridCol w:w="751"/>
        <w:gridCol w:w="2786"/>
        <w:gridCol w:w="1455"/>
        <w:gridCol w:w="1434"/>
        <w:gridCol w:w="1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tblHeader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抽查事项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项目类别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抽查内容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抽查方式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抽查主体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抽查依据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养老机构运营资质监督检查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一般检查项目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养老机构登记证照的检查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现场检查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书面检查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hAnsi="仿宋_GB2312" w:cs="仿宋_GB2312"/>
                <w:sz w:val="21"/>
                <w:szCs w:val="21"/>
                <w:lang w:val="en-US" w:eastAsia="zh-CN" w:bidi="ar"/>
              </w:rPr>
              <w:t>区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市场监管局、民政局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《养老机构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管理办法》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-11"/>
                <w:sz w:val="21"/>
                <w:szCs w:val="21"/>
                <w:lang w:val="en-US" w:eastAsia="zh-CN" w:bidi="ar"/>
              </w:rPr>
              <w:t>内设医疗机构执业证照的检查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现场检查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书面检查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养老机构合同管理监督检查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一般检查项目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公建民营养老机构的运营合同的检查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现场检查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书面检查</w:t>
            </w: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>区民政局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《养老机构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管理办法》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EFE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EFEFE"/>
                <w:lang w:val="en-US" w:eastAsia="zh-CN" w:bidi="ar"/>
              </w:rPr>
              <w:t>关于加强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EFEFE"/>
                <w:lang w:val="en-US" w:eastAsia="zh-CN" w:bidi="ar"/>
              </w:rPr>
              <w:t>公建民营养老服务机构监管的指导意见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工作人员的聘用合同的检查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left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委托第三方服务的应签订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外包合同的检查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信息公开监督检查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一般检查项目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left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对外公开养老机构基本信息的检查（地理位置、联系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方式、服务时间等）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现场检查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书面检查</w:t>
            </w: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《养老机构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管理办法》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院内公布服务管理信息的检查（服务管理部门、人员资质、相关证照、服务项目等）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现场检查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书面检查</w:t>
            </w: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接受社会捐赠相关信息公开的检查（登记、使用情况）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现场检查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书面检查</w:t>
            </w:r>
          </w:p>
        </w:tc>
        <w:tc>
          <w:tcPr>
            <w:tcW w:w="14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服务收费监督检查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一般检查项目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服务</w:t>
            </w:r>
            <w:r>
              <w:rPr>
                <w:rStyle w:val="8"/>
                <w:rFonts w:hint="eastAsia" w:hAnsi="仿宋_GB2312" w:cs="仿宋_GB2312"/>
                <w:sz w:val="21"/>
                <w:szCs w:val="21"/>
                <w:lang w:val="en-US" w:eastAsia="zh-CN" w:bidi="ar"/>
              </w:rPr>
              <w:t>项目、服务内容、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收费标准、收费依据、</w:t>
            </w:r>
            <w:r>
              <w:rPr>
                <w:rStyle w:val="8"/>
                <w:rFonts w:hint="eastAsia" w:hAnsi="仿宋_GB2312" w:cs="仿宋_GB2312"/>
                <w:sz w:val="21"/>
                <w:szCs w:val="21"/>
                <w:lang w:val="en-US" w:eastAsia="zh-CN" w:bidi="ar"/>
              </w:rPr>
              <w:t>优惠措施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等</w:t>
            </w:r>
            <w:r>
              <w:rPr>
                <w:rStyle w:val="8"/>
                <w:rFonts w:hint="eastAsia" w:hAnsi="仿宋_GB2312" w:cs="仿宋_GB2312"/>
                <w:sz w:val="21"/>
                <w:szCs w:val="21"/>
                <w:lang w:val="en-US" w:eastAsia="zh-CN" w:bidi="ar"/>
              </w:rPr>
              <w:t>公示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情况的检查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现场检查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书面检查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《养老机构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管理办法》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规章制度监督检查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一般检查项目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老年人信息档案制度的检查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现场检查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书面检查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center"/>
              <w:textAlignment w:val="top"/>
              <w:rPr>
                <w:rStyle w:val="8"/>
                <w:rFonts w:hint="eastAsia" w:hAnsi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老年人出入、探视、请销假制度的检查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每日巡查制度，值班、交接班制度的检查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建立采购物品可追溯制度的检查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-11"/>
                <w:sz w:val="21"/>
                <w:szCs w:val="21"/>
                <w:lang w:val="en-US" w:eastAsia="zh-CN" w:bidi="ar"/>
              </w:rPr>
              <w:t>设施设备定期维护制度的检查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建立举报投诉制度的检查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食品、药品安全检查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一般检查项目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rFonts w:hint="eastAsia" w:hAnsi="仿宋_GB2312" w:cs="仿宋_GB2312"/>
                <w:sz w:val="21"/>
                <w:szCs w:val="21"/>
                <w:lang w:val="en-US" w:eastAsia="zh-CN" w:bidi="ar"/>
              </w:rPr>
              <w:t>食品经营许可证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现场检查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局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《关于强化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养老服务领域食品安全管理的意见》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left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rFonts w:hint="eastAsia" w:hAnsi="仿宋_GB2312" w:cs="仿宋_GB2312"/>
                <w:spacing w:val="-11"/>
                <w:sz w:val="21"/>
                <w:szCs w:val="21"/>
                <w:lang w:val="en-US" w:eastAsia="zh-CN" w:bidi="ar"/>
              </w:rPr>
              <w:t>食品加工、生产人员健康证明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rFonts w:hint="eastAsia" w:hAnsi="仿宋_GB2312" w:cs="仿宋_GB2312"/>
                <w:sz w:val="21"/>
                <w:szCs w:val="21"/>
                <w:lang w:val="en-US" w:eastAsia="zh-CN" w:bidi="ar"/>
              </w:rPr>
              <w:t>食品加工设备整洁情况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leftChars="0" w:right="0" w:right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食品留样制度及实施情况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Style w:val="8"/>
                <w:rFonts w:ascii="仿宋_GB2312" w:hAnsi="仿宋_GB2312" w:eastAsia="仿宋_GB2312"/>
                <w:spacing w:val="-11"/>
                <w:sz w:val="21"/>
                <w:szCs w:val="21"/>
                <w:lang w:bidi="ar"/>
              </w:rPr>
              <w:t>药品管理制度及分类管理情况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>
      <w:pPr>
        <w:bidi w:val="0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YzFlMThmZTNjMjQxM2IzZGYzNjA0ZTM4NDdhOGUifQ=="/>
  </w:docVars>
  <w:rsids>
    <w:rsidRoot w:val="33F84D27"/>
    <w:rsid w:val="33F84D27"/>
    <w:rsid w:val="4A9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character" w:customStyle="1" w:styleId="7">
    <w:name w:val="font61"/>
    <w:basedOn w:val="5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2023-03-14T07:32:00Z</dcterms:created>
  <dc:creator>Administrator</dc:creator>
  <cp:lastModifiedBy>Administrator</cp:lastModifiedBy>
  <dcterms:modified xsi:type="dcterms:W3CDTF">2023-03-22T14:48:34Z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74B44AB67D9D42EE8C7B20AC4C383FDA</vt:lpwstr>
  </property>
</Properties>
</file>