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eastAsia="宋体"/>
          <w:color w:val="000000" w:themeColor="text1"/>
          <w:lang w:val="en-US" w:eastAsia="zh-CN"/>
          <w14:textFill>
            <w14:solidFill>
              <w14:schemeClr w14:val="tx1"/>
            </w14:solidFill>
          </w14:textFill>
        </w:rPr>
      </w:pPr>
    </w:p>
    <w:p>
      <w:pPr>
        <w:pStyle w:val="4"/>
        <w:spacing w:line="556" w:lineRule="exact"/>
        <w:rPr>
          <w:rFonts w:hint="default"/>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56"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关于泉港区202</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1</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年国民经济和社会发展</w:t>
      </w:r>
    </w:p>
    <w:p>
      <w:pPr>
        <w:keepNext w:val="0"/>
        <w:keepLines w:val="0"/>
        <w:pageBreakBefore w:val="0"/>
        <w:kinsoku/>
        <w:wordWrap/>
        <w:overflowPunct/>
        <w:topLinePunct w:val="0"/>
        <w:autoSpaceDE/>
        <w:autoSpaceDN/>
        <w:bidi w:val="0"/>
        <w:spacing w:line="556"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计划执行情况及202</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2</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年国民经</w:t>
      </w:r>
      <w:bookmarkStart w:id="0" w:name="_GoBack"/>
      <w:bookmarkEnd w:id="0"/>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济和</w:t>
      </w:r>
    </w:p>
    <w:p>
      <w:pPr>
        <w:keepNext w:val="0"/>
        <w:keepLines w:val="0"/>
        <w:pageBreakBefore w:val="0"/>
        <w:kinsoku/>
        <w:wordWrap/>
        <w:overflowPunct/>
        <w:topLinePunct w:val="0"/>
        <w:autoSpaceDE/>
        <w:autoSpaceDN/>
        <w:bidi w:val="0"/>
        <w:spacing w:line="556" w:lineRule="exact"/>
        <w:jc w:val="cente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社会发展计划（草案）的报告</w:t>
      </w:r>
    </w:p>
    <w:p>
      <w:pPr>
        <w:keepNext w:val="0"/>
        <w:keepLines w:val="0"/>
        <w:pageBreakBefore w:val="0"/>
        <w:kinsoku/>
        <w:wordWrap/>
        <w:overflowPunct/>
        <w:topLinePunct w:val="0"/>
        <w:autoSpaceDE/>
        <w:autoSpaceDN/>
        <w:bidi w:val="0"/>
        <w:adjustRightInd/>
        <w:snapToGrid/>
        <w:spacing w:line="556" w:lineRule="exact"/>
        <w:jc w:val="center"/>
        <w:rPr>
          <w:rFonts w:hint="eastAsia" w:ascii="楷体_GB2312" w:eastAsia="楷体_GB2312" w:cs="楷体_GB2312"/>
          <w:color w:val="000000" w:themeColor="text1"/>
          <w:spacing w:val="-11"/>
          <w:w w:val="100"/>
          <w:sz w:val="32"/>
          <w:szCs w:val="32"/>
          <w14:textFill>
            <w14:solidFill>
              <w14:schemeClr w14:val="tx1"/>
            </w14:solidFill>
          </w14:textFill>
        </w:rPr>
      </w:pPr>
      <w:r>
        <w:rPr>
          <w:rFonts w:hint="eastAsia" w:ascii="楷体_GB2312" w:hAnsi="楷体_GB2312" w:eastAsia="楷体_GB2312" w:cs="楷体_GB2312"/>
          <w:color w:val="000000" w:themeColor="text1"/>
          <w:spacing w:val="-11"/>
          <w:w w:val="100"/>
          <w:sz w:val="32"/>
          <w:szCs w:val="32"/>
          <w14:textFill>
            <w14:solidFill>
              <w14:schemeClr w14:val="tx1"/>
            </w14:solidFill>
          </w14:textFill>
        </w:rPr>
        <w:t>——</w:t>
      </w:r>
      <w:r>
        <w:rPr>
          <w:rFonts w:ascii="楷体_GB2312" w:eastAsia="楷体_GB2312" w:cs="楷体_GB2312"/>
          <w:color w:val="000000" w:themeColor="text1"/>
          <w:spacing w:val="-11"/>
          <w:w w:val="100"/>
          <w:sz w:val="32"/>
          <w:szCs w:val="32"/>
          <w14:textFill>
            <w14:solidFill>
              <w14:schemeClr w14:val="tx1"/>
            </w14:solidFill>
          </w14:textFill>
        </w:rPr>
        <w:t>20</w:t>
      </w:r>
      <w:r>
        <w:rPr>
          <w:rFonts w:hint="eastAsia" w:ascii="楷体_GB2312" w:eastAsia="楷体_GB2312" w:cs="楷体_GB2312"/>
          <w:color w:val="000000" w:themeColor="text1"/>
          <w:spacing w:val="-11"/>
          <w:w w:val="100"/>
          <w:sz w:val="32"/>
          <w:szCs w:val="32"/>
          <w:lang w:val="en-US" w:eastAsia="zh-CN"/>
          <w14:textFill>
            <w14:solidFill>
              <w14:schemeClr w14:val="tx1"/>
            </w14:solidFill>
          </w14:textFill>
        </w:rPr>
        <w:t>21</w:t>
      </w:r>
      <w:r>
        <w:rPr>
          <w:rFonts w:hint="eastAsia" w:ascii="楷体_GB2312" w:eastAsia="楷体_GB2312" w:cs="楷体_GB2312"/>
          <w:color w:val="000000" w:themeColor="text1"/>
          <w:spacing w:val="-11"/>
          <w:w w:val="100"/>
          <w:sz w:val="32"/>
          <w:szCs w:val="32"/>
          <w14:textFill>
            <w14:solidFill>
              <w14:schemeClr w14:val="tx1"/>
            </w14:solidFill>
          </w14:textFill>
        </w:rPr>
        <w:t>年</w:t>
      </w:r>
      <w:r>
        <w:rPr>
          <w:rFonts w:ascii="楷体_GB2312" w:eastAsia="楷体_GB2312" w:cs="楷体_GB2312"/>
          <w:color w:val="000000" w:themeColor="text1"/>
          <w:spacing w:val="-11"/>
          <w:w w:val="100"/>
          <w:sz w:val="32"/>
          <w:szCs w:val="32"/>
          <w14:textFill>
            <w14:solidFill>
              <w14:schemeClr w14:val="tx1"/>
            </w14:solidFill>
          </w14:textFill>
        </w:rPr>
        <w:t>1</w:t>
      </w:r>
      <w:r>
        <w:rPr>
          <w:rFonts w:hint="eastAsia" w:ascii="楷体_GB2312" w:eastAsia="楷体_GB2312" w:cs="楷体_GB2312"/>
          <w:color w:val="000000" w:themeColor="text1"/>
          <w:spacing w:val="-11"/>
          <w:w w:val="100"/>
          <w:sz w:val="32"/>
          <w:szCs w:val="32"/>
          <w:lang w:val="en-US" w:eastAsia="zh-CN"/>
          <w14:textFill>
            <w14:solidFill>
              <w14:schemeClr w14:val="tx1"/>
            </w14:solidFill>
          </w14:textFill>
        </w:rPr>
        <w:t>2</w:t>
      </w:r>
      <w:r>
        <w:rPr>
          <w:rFonts w:hint="eastAsia" w:ascii="楷体_GB2312" w:eastAsia="楷体_GB2312" w:cs="楷体_GB2312"/>
          <w:color w:val="000000" w:themeColor="text1"/>
          <w:spacing w:val="-11"/>
          <w:w w:val="100"/>
          <w:sz w:val="32"/>
          <w:szCs w:val="32"/>
          <w14:textFill>
            <w14:solidFill>
              <w14:schemeClr w14:val="tx1"/>
            </w14:solidFill>
          </w14:textFill>
        </w:rPr>
        <w:t>月</w:t>
      </w:r>
      <w:r>
        <w:rPr>
          <w:rFonts w:hint="eastAsia" w:ascii="楷体_GB2312" w:eastAsia="楷体_GB2312" w:cs="楷体_GB2312"/>
          <w:color w:val="000000" w:themeColor="text1"/>
          <w:spacing w:val="-11"/>
          <w:w w:val="100"/>
          <w:sz w:val="32"/>
          <w:szCs w:val="32"/>
          <w:lang w:val="en-US" w:eastAsia="zh-CN"/>
          <w14:textFill>
            <w14:solidFill>
              <w14:schemeClr w14:val="tx1"/>
            </w14:solidFill>
          </w14:textFill>
        </w:rPr>
        <w:t>22</w:t>
      </w:r>
      <w:r>
        <w:rPr>
          <w:rFonts w:hint="eastAsia" w:ascii="楷体_GB2312" w:eastAsia="楷体_GB2312" w:cs="楷体_GB2312"/>
          <w:color w:val="000000" w:themeColor="text1"/>
          <w:spacing w:val="-11"/>
          <w:w w:val="100"/>
          <w:sz w:val="32"/>
          <w:szCs w:val="32"/>
          <w14:textFill>
            <w14:solidFill>
              <w14:schemeClr w14:val="tx1"/>
            </w14:solidFill>
          </w14:textFill>
        </w:rPr>
        <w:t>日在泉港区第</w:t>
      </w:r>
      <w:r>
        <w:rPr>
          <w:rFonts w:hint="eastAsia" w:ascii="楷体_GB2312" w:eastAsia="楷体_GB2312" w:cs="楷体_GB2312"/>
          <w:color w:val="000000" w:themeColor="text1"/>
          <w:spacing w:val="-11"/>
          <w:w w:val="100"/>
          <w:sz w:val="32"/>
          <w:szCs w:val="32"/>
          <w:lang w:eastAsia="zh-CN"/>
          <w14:textFill>
            <w14:solidFill>
              <w14:schemeClr w14:val="tx1"/>
            </w14:solidFill>
          </w14:textFill>
        </w:rPr>
        <w:t>五</w:t>
      </w:r>
      <w:r>
        <w:rPr>
          <w:rFonts w:hint="eastAsia" w:ascii="楷体_GB2312" w:eastAsia="楷体_GB2312" w:cs="楷体_GB2312"/>
          <w:color w:val="000000" w:themeColor="text1"/>
          <w:spacing w:val="-11"/>
          <w:w w:val="100"/>
          <w:sz w:val="32"/>
          <w:szCs w:val="32"/>
          <w14:textFill>
            <w14:solidFill>
              <w14:schemeClr w14:val="tx1"/>
            </w14:solidFill>
          </w14:textFill>
        </w:rPr>
        <w:t>届人民代表大会第</w:t>
      </w:r>
      <w:r>
        <w:rPr>
          <w:rFonts w:hint="eastAsia" w:ascii="楷体_GB2312" w:eastAsia="楷体_GB2312" w:cs="楷体_GB2312"/>
          <w:color w:val="000000" w:themeColor="text1"/>
          <w:spacing w:val="-11"/>
          <w:w w:val="100"/>
          <w:sz w:val="32"/>
          <w:szCs w:val="32"/>
          <w:lang w:eastAsia="zh-CN"/>
          <w14:textFill>
            <w14:solidFill>
              <w14:schemeClr w14:val="tx1"/>
            </w14:solidFill>
          </w14:textFill>
        </w:rPr>
        <w:t>一</w:t>
      </w:r>
      <w:r>
        <w:rPr>
          <w:rFonts w:hint="eastAsia" w:ascii="楷体_GB2312" w:eastAsia="楷体_GB2312" w:cs="楷体_GB2312"/>
          <w:color w:val="000000" w:themeColor="text1"/>
          <w:spacing w:val="-11"/>
          <w:w w:val="100"/>
          <w:sz w:val="32"/>
          <w:szCs w:val="32"/>
          <w14:textFill>
            <w14:solidFill>
              <w14:schemeClr w14:val="tx1"/>
            </w14:solidFill>
          </w14:textFill>
        </w:rPr>
        <w:t>次会议上</w:t>
      </w:r>
    </w:p>
    <w:p>
      <w:pPr>
        <w:keepNext w:val="0"/>
        <w:keepLines w:val="0"/>
        <w:pageBreakBefore w:val="0"/>
        <w:kinsoku/>
        <w:wordWrap/>
        <w:overflowPunct/>
        <w:topLinePunct w:val="0"/>
        <w:autoSpaceDE/>
        <w:autoSpaceDN/>
        <w:bidi w:val="0"/>
        <w:adjustRightInd/>
        <w:snapToGrid/>
        <w:spacing w:line="556" w:lineRule="exact"/>
        <w:jc w:val="center"/>
        <w:rPr>
          <w:rFonts w:hint="eastAsia" w:ascii="楷体_GB2312" w:eastAsia="楷体_GB2312" w:cs="楷体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56" w:lineRule="exact"/>
        <w:jc w:val="center"/>
        <w:rPr>
          <w:rFonts w:hint="eastAsia" w:ascii="楷体_GB2312" w:eastAsia="楷体_GB2312"/>
          <w:color w:val="000000" w:themeColor="text1"/>
          <w:sz w:val="32"/>
          <w:szCs w:val="32"/>
          <w:lang w:val="en-US" w:eastAsia="zh-CN"/>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泉港区发展和改革局局长</w:t>
      </w:r>
      <w:r>
        <w:rPr>
          <w:rFonts w:ascii="楷体_GB2312" w:eastAsia="楷体_GB2312" w:cs="楷体_GB2312"/>
          <w:color w:val="000000" w:themeColor="text1"/>
          <w:sz w:val="32"/>
          <w:szCs w:val="32"/>
          <w14:textFill>
            <w14:solidFill>
              <w14:schemeClr w14:val="tx1"/>
            </w14:solidFill>
          </w14:textFill>
        </w:rPr>
        <w:t xml:space="preserve">  </w:t>
      </w:r>
      <w:r>
        <w:rPr>
          <w:rFonts w:hint="eastAsia" w:ascii="楷体_GB2312" w:eastAsia="楷体_GB2312" w:cs="楷体_GB2312"/>
          <w:color w:val="000000" w:themeColor="text1"/>
          <w:sz w:val="32"/>
          <w:szCs w:val="32"/>
          <w:lang w:eastAsia="zh-CN"/>
          <w14:textFill>
            <w14:solidFill>
              <w14:schemeClr w14:val="tx1"/>
            </w14:solidFill>
          </w14:textFill>
        </w:rPr>
        <w:t>吴文辉</w:t>
      </w:r>
    </w:p>
    <w:p>
      <w:pPr>
        <w:pStyle w:val="24"/>
        <w:keepNext w:val="0"/>
        <w:keepLines w:val="0"/>
        <w:pageBreakBefore w:val="0"/>
        <w:kinsoku/>
        <w:wordWrap/>
        <w:overflowPunct/>
        <w:topLinePunct w:val="0"/>
        <w:autoSpaceDE/>
        <w:autoSpaceDN/>
        <w:bidi w:val="0"/>
        <w:spacing w:line="556" w:lineRule="exact"/>
        <w:jc w:val="center"/>
        <w:rPr>
          <w:rFonts w:hint="eastAsia" w:ascii="楷体_GB2312" w:hAnsi="楷体_GB2312" w:eastAsia="楷体_GB2312" w:cs="楷体_GB2312"/>
          <w:b w:val="0"/>
          <w:bCs w:val="0"/>
          <w:color w:val="000000" w:themeColor="text1"/>
          <w:kern w:val="2"/>
          <w:sz w:val="32"/>
          <w:szCs w:val="32"/>
          <w14:textFill>
            <w14:solidFill>
              <w14:schemeClr w14:val="tx1"/>
            </w14:solidFill>
          </w14:textFill>
        </w:rPr>
      </w:pPr>
    </w:p>
    <w:p>
      <w:pPr>
        <w:pStyle w:val="24"/>
        <w:keepNext w:val="0"/>
        <w:keepLines w:val="0"/>
        <w:pageBreakBefore w:val="0"/>
        <w:kinsoku/>
        <w:wordWrap/>
        <w:overflowPunct/>
        <w:topLinePunct w:val="0"/>
        <w:autoSpaceDE/>
        <w:autoSpaceDN/>
        <w:bidi w:val="0"/>
        <w:spacing w:line="556" w:lineRule="exact"/>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各位代表：</w:t>
      </w:r>
    </w:p>
    <w:p>
      <w:pPr>
        <w:keepNext w:val="0"/>
        <w:keepLines w:val="0"/>
        <w:pageBreakBefore w:val="0"/>
        <w:kinsoku/>
        <w:wordWrap/>
        <w:overflowPunct/>
        <w:topLinePunct w:val="0"/>
        <w:autoSpaceDE/>
        <w:autoSpaceDN/>
        <w:bidi w:val="0"/>
        <w:spacing w:line="55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受区政府委托，向大会书面报告泉港区202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年国民经济和</w:t>
      </w:r>
      <w:r>
        <w:rPr>
          <w:rFonts w:hint="eastAsia" w:ascii="仿宋_GB2312" w:hAnsi="仿宋_GB2312" w:eastAsia="仿宋_GB2312" w:cs="仿宋_GB2312"/>
          <w:color w:val="000000" w:themeColor="text1"/>
          <w:spacing w:val="6"/>
          <w:sz w:val="32"/>
          <w:szCs w:val="32"/>
          <w14:textFill>
            <w14:solidFill>
              <w14:schemeClr w14:val="tx1"/>
            </w14:solidFill>
          </w14:textFill>
        </w:rPr>
        <w:t>社会发展计划执行情况与202</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6"/>
          <w:sz w:val="32"/>
          <w:szCs w:val="32"/>
          <w14:textFill>
            <w14:solidFill>
              <w14:schemeClr w14:val="tx1"/>
            </w14:solidFill>
          </w14:textFill>
        </w:rPr>
        <w:t>年国民经济和社会发展计划</w:t>
      </w:r>
      <w:r>
        <w:rPr>
          <w:rFonts w:hint="eastAsia" w:ascii="仿宋_GB2312" w:hAnsi="仿宋_GB2312" w:eastAsia="仿宋_GB2312" w:cs="仿宋_GB2312"/>
          <w:color w:val="000000" w:themeColor="text1"/>
          <w:sz w:val="32"/>
          <w:szCs w:val="32"/>
          <w14:textFill>
            <w14:solidFill>
              <w14:schemeClr w14:val="tx1"/>
            </w14:solidFill>
          </w14:textFill>
        </w:rPr>
        <w:t>（草案），请予审议，并请</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政协</w:t>
      </w:r>
      <w:r>
        <w:rPr>
          <w:rFonts w:hint="eastAsia" w:ascii="仿宋_GB2312" w:hAnsi="仿宋_GB2312" w:eastAsia="仿宋_GB2312" w:cs="仿宋_GB2312"/>
          <w:color w:val="000000" w:themeColor="text1"/>
          <w:sz w:val="32"/>
          <w:szCs w:val="32"/>
          <w:lang w:eastAsia="zh-CN"/>
          <w14:textFill>
            <w14:solidFill>
              <w14:schemeClr w14:val="tx1"/>
            </w14:solidFill>
          </w14:textFill>
        </w:rPr>
        <w:t>各位</w:t>
      </w:r>
      <w:r>
        <w:rPr>
          <w:rFonts w:hint="eastAsia" w:ascii="仿宋_GB2312" w:hAnsi="仿宋_GB2312" w:eastAsia="仿宋_GB2312" w:cs="仿宋_GB2312"/>
          <w:color w:val="000000" w:themeColor="text1"/>
          <w:sz w:val="32"/>
          <w:szCs w:val="32"/>
          <w14:textFill>
            <w14:solidFill>
              <w14:schemeClr w14:val="tx1"/>
            </w14:solidFill>
          </w14:textFill>
        </w:rPr>
        <w:t>委员和其他列席人员提出意见。</w:t>
      </w:r>
    </w:p>
    <w:p>
      <w:pPr>
        <w:spacing w:line="556"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lang w:val="en-US" w:eastAsia="zh-CN"/>
          <w14:textFill>
            <w14:solidFill>
              <w14:schemeClr w14:val="tx1"/>
            </w14:solidFill>
          </w14:textFill>
        </w:rPr>
        <w:t>2021</w:t>
      </w:r>
      <w:r>
        <w:rPr>
          <w:rFonts w:hint="eastAsia" w:ascii="黑体" w:hAnsi="黑体" w:eastAsia="黑体" w:cs="黑体"/>
          <w:color w:val="000000" w:themeColor="text1"/>
          <w:sz w:val="32"/>
          <w:szCs w:val="32"/>
          <w14:textFill>
            <w14:solidFill>
              <w14:schemeClr w14:val="tx1"/>
            </w14:solidFill>
          </w14:textFill>
        </w:rPr>
        <w:t>年国民经济和社会发展计划执行情况</w:t>
      </w:r>
    </w:p>
    <w:p>
      <w:pPr>
        <w:keepNext w:val="0"/>
        <w:keepLines w:val="0"/>
        <w:pageBreakBefore w:val="0"/>
        <w:kinsoku/>
        <w:wordWrap/>
        <w:overflowPunct/>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今年来，面对复杂多变的宏观形势，全区上下坚持以习近平新时代中国特色社会主义思想为指导，深入贯彻落实中央和省市区各项决策部署，认真执行四届人大五次会议审议批准的《政府工作报告》和</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2021年国民经济和社会发展计划，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统筹推进疫情防控和经济社会发展，扎实做好“六稳”工作，全面落实“六保”任务，经济社会发展稳定恢复、回升向好。全年预计实现地区生产总值751.67亿元、下降1.6%</w:t>
      </w:r>
      <w:r>
        <w:rPr>
          <w:rFonts w:hint="eastAsia" w:ascii="楷体_GB2312" w:hAnsi="楷体_GB2312" w:eastAsia="楷体_GB2312" w:cs="楷体_GB2312"/>
          <w:color w:val="000000" w:themeColor="text1"/>
          <w:sz w:val="28"/>
          <w:szCs w:val="28"/>
          <w:lang w:val="en-US" w:eastAsia="zh-CN"/>
          <w14:textFill>
            <w14:solidFill>
              <w14:schemeClr w14:val="tx1"/>
            </w14:solidFill>
          </w14:textFill>
        </w:rPr>
        <w:t>（预计数，下同）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前三季度降幅收窄3.4个百分点，工业增加值508.58亿元、下降5.7%，农林牧渔业总产值22.43亿元、增长7.5%，第三产业增加值153.17亿元、增长10.6%，一般公共预算总收入102亿元、增长14.1%，一般公共预算收入28亿元、增长9.47%，固定资产投资持平，社会消费品零售总额169.37亿元、增长15%，出口商品总值19.14亿元、增长28%，实际利用外资7.38亿元、增长40.3%，居民人均可支配收入32570元、增长8%。国民经济和社会发展成效主要体现在六个方面：</w:t>
      </w:r>
    </w:p>
    <w:p>
      <w:pPr>
        <w:pStyle w:val="123"/>
        <w:keepNext w:val="0"/>
        <w:keepLines w:val="0"/>
        <w:pageBreakBefore w:val="0"/>
        <w:widowControl w:val="0"/>
        <w:numPr>
          <w:ilvl w:val="0"/>
          <w:numId w:val="0"/>
        </w:numPr>
        <w:suppressLineNumbers w:val="0"/>
        <w:tabs>
          <w:tab w:val="left" w:pos="1677"/>
          <w:tab w:val="left" w:pos="8222"/>
        </w:tabs>
        <w:kinsoku/>
        <w:wordWrap/>
        <w:overflowPunct/>
        <w:topLinePunct w:val="0"/>
        <w:autoSpaceDE/>
        <w:autoSpaceDN/>
        <w:bidi w:val="0"/>
        <w:adjustRightInd/>
        <w:snapToGrid/>
        <w:spacing w:before="0" w:line="556" w:lineRule="exact"/>
        <w:ind w:lef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仿宋_GB2312" w:eastAsia="楷体_GB2312" w:cs="楷体_GB2312"/>
          <w:b/>
          <w:bCs/>
          <w:color w:val="000000" w:themeColor="text1"/>
          <w:kern w:val="0"/>
          <w:sz w:val="32"/>
          <w:szCs w:val="32"/>
          <w:lang w:val="en-US" w:eastAsia="zh-CN"/>
          <w14:textFill>
            <w14:solidFill>
              <w14:schemeClr w14:val="tx1"/>
            </w14:solidFill>
          </w14:textFill>
        </w:rPr>
        <w:t>1.</w:t>
      </w:r>
      <w:r>
        <w:rPr>
          <w:rFonts w:hint="eastAsia" w:ascii="楷体_GB2312" w:hAnsi="仿宋_GB2312" w:eastAsia="楷体_GB2312" w:cs="楷体_GB2312"/>
          <w:b/>
          <w:bCs/>
          <w:color w:val="000000" w:themeColor="text1"/>
          <w:kern w:val="0"/>
          <w:sz w:val="32"/>
          <w:szCs w:val="32"/>
          <w14:textFill>
            <w14:solidFill>
              <w14:schemeClr w14:val="tx1"/>
            </w14:solidFill>
          </w14:textFill>
        </w:rPr>
        <w:t>狠抓疫情防控，</w:t>
      </w:r>
      <w:r>
        <w:rPr>
          <w:rFonts w:hint="eastAsia" w:ascii="楷体_GB2312" w:hAnsi="仿宋_GB2312" w:eastAsia="楷体_GB2312" w:cs="楷体_GB2312"/>
          <w:b/>
          <w:bCs/>
          <w:color w:val="000000" w:themeColor="text1"/>
          <w:kern w:val="0"/>
          <w:sz w:val="32"/>
          <w:szCs w:val="32"/>
          <w:lang w:eastAsia="zh-CN"/>
          <w14:textFill>
            <w14:solidFill>
              <w14:schemeClr w14:val="tx1"/>
            </w14:solidFill>
          </w14:textFill>
        </w:rPr>
        <w:t>实施援企稳岗</w:t>
      </w:r>
      <w:r>
        <w:rPr>
          <w:rFonts w:hint="eastAsia" w:ascii="楷体_GB2312" w:hAnsi="仿宋_GB2312" w:eastAsia="楷体_GB2312" w:cs="楷体_GB2312"/>
          <w:b/>
          <w:bCs/>
          <w:color w:val="000000" w:themeColor="text1"/>
          <w:kern w:val="0"/>
          <w:sz w:val="32"/>
          <w:szCs w:val="32"/>
          <w14:textFill>
            <w14:solidFill>
              <w14:schemeClr w14:val="tx1"/>
            </w14:solidFill>
          </w14:textFill>
        </w:rPr>
        <w:t>，多措并举稳住经济基本面。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面对突如其来的输入性疫情，区委、区政府周密部署,“快严实细全”打赢了疫情防控歼灭战，21天实现全区解封。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一是疫情防控有力有效。</w:t>
      </w:r>
      <w:r>
        <w:rPr>
          <w:rFonts w:hint="eastAsia" w:ascii="仿宋_GB2312" w:hAnsi="仿宋_GB2312" w:eastAsia="仿宋_GB2312" w:cs="仿宋_GB2312"/>
          <w:b w:val="0"/>
          <w:bCs w:val="0"/>
          <w:color w:val="000000" w:themeColor="text1"/>
          <w:sz w:val="32"/>
          <w:szCs w:val="21"/>
          <w:lang w:val="en-US" w:eastAsia="zh-CN"/>
          <w14:textFill>
            <w14:solidFill>
              <w14:schemeClr w14:val="tx1"/>
            </w14:solidFill>
          </w14:textFill>
        </w:rPr>
        <w:t>接到疫情相关信息后</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，我</w:t>
      </w:r>
      <w:r>
        <w:rPr>
          <w:rFonts w:hint="eastAsia" w:ascii="仿宋_GB2312" w:hAnsi="仿宋_GB2312" w:eastAsia="仿宋_GB2312" w:cs="仿宋_GB2312"/>
          <w:color w:val="000000" w:themeColor="text1"/>
          <w:w w:val="100"/>
          <w:sz w:val="32"/>
          <w14:textFill>
            <w14:solidFill>
              <w14:schemeClr w14:val="tx1"/>
            </w14:solidFill>
          </w14:textFill>
        </w:rPr>
        <w:t>区</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立即</w:t>
      </w:r>
      <w:r>
        <w:rPr>
          <w:rFonts w:hint="eastAsia" w:ascii="仿宋_GB2312" w:hAnsi="仿宋_GB2312" w:eastAsia="仿宋_GB2312" w:cs="仿宋_GB2312"/>
          <w:color w:val="000000" w:themeColor="text1"/>
          <w:w w:val="100"/>
          <w:sz w:val="32"/>
          <w14:textFill>
            <w14:solidFill>
              <w14:schemeClr w14:val="tx1"/>
            </w14:solidFill>
          </w14:textFill>
        </w:rPr>
        <w:t>启动</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应急指挥体系</w:t>
      </w:r>
      <w:r>
        <w:rPr>
          <w:rFonts w:hint="eastAsia" w:ascii="仿宋_GB2312" w:hAnsi="仿宋_GB2312" w:eastAsia="仿宋_GB2312" w:cs="仿宋_GB2312"/>
          <w:color w:val="000000" w:themeColor="text1"/>
          <w:w w:val="100"/>
          <w:sz w:val="32"/>
          <w:lang w:eastAsia="zh-CN"/>
          <w14:textFill>
            <w14:solidFill>
              <w14:schemeClr w14:val="tx1"/>
            </w14:solidFill>
          </w14:textFill>
        </w:rPr>
        <w:t>，</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迅速完成常态和应急机制的转换，</w:t>
      </w:r>
      <w:r>
        <w:rPr>
          <w:rFonts w:hint="eastAsia" w:ascii="仿宋_GB2312" w:hAnsi="仿宋_GB2312" w:eastAsia="仿宋_GB2312" w:cs="仿宋_GB2312"/>
          <w:color w:val="000000" w:themeColor="text1"/>
          <w:w w:val="100"/>
          <w:sz w:val="32"/>
          <w14:textFill>
            <w14:solidFill>
              <w14:schemeClr w14:val="tx1"/>
            </w14:solidFill>
          </w14:textFill>
        </w:rPr>
        <w:t>严格落实各项应急处置措施，</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组织干部2500多人到前线，动员全区党员、社会志愿者等3万多人次共同参与，全区完成3轮全员核酸检测，界山镇完成全员核酸检测7轮，累计采集1086580人次样本，做到“应检尽检”。建设方舱临时隔离点，对密接和次密接做到“应隔尽隔”。</w:t>
      </w:r>
      <w:r>
        <w:rPr>
          <w:rFonts w:hint="eastAsia" w:ascii="仿宋_GB2312" w:hAnsi="仿宋_GB2312" w:eastAsia="仿宋_GB2312" w:cs="仿宋_GB2312"/>
          <w:color w:val="000000" w:themeColor="text1"/>
          <w:w w:val="100"/>
          <w:sz w:val="32"/>
          <w14:textFill>
            <w14:solidFill>
              <w14:schemeClr w14:val="tx1"/>
            </w14:solidFill>
          </w14:textFill>
        </w:rPr>
        <w:t>17例</w:t>
      </w:r>
      <w:r>
        <w:rPr>
          <w:rFonts w:hint="eastAsia" w:ascii="仿宋_GB2312" w:hAnsi="仿宋_GB2312" w:eastAsia="仿宋_GB2312" w:cs="仿宋_GB2312"/>
          <w:color w:val="000000" w:themeColor="text1"/>
          <w:spacing w:val="5"/>
          <w:w w:val="100"/>
          <w:sz w:val="32"/>
          <w14:textFill>
            <w14:solidFill>
              <w14:schemeClr w14:val="tx1"/>
            </w14:solidFill>
          </w14:textFill>
        </w:rPr>
        <w:t>确诊病例均集中在定点医院诊治，</w:t>
      </w:r>
      <w:r>
        <w:rPr>
          <w:rFonts w:hint="eastAsia" w:ascii="仿宋_GB2312" w:hAnsi="仿宋_GB2312" w:eastAsia="仿宋_GB2312" w:cs="仿宋_GB2312"/>
          <w:color w:val="000000" w:themeColor="text1"/>
          <w:spacing w:val="5"/>
          <w:w w:val="100"/>
          <w:sz w:val="32"/>
          <w:lang w:val="en-US" w:eastAsia="zh-CN"/>
          <w14:textFill>
            <w14:solidFill>
              <w14:schemeClr w14:val="tx1"/>
            </w14:solidFill>
          </w14:textFill>
        </w:rPr>
        <w:t>实现“全治愈，零死亡”</w:t>
      </w:r>
      <w:r>
        <w:rPr>
          <w:rFonts w:hint="default" w:ascii="Times New Roman" w:hAnsi="Times New Roman" w:eastAsia="仿宋_GB2312" w:cs="Times New Roman"/>
          <w:color w:val="000000" w:themeColor="text1"/>
          <w:spacing w:val="5"/>
          <w:w w:val="100"/>
          <w:sz w:val="32"/>
          <w14:textFill>
            <w14:solidFill>
              <w14:schemeClr w14:val="tx1"/>
            </w14:solidFill>
          </w14:textFill>
        </w:rPr>
        <w:t>。</w:t>
      </w:r>
      <w:r>
        <w:rPr>
          <w:rFonts w:hint="eastAsia" w:ascii="仿宋_GB2312" w:hAnsi="仿宋_GB2312" w:eastAsia="仿宋_GB2312" w:cs="仿宋_GB2312"/>
          <w:b/>
          <w:bCs/>
          <w:color w:val="000000" w:themeColor="text1"/>
          <w:spacing w:val="5"/>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spacing w:val="-5"/>
          <w:sz w:val="32"/>
          <w:szCs w:val="32"/>
          <w:lang w:val="en-US" w:eastAsia="zh-CN"/>
          <w14:textFill>
            <w14:solidFill>
              <w14:schemeClr w14:val="tx1"/>
            </w14:solidFill>
          </w14:textFill>
        </w:rPr>
        <w:t>是</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援企稳岗精准高效。</w:t>
      </w:r>
      <w:r>
        <w:rPr>
          <w:rFonts w:hint="eastAsia" w:ascii="Times New Roman" w:hAnsi="Times New Roman" w:eastAsia="仿宋_GB2312" w:cs="Times New Roman"/>
          <w:color w:val="000000" w:themeColor="text1"/>
          <w:w w:val="100"/>
          <w:sz w:val="32"/>
          <w:lang w:val="en-US" w:eastAsia="zh-CN"/>
          <w14:textFill>
            <w14:solidFill>
              <w14:schemeClr w14:val="tx1"/>
            </w14:solidFill>
          </w14:textFill>
        </w:rPr>
        <w:t>疫情期间通过加强企业帮扶力度，切实解决企业防控物资保障、原材料供应、物流运输等问题，确保重点项目不停工、重点企业不停产。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疫情一解封，第一时间转战常态化防控，组织实施“战疫情、保稳定、促发展”十大攻坚行动，出台应对疫情促进社会经济发展十三条措施，全年新增减税降费7.65亿元，兑现惠企资金1.2亿元</w:t>
      </w:r>
      <w:r>
        <w:rPr>
          <w:rFonts w:hint="eastAsia" w:ascii="仿宋_GB2312" w:eastAsia="仿宋_GB2312" w:cs="仿宋_GB2312"/>
          <w:color w:val="000000" w:themeColor="text1"/>
          <w:sz w:val="32"/>
          <w:szCs w:val="32"/>
          <w14:textFill>
            <w14:solidFill>
              <w14:schemeClr w14:val="tx1"/>
            </w14:solidFill>
          </w14:textFill>
        </w:rPr>
        <w:t>，为120家次企业提供信贷支持86.47亿元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。加大失业保险稳岗返还、减免社会保险费等政</w:t>
      </w:r>
      <w:r>
        <w:rPr>
          <w:rFonts w:hint="eastAsia" w:ascii="仿宋_GB2312" w:hAnsi="仿宋_GB2312" w:eastAsia="仿宋_GB2312" w:cs="仿宋_GB2312"/>
          <w:color w:val="000000" w:themeColor="text1"/>
          <w:spacing w:val="-5"/>
          <w:sz w:val="32"/>
          <w:szCs w:val="32"/>
          <w:lang w:val="en-US" w:eastAsia="zh-CN"/>
          <w14:textFill>
            <w14:solidFill>
              <w14:schemeClr w14:val="tx1"/>
            </w14:solidFill>
          </w14:textFill>
        </w:rPr>
        <w:t>策落实力度，为687家企业发放稳岗返还资金，惠及职工7010人。</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56"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_GB2312" w:hAnsi="仿宋_GB2312" w:eastAsia="楷体_GB2312" w:cs="楷体_GB2312"/>
          <w:b/>
          <w:bCs/>
          <w:color w:val="000000" w:themeColor="text1"/>
          <w:kern w:val="0"/>
          <w:sz w:val="32"/>
          <w:szCs w:val="32"/>
          <w:lang w:val="en-US" w:eastAsia="zh-CN"/>
          <w14:textFill>
            <w14:solidFill>
              <w14:schemeClr w14:val="tx1"/>
            </w14:solidFill>
          </w14:textFill>
        </w:rPr>
        <w:t>2.</w:t>
      </w:r>
      <w:r>
        <w:rPr>
          <w:rFonts w:hint="eastAsia" w:ascii="楷体_GB2312" w:hAnsi="仿宋_GB2312" w:eastAsia="楷体_GB2312" w:cs="楷体_GB2312"/>
          <w:b/>
          <w:bCs/>
          <w:color w:val="000000" w:themeColor="text1"/>
          <w:spacing w:val="0"/>
          <w:kern w:val="0"/>
          <w:sz w:val="32"/>
          <w:szCs w:val="32"/>
          <w:lang w:val="en-US" w:eastAsia="zh-CN"/>
          <w14:textFill>
            <w14:solidFill>
              <w14:schemeClr w14:val="tx1"/>
            </w14:solidFill>
          </w14:textFill>
        </w:rPr>
        <w:t>突出创新驱动，筑牢产业支撑，经济发展活力持续增强。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深入实施创新立区战略，</w:t>
      </w:r>
      <w:r>
        <w:rPr>
          <w:rFonts w:hint="eastAsia" w:ascii="仿宋_GB2312" w:hAnsi="仿宋_GB2312" w:eastAsia="仿宋_GB2312" w:cs="仿宋_GB2312"/>
          <w:b w:val="0"/>
          <w:bCs w:val="0"/>
          <w:color w:val="000000" w:themeColor="text1"/>
          <w:spacing w:val="0"/>
          <w:kern w:val="2"/>
          <w:sz w:val="32"/>
          <w:szCs w:val="32"/>
          <w:lang w:val="en-US" w:eastAsia="zh-CN"/>
          <w14:textFill>
            <w14:solidFill>
              <w14:schemeClr w14:val="tx1"/>
            </w14:solidFill>
          </w14:textFill>
        </w:rPr>
        <w:t>着力发展实体经济，经济质量效益和核心竞争力持续增强。</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一是创新驱动活力迸发。</w:t>
      </w:r>
      <w:r>
        <w:rPr>
          <w:rFonts w:hint="eastAsia" w:ascii="仿宋_GB2312" w:hAnsi="Franklin Gothic Medium" w:eastAsia="仿宋_GB2312"/>
          <w:color w:val="000000" w:themeColor="text1"/>
          <w:spacing w:val="0"/>
          <w:sz w:val="32"/>
          <w:szCs w:val="32"/>
          <w14:textFill>
            <w14:solidFill>
              <w14:schemeClr w14:val="tx1"/>
            </w14:solidFill>
          </w14:textFill>
        </w:rPr>
        <w:t>高标准推进“一室两院四中心”创新平台建设，通过双聘双跨方式引进8个高水平科研团队，</w:t>
      </w:r>
      <w:r>
        <w:rPr>
          <w:rFonts w:hint="eastAsia" w:ascii="仿宋_GB2312" w:hAnsi="宋体" w:eastAsia="仿宋_GB2312" w:cs="宋体"/>
          <w:color w:val="000000" w:themeColor="text1"/>
          <w:spacing w:val="0"/>
          <w:kern w:val="0"/>
          <w:sz w:val="32"/>
          <w:szCs w:val="32"/>
          <w14:textFill>
            <w14:solidFill>
              <w14:schemeClr w14:val="tx1"/>
            </w14:solidFill>
          </w14:textFill>
        </w:rPr>
        <w:t>常驻研究人员400余名，国家级、省级人才15名</w:t>
      </w:r>
      <w:r>
        <w:rPr>
          <w:rFonts w:hint="eastAsia" w:ascii="仿宋_GB2312" w:hAnsi="Franklin Gothic Medium" w:eastAsia="仿宋_GB2312"/>
          <w:color w:val="000000" w:themeColor="text1"/>
          <w:spacing w:val="0"/>
          <w:sz w:val="32"/>
          <w:szCs w:val="32"/>
          <w14:textFill>
            <w14:solidFill>
              <w14:schemeClr w14:val="tx1"/>
            </w14:solidFill>
          </w14:textFill>
        </w:rPr>
        <w:t>。</w:t>
      </w:r>
      <w:r>
        <w:rPr>
          <w:rStyle w:val="35"/>
          <w:rFonts w:hint="eastAsia" w:ascii="仿宋_GB2312" w:hAnsi="仿宋_GB2312" w:eastAsia="仿宋_GB2312" w:cs="仿宋_GB2312"/>
          <w:b w:val="0"/>
          <w:i w:val="0"/>
          <w:caps w:val="0"/>
          <w:color w:val="000000" w:themeColor="text1"/>
          <w:spacing w:val="0"/>
          <w:w w:val="100"/>
          <w:kern w:val="2"/>
          <w:sz w:val="32"/>
          <w:szCs w:val="32"/>
          <w:u w:val="none"/>
          <w:lang w:val="en-US" w:eastAsia="zh-CN" w:bidi="ar-SA"/>
          <w14:textFill>
            <w14:solidFill>
              <w14:schemeClr w14:val="tx1"/>
            </w14:solidFill>
          </w14:textFill>
        </w:rPr>
        <w:t>国家开放大学石油和化工学院学习中心落户泉港。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企业创新能力进一步增强，全区国家级高新技术企业22家。</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佑达环保新型显示领域聚醚类功能湿电子化学品的开发及产业化项目获得石化</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联合会科技进步一等奖。百川科技、路通管业等2家获评国家“专</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精特新”企业，11家获评省科技小巨人。全区发明专利拥有量482件，万人发明专利拥有量13.62件，高于全市平均水平。</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二是工业经济企稳回暖。</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全区规模以上工业产值1893亿元、下降9.7%，比前三季度收窄2.1个百分点。金鹏稀释剂等17个项目开工建设，</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利澳纸业</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15个项目建成投产；实施制造业优势龙头企业高质量发展培育计划，联合石化、百宏石化等3家列入省级龙头企业，益海嘉里、国能热电等7家列为省级培育龙头企业，纳川管材、天骄化学等14家列入市级产业龙头企业。</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三是服务业加快回升。</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实施“全闽乐购”促消费行动，举办第二届“泉港云购节”等系列活动，消费市场逐步回暖。深入实施电子商务进农村全覆盖巩固提升工程，建成村级淘宝服务站56个、电商直播基地1个，电商网络零售额超25亿元。交通运输仓储和邮政业增加值增长10.3%，兴通船运新增化学品运输船2艘、运力1.5万载重吨，港口吞吐量2316万吨、增长19%。福安酒店投入试运营，旧百汇店重新开业，新增规上服务业企业4家、限上商业企业和个体102家。</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四是现代农业提质增效。</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全面</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落实粮食安全责任制，</w:t>
      </w:r>
      <w:r>
        <w:rPr>
          <w:rFonts w:hint="eastAsia" w:ascii="仿宋_GB2312" w:eastAsia="仿宋_GB2312"/>
          <w:color w:val="000000" w:themeColor="text1"/>
          <w:spacing w:val="0"/>
          <w:sz w:val="32"/>
          <w:szCs w:val="32"/>
          <w14:textFill>
            <w14:solidFill>
              <w14:schemeClr w14:val="tx1"/>
            </w14:solidFill>
          </w14:textFill>
        </w:rPr>
        <w:t>完成粮食播种面积</w:t>
      </w:r>
      <w:r>
        <w:rPr>
          <w:rFonts w:hint="eastAsia" w:ascii="仿宋_GB2312" w:eastAsia="仿宋_GB2312"/>
          <w:color w:val="000000" w:themeColor="text1"/>
          <w:spacing w:val="0"/>
          <w:sz w:val="32"/>
          <w:szCs w:val="32"/>
          <w:lang w:val="en-US" w:eastAsia="zh-CN"/>
          <w14:textFill>
            <w14:solidFill>
              <w14:schemeClr w14:val="tx1"/>
            </w14:solidFill>
          </w14:textFill>
        </w:rPr>
        <w:t>2.88</w:t>
      </w:r>
      <w:r>
        <w:rPr>
          <w:rFonts w:hint="eastAsia" w:ascii="仿宋_GB2312" w:eastAsia="仿宋_GB2312"/>
          <w:color w:val="000000" w:themeColor="text1"/>
          <w:spacing w:val="0"/>
          <w:sz w:val="32"/>
          <w:szCs w:val="32"/>
          <w14:textFill>
            <w14:solidFill>
              <w14:schemeClr w14:val="tx1"/>
            </w14:solidFill>
          </w14:textFill>
        </w:rPr>
        <w:t>万亩、总产</w:t>
      </w:r>
      <w:r>
        <w:rPr>
          <w:rFonts w:hint="eastAsia" w:ascii="仿宋_GB2312" w:eastAsia="仿宋_GB2312"/>
          <w:color w:val="000000" w:themeColor="text1"/>
          <w:spacing w:val="0"/>
          <w:sz w:val="32"/>
          <w:szCs w:val="32"/>
          <w:lang w:val="en-US" w:eastAsia="zh-CN"/>
          <w14:textFill>
            <w14:solidFill>
              <w14:schemeClr w14:val="tx1"/>
            </w14:solidFill>
          </w14:textFill>
        </w:rPr>
        <w:t>1.09</w:t>
      </w:r>
      <w:r>
        <w:rPr>
          <w:rFonts w:hint="eastAsia" w:ascii="仿宋_GB2312" w:eastAsia="仿宋_GB2312"/>
          <w:color w:val="000000" w:themeColor="text1"/>
          <w:spacing w:val="0"/>
          <w:sz w:val="32"/>
          <w:szCs w:val="32"/>
          <w14:textFill>
            <w14:solidFill>
              <w14:schemeClr w14:val="tx1"/>
            </w14:solidFill>
          </w14:textFill>
        </w:rPr>
        <w:t>万吨</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新建高标准农田0.5万亩，建成农业设施大棚300多亩。创建省级优质农产品示范基地1个、市级休闲农业示范点4家，认证“三品一标”农产品企业1家、产品1个，培育省级农业产业化龙头企业4家、市级6家。实施肖厝-惠屿网箱养殖清退及升级改造22.1公顷，建成全市最大的新型环保养殖基地；启动全区1万亩贝藻类泡沫浮球升级改造。</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_GB2312" w:hAnsi="仿宋_GB2312" w:eastAsia="楷体_GB2312" w:cs="楷体_GB2312"/>
          <w:b/>
          <w:bCs/>
          <w:color w:val="000000" w:themeColor="text1"/>
          <w:kern w:val="0"/>
          <w:sz w:val="32"/>
          <w:szCs w:val="32"/>
          <w:lang w:val="en-US" w:eastAsia="zh-CN" w:bidi="ar-SA"/>
          <w14:textFill>
            <w14:solidFill>
              <w14:schemeClr w14:val="tx1"/>
            </w14:solidFill>
          </w14:textFill>
        </w:rPr>
        <w:t>3.强化项目攻坚，注重招大引强，一批重大项目取得新突破。</w:t>
      </w:r>
      <w:r>
        <w:rPr>
          <w:rFonts w:hint="eastAsia" w:ascii="仿宋_GB2312" w:eastAsia="仿宋_GB2312" w:cs="仿宋_GB2312"/>
          <w:color w:val="000000" w:themeColor="text1"/>
          <w:sz w:val="32"/>
          <w:szCs w:val="32"/>
          <w:lang w:eastAsia="zh-CN"/>
          <w14:textFill>
            <w14:solidFill>
              <w14:schemeClr w14:val="tx1"/>
            </w14:solidFill>
          </w14:textFill>
        </w:rPr>
        <w:t>坚持把扩大有效投资作为提升经济效能的牵引力，加大项目招引促建力度，加快推动竣工投产，经济发展后劲进一步增强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一是项目攻坚强势推进。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192个区级重点项目累计完成投资228.96亿元、</w:t>
      </w:r>
      <w:r>
        <w:rPr>
          <w:rFonts w:hint="eastAsia" w:ascii="仿宋_GB2312" w:hAnsi="仿宋_GB2312" w:eastAsia="仿宋_GB2312" w:cs="仿宋_GB2312"/>
          <w:color w:val="000000" w:themeColor="text1"/>
          <w:sz w:val="32"/>
          <w:szCs w:val="32"/>
          <w14:textFill>
            <w14:solidFill>
              <w14:schemeClr w14:val="tx1"/>
            </w14:solidFill>
          </w14:textFill>
        </w:rPr>
        <w:t>完成年度计划</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100.61</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其中石化安控区项目攻坚扫尾仅用不到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3个月时间完成7个片区所有民房签约、腾空、拆除“三清零”，</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国亨化学一期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等46个项目开工建设，</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中海油服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45个项目建成投产。</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12个省级重点项目完成投资118.35亿元、</w:t>
      </w:r>
      <w:r>
        <w:rPr>
          <w:rFonts w:hint="eastAsia" w:ascii="仿宋_GB2312" w:hAnsi="仿宋_GB2312" w:eastAsia="仿宋_GB2312" w:cs="仿宋_GB2312"/>
          <w:color w:val="000000" w:themeColor="text1"/>
          <w:sz w:val="32"/>
          <w:szCs w:val="32"/>
          <w:u w:val="none"/>
          <w14:textFill>
            <w14:solidFill>
              <w14:schemeClr w14:val="tx1"/>
            </w14:solidFill>
          </w14:textFill>
        </w:rPr>
        <w:t>完成年度计划</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118.87</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29个市级重点项目完成投资150.72亿元、</w:t>
      </w:r>
      <w:r>
        <w:rPr>
          <w:rFonts w:hint="eastAsia" w:ascii="仿宋_GB2312" w:hAnsi="仿宋_GB2312" w:eastAsia="仿宋_GB2312" w:cs="仿宋_GB2312"/>
          <w:color w:val="000000" w:themeColor="text1"/>
          <w:sz w:val="32"/>
          <w:szCs w:val="32"/>
          <w:u w:val="none"/>
          <w14:textFill>
            <w14:solidFill>
              <w14:schemeClr w14:val="tx1"/>
            </w14:solidFill>
          </w14:textFill>
        </w:rPr>
        <w:t>完成年度计划</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101.41</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。一季度“五个一批”项目正向激励综合考评获得全省第8。</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二是产业招商成效显著。</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举办三场项目招商集中签约活动，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全区新增签约项目114个、总投资960.5亿元，其中5亿元及以上的重大产业项目27个、百亿以上项目3个。总投资150亿元</w:t>
      </w:r>
      <w:r>
        <w:rPr>
          <w:rFonts w:hint="eastAsia" w:ascii="仿宋_GB2312" w:hAnsi="仿宋_GB2312" w:eastAsia="仿宋_GB2312" w:cs="仿宋_GB2312"/>
          <w:color w:val="000000" w:themeColor="text1"/>
          <w:spacing w:val="0"/>
          <w:kern w:val="0"/>
          <w:sz w:val="32"/>
          <w:szCs w:val="32"/>
          <w:lang w:val="en-US" w:eastAsia="zh-CN" w:bidi="ar-SA"/>
          <w14:textFill>
            <w14:solidFill>
              <w14:schemeClr w14:val="tx1"/>
            </w14:solidFill>
          </w14:textFill>
        </w:rPr>
        <w:t>的天</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辰新材料产业园项目是今年</w:t>
      </w:r>
      <w:r>
        <w:rPr>
          <w:rFonts w:hint="eastAsia" w:hAnsi="仿宋_GB2312" w:eastAsia="仿宋_GB2312" w:cs="仿宋_GB2312"/>
          <w:color w:val="000000" w:themeColor="text1"/>
          <w:kern w:val="0"/>
          <w:sz w:val="32"/>
          <w:szCs w:val="32"/>
          <w:lang w:val="en-US" w:eastAsia="zh-CN" w:bidi="ar-SA"/>
          <w14:textFill>
            <w14:solidFill>
              <w14:schemeClr w14:val="tx1"/>
            </w14:solidFill>
          </w14:textFill>
        </w:rPr>
        <w:t>泉州</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市引进的最大产业项目</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、总投资200亿元的地下水封洞库是我省首个对地下空间进行产业化开发利用项目。</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三是服务保障更有力度。</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开展要素保障攻坚活动，组织专班向上跟踪对接，积极寻找政策空间，着力破解重点工程在建项目资金、土地等瓶颈制约。建立闲置厂房空间数据库，核查动工项目用地43宗，通过供、用、盘、撤4种模式，</w:t>
      </w:r>
      <w:r>
        <w:rPr>
          <w:rStyle w:val="35"/>
          <w:rFonts w:hint="eastAsia"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清理</w:t>
      </w:r>
      <w:r>
        <w:rPr>
          <w:rStyle w:val="35"/>
          <w:rFonts w:hint="eastAsia" w:ascii="仿宋_GB2312"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批而未供</w:t>
      </w:r>
      <w:r>
        <w:rPr>
          <w:rStyle w:val="35"/>
          <w:rFonts w:hint="eastAsia"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土地、</w:t>
      </w:r>
      <w:r>
        <w:rPr>
          <w:rStyle w:val="35"/>
          <w:rFonts w:hint="eastAsia" w:ascii="仿宋_GB2312"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闲置</w:t>
      </w:r>
      <w:r>
        <w:rPr>
          <w:rStyle w:val="15"/>
          <w:rFonts w:hint="eastAsia" w:ascii="仿宋_GB2312" w:hAnsi="仿宋_GB2312" w:eastAsia="仿宋_GB2312" w:cs="仿宋_GB2312"/>
          <w:b w:val="0"/>
          <w:i w:val="0"/>
          <w:caps w:val="0"/>
          <w:color w:val="000000" w:themeColor="text1"/>
          <w:spacing w:val="0"/>
          <w:w w:val="100"/>
          <w:kern w:val="2"/>
          <w:sz w:val="32"/>
          <w:szCs w:val="32"/>
          <w:u w:val="none"/>
          <w:lang w:val="en-US" w:eastAsia="zh-CN" w:bidi="ar-SA"/>
          <w14:textFill>
            <w14:solidFill>
              <w14:schemeClr w14:val="tx1"/>
            </w14:solidFill>
          </w14:textFill>
        </w:rPr>
        <w:t>用地</w:t>
      </w:r>
      <w:r>
        <w:rPr>
          <w:rFonts w:hint="eastAsia" w:ascii="仿宋_GB2312" w:hAnsi="仿宋_GB2312" w:eastAsia="仿宋_GB2312" w:cs="仿宋_GB2312"/>
          <w:b w:val="0"/>
          <w:i w:val="0"/>
          <w:caps w:val="0"/>
          <w:color w:val="000000" w:themeColor="text1"/>
          <w:spacing w:val="0"/>
          <w:w w:val="100"/>
          <w:kern w:val="2"/>
          <w:sz w:val="32"/>
          <w:szCs w:val="32"/>
          <w:u w:val="none"/>
          <w:lang w:val="en-US" w:eastAsia="zh-CN" w:bidi="ar-SA"/>
          <w14:textFill>
            <w14:solidFill>
              <w14:schemeClr w14:val="tx1"/>
            </w14:solidFill>
          </w14:textFill>
        </w:rPr>
        <w:t>2000</w:t>
      </w:r>
      <w:r>
        <w:rPr>
          <w:rStyle w:val="35"/>
          <w:rFonts w:hint="eastAsia" w:ascii="仿宋_GB2312"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亩</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。“亮灯发函”</w:t>
      </w:r>
      <w:r>
        <w:rPr>
          <w:rFonts w:hint="eastAsia"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t>强力介入项目督查，通报责任单位16个，一批滞后项目明显提速。</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_GB2312" w:hAnsi="仿宋_GB2312" w:eastAsia="楷体_GB2312" w:cs="楷体_GB2312"/>
          <w:b/>
          <w:bCs/>
          <w:color w:val="000000" w:themeColor="text1"/>
          <w:kern w:val="0"/>
          <w:sz w:val="32"/>
          <w:szCs w:val="32"/>
          <w:lang w:val="en-US" w:eastAsia="zh-CN" w:bidi="ar-SA"/>
          <w14:textFill>
            <w14:solidFill>
              <w14:schemeClr w14:val="tx1"/>
            </w14:solidFill>
          </w14:textFill>
        </w:rPr>
        <w:t>4.聚焦重点领域，发力关键环节，营商环境建设取得新进展。</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全面实施营商环境“1+17”优化提升行动，加快构建公平、活跃、舒心的生产生活环境，有效市场和有为政府更好结合。</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一是持续简政放权，激发市场活力。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推进“五级十五同”标准化事项动态调整,完成1753个事项标准规范统一。规范28个部门1639项“自由裁量权”工作。推动工程项目审批涉及的行政许可、备案、评估评审、中介服务、市政公用服务等全部纳入线上平台。创新设置“全岗通”集成服务窗口，完成梳理“一件事”集成套餐130项、“异地代收”“省内通办”事项16项。47项便民服务事项实现闽政通APP办理，80项高频事项实现泉服务掌上办理。“</w:t>
      </w:r>
      <w:r>
        <w:rPr>
          <w:rFonts w:hint="eastAsia" w:ascii="仿宋_GB2312" w:eastAsia="仿宋_GB2312"/>
          <w:color w:val="000000" w:themeColor="text1"/>
          <w:sz w:val="32"/>
          <w:szCs w:val="32"/>
          <w14:textFill>
            <w14:solidFill>
              <w14:schemeClr w14:val="tx1"/>
            </w14:solidFill>
          </w14:textFill>
        </w:rPr>
        <w:t>‘全岗通’‘五服’</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泉港模式”入选2021年中国绿色影响力典范案例。</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二是坚持问题导向，实施集中攻坚。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区纪委监委组建优化营商环境专项监督工作专班，开设营商环境监督举报方式、发布点题整治公告，公开征集营商环境堵点难点痛点问题。针对企业、</w:t>
      </w:r>
      <w:r>
        <w:rPr>
          <w:rFonts w:hint="eastAsia" w:ascii="仿宋_GB2312" w:hAnsi="仿宋_GB2312" w:eastAsia="仿宋_GB2312" w:cs="仿宋_GB2312"/>
          <w:color w:val="000000" w:themeColor="text1"/>
          <w:spacing w:val="6"/>
          <w:kern w:val="2"/>
          <w:sz w:val="32"/>
          <w:szCs w:val="32"/>
          <w:lang w:val="en-US" w:eastAsia="zh-CN" w:bidi="ar-SA"/>
          <w14:textFill>
            <w14:solidFill>
              <w14:schemeClr w14:val="tx1"/>
            </w14:solidFill>
          </w14:textFill>
        </w:rPr>
        <w:t>群众反映较为突出问题，实施清单管理、限期整改，累计下发5</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张清单80个事项，着力推动减事项、减环节、减材料、减时限、减费用，压缩审批时限1519个，精简申报材料500份，即办件同比增加10.19%，承诺件平均办理时间提速35%。实施行政服务中心行政事业性收费窗口电子化改造，满足企业群众办事多样化缴费需求。对医保、二手房交易、供水、燃气等群众需求迫切、办件量大的高频事项办理窗口，实行周末轮班制度。</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三是健全监管机制，坚持齐抓共管。</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开展优化营商环境专项巡察。全面推行市场监管清单制度，实现“双随机、一公开”监管全覆盖。推进“互联网+监管”，全区31个单位国家监管事项认领和关联数量1155项、认领率100%。落实中介服务机构评价机制，开展第三方中介机构专项整治工作。落实《首批激励干部担当作为正面清单》，厘清政商交往界限，对28条清单6个问题给予容错免责，全面推广落实失实举报澄清正名制度。</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_GB2312" w:hAnsi="仿宋_GB2312" w:eastAsia="楷体_GB2312" w:cs="楷体_GB2312"/>
          <w:b/>
          <w:bCs/>
          <w:color w:val="000000" w:themeColor="text1"/>
          <w:kern w:val="0"/>
          <w:sz w:val="32"/>
          <w:szCs w:val="32"/>
          <w:lang w:val="en-US" w:eastAsia="zh-CN" w:bidi="ar-SA"/>
          <w14:textFill>
            <w14:solidFill>
              <w14:schemeClr w14:val="tx1"/>
            </w14:solidFill>
          </w14:textFill>
        </w:rPr>
        <w:t>5.注重品质提升，推动乡村振兴，城乡建设水平显著提升。</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围绕“人、城、境、业”四大维度，刷新城市颜值、提升宜居品质，营造更加宜居宜业宜游的美好环境。</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一是城乡建设焕新出彩。</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扎实推进国土空间总体规划编制，</w:t>
      </w:r>
      <w:r>
        <w:rPr>
          <w:rStyle w:val="35"/>
          <w:rFonts w:ascii="仿宋_GB2312" w:hAnsi="Franklin Gothic Medium" w:eastAsia="仿宋_GB2312"/>
          <w:b w:val="0"/>
          <w:i w:val="0"/>
          <w:caps w:val="0"/>
          <w:color w:val="000000" w:themeColor="text1"/>
          <w:spacing w:val="0"/>
          <w:w w:val="100"/>
          <w:kern w:val="0"/>
          <w:sz w:val="32"/>
          <w:szCs w:val="32"/>
          <w:u w:val="none"/>
          <w:lang w:val="en-US" w:eastAsia="zh-CN" w:bidi="ar-SA"/>
          <w14:textFill>
            <w14:solidFill>
              <w14:schemeClr w14:val="tx1"/>
            </w14:solidFill>
          </w14:textFill>
        </w:rPr>
        <w:t>启动泉港石化工业区控规、石化安控区专项规划修编等工作，</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完成</w:t>
      </w:r>
      <w:r>
        <w:rPr>
          <w:rStyle w:val="35"/>
          <w:rFonts w:hint="eastAsia" w:ascii="仿宋_GB2312" w:hAnsi="Franklin Gothic Medium" w:eastAsia="仿宋_GB2312"/>
          <w:b w:val="0"/>
          <w:i w:val="0"/>
          <w:caps w:val="0"/>
          <w:color w:val="000000" w:themeColor="text1"/>
          <w:spacing w:val="0"/>
          <w:w w:val="100"/>
          <w:kern w:val="0"/>
          <w:sz w:val="32"/>
          <w:szCs w:val="32"/>
          <w:u w:val="none"/>
          <w:lang w:val="en-US" w:eastAsia="zh-CN" w:bidi="ar-SA"/>
          <w14:textFill>
            <w14:solidFill>
              <w14:schemeClr w14:val="tx1"/>
            </w14:solidFill>
          </w14:textFill>
        </w:rPr>
        <w:t>福厦客专泉港站区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等32个区域控规批复。实施城乡建设品质提升五大专项行动，144个城建项目完成投资106.76亿元。</w:t>
      </w:r>
      <w:r>
        <w:rPr>
          <w:rFonts w:hint="eastAsia" w:ascii="仿宋_GB2312" w:hAnsi="仿宋_GB2312" w:eastAsia="仿宋_GB2312" w:cs="仿宋_GB2312"/>
          <w:b w:val="0"/>
          <w:bCs w:val="0"/>
          <w:color w:val="000000" w:themeColor="text1"/>
          <w:sz w:val="32"/>
          <w:szCs w:val="32"/>
          <w14:textFill>
            <w14:solidFill>
              <w14:schemeClr w14:val="tx1"/>
            </w14:solidFill>
          </w14:textFill>
        </w:rPr>
        <w:t>推动棚户区改造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14:textFill>
            <w14:solidFill>
              <w14:schemeClr w14:val="tx1"/>
            </w14:solidFill>
          </w14:textFill>
        </w:rPr>
        <w:t>改造1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24</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万</w:t>
      </w:r>
      <w:r>
        <w:rPr>
          <w:rFonts w:hint="eastAsia" w:ascii="仿宋_GB2312" w:hAnsi="仿宋_GB2312" w:eastAsia="仿宋_GB2312" w:cs="仿宋_GB2312"/>
          <w:b w:val="0"/>
          <w:bCs w:val="0"/>
          <w:color w:val="000000" w:themeColor="text1"/>
          <w:sz w:val="32"/>
          <w:szCs w:val="32"/>
          <w14:textFill>
            <w14:solidFill>
              <w14:schemeClr w14:val="tx1"/>
            </w14:solidFill>
          </w14:textFill>
        </w:rPr>
        <w:t>套</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，对福炼生活区（三期）、庄园明珠等5个老旧小区进行改造提升。完成</w:t>
      </w:r>
      <w:r>
        <w:rPr>
          <w:rStyle w:val="35"/>
          <w:rFonts w:hint="eastAsia" w:ascii="仿宋_GB2312" w:hAnsi="Times New Roman" w:eastAsia="仿宋_GB2312" w:cs="Times New Roman"/>
          <w:b w:val="0"/>
          <w:bCs/>
          <w:color w:val="000000" w:themeColor="text1"/>
          <w:sz w:val="32"/>
          <w:szCs w:val="32"/>
          <w:lang w:eastAsia="zh-CN"/>
          <w14:textFill>
            <w14:solidFill>
              <w14:schemeClr w14:val="tx1"/>
            </w14:solidFill>
          </w14:textFill>
        </w:rPr>
        <w:t>新民街等</w:t>
      </w:r>
      <w:r>
        <w:rPr>
          <w:rStyle w:val="35"/>
          <w:rFonts w:hint="default" w:ascii="仿宋_GB2312" w:hAnsi="Times New Roman" w:eastAsia="仿宋_GB2312" w:cs="Times New Roman"/>
          <w:b w:val="0"/>
          <w:bCs/>
          <w:color w:val="000000" w:themeColor="text1"/>
          <w:sz w:val="32"/>
          <w:szCs w:val="32"/>
          <w:lang w:val="en-US" w:eastAsia="zh-CN"/>
          <w14:textFill>
            <w14:solidFill>
              <w14:schemeClr w14:val="tx1"/>
            </w14:solidFill>
          </w14:textFill>
        </w:rPr>
        <w:t>5</w:t>
      </w:r>
      <w:r>
        <w:rPr>
          <w:rStyle w:val="35"/>
          <w:rFonts w:hint="eastAsia" w:ascii="仿宋_GB2312" w:hAnsi="Times New Roman" w:eastAsia="仿宋_GB2312" w:cs="Times New Roman"/>
          <w:b w:val="0"/>
          <w:bCs/>
          <w:color w:val="000000" w:themeColor="text1"/>
          <w:sz w:val="32"/>
          <w:szCs w:val="32"/>
          <w:lang w:val="en-US" w:eastAsia="zh-CN"/>
          <w14:textFill>
            <w14:solidFill>
              <w14:schemeClr w14:val="tx1"/>
            </w14:solidFill>
          </w14:textFill>
        </w:rPr>
        <w:t>个口袋公园建设，</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植物园二期、菜堂湿地公园等即将开放，城镇化率提升至57%，建成区绿化率提升至38.5%。</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二是乡村振兴深入实施。</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开展乡村振兴示范线“三无一改”攻坚行动，“韵彩乡村·大美涂岭”线入选市级最美示范线；组织实施72个省级乡村振兴试点示范项目建设，</w:t>
      </w:r>
      <w:r>
        <w:rPr>
          <w:rStyle w:val="35"/>
          <w:rFonts w:hint="eastAsia" w:ascii="仿宋_GB2312"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前黄村入选全国乡村治理示范村，惠屿村入选省</w:t>
      </w:r>
      <w:r>
        <w:rPr>
          <w:rStyle w:val="35"/>
          <w:rFonts w:hint="eastAsia"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级</w:t>
      </w:r>
      <w:r>
        <w:rPr>
          <w:rStyle w:val="35"/>
          <w:rFonts w:hint="eastAsia" w:ascii="仿宋_GB2312"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金牌旅游村，诚峰村入选省级实绩突出村，前欧村入选市级典型示范村</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。启动农村建设品质提升和村庄清洁行动，</w:t>
      </w:r>
      <w:r>
        <w:rPr>
          <w:rFonts w:hint="eastAsia" w:ascii="仿宋_GB2312" w:eastAsia="仿宋_GB2312"/>
          <w:color w:val="000000" w:themeColor="text1"/>
          <w:spacing w:val="0"/>
          <w:sz w:val="32"/>
          <w:szCs w:val="32"/>
          <w:highlight w:val="none"/>
          <w14:textFill>
            <w14:solidFill>
              <w14:schemeClr w14:val="tx1"/>
            </w14:solidFill>
          </w14:textFill>
        </w:rPr>
        <w:t>黄田、后张等镇村环境卫生</w:t>
      </w:r>
      <w:r>
        <w:rPr>
          <w:rFonts w:hint="eastAsia" w:ascii="仿宋_GB2312" w:eastAsia="仿宋_GB2312"/>
          <w:color w:val="000000" w:themeColor="text1"/>
          <w:spacing w:val="0"/>
          <w:sz w:val="32"/>
          <w:szCs w:val="32"/>
          <w:highlight w:val="none"/>
          <w:lang w:eastAsia="zh-CN"/>
          <w14:textFill>
            <w14:solidFill>
              <w14:schemeClr w14:val="tx1"/>
            </w14:solidFill>
          </w14:textFill>
        </w:rPr>
        <w:t>考评成绩</w:t>
      </w:r>
      <w:r>
        <w:rPr>
          <w:rFonts w:hint="eastAsia" w:ascii="仿宋_GB2312" w:eastAsia="仿宋_GB2312"/>
          <w:color w:val="000000" w:themeColor="text1"/>
          <w:spacing w:val="0"/>
          <w:sz w:val="32"/>
          <w:szCs w:val="32"/>
          <w:highlight w:val="none"/>
          <w14:textFill>
            <w14:solidFill>
              <w14:schemeClr w14:val="tx1"/>
            </w14:solidFill>
          </w14:textFill>
        </w:rPr>
        <w:t>全市前列</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。健全完善防止返贫监测和帮扶机制，大力培育新型经营主体工作，新增农民专业合作社市级示范社2家、市级十佳家庭农场1家、市级家庭农场示范场1家。</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三是宜居环境精细塑造。</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以创建全国文明城市、卫生城市、省级文明城区为契机，推进住宅小区、集贸市场、主次干道专项整治，整改“两违”、占道经营、车辆“滴撒漏”、市政设施损坏等问题</w:t>
      </w: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1500</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个，城市环境更美、颜值更靓。“厕所革命”完成年度67座建设任务，实现步行25分钟左右就能找到一座标准公厕的目标。辖区环境空气质量优良率为98.5%，饮用水水源地水质达标率为100％。顺利通过创卫复审迎检，荣获2021年度福建省城市发展“十优”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3"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楷体_GB2312" w:hAnsi="仿宋_GB2312" w:eastAsia="楷体_GB2312" w:cs="楷体_GB2312"/>
          <w:b/>
          <w:bCs/>
          <w:color w:val="000000" w:themeColor="text1"/>
          <w:kern w:val="0"/>
          <w:sz w:val="32"/>
          <w:szCs w:val="32"/>
          <w:lang w:val="en-US" w:eastAsia="zh-CN" w:bidi="ar-SA"/>
          <w14:textFill>
            <w14:solidFill>
              <w14:schemeClr w14:val="tx1"/>
            </w14:solidFill>
          </w14:textFill>
        </w:rPr>
        <w:t>6.坚持民生为本，强化兜底保障，群众获得感持续增强。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加快补齐民生社会事业短板，筑牢百姓幸福之基，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各类社会保障和就业资金等民生支出26.61亿元。</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一是基本民生不断夯实。</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常态化开展线上+线下招聘等活动，提供就业岗位12203个，</w:t>
      </w:r>
      <w:r>
        <w:rPr>
          <w:rStyle w:val="35"/>
          <w:rFonts w:hint="eastAsia" w:ascii="仿宋_GB2312" w:hAnsi="仿宋_GB2312" w:eastAsia="仿宋_GB2312" w:cs="仿宋_GB2312"/>
          <w:b w:val="0"/>
          <w:i w:val="0"/>
          <w:caps w:val="0"/>
          <w:color w:val="000000" w:themeColor="text1"/>
          <w:spacing w:val="0"/>
          <w:w w:val="100"/>
          <w:kern w:val="2"/>
          <w:sz w:val="32"/>
          <w:szCs w:val="32"/>
          <w:u w:val="none"/>
          <w:lang w:val="en-US" w:eastAsia="zh-CN" w:bidi="ar-SA"/>
          <w14:textFill>
            <w14:solidFill>
              <w14:schemeClr w14:val="tx1"/>
            </w14:solidFill>
          </w14:textFill>
        </w:rPr>
        <w:t>城镇登记失业率控制在4.2%以内</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加强社保医保参保对象动态管理，稳妥推进征迁群众参保和失保金兑付工作，基本医保参保36.49万人，参保率持续稳定在95%以上。实现退休人员基本养老金十六连调。强化社会救助兜底保障，发放城乡低保金4522.85万元，惠及人群8251人。持续加大对乡镇敬老院和5个夕阳红康乐服务站扶持力度，建设2个区域性养老服务中心，新建、提升4个农村居家养老服务站（幸福院）。</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二是公共服务优质供给。</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新改扩建中小学、幼儿园12所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，新增学位7330个，加强义务教育控辍保学，新高考改革平稳落地，</w:t>
      </w:r>
      <w:r>
        <w:rPr>
          <w:rFonts w:hint="eastAsia" w:ascii="仿宋_GB2312" w:hAnsi="仿宋_GB2312" w:eastAsia="仿宋_GB2312" w:cs="仿宋_GB2312"/>
          <w:color w:val="000000" w:themeColor="text1"/>
          <w:sz w:val="32"/>
          <w:szCs w:val="32"/>
          <w14:textFill>
            <w14:solidFill>
              <w14:schemeClr w14:val="tx1"/>
            </w14:solidFill>
          </w14:textFill>
        </w:rPr>
        <w:t>本科上线率同比提高</w:t>
      </w:r>
      <w:r>
        <w:rPr>
          <w:rFonts w:hint="default" w:ascii="仿宋_GB2312" w:hAnsi="仿宋_GB2312" w:eastAsia="仿宋_GB2312" w:cs="仿宋_GB2312"/>
          <w:color w:val="000000" w:themeColor="text1"/>
          <w:sz w:val="32"/>
          <w:szCs w:val="32"/>
          <w:lang w:val="en-US"/>
          <w14:textFill>
            <w14:solidFill>
              <w14:schemeClr w14:val="tx1"/>
            </w14:solidFill>
          </w14:textFill>
        </w:rPr>
        <w:t>5.74</w:t>
      </w:r>
      <w:r>
        <w:rPr>
          <w:rFonts w:hint="eastAsia" w:ascii="仿宋_GB2312" w:hAnsi="仿宋_GB2312" w:eastAsia="仿宋_GB2312" w:cs="仿宋_GB2312"/>
          <w:color w:val="000000" w:themeColor="text1"/>
          <w:sz w:val="32"/>
          <w:szCs w:val="32"/>
          <w:lang w:eastAsia="zh-CN"/>
          <w14:textFill>
            <w14:solidFill>
              <w14:schemeClr w14:val="tx1"/>
            </w14:solidFill>
          </w14:textFill>
        </w:rPr>
        <w:t>个百分点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。落实“双减”工作，实现义务教育学校课后服务两个“全覆盖”。</w:t>
      </w:r>
      <w:r>
        <w:rPr>
          <w:rFonts w:hint="eastAsia" w:ascii="仿宋_GB2312" w:hAnsi="宋体" w:eastAsia="仿宋_GB2312"/>
          <w:color w:val="000000" w:themeColor="text1"/>
          <w:sz w:val="32"/>
          <w:szCs w:val="32"/>
          <w14:textFill>
            <w14:solidFill>
              <w14:schemeClr w14:val="tx1"/>
            </w14:solidFill>
          </w14:textFill>
        </w:rPr>
        <w:t>深化321+X医共体建设</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eastAsia="仿宋_GB2312" w:cs="Times New Roman"/>
          <w:b w:val="0"/>
          <w:bCs w:val="0"/>
          <w:color w:val="000000" w:themeColor="text1"/>
          <w:sz w:val="32"/>
          <w:szCs w:val="32"/>
          <w:lang w:eastAsia="zh-CN"/>
          <w14:textFill>
            <w14:solidFill>
              <w14:schemeClr w14:val="tx1"/>
            </w14:solidFill>
          </w14:textFill>
        </w:rPr>
        <w:t>免费</w:t>
      </w:r>
      <w:r>
        <w:rPr>
          <w:rFonts w:hint="eastAsia" w:ascii="仿宋_GB2312" w:hAnsi="仿宋" w:eastAsia="仿宋_GB2312" w:cs="仿宋_GB2312"/>
          <w:b w:val="0"/>
          <w:bCs w:val="0"/>
          <w:color w:val="000000" w:themeColor="text1"/>
          <w:sz w:val="32"/>
          <w:szCs w:val="32"/>
          <w:lang w:eastAsia="zh-CN"/>
          <w14:textFill>
            <w14:solidFill>
              <w14:schemeClr w14:val="tx1"/>
            </w14:solidFill>
          </w14:textFill>
        </w:rPr>
        <w:t>开展</w:t>
      </w:r>
      <w:r>
        <w:rPr>
          <w:rFonts w:hint="eastAsia" w:ascii="仿宋_GB2312" w:hAnsi="Calibri" w:eastAsia="仿宋_GB2312" w:cs="Times New Roman"/>
          <w:b w:val="0"/>
          <w:bCs w:val="0"/>
          <w:color w:val="000000" w:themeColor="text1"/>
          <w:sz w:val="32"/>
          <w:szCs w:val="32"/>
          <w:lang w:eastAsia="zh-CN"/>
          <w14:textFill>
            <w14:solidFill>
              <w14:schemeClr w14:val="tx1"/>
            </w14:solidFill>
          </w14:textFill>
        </w:rPr>
        <w:t>慢病</w:t>
      </w:r>
      <w:r>
        <w:rPr>
          <w:rFonts w:hint="eastAsia" w:ascii="仿宋_GB2312" w:eastAsia="仿宋_GB2312" w:cs="Times New Roman"/>
          <w:b w:val="0"/>
          <w:bCs w:val="0"/>
          <w:color w:val="000000" w:themeColor="text1"/>
          <w:sz w:val="32"/>
          <w:szCs w:val="32"/>
          <w:lang w:eastAsia="zh-CN"/>
          <w14:textFill>
            <w14:solidFill>
              <w14:schemeClr w14:val="tx1"/>
            </w14:solidFill>
          </w14:textFill>
        </w:rPr>
        <w:t>筛查防治，</w:t>
      </w:r>
      <w:r>
        <w:rPr>
          <w:rFonts w:hint="eastAsia" w:ascii="仿宋_GB2312" w:hAnsi="仿宋_GB2312" w:eastAsia="仿宋_GB2312" w:cs="仿宋_GB2312"/>
          <w:color w:val="000000" w:themeColor="text1"/>
          <w:sz w:val="32"/>
          <w:szCs w:val="32"/>
          <w:lang w:val="zh-CN"/>
          <w14:textFill>
            <w14:solidFill>
              <w14:schemeClr w14:val="tx1"/>
            </w14:solidFill>
          </w14:textFill>
        </w:rPr>
        <w:t>签约家庭医生签约服务6851人</w:t>
      </w:r>
      <w:r>
        <w:rPr>
          <w:rFonts w:hint="eastAsia" w:ascii="仿宋_GB2312" w:eastAsia="仿宋_GB2312"/>
          <w:color w:val="000000" w:themeColor="text1"/>
          <w:sz w:val="32"/>
          <w:szCs w:val="32"/>
          <w:lang w:eastAsia="zh-CN"/>
          <w14:textFill>
            <w14:solidFill>
              <w14:schemeClr w14:val="tx1"/>
            </w14:solidFill>
          </w14:textFill>
        </w:rPr>
        <w:t>，实现</w:t>
      </w:r>
      <w:r>
        <w:rPr>
          <w:rFonts w:hint="eastAsia" w:ascii="仿宋_GB2312" w:eastAsia="仿宋_GB2312"/>
          <w:color w:val="000000" w:themeColor="text1"/>
          <w:sz w:val="32"/>
          <w:szCs w:val="32"/>
          <w14:textFill>
            <w14:solidFill>
              <w14:schemeClr w14:val="tx1"/>
            </w14:solidFill>
          </w14:textFill>
        </w:rPr>
        <w:t>区医院和各基层医疗机构医共体实质运作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Calibri" w:eastAsia="仿宋_GB2312" w:cs="Calibri"/>
          <w:b w:val="0"/>
          <w:color w:val="000000" w:themeColor="text1"/>
          <w:sz w:val="32"/>
          <w:szCs w:val="32"/>
          <w:lang w:eastAsia="zh-CN"/>
          <w14:textFill>
            <w14:solidFill>
              <w14:schemeClr w14:val="tx1"/>
            </w14:solidFill>
          </w14:textFill>
        </w:rPr>
        <w:t>稳步</w:t>
      </w:r>
      <w:r>
        <w:rPr>
          <w:rFonts w:hint="eastAsia" w:ascii="仿宋_GB2312" w:hAnsi="Calibri" w:eastAsia="仿宋_GB2312" w:cs="Calibri"/>
          <w:b w:val="0"/>
          <w:color w:val="000000" w:themeColor="text1"/>
          <w:sz w:val="32"/>
          <w:szCs w:val="32"/>
          <w14:textFill>
            <w14:solidFill>
              <w14:schemeClr w14:val="tx1"/>
            </w14:solidFill>
          </w14:textFill>
        </w:rPr>
        <w:t>提升</w:t>
      </w:r>
      <w:r>
        <w:rPr>
          <w:rFonts w:hint="eastAsia" w:ascii="仿宋_GB2312" w:hAnsi="Calibri" w:eastAsia="仿宋_GB2312" w:cs="Calibri"/>
          <w:b w:val="0"/>
          <w:color w:val="000000" w:themeColor="text1"/>
          <w:sz w:val="32"/>
          <w:szCs w:val="32"/>
          <w:lang w:eastAsia="zh-CN"/>
          <w14:textFill>
            <w14:solidFill>
              <w14:schemeClr w14:val="tx1"/>
            </w14:solidFill>
          </w14:textFill>
        </w:rPr>
        <w:t>基层医疗卫生</w:t>
      </w:r>
      <w:r>
        <w:rPr>
          <w:rFonts w:hint="eastAsia" w:ascii="仿宋_GB2312" w:hAnsi="Calibri" w:eastAsia="仿宋_GB2312" w:cs="Calibri"/>
          <w:b w:val="0"/>
          <w:color w:val="000000" w:themeColor="text1"/>
          <w:sz w:val="32"/>
          <w:szCs w:val="32"/>
          <w14:textFill>
            <w14:solidFill>
              <w14:schemeClr w14:val="tx1"/>
            </w14:solidFill>
          </w14:textFill>
        </w:rPr>
        <w:t>能力。</w:t>
      </w:r>
      <w:r>
        <w:rPr>
          <w:rFonts w:hint="eastAsia" w:ascii="仿宋_GB2312" w:eastAsia="仿宋_GB2312" w:cs="Calibri"/>
          <w:b w:val="0"/>
          <w:color w:val="000000" w:themeColor="text1"/>
          <w:sz w:val="32"/>
          <w:szCs w:val="32"/>
          <w:lang w:eastAsia="zh-CN"/>
          <w14:textFill>
            <w14:solidFill>
              <w14:schemeClr w14:val="tx1"/>
            </w14:solidFill>
          </w14:textFill>
        </w:rPr>
        <w:t>加快推进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泉港医院病房大楼2#楼、山腰卫生院改造等项目建设</w:t>
      </w:r>
      <w:r>
        <w:rPr>
          <w:rFonts w:hint="eastAsia" w:ascii="仿宋_GB2312"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推进全民健身运动</w:t>
      </w:r>
      <w:r>
        <w:rPr>
          <w:rFonts w:hint="eastAsia" w:ascii="仿宋_GB2312" w:hAnsi="仿宋_GB2312" w:eastAsia="仿宋_GB2312" w:cs="仿宋_GB2312"/>
          <w:color w:val="000000" w:themeColor="text1"/>
          <w:sz w:val="32"/>
          <w:szCs w:val="32"/>
          <w14:textFill>
            <w14:solidFill>
              <w14:schemeClr w14:val="tx1"/>
            </w14:solidFill>
          </w14:textFill>
        </w:rPr>
        <w:t>，进一步完善“城市15分钟、农村30分钟</w:t>
      </w:r>
      <w:r>
        <w:rPr>
          <w:rFonts w:hint="eastAsia" w:ascii="仿宋_GB2312" w:eastAsia="仿宋_GB2312"/>
          <w:color w:val="000000" w:themeColor="text1"/>
          <w:sz w:val="32"/>
          <w:szCs w:val="32"/>
          <w14:textFill>
            <w14:solidFill>
              <w14:schemeClr w14:val="tx1"/>
            </w14:solidFill>
          </w14:textFill>
        </w:rPr>
        <w:t>体育健身圈”。</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泉州市美术家协会峰尾镇写生创作基地和泉港海丝非遗游学基地揭牌，泉港区图书馆微信公众号影响力指数位列全省第2。</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三是社会大局和谐稳定。</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统筹推进两轮中央生态环保督察反馈问题整改，完成居民搬迁任务，从根本上解决长期困扰的“厂村混杂”问题，经验做法获得中央环保督察组、国家应急管理部及省市领导的肯定。深化平安泉港建设，扎实开展“治重化积”三年行动，</w:t>
      </w:r>
      <w:r>
        <w:rPr>
          <w:rStyle w:val="35"/>
          <w:rFonts w:hint="eastAsia" w:ascii="仿宋_GB2312"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反诈防骗工作获得中央政法委推广，</w:t>
      </w:r>
      <w:r>
        <w:rPr>
          <w:rFonts w:hint="eastAsia" w:ascii="仿宋_GB2312" w:hAnsi="仿宋_GB2312" w:eastAsia="仿宋_GB2312" w:cs="仿宋_GB2312"/>
          <w:color w:val="000000" w:themeColor="text1"/>
          <w:kern w:val="0"/>
          <w:sz w:val="32"/>
          <w:szCs w:val="32"/>
          <w14:textFill>
            <w14:solidFill>
              <w14:schemeClr w14:val="tx1"/>
            </w14:solidFill>
          </w14:textFill>
        </w:rPr>
        <w:t>反偷私渡工作</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得到省委政法委高度肯定</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推行实战化联动应急演练机制，组织开展应急演练130</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余场，累计参演人数3000余人次</w:t>
      </w:r>
      <w:r>
        <w:rPr>
          <w:rFonts w:hint="eastAsia" w:ascii="仿宋_GB2312" w:eastAsia="仿宋_GB2312" w:cs="仿宋_GB2312"/>
          <w:color w:val="000000" w:themeColor="text1"/>
          <w:sz w:val="32"/>
          <w:szCs w:val="32"/>
          <w14:textFill>
            <w14:solidFill>
              <w14:schemeClr w14:val="tx1"/>
            </w14:solidFill>
          </w14:textFill>
        </w:rPr>
        <w:t>，突发公共事件应急防范和处置能力进一步提升</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。坚决防范地方金融风险，不良贷款率全市最低水平。食药安全、国防双拥、人防消防、</w:t>
      </w: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档案史志、地震气象、民族宗教、妇女儿童、对口帮扶等全面进步。</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从计划指标运行情况看，今年我区受疫情、能耗“双控”叠加联合石化停产检修等因素影响，经济下行压力持续加大，12项预期性指标中，生产总值、工业增加值、建筑业增加值、固定资产投资等4项指标预测值与年初预期存在差距。生产总值方面，主要是工业增加值、建筑业增加值未完成预期目标，对地区生产总值贡献下降。工业增加值方面，主要是受联合石化11月10日开始停产检修、湄洲湾氯碱9月30日后停产搬迁影响。建筑业增加值方面，主要是受石化安控区后征迁时期房地产投资减少等因素影响。</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总体上看，2021年我区经济社会发展受到一定冲击和影响，但复岗复产、复商复市各项举措有力有序，主要经济指标逐步回升，取得这样成绩实属不易。但我们也要清醒认识到，疫情对经济社会发展影响尚未结束，外部环境不稳定性不确定性因素明显增加，经济社会发展面临不少困难挑战：碳达峰、碳中和刚性约束日趋严格，石化产业发展面临更大的制约；高质量的教育、医疗、文化、康养等公共服务与人民群众的期盼还存在一定差距；社会治理体系和治理能力现代化还有待加强等。对此，我们高度重视，采取切实有力措施，认真加以解决。</w:t>
      </w:r>
    </w:p>
    <w:p>
      <w:pPr>
        <w:pStyle w:val="11"/>
        <w:keepNext w:val="0"/>
        <w:keepLines w:val="0"/>
        <w:pageBreakBefore w:val="0"/>
        <w:widowControl/>
        <w:suppressLineNumbers w:val="0"/>
        <w:kinsoku/>
        <w:wordWrap/>
        <w:overflowPunct/>
        <w:topLinePunct w:val="0"/>
        <w:autoSpaceDE/>
        <w:autoSpaceDN/>
        <w:bidi w:val="0"/>
        <w:spacing w:beforeAutospacing="0" w:afterAutospacing="0" w:line="556" w:lineRule="exact"/>
        <w:ind w:left="319" w:leftChars="152" w:right="-82" w:rightChars="0" w:firstLine="320" w:firstLineChars="10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二、202</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年国民经济和社会发展主要预期目标和工作重</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outlineLvl w:val="9"/>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pPr>
      <w:r>
        <w:rPr>
          <w:rStyle w:val="35"/>
          <w:rFonts w:hint="eastAsia" w:ascii="仿宋_GB2312"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2022年是新一届政府开局之年，</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做好202</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年国民经济和社会发展各项工作，</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要</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以习近平新时代中国特色社会主义思想为指导，全面贯彻</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党的十九大和十九届</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历次全会</w:t>
      </w:r>
      <w:r>
        <w:rPr>
          <w:rFonts w:hint="eastAsia" w:ascii="仿宋_GB2312" w:hAnsi="仿宋_GB2312" w:eastAsia="仿宋_GB2312" w:cs="仿宋_GB2312"/>
          <w:color w:val="000000" w:themeColor="text1"/>
          <w:spacing w:val="0"/>
          <w:kern w:val="0"/>
          <w:sz w:val="32"/>
          <w:szCs w:val="32"/>
          <w14:textFill>
            <w14:solidFill>
              <w14:schemeClr w14:val="tx1"/>
            </w14:solidFill>
          </w14:textFill>
        </w:rPr>
        <w:t>精神，</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深入落实中央和省经济工作会议部署，坚</w:t>
      </w:r>
      <w:r>
        <w:rPr>
          <w:rFonts w:hint="eastAsia" w:ascii="仿宋_GB2312" w:hAnsi="仿宋_GB2312" w:eastAsia="仿宋_GB2312" w:cs="仿宋_GB2312"/>
          <w:color w:val="000000" w:themeColor="text1"/>
          <w:spacing w:val="0"/>
          <w:kern w:val="0"/>
          <w:sz w:val="32"/>
          <w:szCs w:val="32"/>
          <w:u w:val="none"/>
          <w:lang w:eastAsia="zh-CN"/>
          <w14:textFill>
            <w14:solidFill>
              <w14:schemeClr w14:val="tx1"/>
            </w14:solidFill>
          </w14:textFill>
        </w:rPr>
        <w:t>持稳中求进工作总基调，完整、准确、全面贯彻新发展理念，</w:t>
      </w:r>
      <w:r>
        <w:rPr>
          <w:rFonts w:hint="eastAsia" w:ascii="仿宋_GB2312" w:hAnsi="仿宋_GB2312" w:eastAsia="仿宋_GB2312" w:cs="仿宋_GB2312"/>
          <w:color w:val="000000" w:themeColor="text1"/>
          <w:spacing w:val="0"/>
          <w:kern w:val="0"/>
          <w:sz w:val="32"/>
          <w:szCs w:val="32"/>
          <w:u w:val="none"/>
          <w14:textFill>
            <w14:solidFill>
              <w14:schemeClr w14:val="tx1"/>
            </w14:solidFill>
          </w14:textFill>
        </w:rPr>
        <w:t>坚持“五区战略”</w:t>
      </w:r>
      <w:r>
        <w:rPr>
          <w:rFonts w:hint="eastAsia" w:ascii="仿宋_GB2312" w:hAnsi="仿宋_GB2312" w:eastAsia="仿宋_GB2312" w:cs="仿宋_GB2312"/>
          <w:color w:val="000000" w:themeColor="text1"/>
          <w:spacing w:val="0"/>
          <w:kern w:val="0"/>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u w:val="none"/>
          <w14:textFill>
            <w14:solidFill>
              <w14:schemeClr w14:val="tx1"/>
            </w14:solidFill>
          </w14:textFill>
        </w:rPr>
        <w:t>实施“三城建设”</w:t>
      </w:r>
      <w:r>
        <w:rPr>
          <w:rFonts w:hint="eastAsia" w:ascii="仿宋_GB2312" w:hAnsi="仿宋_GB2312" w:eastAsia="仿宋_GB2312" w:cs="仿宋_GB2312"/>
          <w:color w:val="000000" w:themeColor="text1"/>
          <w:spacing w:val="0"/>
          <w:kern w:val="0"/>
          <w:sz w:val="32"/>
          <w:szCs w:val="32"/>
          <w:u w:val="none"/>
          <w:lang w:eastAsia="zh-CN"/>
          <w14:textFill>
            <w14:solidFill>
              <w14:schemeClr w14:val="tx1"/>
            </w14:solidFill>
          </w14:textFill>
        </w:rPr>
        <w:t>，巩固拓展疫情防控和经济社会发展成果，</w:t>
      </w:r>
      <w:r>
        <w:rPr>
          <w:rFonts w:hint="eastAsia" w:ascii="仿宋_GB2312" w:hAnsi="仿宋_GB2312" w:eastAsia="仿宋_GB2312" w:cs="仿宋_GB2312"/>
          <w:color w:val="000000" w:themeColor="text1"/>
          <w:spacing w:val="0"/>
          <w:sz w:val="32"/>
          <w:szCs w:val="32"/>
          <w:u w:val="none"/>
          <w:lang w:val="en-US" w:eastAsia="zh-CN"/>
          <w14:textFill>
            <w14:solidFill>
              <w14:schemeClr w14:val="tx1"/>
            </w14:solidFill>
          </w14:textFill>
        </w:rPr>
        <w:t>继续做好“六稳”“六保”工作，持续改善民生，着力稳定经济大盘，以优异成绩迎接党的二十大胜利召开。</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3" w:firstLineChars="200"/>
        <w:textAlignment w:val="auto"/>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（一）关于经济增长预期目标</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3"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aps w:val="0"/>
          <w:smallCaps w:val="0"/>
          <w:color w:val="000000" w:themeColor="text1"/>
          <w:spacing w:val="0"/>
          <w:kern w:val="0"/>
          <w:sz w:val="32"/>
          <w:szCs w:val="32"/>
          <w:lang w:val="en-US" w:eastAsia="zh-CN"/>
          <w14:textFill>
            <w14:solidFill>
              <w14:schemeClr w14:val="tx1"/>
            </w14:solidFill>
          </w14:textFill>
        </w:rPr>
        <w:t>地区生产总</w:t>
      </w:r>
      <w:r>
        <w:rPr>
          <w:rFonts w:hint="eastAsia" w:ascii="仿宋_GB2312" w:hAnsi="仿宋_GB2312" w:eastAsia="仿宋_GB2312" w:cs="仿宋_GB2312"/>
          <w:b/>
          <w:bCs/>
          <w:caps w:val="0"/>
          <w:smallCaps w:val="0"/>
          <w:color w:val="000000" w:themeColor="text1"/>
          <w:spacing w:val="0"/>
          <w:kern w:val="0"/>
          <w:sz w:val="32"/>
          <w:szCs w:val="32"/>
          <w:u w:val="none"/>
          <w:lang w:val="en-US" w:eastAsia="zh-CN"/>
          <w14:textFill>
            <w14:solidFill>
              <w14:schemeClr w14:val="tx1"/>
            </w14:solidFill>
          </w14:textFill>
        </w:rPr>
        <w:t>值</w:t>
      </w:r>
      <w:r>
        <w:rPr>
          <w:rFonts w:hint="eastAsia" w:ascii="仿宋_GB2312" w:hAnsi="仿宋_GB2312" w:eastAsia="仿宋_GB2312" w:cs="仿宋_GB2312"/>
          <w:b/>
          <w:bCs/>
          <w:caps w:val="0"/>
          <w:smallCaps w:val="0"/>
          <w:color w:val="000000" w:themeColor="text1"/>
          <w:spacing w:val="0"/>
          <w:kern w:val="0"/>
          <w:sz w:val="32"/>
          <w:szCs w:val="32"/>
          <w:lang w:val="en-US" w:eastAsia="zh-CN" w:bidi="ar"/>
          <w14:textFill>
            <w14:solidFill>
              <w14:schemeClr w14:val="tx1"/>
            </w14:solidFill>
          </w14:textFill>
        </w:rPr>
        <w:t>增长</w:t>
      </w:r>
      <w:r>
        <w:rPr>
          <w:rFonts w:hint="eastAsia" w:ascii="仿宋_GB2312" w:hAnsi="仿宋_GB2312" w:eastAsia="仿宋_GB2312" w:cs="仿宋_GB2312"/>
          <w:b/>
          <w:bCs/>
          <w:caps w:val="0"/>
          <w:smallCaps w:val="0"/>
          <w:color w:val="000000" w:themeColor="text1"/>
          <w:spacing w:val="0"/>
          <w:kern w:val="0"/>
          <w:sz w:val="32"/>
          <w:szCs w:val="32"/>
          <w:u w:val="none"/>
          <w:lang w:val="en-US" w:eastAsia="zh-CN"/>
          <w14:textFill>
            <w14:solidFill>
              <w14:schemeClr w14:val="tx1"/>
            </w14:solidFill>
          </w14:textFill>
        </w:rPr>
        <w:t>0.5%，</w:t>
      </w:r>
      <w:r>
        <w:rPr>
          <w:rFonts w:hint="eastAsia" w:ascii="仿宋_GB2312" w:hAnsi="仿宋_GB2312" w:eastAsia="仿宋_GB2312" w:cs="仿宋_GB2312"/>
          <w:b/>
          <w:bCs/>
          <w:color w:val="000000" w:themeColor="text1"/>
          <w:sz w:val="32"/>
          <w:szCs w:val="32"/>
          <w:u w:val="none"/>
          <w14:textFill>
            <w14:solidFill>
              <w14:schemeClr w14:val="tx1"/>
            </w14:solidFill>
          </w14:textFill>
        </w:rPr>
        <w:t>力争实际增长快些。</w:t>
      </w:r>
      <w:r>
        <w:rPr>
          <w:rFonts w:hint="eastAsia" w:ascii="仿宋_GB2312" w:hAnsi="仿宋_GB2312" w:eastAsia="仿宋_GB2312" w:cs="仿宋_GB2312"/>
          <w:color w:val="000000" w:themeColor="text1"/>
          <w:kern w:val="0"/>
          <w:sz w:val="32"/>
          <w:szCs w:val="32"/>
          <w:u w:val="none"/>
          <w14:textFill>
            <w14:solidFill>
              <w14:schemeClr w14:val="tx1"/>
            </w14:solidFill>
          </w14:textFill>
        </w:rPr>
        <w:t>主要考</w:t>
      </w:r>
      <w:r>
        <w:rPr>
          <w:rFonts w:hint="eastAsia" w:ascii="仿宋_GB2312" w:hAnsi="仿宋_GB2312" w:eastAsia="仿宋_GB2312" w:cs="仿宋_GB2312"/>
          <w:color w:val="000000" w:themeColor="text1"/>
          <w:sz w:val="32"/>
          <w:szCs w:val="32"/>
          <w:u w:val="none"/>
          <w14:textFill>
            <w14:solidFill>
              <w14:schemeClr w14:val="tx1"/>
            </w14:solidFill>
          </w14:textFill>
        </w:rPr>
        <w:t>虑：</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我区经济增长的内生动力持续增强，但同时也面临能耗“双控”等宏观政策的影响</w:t>
      </w:r>
      <w:r>
        <w:rPr>
          <w:rFonts w:hint="eastAsia" w:ascii="仿宋_GB2312" w:hAnsi="仿宋_GB2312" w:eastAsia="仿宋_GB2312" w:cs="仿宋_GB2312"/>
          <w:color w:val="000000" w:themeColor="text1"/>
          <w:kern w:val="0"/>
          <w:sz w:val="32"/>
          <w:szCs w:val="32"/>
          <w:u w:val="none"/>
          <w14:textFill>
            <w14:solidFill>
              <w14:schemeClr w14:val="tx1"/>
            </w14:solidFill>
          </w14:textFill>
        </w:rPr>
        <w:t>。</w:t>
      </w:r>
      <w:r>
        <w:rPr>
          <w:rFonts w:hint="eastAsia" w:ascii="仿宋_GB2312" w:hAnsi="仿宋_GB2312" w:eastAsia="仿宋_GB2312" w:cs="仿宋_GB2312"/>
          <w:b/>
          <w:bCs/>
          <w:caps w:val="0"/>
          <w:smallCaps w:val="0"/>
          <w:color w:val="000000" w:themeColor="text1"/>
          <w:spacing w:val="0"/>
          <w:kern w:val="0"/>
          <w:sz w:val="32"/>
          <w:szCs w:val="32"/>
          <w:u w:val="none"/>
          <w:lang w:val="en-US" w:eastAsia="zh-CN"/>
          <w14:textFill>
            <w14:solidFill>
              <w14:schemeClr w14:val="tx1"/>
            </w14:solidFill>
          </w14:textFill>
        </w:rPr>
        <w:t>农林牧渔业总产值增长2.5%。</w:t>
      </w:r>
      <w:r>
        <w:rPr>
          <w:rFonts w:hint="eastAsia" w:ascii="仿宋_GB2312" w:hAnsi="仿宋_GB2312" w:eastAsia="仿宋_GB2312" w:cs="仿宋_GB2312"/>
          <w:b w:val="0"/>
          <w:bCs w:val="0"/>
          <w:caps w:val="0"/>
          <w:smallCaps w:val="0"/>
          <w:color w:val="000000" w:themeColor="text1"/>
          <w:spacing w:val="0"/>
          <w:kern w:val="0"/>
          <w:sz w:val="32"/>
          <w:szCs w:val="32"/>
          <w:u w:val="none"/>
          <w:lang w:val="en-US" w:eastAsia="zh-CN"/>
          <w14:textFill>
            <w14:solidFill>
              <w14:schemeClr w14:val="tx1"/>
            </w14:solidFill>
          </w14:textFill>
        </w:rPr>
        <w:t>主要考虑：特</w:t>
      </w:r>
      <w:r>
        <w:rPr>
          <w:rFonts w:hint="eastAsia" w:ascii="仿宋_GB2312" w:hAnsi="仿宋_GB2312" w:eastAsia="仿宋_GB2312" w:cs="仿宋_GB2312"/>
          <w:i w:val="0"/>
          <w:iCs w:val="0"/>
          <w:caps w:val="0"/>
          <w:color w:val="000000" w:themeColor="text1"/>
          <w:spacing w:val="0"/>
          <w:sz w:val="32"/>
          <w:szCs w:val="32"/>
          <w:u w:val="none"/>
          <w:shd w:val="clear" w:fill="FFFFFF"/>
          <w:lang w:val="en-US" w:eastAsia="zh-CN"/>
          <w14:textFill>
            <w14:solidFill>
              <w14:schemeClr w14:val="tx1"/>
            </w14:solidFill>
          </w14:textFill>
        </w:rPr>
        <w:t>色</w:t>
      </w:r>
      <w:r>
        <w:rPr>
          <w:rFonts w:hint="eastAsia" w:ascii="仿宋_GB2312" w:hAnsi="仿宋_GB2312" w:eastAsia="仿宋_GB2312" w:cs="仿宋_GB2312"/>
          <w:i w:val="0"/>
          <w:iCs w:val="0"/>
          <w:caps w:val="0"/>
          <w:color w:val="000000" w:themeColor="text1"/>
          <w:spacing w:val="0"/>
          <w:sz w:val="32"/>
          <w:szCs w:val="32"/>
          <w:u w:val="none"/>
          <w:shd w:val="clear" w:fill="FFFFFF"/>
          <w:lang w:eastAsia="zh-CN"/>
          <w14:textFill>
            <w14:solidFill>
              <w14:schemeClr w14:val="tx1"/>
            </w14:solidFill>
          </w14:textFill>
        </w:rPr>
        <w:t>现代农业迈出新步伐</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shd w:val="clear" w:fill="FFFFFF"/>
          <w:lang w:eastAsia="zh-CN"/>
          <w14:textFill>
            <w14:solidFill>
              <w14:schemeClr w14:val="tx1"/>
            </w14:solidFill>
          </w14:textFill>
        </w:rPr>
        <w:t>蓝色海洋牧场升级改造持续深化</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b w:val="0"/>
          <w:bCs w:val="0"/>
          <w:snapToGrid w:val="0"/>
          <w:color w:val="000000" w:themeColor="text1"/>
          <w:kern w:val="0"/>
          <w:sz w:val="32"/>
          <w:szCs w:val="32"/>
          <w:highlight w:val="none"/>
          <w:u w:val="none"/>
          <w:lang w:val="zh-CN"/>
          <w14:textFill>
            <w14:solidFill>
              <w14:schemeClr w14:val="tx1"/>
            </w14:solidFill>
          </w14:textFill>
        </w:rPr>
        <w:t>畜</w:t>
      </w:r>
      <w:r>
        <w:rPr>
          <w:rFonts w:hint="eastAsia" w:ascii="仿宋_GB2312" w:hAnsi="仿宋_GB2312" w:eastAsia="仿宋_GB2312" w:cs="仿宋_GB2312"/>
          <w:b w:val="0"/>
          <w:bCs w:val="0"/>
          <w:snapToGrid w:val="0"/>
          <w:color w:val="000000" w:themeColor="text1"/>
          <w:kern w:val="0"/>
          <w:sz w:val="32"/>
          <w:szCs w:val="32"/>
          <w:u w:val="none"/>
          <w:lang w:val="zh-CN"/>
          <w14:textFill>
            <w14:solidFill>
              <w14:schemeClr w14:val="tx1"/>
            </w14:solidFill>
          </w14:textFill>
        </w:rPr>
        <w:t>牧业</w:t>
      </w:r>
      <w:r>
        <w:rPr>
          <w:rFonts w:hint="eastAsia" w:ascii="仿宋_GB2312" w:hAnsi="宋体" w:eastAsia="仿宋_GB2312" w:cs="宋体"/>
          <w:color w:val="000000" w:themeColor="text1"/>
          <w:kern w:val="0"/>
          <w:sz w:val="32"/>
          <w:szCs w:val="32"/>
          <w:highlight w:val="none"/>
          <w:u w:val="none"/>
          <w:lang w:val="en-US" w:eastAsia="zh-CN"/>
          <w14:textFill>
            <w14:solidFill>
              <w14:schemeClr w14:val="tx1"/>
            </w14:solidFill>
          </w14:textFill>
        </w:rPr>
        <w:t>大型标准化建设持续推进</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b/>
          <w:bCs/>
          <w:caps w:val="0"/>
          <w:smallCaps w:val="0"/>
          <w:color w:val="000000" w:themeColor="text1"/>
          <w:spacing w:val="0"/>
          <w:sz w:val="32"/>
          <w:szCs w:val="32"/>
          <w:u w:val="none"/>
          <w:lang w:eastAsia="zh-CN"/>
          <w14:textFill>
            <w14:solidFill>
              <w14:schemeClr w14:val="tx1"/>
            </w14:solidFill>
          </w14:textFill>
        </w:rPr>
        <w:t>工业增加值</w:t>
      </w:r>
      <w:r>
        <w:rPr>
          <w:rFonts w:hint="eastAsia" w:ascii="仿宋_GB2312" w:hAnsi="仿宋_GB2312" w:eastAsia="仿宋_GB2312" w:cs="仿宋_GB2312"/>
          <w:b/>
          <w:bCs/>
          <w:caps w:val="0"/>
          <w:smallCaps w:val="0"/>
          <w:color w:val="000000" w:themeColor="text1"/>
          <w:spacing w:val="0"/>
          <w:sz w:val="32"/>
          <w:szCs w:val="32"/>
          <w:u w:val="none"/>
          <w:lang w:val="en-US" w:eastAsia="zh-CN"/>
          <w14:textFill>
            <w14:solidFill>
              <w14:schemeClr w14:val="tx1"/>
            </w14:solidFill>
          </w14:textFill>
        </w:rPr>
        <w:t>下降6.5%。</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主要考虑：2022年，我区虽有一批重大项目建成投产，但受能耗“双控”、</w:t>
      </w:r>
      <w:r>
        <w:rPr>
          <w:rFonts w:hint="eastAsia" w:ascii="仿宋_GB2312" w:hAnsi="仿宋_GB2312" w:eastAsia="仿宋_GB2312" w:cs="仿宋_GB2312"/>
          <w:i w:val="0"/>
          <w:iCs w:val="0"/>
          <w:color w:val="000000" w:themeColor="text1"/>
          <w:spacing w:val="0"/>
          <w:sz w:val="32"/>
          <w:szCs w:val="32"/>
          <w:u w:val="none"/>
          <w:lang w:val="en-US" w:eastAsia="zh-CN"/>
          <w14:textFill>
            <w14:solidFill>
              <w14:schemeClr w14:val="tx1"/>
            </w14:solidFill>
          </w14:textFill>
        </w:rPr>
        <w:t>湄洲湾氯碱停产搬迁等因素影响，工业产值将</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有所下降。</w:t>
      </w:r>
      <w:r>
        <w:rPr>
          <w:rFonts w:hint="eastAsia" w:ascii="仿宋_GB2312" w:hAnsi="仿宋_GB2312" w:eastAsia="仿宋_GB2312" w:cs="仿宋_GB2312"/>
          <w:b/>
          <w:bCs/>
          <w:caps w:val="0"/>
          <w:smallCaps w:val="0"/>
          <w:color w:val="000000" w:themeColor="text1"/>
          <w:spacing w:val="0"/>
          <w:sz w:val="32"/>
          <w:szCs w:val="32"/>
          <w:u w:val="none"/>
          <w:lang w:val="en-US" w:eastAsia="zh-CN"/>
          <w14:textFill>
            <w14:solidFill>
              <w14:schemeClr w14:val="tx1"/>
            </w14:solidFill>
          </w14:textFill>
        </w:rPr>
        <w:t>建筑业增加值增长30%。</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主要考虑：</w:t>
      </w:r>
      <w:r>
        <w:rPr>
          <w:rFonts w:hint="eastAsia" w:ascii="仿宋_GB2312" w:eastAsia="仿宋_GB2312"/>
          <w:bCs/>
          <w:color w:val="000000" w:themeColor="text1"/>
          <w:kern w:val="0"/>
          <w:sz w:val="32"/>
          <w:szCs w:val="32"/>
          <w:u w:val="none"/>
          <w14:textFill>
            <w14:solidFill>
              <w14:schemeClr w14:val="tx1"/>
            </w14:solidFill>
          </w14:textFill>
        </w:rPr>
        <w:t>基础设施短板加快补齐，</w:t>
      </w:r>
      <w:r>
        <w:rPr>
          <w:rFonts w:hint="eastAsia" w:ascii="仿宋_GB2312" w:eastAsia="仿宋_GB2312"/>
          <w:bCs/>
          <w:color w:val="000000" w:themeColor="text1"/>
          <w:kern w:val="0"/>
          <w:sz w:val="32"/>
          <w:szCs w:val="32"/>
          <w:u w:val="none"/>
          <w:lang w:eastAsia="zh-CN"/>
          <w14:textFill>
            <w14:solidFill>
              <w14:schemeClr w14:val="tx1"/>
            </w14:solidFill>
          </w14:textFill>
        </w:rPr>
        <w:t>设备安装行业聚集发展，</w:t>
      </w:r>
      <w:r>
        <w:rPr>
          <w:rFonts w:hint="eastAsia" w:ascii="仿宋_GB2312" w:eastAsia="仿宋_GB2312"/>
          <w:bCs/>
          <w:color w:val="000000" w:themeColor="text1"/>
          <w:kern w:val="0"/>
          <w:sz w:val="32"/>
          <w:szCs w:val="32"/>
          <w:u w:val="none"/>
          <w14:textFill>
            <w14:solidFill>
              <w14:schemeClr w14:val="tx1"/>
            </w14:solidFill>
          </w14:textFill>
        </w:rPr>
        <w:t>助推建筑业持续快速发展</w:t>
      </w:r>
      <w:r>
        <w:rPr>
          <w:rFonts w:hint="eastAsia" w:ascii="仿宋_GB2312" w:hAnsi="仿宋_GB2312" w:eastAsia="仿宋_GB2312" w:cs="仿宋_GB2312"/>
          <w:i w:val="0"/>
          <w:iC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b/>
          <w:bCs w:val="0"/>
          <w:caps w:val="0"/>
          <w:smallCaps w:val="0"/>
          <w:color w:val="000000" w:themeColor="text1"/>
          <w:spacing w:val="0"/>
          <w:kern w:val="0"/>
          <w:sz w:val="32"/>
          <w:szCs w:val="32"/>
          <w:u w:val="none"/>
          <w:lang w:eastAsia="zh-CN"/>
          <w14:textFill>
            <w14:solidFill>
              <w14:schemeClr w14:val="tx1"/>
            </w14:solidFill>
          </w14:textFill>
        </w:rPr>
        <w:t>第三产业增加值增长</w:t>
      </w:r>
      <w:r>
        <w:rPr>
          <w:rFonts w:hint="eastAsia" w:ascii="仿宋_GB2312" w:hAnsi="仿宋_GB2312" w:eastAsia="仿宋_GB2312" w:cs="仿宋_GB2312"/>
          <w:b/>
          <w:bCs w:val="0"/>
          <w:caps w:val="0"/>
          <w:smallCaps w:val="0"/>
          <w:color w:val="000000" w:themeColor="text1"/>
          <w:spacing w:val="0"/>
          <w:kern w:val="0"/>
          <w:sz w:val="32"/>
          <w:szCs w:val="32"/>
          <w:u w:val="none"/>
          <w:lang w:val="en-US" w:eastAsia="zh-CN"/>
          <w14:textFill>
            <w14:solidFill>
              <w14:schemeClr w14:val="tx1"/>
            </w14:solidFill>
          </w14:textFill>
        </w:rPr>
        <w:t>10%。</w:t>
      </w:r>
      <w:r>
        <w:rPr>
          <w:rFonts w:hint="eastAsia" w:ascii="仿宋_GB2312" w:hAnsi="仿宋_GB2312" w:eastAsia="仿宋_GB2312" w:cs="仿宋_GB2312"/>
          <w:bCs/>
          <w:caps w:val="0"/>
          <w:smallCaps w:val="0"/>
          <w:color w:val="000000" w:themeColor="text1"/>
          <w:spacing w:val="0"/>
          <w:kern w:val="0"/>
          <w:sz w:val="32"/>
          <w:szCs w:val="32"/>
          <w:lang w:val="en-US" w:eastAsia="zh-CN"/>
          <w14:textFill>
            <w14:solidFill>
              <w14:schemeClr w14:val="tx1"/>
            </w14:solidFill>
          </w14:textFill>
        </w:rPr>
        <w:t>主要考虑：</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疫情影响将逐步减弱，交通运输仓储、零售业、科技技术服务业等生产性服务业将稳定发展，住宿、餐饮、文化体育和其他娱乐业等生活性服务业将恢复性增长，房地产市场将趋于稳定。</w:t>
      </w:r>
      <w:r>
        <w:rPr>
          <w:rFonts w:hint="eastAsia" w:ascii="仿宋_GB2312" w:hAnsi="仿宋_GB2312" w:eastAsia="仿宋_GB2312" w:cs="仿宋_GB2312"/>
          <w:b/>
          <w:bCs w:val="0"/>
          <w:color w:val="000000" w:themeColor="text1"/>
          <w:kern w:val="0"/>
          <w:sz w:val="32"/>
          <w:szCs w:val="32"/>
          <w:lang w:val="en-US" w:eastAsia="zh-CN"/>
          <w14:textFill>
            <w14:solidFill>
              <w14:schemeClr w14:val="tx1"/>
            </w14:solidFill>
          </w14:textFill>
        </w:rPr>
        <w:t>落实碳</w:t>
      </w:r>
      <w:r>
        <w:rPr>
          <w:rFonts w:hint="eastAsia" w:ascii="仿宋_GB2312" w:hAnsi="仿宋_GB2312" w:eastAsia="仿宋_GB2312" w:cs="仿宋_GB2312"/>
          <w:b/>
          <w:bCs w:val="0"/>
          <w:color w:val="000000" w:themeColor="text1"/>
          <w:spacing w:val="0"/>
          <w:kern w:val="0"/>
          <w:sz w:val="32"/>
          <w:szCs w:val="32"/>
          <w:lang w:val="en-US" w:eastAsia="zh-CN"/>
          <w14:textFill>
            <w14:solidFill>
              <w14:schemeClr w14:val="tx1"/>
            </w14:solidFill>
          </w14:textFill>
        </w:rPr>
        <w:t>达峰碳中和国家战略，</w:t>
      </w:r>
      <w:r>
        <w:rPr>
          <w:rFonts w:hint="eastAsia" w:ascii="仿宋_GB2312" w:hAnsi="仿宋_GB2312" w:eastAsia="仿宋_GB2312" w:cs="仿宋_GB2312"/>
          <w:bCs/>
          <w:color w:val="000000" w:themeColor="text1"/>
          <w:spacing w:val="0"/>
          <w:kern w:val="0"/>
          <w:sz w:val="32"/>
          <w:szCs w:val="32"/>
          <w:lang w:val="en-US" w:eastAsia="zh-CN"/>
          <w14:textFill>
            <w14:solidFill>
              <w14:schemeClr w14:val="tx1"/>
            </w14:solidFill>
          </w14:textFill>
        </w:rPr>
        <w:t>实施二氧化碳排放达峰行动，推进经济社会发展全面绿色转型，</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节能减排降碳指标控制在</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上级</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下达计划范围内。</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b/>
          <w:bCs/>
          <w:caps w:val="0"/>
          <w:small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Cs/>
          <w:caps w:val="0"/>
          <w:smallCaps w:val="0"/>
          <w:color w:val="000000" w:themeColor="text1"/>
          <w:spacing w:val="0"/>
          <w:kern w:val="0"/>
          <w:sz w:val="32"/>
          <w:szCs w:val="32"/>
          <w:lang w:val="en-US" w:eastAsia="zh-CN"/>
          <w14:textFill>
            <w14:solidFill>
              <w14:schemeClr w14:val="tx1"/>
            </w14:solidFill>
          </w14:textFill>
        </w:rPr>
        <w:t>为实现上述目标，</w:t>
      </w:r>
      <w:r>
        <w:rPr>
          <w:rFonts w:hint="eastAsia" w:ascii="仿宋_GB2312" w:hAnsi="仿宋_GB2312" w:eastAsia="仿宋_GB2312" w:cs="仿宋_GB2312"/>
          <w:b/>
          <w:bCs w:val="0"/>
          <w:caps w:val="0"/>
          <w:smallCaps w:val="0"/>
          <w:color w:val="000000" w:themeColor="text1"/>
          <w:spacing w:val="0"/>
          <w:kern w:val="0"/>
          <w:sz w:val="32"/>
          <w:szCs w:val="32"/>
          <w:lang w:val="en-US" w:eastAsia="zh-CN"/>
          <w14:textFill>
            <w14:solidFill>
              <w14:schemeClr w14:val="tx1"/>
            </w14:solidFill>
          </w14:textFill>
        </w:rPr>
        <w:t>一</w:t>
      </w:r>
      <w:r>
        <w:rPr>
          <w:rFonts w:hint="eastAsia" w:ascii="仿宋_GB2312" w:hAnsi="仿宋_GB2312" w:eastAsia="仿宋_GB2312" w:cs="仿宋_GB2312"/>
          <w:b/>
          <w:bCs/>
          <w:caps w:val="0"/>
          <w:smallCaps w:val="0"/>
          <w:snapToGrid w:val="0"/>
          <w:color w:val="000000" w:themeColor="text1"/>
          <w:spacing w:val="0"/>
          <w:sz w:val="32"/>
          <w:szCs w:val="32"/>
          <w:lang w:eastAsia="zh-CN"/>
          <w14:textFill>
            <w14:solidFill>
              <w14:schemeClr w14:val="tx1"/>
            </w14:solidFill>
          </w14:textFill>
        </w:rPr>
        <w:t>是</w:t>
      </w:r>
      <w:r>
        <w:rPr>
          <w:rFonts w:hint="eastAsia" w:ascii="仿宋_GB2312" w:hAnsi="仿宋_GB2312" w:eastAsia="仿宋_GB2312" w:cs="仿宋_GB2312"/>
          <w:b/>
          <w:bCs/>
          <w:i w:val="0"/>
          <w:iCs w:val="0"/>
          <w:caps w:val="0"/>
          <w:color w:val="000000" w:themeColor="text1"/>
          <w:spacing w:val="0"/>
          <w:sz w:val="32"/>
          <w:szCs w:val="32"/>
          <w:shd w:val="clear" w:color="auto" w:fill="FFFFFF"/>
          <w:lang w:val="en-US" w:eastAsia="zh-CN"/>
          <w14:textFill>
            <w14:solidFill>
              <w14:schemeClr w14:val="tx1"/>
            </w14:solidFill>
          </w14:textFill>
        </w:rPr>
        <w:t>壮大优势产业集群</w:t>
      </w:r>
      <w:r>
        <w:rPr>
          <w:rFonts w:hint="eastAsia" w:ascii="仿宋_GB2312" w:hAnsi="仿宋_GB2312" w:eastAsia="仿宋_GB2312" w:cs="仿宋_GB2312"/>
          <w:b/>
          <w:bCs w:val="0"/>
          <w:caps w:val="0"/>
          <w:smallCaps w:val="0"/>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深入开展企业稳产扩能专项行动，分类指导、精准施策，努力稳住工业大盘。</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突出石化产业的主导作用，</w:t>
      </w:r>
      <w:r>
        <w:rPr>
          <w:rFonts w:hint="eastAsia" w:ascii="仿宋_GB2312" w:hAnsi="仿宋_GB2312" w:eastAsia="仿宋_GB2312" w:cs="仿宋_GB2312"/>
          <w:bCs/>
          <w:caps w:val="0"/>
          <w:smallCaps w:val="0"/>
          <w:color w:val="000000" w:themeColor="text1"/>
          <w:spacing w:val="0"/>
          <w:kern w:val="0"/>
          <w:sz w:val="32"/>
          <w:szCs w:val="32"/>
          <w:lang w:val="en-US" w:eastAsia="zh-CN"/>
          <w14:textFill>
            <w14:solidFill>
              <w14:schemeClr w14:val="tx1"/>
            </w14:solidFill>
          </w14:textFill>
        </w:rPr>
        <w:t>加快天辰化工</w:t>
      </w:r>
      <w:r>
        <w:rPr>
          <w:rFonts w:hint="eastAsia" w:ascii="仿宋_GB2312" w:hAnsi="仿宋_GB2312" w:eastAsia="仿宋_GB2312" w:cs="仿宋_GB2312"/>
          <w:bCs/>
          <w:caps w:val="0"/>
          <w:smallCaps w:val="0"/>
          <w:color w:val="000000" w:themeColor="text1"/>
          <w:spacing w:val="0"/>
          <w:kern w:val="0"/>
          <w:sz w:val="32"/>
          <w:szCs w:val="32"/>
          <w:u w:val="none"/>
          <w:lang w:val="en-US" w:eastAsia="zh-CN"/>
          <w14:textFill>
            <w14:solidFill>
              <w14:schemeClr w14:val="tx1"/>
            </w14:solidFill>
          </w14:textFill>
        </w:rPr>
        <w:t>等15个项目动工建设，推动佳化二期等8个</w:t>
      </w:r>
      <w:r>
        <w:rPr>
          <w:rFonts w:hint="eastAsia" w:ascii="仿宋_GB2312" w:hAnsi="仿宋_GB2312" w:eastAsia="仿宋_GB2312" w:cs="仿宋_GB2312"/>
          <w:bCs/>
          <w:caps w:val="0"/>
          <w:smallCaps w:val="0"/>
          <w:color w:val="000000" w:themeColor="text1"/>
          <w:spacing w:val="0"/>
          <w:kern w:val="0"/>
          <w:sz w:val="32"/>
          <w:szCs w:val="32"/>
          <w:lang w:val="en-US" w:eastAsia="zh-CN"/>
          <w14:textFill>
            <w14:solidFill>
              <w14:schemeClr w14:val="tx1"/>
            </w14:solidFill>
          </w14:textFill>
        </w:rPr>
        <w:t>项目建成投产。做大做强粮油食品加工业，推动益海嘉里面粉三期及酵母</w:t>
      </w:r>
      <w:r>
        <w:rPr>
          <w:rFonts w:hint="eastAsia" w:ascii="仿宋_GB2312" w:hAnsi="仿宋_GB2312" w:eastAsia="仿宋_GB2312" w:cs="仿宋_GB2312"/>
          <w:bCs/>
          <w:caps w:val="0"/>
          <w:smallCaps w:val="0"/>
          <w:color w:val="000000" w:themeColor="text1"/>
          <w:spacing w:val="0"/>
          <w:kern w:val="0"/>
          <w:sz w:val="32"/>
          <w:szCs w:val="32"/>
          <w:u w:val="none"/>
          <w:lang w:val="en-US" w:eastAsia="zh-CN"/>
          <w14:textFill>
            <w14:solidFill>
              <w14:schemeClr w14:val="tx1"/>
            </w14:solidFill>
          </w14:textFill>
        </w:rPr>
        <w:t>等项目建设</w:t>
      </w:r>
      <w:r>
        <w:rPr>
          <w:rFonts w:hint="eastAsia" w:ascii="仿宋_GB2312" w:hAnsi="仿宋_GB2312" w:eastAsia="仿宋_GB2312" w:cs="仿宋_GB2312"/>
          <w:bCs/>
          <w:caps w:val="0"/>
          <w:smallCaps w:val="0"/>
          <w:color w:val="000000" w:themeColor="text1"/>
          <w:spacing w:val="0"/>
          <w:kern w:val="0"/>
          <w:sz w:val="32"/>
          <w:szCs w:val="32"/>
          <w:lang w:val="en-US" w:eastAsia="zh-CN"/>
          <w14:textFill>
            <w14:solidFill>
              <w14:schemeClr w14:val="tx1"/>
            </w14:solidFill>
          </w14:textFill>
        </w:rPr>
        <w:t>，推进粮油板块龙头带动集聚发展</w:t>
      </w:r>
      <w:r>
        <w:rPr>
          <w:rFonts w:hint="eastAsia" w:ascii="仿宋_GB2312" w:hAnsi="仿宋_GB2312" w:eastAsia="仿宋_GB2312" w:cs="仿宋_GB2312"/>
          <w:caps w:val="0"/>
          <w:smallCaps w:val="0"/>
          <w:snapToGrid w:val="0"/>
          <w:color w:val="000000" w:themeColor="text1"/>
          <w:spacing w:val="0"/>
          <w:sz w:val="32"/>
          <w:szCs w:val="32"/>
          <w:lang w:eastAsia="zh-CN"/>
          <w14:textFill>
            <w14:solidFill>
              <w14:schemeClr w14:val="tx1"/>
            </w14:solidFill>
          </w14:textFill>
        </w:rPr>
        <w:t>。大力发展化工新材料、建筑新材料、电子化学等新材料，推动安控区建筑垃圾资源化利用，力促同位素等一批新材料落地动建，鼓励企业联合科研机构共同开展新材料的应用研究和示范推广。加快发展清洁能源，全区统筹有序推进风、光、水储一体化综合能源项目。</w:t>
      </w:r>
      <w:r>
        <w:rPr>
          <w:rFonts w:hint="eastAsia" w:ascii="仿宋_GB2312" w:hAnsi="仿宋_GB2312" w:eastAsia="仿宋_GB2312" w:cs="仿宋_GB2312"/>
          <w:b/>
          <w:bCs/>
          <w:caps w:val="0"/>
          <w:smallCaps w:val="0"/>
          <w:snapToGrid w:val="0"/>
          <w:color w:val="000000" w:themeColor="text1"/>
          <w:spacing w:val="0"/>
          <w:sz w:val="32"/>
          <w:szCs w:val="32"/>
          <w:lang w:eastAsia="zh-CN"/>
          <w14:textFill>
            <w14:solidFill>
              <w14:schemeClr w14:val="tx1"/>
            </w14:solidFill>
          </w14:textFill>
        </w:rPr>
        <w:t>二是提升服务业发展能级</w:t>
      </w:r>
      <w:r>
        <w:rPr>
          <w:rFonts w:hint="eastAsia" w:ascii="仿宋_GB2312" w:hAnsi="仿宋_GB2312" w:eastAsia="仿宋_GB2312" w:cs="仿宋_GB2312"/>
          <w:b/>
          <w:bCs/>
          <w:caps w:val="0"/>
          <w:smallCaps w:val="0"/>
          <w:snapToGrid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aps w:val="0"/>
          <w:smallCaps w:val="0"/>
          <w:snapToGrid w:val="0"/>
          <w:color w:val="000000" w:themeColor="text1"/>
          <w:spacing w:val="0"/>
          <w:sz w:val="32"/>
          <w:szCs w:val="32"/>
          <w:lang w:val="en-US" w:eastAsia="zh-CN"/>
          <w14:textFill>
            <w14:solidFill>
              <w14:schemeClr w14:val="tx1"/>
            </w14:solidFill>
          </w14:textFill>
        </w:rPr>
        <w:t>建设电商直播示范基地1个，举办直播活动10场以上。</w:t>
      </w:r>
      <w:r>
        <w:rPr>
          <w:rFonts w:hint="eastAsia" w:ascii="仿宋_GB2312" w:hAnsi="仿宋_GB2312" w:eastAsia="仿宋_GB2312" w:cs="仿宋_GB2312"/>
          <w:color w:val="000000" w:themeColor="text1"/>
          <w:spacing w:val="0"/>
          <w:sz w:val="32"/>
          <w:szCs w:val="32"/>
          <w14:textFill>
            <w14:solidFill>
              <w14:schemeClr w14:val="tx1"/>
            </w14:solidFill>
          </w14:textFill>
        </w:rPr>
        <w:t>加快鲤鱼尾作业区4号泊位及仓储工程、普洛斯</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智能</w:t>
      </w:r>
      <w:r>
        <w:rPr>
          <w:rFonts w:hint="eastAsia" w:ascii="仿宋_GB2312" w:hAnsi="仿宋_GB2312" w:eastAsia="仿宋_GB2312" w:cs="仿宋_GB2312"/>
          <w:color w:val="000000" w:themeColor="text1"/>
          <w:spacing w:val="0"/>
          <w:sz w:val="32"/>
          <w:szCs w:val="32"/>
          <w14:textFill>
            <w14:solidFill>
              <w14:schemeClr w14:val="tx1"/>
            </w14:solidFill>
          </w14:textFill>
        </w:rPr>
        <w:t>物流园建设，扶持壮大隆汉物流、兴通船务等物流（航运）业龙头企业，培育第三方、第四方物流。</w:t>
      </w:r>
      <w:r>
        <w:rPr>
          <w:rFonts w:hint="eastAsia" w:ascii="仿宋_GB2312" w:hAnsi="仿宋_GB2312" w:eastAsia="仿宋_GB2312" w:cs="仿宋_GB2312"/>
          <w:caps w:val="0"/>
          <w:smallCaps w:val="0"/>
          <w:color w:val="000000" w:themeColor="text1"/>
          <w:spacing w:val="0"/>
          <w:kern w:val="0"/>
          <w:sz w:val="32"/>
          <w:szCs w:val="32"/>
          <w:lang w:val="en-US" w:eastAsia="zh-CN" w:bidi="ar"/>
          <w14:textFill>
            <w14:solidFill>
              <w14:schemeClr w14:val="tx1"/>
            </w14:solidFill>
          </w14:textFill>
        </w:rPr>
        <w:t>加快地下水封洞库储油项目建设，培育发展原油仓储和贸易。</w:t>
      </w:r>
      <w:r>
        <w:rPr>
          <w:rFonts w:hint="eastAsia" w:ascii="仿宋_GB2312" w:hAnsi="仿宋_GB2312" w:eastAsia="仿宋_GB2312" w:cs="仿宋_GB2312"/>
          <w:color w:val="000000" w:themeColor="text1"/>
          <w:spacing w:val="0"/>
          <w:sz w:val="32"/>
          <w:szCs w:val="32"/>
          <w14:textFill>
            <w14:solidFill>
              <w14:schemeClr w14:val="tx1"/>
            </w14:solidFill>
          </w14:textFill>
        </w:rPr>
        <w:t>深入推进文旅产业融合提升，</w:t>
      </w:r>
      <w:r>
        <w:rPr>
          <w:rFonts w:hint="eastAsia" w:ascii="仿宋_GB2312" w:hAnsi="仿宋_GB2312" w:eastAsia="仿宋_GB2312" w:cs="仿宋_GB2312"/>
          <w:color w:val="000000" w:themeColor="text1"/>
          <w:sz w:val="32"/>
          <w:szCs w:val="32"/>
          <w14:textFill>
            <w14:solidFill>
              <w14:schemeClr w14:val="tx1"/>
            </w14:solidFill>
          </w14:textFill>
        </w:rPr>
        <w:t>全力推进全域旅游试点镇建设，</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加快驿</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坂</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智能服务区城市综合体、峰尾镇历史古城古街文化旅游提升等项目</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建设，</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力促伟光汇通文旅小镇项目落地动建。</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三是推动现代农业高效发展。</w:t>
      </w:r>
      <w:r>
        <w:rPr>
          <w:rFonts w:hint="eastAsia" w:ascii="仿宋_GB2312" w:hAnsi="仿宋_GB2312" w:eastAsia="仿宋_GB2312" w:cs="仿宋_GB2312"/>
          <w:caps w:val="0"/>
          <w:smallCaps w:val="0"/>
          <w:color w:val="000000" w:themeColor="text1"/>
          <w:spacing w:val="0"/>
          <w:kern w:val="2"/>
          <w:sz w:val="32"/>
          <w:szCs w:val="32"/>
          <w:lang w:val="en-US" w:eastAsia="zh-CN" w:bidi="ar-SA"/>
          <w14:textFill>
            <w14:solidFill>
              <w14:schemeClr w14:val="tx1"/>
            </w14:solidFill>
          </w14:textFill>
        </w:rPr>
        <w:t>全力保障重要农副产品有效供给，</w:t>
      </w:r>
      <w:r>
        <w:rPr>
          <w:rFonts w:hint="eastAsia" w:ascii="仿宋_GB2312" w:hAnsi="仿宋_GB2312" w:eastAsia="仿宋_GB2312" w:cs="仿宋_GB2312"/>
          <w:caps w:val="0"/>
          <w:smallCaps w:val="0"/>
          <w:color w:val="000000" w:themeColor="text1"/>
          <w:spacing w:val="0"/>
          <w:kern w:val="2"/>
          <w:sz w:val="32"/>
          <w:szCs w:val="32"/>
          <w:highlight w:val="none"/>
          <w:lang w:val="en-US" w:eastAsia="zh-CN" w:bidi="ar-SA"/>
          <w14:textFill>
            <w14:solidFill>
              <w14:schemeClr w14:val="tx1"/>
            </w14:solidFill>
          </w14:textFill>
        </w:rPr>
        <w:t>粮食播种面积稳定2.8万亩以上</w:t>
      </w:r>
      <w:r>
        <w:rPr>
          <w:rFonts w:hint="eastAsia" w:ascii="仿宋_GB2312" w:hAnsi="仿宋_GB2312" w:eastAsia="仿宋_GB2312" w:cs="仿宋_GB2312"/>
          <w:caps w:val="0"/>
          <w:smallCaps w:val="0"/>
          <w:color w:val="000000" w:themeColor="text1"/>
          <w:spacing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新增生猪产能1万头以上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依托特色农产品生产基地，加快推进农业产业化、规模化、品牌化，培育壮大</w:t>
      </w:r>
      <w:r>
        <w:rPr>
          <w:rFonts w:hint="eastAsia" w:ascii="仿宋_GB2312" w:hAnsi="仿宋_GB2312" w:eastAsia="仿宋_GB2312" w:cs="仿宋_GB2312"/>
          <w:color w:val="000000" w:themeColor="text1"/>
          <w:kern w:val="0"/>
          <w:sz w:val="32"/>
          <w:szCs w:val="32"/>
          <w14:textFill>
            <w14:solidFill>
              <w14:schemeClr w14:val="tx1"/>
            </w14:solidFill>
          </w14:textFill>
        </w:rPr>
        <w:t>一批具有泉港特色的农业品牌</w:t>
      </w:r>
      <w:r>
        <w:rPr>
          <w:rFonts w:hint="eastAsia" w:ascii="仿宋_GB2312" w:hAnsi="仿宋_GB2312" w:eastAsia="仿宋_GB2312" w:cs="仿宋_GB2312"/>
          <w:color w:val="000000" w:themeColor="text1"/>
          <w:sz w:val="32"/>
          <w:szCs w:val="32"/>
          <w14:textFill>
            <w14:solidFill>
              <w14:schemeClr w14:val="tx1"/>
            </w14:solidFill>
          </w14:textFill>
        </w:rPr>
        <w:t>。加快推进肖厝-惠屿海域网箱养殖清退和升级改造项目，全面</w:t>
      </w:r>
      <w:r>
        <w:rPr>
          <w:rFonts w:hint="eastAsia" w:ascii="仿宋_GB2312" w:hAnsi="仿宋_GB2312" w:eastAsia="仿宋_GB2312" w:cs="仿宋_GB2312"/>
          <w:color w:val="000000" w:themeColor="text1"/>
          <w:sz w:val="32"/>
          <w:szCs w:val="32"/>
          <w:lang w:eastAsia="zh-CN"/>
          <w14:textFill>
            <w14:solidFill>
              <w14:schemeClr w14:val="tx1"/>
            </w14:solidFill>
          </w14:textFill>
        </w:rPr>
        <w:t>完成</w:t>
      </w:r>
      <w:r>
        <w:rPr>
          <w:rFonts w:hint="eastAsia" w:ascii="仿宋_GB2312" w:hAnsi="仿宋_GB2312" w:eastAsia="仿宋_GB2312" w:cs="仿宋_GB2312"/>
          <w:bCs/>
          <w:color w:val="000000" w:themeColor="text1"/>
          <w:sz w:val="32"/>
          <w:szCs w:val="32"/>
          <w14:textFill>
            <w14:solidFill>
              <w14:schemeClr w14:val="tx1"/>
            </w14:solidFill>
          </w14:textFill>
        </w:rPr>
        <w:t>1万亩贝藻类筏式养殖泡沫浮球升级改造为塑胶浮球项目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支持</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惠屿生态休闲渔村工程项</w:t>
      </w:r>
      <w:r>
        <w:rPr>
          <w:rFonts w:hint="eastAsia" w:ascii="仿宋_GB2312" w:hAnsi="仿宋_GB2312" w:eastAsia="仿宋_GB2312" w:cs="仿宋_GB2312"/>
          <w:caps w:val="0"/>
          <w:smallCaps w:val="0"/>
          <w:color w:val="000000" w:themeColor="text1"/>
          <w:spacing w:val="-5"/>
          <w:sz w:val="32"/>
          <w:szCs w:val="32"/>
          <w14:textFill>
            <w14:solidFill>
              <w14:schemeClr w14:val="tx1"/>
            </w14:solidFill>
          </w14:textFill>
        </w:rPr>
        <w:t>目</w:t>
      </w:r>
      <w:r>
        <w:rPr>
          <w:rFonts w:hint="eastAsia" w:ascii="仿宋_GB2312" w:hAnsi="仿宋_GB2312" w:eastAsia="仿宋_GB2312" w:cs="仿宋_GB2312"/>
          <w:caps w:val="0"/>
          <w:smallCaps w:val="0"/>
          <w:color w:val="000000" w:themeColor="text1"/>
          <w:spacing w:val="-5"/>
          <w:sz w:val="32"/>
          <w:szCs w:val="32"/>
          <w:lang w:eastAsia="zh-CN"/>
          <w14:textFill>
            <w14:solidFill>
              <w14:schemeClr w14:val="tx1"/>
            </w14:solidFill>
          </w14:textFill>
        </w:rPr>
        <w:t>，完成泉港区海洋生态修复工程，扶持一批休闲农业示范点建设。</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3" w:firstLineChars="200"/>
        <w:textAlignment w:val="auto"/>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（二）关于需求增长预期目标</w:t>
      </w:r>
    </w:p>
    <w:p>
      <w:pPr>
        <w:keepNext w:val="0"/>
        <w:keepLines w:val="0"/>
        <w:pageBreakBefore w:val="0"/>
        <w:widowControl/>
        <w:numPr>
          <w:ilvl w:val="0"/>
          <w:numId w:val="0"/>
        </w:numPr>
        <w:pBdr>
          <w:bottom w:val="single" w:color="FFFFFF" w:sz="4" w:space="25"/>
        </w:pBdr>
        <w:kinsoku/>
        <w:wordWrap/>
        <w:overflowPunct/>
        <w:topLinePunct w:val="0"/>
        <w:autoSpaceDE/>
        <w:autoSpaceDN/>
        <w:bidi w:val="0"/>
        <w:adjustRightInd/>
        <w:snapToGrid/>
        <w:spacing w:line="556" w:lineRule="exact"/>
        <w:ind w:firstLine="644"/>
        <w:jc w:val="both"/>
        <w:textAlignment w:val="auto"/>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bCs/>
          <w:caps w:val="0"/>
          <w:smallCaps w:val="0"/>
          <w:color w:val="000000" w:themeColor="text1"/>
          <w:spacing w:val="0"/>
          <w:kern w:val="0"/>
          <w:sz w:val="32"/>
          <w:szCs w:val="32"/>
          <w:lang w:val="en-US" w:eastAsia="zh-CN" w:bidi="ar"/>
          <w14:textFill>
            <w14:solidFill>
              <w14:schemeClr w14:val="tx1"/>
            </w14:solidFill>
          </w14:textFill>
        </w:rPr>
        <w:t>固定资产投资增长12%。</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主要考虑：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稳投资是“六稳”的重要内容之一</w:t>
      </w:r>
      <w:r>
        <w:rPr>
          <w:rFonts w:hint="eastAsia" w:ascii="仿宋_GB2312" w:hAnsi="仿宋_GB2312" w:eastAsia="仿宋_GB2312" w:cs="仿宋_GB2312"/>
          <w:caps w:val="0"/>
          <w:small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也是实现高质量发展的重要基础。</w:t>
      </w:r>
      <w:r>
        <w:rPr>
          <w:rFonts w:hint="eastAsia" w:ascii="仿宋_GB2312" w:hAnsi="仿宋_GB2312" w:eastAsia="仿宋_GB2312" w:cs="仿宋_GB2312"/>
          <w:caps w:val="0"/>
          <w:smallCaps w:val="0"/>
          <w:color w:val="000000" w:themeColor="text1"/>
          <w:spacing w:val="0"/>
          <w:sz w:val="32"/>
          <w:szCs w:val="32"/>
          <w:shd w:val="clear" w:color="auto" w:fill="FFFFFF"/>
          <w14:textFill>
            <w14:solidFill>
              <w14:schemeClr w14:val="tx1"/>
            </w14:solidFill>
          </w14:textFill>
        </w:rPr>
        <w:t>我区</w:t>
      </w:r>
      <w:r>
        <w:rPr>
          <w:rFonts w:hint="eastAsia" w:ascii="仿宋_GB2312" w:hAnsi="仿宋_GB2312" w:eastAsia="仿宋_GB2312" w:cs="仿宋_GB2312"/>
          <w:caps w:val="0"/>
          <w:smallCaps w:val="0"/>
          <w:color w:val="000000" w:themeColor="text1"/>
          <w:spacing w:val="0"/>
          <w:sz w:val="32"/>
          <w:szCs w:val="32"/>
          <w:shd w:val="clear" w:color="auto" w:fill="FFFFFF"/>
          <w:lang w:eastAsia="zh-CN"/>
          <w14:textFill>
            <w14:solidFill>
              <w14:schemeClr w14:val="tx1"/>
            </w14:solidFill>
          </w14:textFill>
        </w:rPr>
        <w:t>招商引资</w:t>
      </w:r>
      <w:r>
        <w:rPr>
          <w:rFonts w:hint="eastAsia" w:ascii="仿宋_GB2312" w:hAnsi="仿宋_GB2312" w:eastAsia="仿宋_GB2312" w:cs="仿宋_GB2312"/>
          <w:caps w:val="0"/>
          <w:smallCaps w:val="0"/>
          <w:color w:val="000000" w:themeColor="text1"/>
          <w:spacing w:val="0"/>
          <w:sz w:val="32"/>
          <w:szCs w:val="32"/>
          <w:shd w:val="clear" w:color="auto" w:fill="FFFFFF"/>
          <w14:textFill>
            <w14:solidFill>
              <w14:schemeClr w14:val="tx1"/>
            </w14:solidFill>
          </w14:textFill>
        </w:rPr>
        <w:t>储备了一批重大产业</w:t>
      </w:r>
      <w:r>
        <w:rPr>
          <w:rFonts w:hint="eastAsia" w:ascii="仿宋_GB2312" w:hAnsi="仿宋_GB2312" w:eastAsia="仿宋_GB2312" w:cs="仿宋_GB2312"/>
          <w:caps w:val="0"/>
          <w:smallCaps w:val="0"/>
          <w:color w:val="000000" w:themeColor="text1"/>
          <w:spacing w:val="0"/>
          <w:sz w:val="32"/>
          <w:szCs w:val="32"/>
          <w:shd w:val="clear" w:color="auto" w:fill="FFFFFF"/>
          <w:lang w:eastAsia="zh-CN"/>
          <w14:textFill>
            <w14:solidFill>
              <w14:schemeClr w14:val="tx1"/>
            </w14:solidFill>
          </w14:textFill>
        </w:rPr>
        <w:t>和</w:t>
      </w:r>
      <w:r>
        <w:rPr>
          <w:rFonts w:hint="eastAsia" w:ascii="仿宋_GB2312" w:hAnsi="仿宋_GB2312" w:eastAsia="仿宋_GB2312" w:cs="仿宋_GB2312"/>
          <w:caps w:val="0"/>
          <w:smallCaps w:val="0"/>
          <w:color w:val="000000" w:themeColor="text1"/>
          <w:spacing w:val="0"/>
          <w:sz w:val="32"/>
          <w:szCs w:val="32"/>
          <w:shd w:val="clear" w:color="auto" w:fill="FFFFFF"/>
          <w14:textFill>
            <w14:solidFill>
              <w14:schemeClr w14:val="tx1"/>
            </w14:solidFill>
          </w14:textFill>
        </w:rPr>
        <w:t>基础设施项目，为固定资产投资增长带来支撑。</w:t>
      </w: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社</w:t>
      </w:r>
      <w:r>
        <w:rPr>
          <w:rFonts w:hint="eastAsia" w:ascii="仿宋_GB2312" w:hAnsi="仿宋_GB2312" w:eastAsia="仿宋_GB2312" w:cs="仿宋_GB2312"/>
          <w:b/>
          <w:caps w:val="0"/>
          <w:smallCaps w:val="0"/>
          <w:color w:val="000000" w:themeColor="text1"/>
          <w:spacing w:val="0"/>
          <w:sz w:val="32"/>
          <w:szCs w:val="32"/>
          <w:lang w:eastAsia="zh-CN"/>
          <w14:textFill>
            <w14:solidFill>
              <w14:schemeClr w14:val="tx1"/>
            </w14:solidFill>
          </w14:textFill>
        </w:rPr>
        <w:t>会消费品零售总额增长</w:t>
      </w:r>
      <w:r>
        <w:rPr>
          <w:rFonts w:hint="eastAsia" w:ascii="仿宋_GB2312" w:hAnsi="仿宋_GB2312" w:eastAsia="仿宋_GB2312" w:cs="仿宋_GB2312"/>
          <w:b/>
          <w:caps w:val="0"/>
          <w:smallCaps w:val="0"/>
          <w:color w:val="000000" w:themeColor="text1"/>
          <w:spacing w:val="0"/>
          <w:sz w:val="32"/>
          <w:szCs w:val="32"/>
          <w:lang w:val="en-US" w:eastAsia="zh-CN"/>
          <w14:textFill>
            <w14:solidFill>
              <w14:schemeClr w14:val="tx1"/>
            </w14:solidFill>
          </w14:textFill>
        </w:rPr>
        <w:t>8%，出口商品总值增长8%，实际利用外资持平。</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主要考虑：当前国家大力推动形成以国内大循环为主体、国内国际双循环相互促进的新发展格局，为激活消费潜力、推动出口市场多元化创造有利条件。同时，国亨化学一期</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项目陆续到资、</w:t>
      </w:r>
      <w:r>
        <w:rPr>
          <w:rFonts w:hint="eastAsia" w:ascii="仿宋_GB2312" w:hAnsi="仿宋_GB2312" w:eastAsia="仿宋_GB2312" w:cs="仿宋_GB2312"/>
          <w:color w:val="000000" w:themeColor="text1"/>
          <w:spacing w:val="0"/>
          <w:sz w:val="32"/>
          <w:szCs w:val="32"/>
          <w14:textFill>
            <w14:solidFill>
              <w14:schemeClr w14:val="tx1"/>
            </w14:solidFill>
          </w14:textFill>
        </w:rPr>
        <w:t>普洛斯</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智能</w:t>
      </w:r>
      <w:r>
        <w:rPr>
          <w:rFonts w:hint="eastAsia" w:ascii="仿宋_GB2312" w:hAnsi="仿宋_GB2312" w:eastAsia="仿宋_GB2312" w:cs="仿宋_GB2312"/>
          <w:color w:val="000000" w:themeColor="text1"/>
          <w:spacing w:val="0"/>
          <w:sz w:val="32"/>
          <w:szCs w:val="32"/>
          <w14:textFill>
            <w14:solidFill>
              <w14:schemeClr w14:val="tx1"/>
            </w14:solidFill>
          </w14:textFill>
        </w:rPr>
        <w:t>物流园</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建设为稳定利用外资奠定基础。</w:t>
      </w:r>
    </w:p>
    <w:p>
      <w:pPr>
        <w:keepNext w:val="0"/>
        <w:keepLines w:val="0"/>
        <w:pageBreakBefore w:val="0"/>
        <w:widowControl/>
        <w:numPr>
          <w:ilvl w:val="0"/>
          <w:numId w:val="0"/>
        </w:numPr>
        <w:pBdr>
          <w:bottom w:val="single" w:color="FFFFFF" w:sz="4" w:space="25"/>
        </w:pBdr>
        <w:kinsoku/>
        <w:wordWrap/>
        <w:overflowPunct/>
        <w:topLinePunct w:val="0"/>
        <w:autoSpaceDE/>
        <w:autoSpaceDN/>
        <w:bidi w:val="0"/>
        <w:adjustRightInd/>
        <w:snapToGrid/>
        <w:spacing w:line="556" w:lineRule="exact"/>
        <w:ind w:firstLine="644"/>
        <w:jc w:val="both"/>
        <w:textAlignment w:val="auto"/>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为实现上述目标，</w:t>
      </w: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一要</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开展“项目攻坚</w:t>
      </w:r>
      <w:r>
        <w:rPr>
          <w:rFonts w:hint="eastAsia" w:ascii="仿宋_GB2312" w:hAnsi="仿宋_GB2312" w:eastAsia="仿宋_GB2312" w:cs="仿宋_GB2312"/>
          <w:b/>
          <w:bCs/>
          <w:caps w:val="0"/>
          <w:smallCaps w:val="0"/>
          <w:color w:val="000000" w:themeColor="text1"/>
          <w:spacing w:val="0"/>
          <w:sz w:val="32"/>
          <w:szCs w:val="32"/>
          <w:lang w:val="en-US" w:eastAsia="zh-CN"/>
          <w14:textFill>
            <w14:solidFill>
              <w14:schemeClr w14:val="tx1"/>
            </w14:solidFill>
          </w14:textFill>
        </w:rPr>
        <w:t>2022”活动。</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将重点项目作为稳投资的有力支撑，力争全年完成投</w:t>
      </w:r>
      <w:r>
        <w:rPr>
          <w:rFonts w:hint="eastAsia" w:ascii="仿宋_GB2312" w:hAnsi="仿宋_GB2312" w:eastAsia="仿宋_GB2312" w:cs="仿宋_GB2312"/>
          <w:caps w:val="0"/>
          <w:smallCaps w:val="0"/>
          <w:color w:val="000000" w:themeColor="text1"/>
          <w:spacing w:val="0"/>
          <w:sz w:val="32"/>
          <w:szCs w:val="32"/>
          <w:u w:val="none"/>
          <w14:textFill>
            <w14:solidFill>
              <w14:schemeClr w14:val="tx1"/>
            </w14:solidFill>
          </w14:textFill>
        </w:rPr>
        <w:t>资</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290.37</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亿元以上，新开工建</w:t>
      </w:r>
      <w:r>
        <w:rPr>
          <w:rFonts w:hint="eastAsia" w:ascii="仿宋_GB2312" w:hAnsi="仿宋_GB2312" w:eastAsia="仿宋_GB2312" w:cs="仿宋_GB2312"/>
          <w:caps w:val="0"/>
          <w:smallCaps w:val="0"/>
          <w:color w:val="000000" w:themeColor="text1"/>
          <w:spacing w:val="0"/>
          <w:sz w:val="32"/>
          <w:szCs w:val="32"/>
          <w:u w:val="none"/>
          <w14:textFill>
            <w14:solidFill>
              <w14:schemeClr w14:val="tx1"/>
            </w14:solidFill>
          </w14:textFill>
        </w:rPr>
        <w:t>设项目</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32</w:t>
      </w:r>
      <w:r>
        <w:rPr>
          <w:rFonts w:hint="eastAsia" w:ascii="仿宋_GB2312" w:hAnsi="仿宋_GB2312" w:eastAsia="仿宋_GB2312" w:cs="仿宋_GB2312"/>
          <w:caps w:val="0"/>
          <w:smallCaps w:val="0"/>
          <w:color w:val="000000" w:themeColor="text1"/>
          <w:spacing w:val="0"/>
          <w:sz w:val="32"/>
          <w:szCs w:val="32"/>
          <w:u w:val="none"/>
          <w14:textFill>
            <w14:solidFill>
              <w14:schemeClr w14:val="tx1"/>
            </w14:solidFill>
          </w14:textFill>
        </w:rPr>
        <w:t>个，竣工投产项目</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21</w:t>
      </w:r>
      <w:r>
        <w:rPr>
          <w:rFonts w:hint="eastAsia" w:ascii="仿宋_GB2312" w:hAnsi="仿宋_GB2312" w:eastAsia="仿宋_GB2312" w:cs="仿宋_GB2312"/>
          <w:caps w:val="0"/>
          <w:smallCaps w:val="0"/>
          <w:color w:val="000000" w:themeColor="text1"/>
          <w:spacing w:val="0"/>
          <w:sz w:val="32"/>
          <w:szCs w:val="32"/>
          <w:u w:val="none"/>
          <w14:textFill>
            <w14:solidFill>
              <w14:schemeClr w14:val="tx1"/>
            </w14:solidFill>
          </w14:textFill>
        </w:rPr>
        <w:t>个。</w:t>
      </w:r>
      <w:r>
        <w:rPr>
          <w:rFonts w:hint="eastAsia" w:ascii="仿宋_GB2312" w:hAnsi="仿宋_GB2312" w:eastAsia="仿宋_GB2312" w:cs="仿宋_GB2312"/>
          <w:caps w:val="0"/>
          <w:smallCaps w:val="0"/>
          <w:color w:val="000000" w:themeColor="text1"/>
          <w:spacing w:val="0"/>
          <w:sz w:val="32"/>
          <w:szCs w:val="32"/>
          <w:u w:val="none"/>
          <w:lang w:eastAsia="zh-CN"/>
          <w14:textFill>
            <w14:solidFill>
              <w14:schemeClr w14:val="tx1"/>
            </w14:solidFill>
          </w14:textFill>
        </w:rPr>
        <w:t>其中省级重点项目</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18个，全年计划投资123.35亿元；市级重点项目37个，全年计划投资175亿元。</w:t>
      </w:r>
      <w:r>
        <w:rPr>
          <w:rFonts w:hint="eastAsia" w:ascii="仿宋_GB2312" w:hAnsi="仿宋_GB2312" w:eastAsia="仿宋_GB2312" w:cs="仿宋_GB2312"/>
          <w:b/>
          <w:bCs/>
          <w:caps w:val="0"/>
          <w:smallCaps w:val="0"/>
          <w:color w:val="000000" w:themeColor="text1"/>
          <w:spacing w:val="0"/>
          <w:sz w:val="32"/>
          <w:szCs w:val="32"/>
          <w:u w:val="none"/>
          <w:lang w:eastAsia="zh-CN"/>
          <w14:textFill>
            <w14:solidFill>
              <w14:schemeClr w14:val="tx1"/>
            </w14:solidFill>
          </w14:textFill>
        </w:rPr>
        <w:t>二要</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积极扩大有效投资。</w:t>
      </w:r>
      <w:r>
        <w:rPr>
          <w:rFonts w:hint="eastAsia" w:ascii="仿宋_GB2312" w:hAnsi="仿宋_GB2312" w:eastAsia="仿宋_GB2312" w:cs="仿宋_GB2312"/>
          <w:color w:val="000000" w:themeColor="text1"/>
          <w:spacing w:val="0"/>
          <w:sz w:val="32"/>
          <w:szCs w:val="32"/>
          <w14:textFill>
            <w14:solidFill>
              <w14:schemeClr w14:val="tx1"/>
            </w14:solidFill>
          </w14:textFill>
        </w:rPr>
        <w:t>科学安排房地产用地供应结构、节奏和时序，力促房地产开发投资持续稳定增长。</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加强招商项目促落地工作，力促天辰化工、宇极含氟新材料等一批重大产业项目动工建设，推动佳化化学、钟山化工等一批企业技改扩建。</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实施新一轮补短板工程，加快渔港路二期、尚学路等基础设施项目建设。加快南部截污管道、垃圾中转站、郭厝溪流域综合整治和水体整治、菱溪水库至泉港区供水、污水处理厂二期等项目建设。推动泉港高铁站前广场及配套工程、</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5G</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网络新基建项目建设。</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三要培育和扩大</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消费需求</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加快推进全区大型商超和农贸市场布局规划，统筹推进永嘉天地、百汇、植物园商圈做强做大，引导全区“菜篮子”流通场所高质量发展。</w:t>
      </w:r>
      <w:r>
        <w:rPr>
          <w:rFonts w:hint="eastAsia" w:ascii="仿宋_GB2312" w:hAnsi="仿宋_GB2312" w:eastAsia="仿宋_GB2312" w:cs="仿宋_GB2312"/>
          <w:b w:val="0"/>
          <w:bCs/>
          <w:i w:val="0"/>
          <w:iCs w:val="0"/>
          <w:color w:val="000000" w:themeColor="text1"/>
          <w:spacing w:val="0"/>
          <w:sz w:val="32"/>
          <w:szCs w:val="32"/>
          <w:u w:val="none"/>
          <w:lang w:eastAsia="zh-CN"/>
          <w14:textFill>
            <w14:solidFill>
              <w14:schemeClr w14:val="tx1"/>
            </w14:solidFill>
          </w14:textFill>
        </w:rPr>
        <w:t>推动中心工业区三产扩容提升，</w:t>
      </w:r>
      <w:r>
        <w:rPr>
          <w:rFonts w:hint="eastAsia" w:ascii="仿宋_GB2312" w:hAnsi="仿宋_GB2312" w:eastAsia="仿宋_GB2312" w:cs="仿宋_GB2312"/>
          <w:color w:val="000000" w:themeColor="text1"/>
          <w:sz w:val="32"/>
          <w:szCs w:val="32"/>
          <w14:textFill>
            <w14:solidFill>
              <w14:schemeClr w14:val="tx1"/>
            </w14:solidFill>
          </w14:textFill>
        </w:rPr>
        <w:t>吸引一批国内一线品牌落户我区。大力推动批零住餐、科教文旅等服务性行业实现线上线下融合，</w:t>
      </w:r>
      <w:r>
        <w:rPr>
          <w:rFonts w:hint="eastAsia" w:ascii="仿宋_GB2312" w:hAnsi="仿宋_GB2312" w:eastAsia="仿宋_GB2312" w:cs="仿宋_GB2312"/>
          <w:color w:val="000000" w:themeColor="text1"/>
          <w:sz w:val="32"/>
          <w:szCs w:val="32"/>
          <w:lang w:eastAsia="zh-CN"/>
          <w14:textFill>
            <w14:solidFill>
              <w14:schemeClr w14:val="tx1"/>
            </w14:solidFill>
          </w14:textFill>
        </w:rPr>
        <w:t>继续开展“</w:t>
      </w:r>
      <w:r>
        <w:rPr>
          <w:rFonts w:hint="eastAsia" w:ascii="仿宋_GB2312" w:hAnsi="仿宋_GB2312" w:eastAsia="仿宋_GB2312" w:cs="仿宋_GB2312"/>
          <w:color w:val="000000" w:themeColor="text1"/>
          <w:sz w:val="32"/>
          <w:szCs w:val="32"/>
          <w14:textFill>
            <w14:solidFill>
              <w14:schemeClr w14:val="tx1"/>
            </w14:solidFill>
          </w14:textFill>
        </w:rPr>
        <w:t>全闽乐购县</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乡走透透”“购泉港”等特色</w:t>
      </w:r>
      <w:r>
        <w:rPr>
          <w:rFonts w:hint="eastAsia" w:ascii="仿宋_GB2312" w:hAnsi="仿宋_GB2312" w:eastAsia="仿宋_GB2312" w:cs="仿宋_GB2312"/>
          <w:color w:val="000000" w:themeColor="text1"/>
          <w:sz w:val="32"/>
          <w:szCs w:val="32"/>
          <w:lang w:eastAsia="zh-CN"/>
          <w14:textFill>
            <w14:solidFill>
              <w14:schemeClr w14:val="tx1"/>
            </w14:solidFill>
          </w14:textFill>
        </w:rPr>
        <w:t>促消费活动。</w:t>
      </w:r>
      <w:r>
        <w:rPr>
          <w:rFonts w:hint="eastAsia" w:ascii="仿宋_GB2312" w:hAnsi="仿宋_GB2312" w:eastAsia="仿宋_GB2312" w:cs="仿宋_GB2312"/>
          <w:color w:val="000000" w:themeColor="text1"/>
          <w:sz w:val="32"/>
          <w:szCs w:val="32"/>
          <w14:textFill>
            <w14:solidFill>
              <w14:schemeClr w14:val="tx1"/>
            </w14:solidFill>
          </w14:textFill>
        </w:rPr>
        <w:t>加快商旅文体消费场景融合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大力培育健康运动、新能源汽车等新</w:t>
      </w:r>
      <w:r>
        <w:rPr>
          <w:rFonts w:hint="eastAsia" w:ascii="仿宋_GB2312" w:hAnsi="仿宋_GB2312" w:eastAsia="仿宋_GB2312" w:cs="仿宋_GB2312"/>
          <w:color w:val="000000" w:themeColor="text1"/>
          <w:sz w:val="32"/>
          <w:szCs w:val="32"/>
          <w:lang w:eastAsia="zh-CN"/>
          <w14:textFill>
            <w14:solidFill>
              <w14:schemeClr w14:val="tx1"/>
            </w14:solidFill>
          </w14:textFill>
        </w:rPr>
        <w:t>型热点消费。</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四要稳住外资外贸基本盘。</w:t>
      </w:r>
      <w:r>
        <w:rPr>
          <w:rFonts w:hint="eastAsia" w:ascii="仿宋_GB2312" w:hAnsi="仿宋_GB2312" w:eastAsia="仿宋_GB2312" w:cs="仿宋_GB2312"/>
          <w:color w:val="000000" w:themeColor="text1"/>
          <w:spacing w:val="0"/>
          <w:kern w:val="2"/>
          <w:sz w:val="32"/>
          <w:szCs w:val="32"/>
          <w:lang w:val="en-US" w:eastAsia="zh-CN" w:bidi="ar-SA"/>
          <w14:textFill>
            <w14:solidFill>
              <w14:schemeClr w14:val="tx1"/>
            </w14:solidFill>
          </w14:textFill>
        </w:rPr>
        <w:t>落实鼓励类外商投资项目相关优惠政策，支持台胞企业参与“十四五”规划实施工作，引导外资投向先进制造业、新兴产业、高新技术产业等领域。</w:t>
      </w:r>
      <w:r>
        <w:rPr>
          <w:rFonts w:hint="eastAsia" w:ascii="仿宋_GB2312" w:hAnsi="仿宋_GB2312" w:eastAsia="仿宋_GB2312" w:cs="仿宋_GB2312"/>
          <w:bCs/>
          <w:caps w:val="0"/>
          <w:smallCaps w:val="0"/>
          <w:color w:val="000000" w:themeColor="text1"/>
          <w:spacing w:val="0"/>
          <w:kern w:val="0"/>
          <w:sz w:val="32"/>
          <w:szCs w:val="32"/>
          <w:lang w:eastAsia="zh-CN"/>
          <w14:textFill>
            <w14:solidFill>
              <w14:schemeClr w14:val="tx1"/>
            </w14:solidFill>
          </w14:textFill>
        </w:rPr>
        <w:t>实施产业链精准招商</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加强签约项目跟踪服务，</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重点抓好益海嘉里面粉三期及酵母</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普洛斯物流园</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等重点外资项目履约到资。鼓励进出口企业运用“互联网+海关”、国际贸易“单一窗口”等系统办理海关业务，推动海关政务服务事项“网上办理+不见面审批”，减少疫情防控期间人员接触。</w:t>
      </w:r>
      <w:r>
        <w:rPr>
          <w:rFonts w:hint="eastAsia" w:ascii="仿宋_GB2312" w:hAnsi="仿宋_GB2312" w:eastAsia="仿宋_GB2312" w:cs="仿宋_GB2312"/>
          <w:color w:val="000000" w:themeColor="text1"/>
          <w:spacing w:val="0"/>
          <w:sz w:val="32"/>
          <w:szCs w:val="32"/>
          <w14:textFill>
            <w14:solidFill>
              <w14:schemeClr w14:val="tx1"/>
            </w14:solidFill>
          </w14:textFill>
        </w:rPr>
        <w:t>鼓励恒昂工贸、万家鑫、福海粮油等企业挖掘采购贸易潜力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开拓新兴市场。</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3" w:firstLineChars="200"/>
        <w:textAlignment w:val="auto"/>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（三）关于财政收入预期目标</w:t>
      </w:r>
    </w:p>
    <w:p>
      <w:pPr>
        <w:keepNext w:val="0"/>
        <w:keepLines w:val="0"/>
        <w:pageBreakBefore w:val="0"/>
        <w:pBdr>
          <w:bottom w:val="single" w:color="FFFFFF" w:sz="4" w:space="25"/>
        </w:pBd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一般公共预算总收入</w:t>
      </w:r>
      <w:r>
        <w:rPr>
          <w:rFonts w:hint="eastAsia" w:ascii="仿宋_GB2312" w:hAnsi="仿宋_GB2312" w:eastAsia="仿宋_GB2312" w:cs="仿宋_GB2312"/>
          <w:b/>
          <w:caps w:val="0"/>
          <w:smallCaps w:val="0"/>
          <w:color w:val="000000" w:themeColor="text1"/>
          <w:spacing w:val="0"/>
          <w:sz w:val="32"/>
          <w:szCs w:val="32"/>
          <w:lang w:eastAsia="zh-CN"/>
          <w14:textFill>
            <w14:solidFill>
              <w14:schemeClr w14:val="tx1"/>
            </w14:solidFill>
          </w14:textFill>
        </w:rPr>
        <w:t>增长</w:t>
      </w:r>
      <w:r>
        <w:rPr>
          <w:rFonts w:hint="eastAsia" w:ascii="仿宋_GB2312" w:hAnsi="仿宋_GB2312" w:eastAsia="仿宋_GB2312" w:cs="仿宋_GB2312"/>
          <w:b/>
          <w:caps w:val="0"/>
          <w:small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，一般公共预算收入增长</w:t>
      </w:r>
      <w:r>
        <w:rPr>
          <w:rFonts w:hint="eastAsia" w:ascii="仿宋_GB2312" w:hAnsi="仿宋_GB2312" w:eastAsia="仿宋_GB2312" w:cs="仿宋_GB2312"/>
          <w:b/>
          <w:caps w:val="0"/>
          <w:smallCaps w:val="0"/>
          <w:color w:val="000000" w:themeColor="text1"/>
          <w:spacing w:val="0"/>
          <w:sz w:val="32"/>
          <w:szCs w:val="32"/>
          <w:lang w:val="en-US" w:eastAsia="zh-CN"/>
          <w14:textFill>
            <w14:solidFill>
              <w14:schemeClr w14:val="tx1"/>
            </w14:solidFill>
          </w14:textFill>
        </w:rPr>
        <w:t>3.8</w:t>
      </w: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caps w:val="0"/>
          <w:smallCaps w:val="0"/>
          <w:color w:val="000000" w:themeColor="text1"/>
          <w:spacing w:val="0"/>
          <w:sz w:val="32"/>
          <w:szCs w:val="32"/>
          <w:lang w:eastAsia="zh-CN"/>
          <w14:textFill>
            <w14:solidFill>
              <w14:schemeClr w14:val="tx1"/>
            </w14:solidFill>
          </w14:textFill>
        </w:rPr>
        <w:t>主要考虑：一批重大项目建成投产，企业经济效益逐步提升，为财政增收提供支撑。</w:t>
      </w:r>
      <w:r>
        <w:rPr>
          <w:rFonts w:hint="eastAsia" w:ascii="仿宋_GB2312" w:hAnsi="仿宋_GB2312" w:eastAsia="仿宋_GB2312" w:cs="仿宋_GB2312"/>
          <w:color w:val="000000" w:themeColor="text1"/>
          <w:sz w:val="32"/>
          <w:szCs w:val="32"/>
          <w14:textFill>
            <w14:solidFill>
              <w14:schemeClr w14:val="tx1"/>
            </w14:solidFill>
          </w14:textFill>
        </w:rPr>
        <w:t>按照公共财政“三保”</w:t>
      </w:r>
      <w:r>
        <w:rPr>
          <w:rFonts w:hint="eastAsia" w:ascii="楷体_GB2312" w:hAnsi="楷体_GB2312" w:eastAsia="楷体_GB2312" w:cs="楷体_GB2312"/>
          <w:color w:val="000000" w:themeColor="text1"/>
          <w:sz w:val="28"/>
          <w:szCs w:val="28"/>
          <w14:textFill>
            <w14:solidFill>
              <w14:schemeClr w14:val="tx1"/>
            </w14:solidFill>
          </w14:textFill>
        </w:rPr>
        <w:t>（保基本民生、保工资、保运转）</w:t>
      </w:r>
      <w:r>
        <w:rPr>
          <w:rFonts w:hint="eastAsia" w:ascii="仿宋_GB2312" w:hAnsi="仿宋_GB2312" w:eastAsia="仿宋_GB2312" w:cs="仿宋_GB2312"/>
          <w:color w:val="000000" w:themeColor="text1"/>
          <w:sz w:val="32"/>
          <w:szCs w:val="32"/>
          <w14:textFill>
            <w14:solidFill>
              <w14:schemeClr w14:val="tx1"/>
            </w14:solidFill>
          </w14:textFill>
        </w:rPr>
        <w:t>支出要求，确保民生投入</w:t>
      </w:r>
      <w:r>
        <w:rPr>
          <w:rFonts w:hint="eastAsia" w:ascii="仿宋_GB2312" w:hAnsi="仿宋_GB2312" w:eastAsia="仿宋_GB2312" w:cs="仿宋_GB2312"/>
          <w:color w:val="000000" w:themeColor="text1"/>
          <w:sz w:val="32"/>
          <w:szCs w:val="32"/>
          <w:lang w:eastAsia="zh-CN"/>
          <w14:textFill>
            <w14:solidFill>
              <w14:schemeClr w14:val="tx1"/>
            </w14:solidFill>
          </w14:textFill>
        </w:rPr>
        <w:t>、常态化</w:t>
      </w:r>
      <w:r>
        <w:rPr>
          <w:rFonts w:hint="eastAsia" w:ascii="仿宋_GB2312" w:hAnsi="仿宋_GB2312" w:eastAsia="仿宋_GB2312" w:cs="仿宋_GB2312"/>
          <w:color w:val="000000" w:themeColor="text1"/>
          <w:sz w:val="32"/>
          <w:szCs w:val="32"/>
          <w14:textFill>
            <w14:solidFill>
              <w14:schemeClr w14:val="tx1"/>
            </w14:solidFill>
          </w14:textFill>
        </w:rPr>
        <w:t>疫情防控等必要支出，财政收入必须持续增长。</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caps w:val="0"/>
          <w:smallCaps w:val="0"/>
          <w:color w:val="000000" w:themeColor="text1"/>
          <w:spacing w:val="0"/>
          <w:sz w:val="32"/>
          <w:szCs w:val="32"/>
          <w:lang w:eastAsia="zh-CN"/>
          <w14:textFill>
            <w14:solidFill>
              <w14:schemeClr w14:val="tx1"/>
            </w14:solidFill>
          </w14:textFill>
        </w:rPr>
        <w:t>为实现上述目标，</w:t>
      </w:r>
      <w:r>
        <w:rPr>
          <w:rFonts w:hint="eastAsia" w:ascii="仿宋_GB2312" w:hAnsi="仿宋_GB2312" w:eastAsia="仿宋_GB2312" w:cs="仿宋_GB2312"/>
          <w:b/>
          <w:bCs w:val="0"/>
          <w:caps w:val="0"/>
          <w:smallCaps w:val="0"/>
          <w:color w:val="000000" w:themeColor="text1"/>
          <w:spacing w:val="0"/>
          <w:sz w:val="32"/>
          <w:szCs w:val="32"/>
          <w:lang w:eastAsia="zh-CN"/>
          <w14:textFill>
            <w14:solidFill>
              <w14:schemeClr w14:val="tx1"/>
            </w14:solidFill>
          </w14:textFill>
        </w:rPr>
        <w:t>一要积极挖潜增收。</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加强联合石化、国电、福海等重点税源</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企业跟踪服务</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逐月分析</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重点税种、重点行业和重点企业税收情况，保证主体税源应收尽收。</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二要</w:t>
      </w:r>
      <w:r>
        <w:rPr>
          <w:rFonts w:hint="eastAsia" w:ascii="仿宋_GB2312" w:hAnsi="仿宋_GB2312" w:eastAsia="仿宋_GB2312" w:cs="仿宋_GB2312"/>
          <w:b/>
          <w:caps w:val="0"/>
          <w:smallCaps w:val="0"/>
          <w:color w:val="000000" w:themeColor="text1"/>
          <w:spacing w:val="0"/>
          <w:sz w:val="32"/>
          <w:szCs w:val="32"/>
          <w:lang w:eastAsia="zh-CN"/>
          <w14:textFill>
            <w14:solidFill>
              <w14:schemeClr w14:val="tx1"/>
            </w14:solidFill>
          </w14:textFill>
        </w:rPr>
        <w:t>培植壮大税源</w:t>
      </w:r>
      <w:r>
        <w:rPr>
          <w:rFonts w:hint="eastAsia" w:ascii="仿宋_GB2312" w:hAnsi="仿宋_GB2312" w:eastAsia="仿宋_GB2312" w:cs="仿宋_GB2312"/>
          <w:b/>
          <w:caps w:val="0"/>
          <w:smallCaps w:val="0"/>
          <w:color w:val="000000" w:themeColor="text1"/>
          <w:spacing w:val="0"/>
          <w:kern w:val="2"/>
          <w:sz w:val="32"/>
          <w:szCs w:val="32"/>
          <w:lang w:val="en-US" w:eastAsia="zh-CN" w:bidi="ar-SA"/>
          <w14:textFill>
            <w14:solidFill>
              <w14:schemeClr w14:val="tx1"/>
            </w14:solidFill>
          </w14:textFill>
        </w:rPr>
        <w:t>。</w:t>
      </w:r>
      <w:r>
        <w:rPr>
          <w:rFonts w:hint="eastAsia" w:ascii="仿宋_GB2312" w:hAnsi="仿宋_GB2312" w:eastAsia="仿宋_GB2312" w:cs="仿宋_GB2312"/>
          <w:caps w:val="0"/>
          <w:smallCaps w:val="0"/>
          <w:color w:val="000000" w:themeColor="text1"/>
          <w:spacing w:val="0"/>
          <w:kern w:val="2"/>
          <w:sz w:val="32"/>
          <w:szCs w:val="32"/>
          <w:lang w:val="en-US" w:eastAsia="zh-CN" w:bidi="ar-SA"/>
          <w14:textFill>
            <w14:solidFill>
              <w14:schemeClr w14:val="tx1"/>
            </w14:solidFill>
          </w14:textFill>
        </w:rPr>
        <w:t>加强税收新增长点培育，重点服务推进华特沥青、西建化工等项目落地建设、竣工投产</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。做大做强石化贸易业，进一步拓展外在税源，完善税收奖励政策，加强在建工程项目税票开具监管，</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争取总部经济、销售、物流和建筑业等域外税源回流。</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加强纳税人的辅导和培训，提高企业财务人员的专业化水平，持续推进纳税便利化改革，压缩企业办税时间。</w:t>
      </w:r>
      <w:r>
        <w:rPr>
          <w:rFonts w:hint="eastAsia" w:ascii="仿宋_GB2312" w:hAnsi="仿宋_GB2312" w:eastAsia="仿宋_GB2312" w:cs="仿宋_GB2312"/>
          <w:b/>
          <w:bCs/>
          <w:caps w:val="0"/>
          <w:smallCaps w:val="0"/>
          <w:color w:val="000000" w:themeColor="text1"/>
          <w:spacing w:val="0"/>
          <w:sz w:val="32"/>
          <w:szCs w:val="32"/>
          <w:lang w:val="en-US" w:eastAsia="zh-CN"/>
          <w14:textFill>
            <w14:solidFill>
              <w14:schemeClr w14:val="tx1"/>
            </w14:solidFill>
          </w14:textFill>
        </w:rPr>
        <w:t>三要拓宽筹资渠道。</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完善向上争取资金奖惩机制，主动对接中央和省市资金安排和重点投向，策划实施一批补短板、促发展项目，争取纳入计划盘子。</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继续向上争取发行石化工业区基础设施、科技众创园（二期）和福厦高铁等专项债。</w:t>
      </w:r>
      <w:r>
        <w:rPr>
          <w:rFonts w:hint="eastAsia" w:ascii="仿宋_GB2312" w:eastAsia="仿宋_GB2312"/>
          <w:color w:val="000000" w:themeColor="text1"/>
          <w:sz w:val="32"/>
          <w:szCs w:val="32"/>
          <w14:textFill>
            <w14:solidFill>
              <w14:schemeClr w14:val="tx1"/>
            </w14:solidFill>
          </w14:textFill>
        </w:rPr>
        <w:t>加快文旅开发公司、大众公交公司等国企资产重组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优化国有企业融资，综合运用公司债券、中期票据、融资租赁等金融工具，打好国有企业融资</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组合拳</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snapToGrid/>
        <w:spacing w:line="556" w:lineRule="exact"/>
        <w:ind w:firstLine="643" w:firstLineChars="200"/>
        <w:textAlignment w:val="auto"/>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（四）关于民生改善预期目标</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spacing w:line="556"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居民人均可支配收入增长</w:t>
      </w:r>
      <w:r>
        <w:rPr>
          <w:rFonts w:hint="eastAsia" w:ascii="仿宋_GB2312" w:hAnsi="仿宋_GB2312" w:eastAsia="仿宋_GB2312" w:cs="仿宋_GB2312"/>
          <w:b/>
          <w:caps w:val="0"/>
          <w:smallCaps w:val="0"/>
          <w:color w:val="000000" w:themeColor="text1"/>
          <w:spacing w:val="0"/>
          <w:sz w:val="32"/>
          <w:szCs w:val="32"/>
          <w:lang w:val="en-US" w:eastAsia="zh-CN"/>
          <w14:textFill>
            <w14:solidFill>
              <w14:schemeClr w14:val="tx1"/>
            </w14:solidFill>
          </w14:textFill>
        </w:rPr>
        <w:t>7.5</w:t>
      </w:r>
      <w:r>
        <w:rPr>
          <w:rFonts w:hint="eastAsia" w:ascii="仿宋_GB2312" w:hAnsi="仿宋_GB2312" w:eastAsia="仿宋_GB2312" w:cs="仿宋_GB2312"/>
          <w:b/>
          <w:caps w:val="0"/>
          <w:small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bCs w:val="0"/>
          <w:caps w:val="0"/>
          <w:smallCaps w:val="0"/>
          <w:color w:val="000000" w:themeColor="text1"/>
          <w:spacing w:val="0"/>
          <w:kern w:val="0"/>
          <w:sz w:val="32"/>
          <w:szCs w:val="32"/>
          <w14:textFill>
            <w14:solidFill>
              <w14:schemeClr w14:val="tx1"/>
            </w14:solidFill>
          </w14:textFill>
        </w:rPr>
        <w:t>办好</w:t>
      </w:r>
      <w:r>
        <w:rPr>
          <w:rFonts w:hint="eastAsia" w:ascii="仿宋_GB2312" w:hAnsi="仿宋_GB2312" w:eastAsia="仿宋_GB2312" w:cs="仿宋_GB2312"/>
          <w:b/>
          <w:bCs w:val="0"/>
          <w:caps w:val="0"/>
          <w:smallCaps w:val="0"/>
          <w:color w:val="000000" w:themeColor="text1"/>
          <w:spacing w:val="0"/>
          <w:kern w:val="0"/>
          <w:sz w:val="32"/>
          <w:szCs w:val="32"/>
          <w:u w:val="none"/>
          <w:lang w:val="en-US" w:eastAsia="zh-CN"/>
          <w14:textFill>
            <w14:solidFill>
              <w14:schemeClr w14:val="tx1"/>
            </w14:solidFill>
          </w14:textFill>
        </w:rPr>
        <w:t>8类31项</w:t>
      </w:r>
      <w:r>
        <w:rPr>
          <w:rFonts w:hint="eastAsia" w:ascii="仿宋_GB2312" w:hAnsi="仿宋_GB2312" w:eastAsia="仿宋_GB2312" w:cs="仿宋_GB2312"/>
          <w:b/>
          <w:bCs w:val="0"/>
          <w:caps w:val="0"/>
          <w:smallCaps w:val="0"/>
          <w:color w:val="000000" w:themeColor="text1"/>
          <w:spacing w:val="0"/>
          <w:kern w:val="0"/>
          <w:sz w:val="32"/>
          <w:szCs w:val="32"/>
          <w14:textFill>
            <w14:solidFill>
              <w14:schemeClr w14:val="tx1"/>
            </w14:solidFill>
          </w14:textFill>
        </w:rPr>
        <w:t>为民实事项目</w:t>
      </w:r>
      <w:r>
        <w:rPr>
          <w:rFonts w:hint="eastAsia" w:ascii="仿宋_GB2312" w:hAnsi="仿宋_GB2312" w:eastAsia="仿宋_GB2312" w:cs="仿宋_GB2312"/>
          <w:b/>
          <w:bCs w:val="0"/>
          <w:caps w:val="0"/>
          <w:small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caps w:val="0"/>
          <w:smallCaps w:val="0"/>
          <w:color w:val="000000" w:themeColor="text1"/>
          <w:spacing w:val="0"/>
          <w:kern w:val="0"/>
          <w:sz w:val="32"/>
          <w:szCs w:val="32"/>
          <w:lang w:eastAsia="zh-CN"/>
          <w14:textFill>
            <w14:solidFill>
              <w14:schemeClr w14:val="tx1"/>
            </w14:solidFill>
          </w14:textFill>
        </w:rPr>
        <w:t>主要考虑：</w:t>
      </w:r>
      <w:r>
        <w:rPr>
          <w:rFonts w:hint="eastAsia" w:ascii="仿宋_GB2312" w:hAnsi="仿宋_GB2312" w:eastAsia="仿宋_GB2312" w:cs="仿宋_GB2312"/>
          <w:b/>
          <w:bCs/>
          <w:caps w:val="0"/>
          <w:smallCaps w:val="0"/>
          <w:color w:val="000000" w:themeColor="text1"/>
          <w:spacing w:val="0"/>
          <w:kern w:val="0"/>
          <w:sz w:val="32"/>
          <w:szCs w:val="32"/>
          <w:lang w:eastAsia="zh-CN"/>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受益于惠民政策的连续出台和居民增收渠道的拓宽，居民人均财产和转移净收入预计平稳增长</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着力解决群众关注重点问题，推进“四心”工程，实施XIN行动，最大限度补齐民生短板、保障民生。</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spacing w:line="556" w:lineRule="exact"/>
        <w:ind w:firstLine="640" w:firstLineChars="200"/>
        <w:textAlignment w:val="auto"/>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为实现上述目标，</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一要强化就业优先政策。</w:t>
      </w:r>
      <w:r>
        <w:rPr>
          <w:rFonts w:hint="eastAsia" w:ascii="仿宋_GB2312" w:eastAsia="仿宋_GB2312"/>
          <w:color w:val="000000" w:themeColor="text1"/>
          <w:sz w:val="32"/>
          <w:szCs w:val="32"/>
          <w14:textFill>
            <w14:solidFill>
              <w14:schemeClr w14:val="tx1"/>
            </w14:solidFill>
          </w14:textFill>
        </w:rPr>
        <w:t>发挥好稳就业补</w:t>
      </w:r>
      <w:r>
        <w:rPr>
          <w:rFonts w:hint="eastAsia" w:ascii="仿宋_GB2312" w:eastAsia="仿宋_GB2312"/>
          <w:color w:val="000000" w:themeColor="text1"/>
          <w:spacing w:val="6"/>
          <w:sz w:val="32"/>
          <w:szCs w:val="32"/>
          <w14:textFill>
            <w14:solidFill>
              <w14:schemeClr w14:val="tx1"/>
            </w14:solidFill>
          </w14:textFill>
        </w:rPr>
        <w:t>贴政策的正向激励，鼓励企业吸纳就业</w:t>
      </w:r>
      <w:r>
        <w:rPr>
          <w:rFonts w:hint="eastAsia" w:ascii="仿宋_GB2312" w:eastAsia="仿宋_GB2312"/>
          <w:color w:val="000000" w:themeColor="text1"/>
          <w:spacing w:val="6"/>
          <w:sz w:val="32"/>
          <w:szCs w:val="32"/>
          <w:lang w:eastAsia="zh-CN"/>
          <w14:textFill>
            <w14:solidFill>
              <w14:schemeClr w14:val="tx1"/>
            </w14:solidFill>
          </w14:textFill>
        </w:rPr>
        <w:t>、稳岗稳产。</w:t>
      </w:r>
      <w:r>
        <w:rPr>
          <w:rFonts w:hint="eastAsia" w:ascii="仿宋_GB2312" w:eastAsia="仿宋_GB2312"/>
          <w:color w:val="000000" w:themeColor="text1"/>
          <w:spacing w:val="6"/>
          <w:sz w:val="32"/>
          <w:szCs w:val="32"/>
          <w14:textFill>
            <w14:solidFill>
              <w14:schemeClr w14:val="tx1"/>
            </w14:solidFill>
          </w14:textFill>
        </w:rPr>
        <w:t>全面推行“</w:t>
      </w:r>
      <w:r>
        <w:rPr>
          <w:rFonts w:hint="eastAsia" w:ascii="仿宋_GB2312" w:eastAsia="仿宋_GB2312"/>
          <w:color w:val="000000" w:themeColor="text1"/>
          <w:spacing w:val="6"/>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小时灵活就业”智慧服务平台，重点提供家政服务、养老护理、托幼、网约配送、保安、电商、妇女手工等就业岗位，进一步拓宽灵活就业渠道。推行电子培训券，持续</w:t>
      </w:r>
      <w:r>
        <w:rPr>
          <w:rFonts w:ascii="仿宋_GB2312" w:eastAsia="仿宋_GB2312"/>
          <w:color w:val="000000" w:themeColor="text1"/>
          <w:sz w:val="32"/>
          <w:szCs w:val="32"/>
          <w14:textFill>
            <w14:solidFill>
              <w14:schemeClr w14:val="tx1"/>
            </w14:solidFill>
          </w14:textFill>
        </w:rPr>
        <w:t>加大职业技能培训力度，</w:t>
      </w:r>
      <w:r>
        <w:rPr>
          <w:rFonts w:hint="eastAsia" w:ascii="仿宋_GB2312" w:eastAsia="仿宋_GB2312"/>
          <w:color w:val="000000" w:themeColor="text1"/>
          <w:spacing w:val="-7"/>
          <w:sz w:val="32"/>
          <w:szCs w:val="32"/>
          <w14:textFill>
            <w14:solidFill>
              <w14:schemeClr w14:val="tx1"/>
            </w14:solidFill>
          </w14:textFill>
        </w:rPr>
        <w:t>突出抓好</w:t>
      </w:r>
      <w:r>
        <w:rPr>
          <w:rFonts w:hint="eastAsia" w:ascii="仿宋_GB2312" w:eastAsia="仿宋_GB2312"/>
          <w:color w:val="000000" w:themeColor="text1"/>
          <w:spacing w:val="-7"/>
          <w:sz w:val="32"/>
          <w:szCs w:val="32"/>
          <w:lang w:eastAsia="zh-CN"/>
          <w14:textFill>
            <w14:solidFill>
              <w14:schemeClr w14:val="tx1"/>
            </w14:solidFill>
          </w14:textFill>
        </w:rPr>
        <w:t>征迁群众、</w:t>
      </w:r>
      <w:r>
        <w:rPr>
          <w:rFonts w:hint="eastAsia" w:ascii="仿宋_GB2312" w:eastAsia="仿宋_GB2312"/>
          <w:color w:val="000000" w:themeColor="text1"/>
          <w:spacing w:val="-7"/>
          <w:sz w:val="32"/>
          <w:szCs w:val="32"/>
          <w14:textFill>
            <w14:solidFill>
              <w14:schemeClr w14:val="tx1"/>
            </w14:solidFill>
          </w14:textFill>
        </w:rPr>
        <w:t>高校毕业生、退役军人等重点群体就业</w:t>
      </w:r>
      <w:r>
        <w:rPr>
          <w:rFonts w:ascii="仿宋_GB2312" w:eastAsia="仿宋_GB2312"/>
          <w:color w:val="000000" w:themeColor="text1"/>
          <w:spacing w:val="-7"/>
          <w:sz w:val="32"/>
          <w:szCs w:val="32"/>
          <w14:textFill>
            <w14:solidFill>
              <w14:schemeClr w14:val="tx1"/>
            </w14:solidFill>
          </w14:textFill>
        </w:rPr>
        <w:t>。</w:t>
      </w:r>
      <w:r>
        <w:rPr>
          <w:rFonts w:hint="eastAsia" w:ascii="仿宋_GB2312" w:hAnsi="仿宋_GB2312" w:eastAsia="仿宋_GB2312" w:cs="仿宋_GB2312"/>
          <w:b/>
          <w:bCs/>
          <w:caps w:val="0"/>
          <w:smallCaps w:val="0"/>
          <w:color w:val="000000" w:themeColor="text1"/>
          <w:spacing w:val="-7"/>
          <w:sz w:val="32"/>
          <w:szCs w:val="32"/>
          <w:lang w:eastAsia="zh-CN"/>
          <w14:textFill>
            <w14:solidFill>
              <w14:schemeClr w14:val="tx1"/>
            </w14:solidFill>
          </w14:textFill>
        </w:rPr>
        <w:t>二要</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补齐民生社会事业短板。</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扩大优质教育资源供给，</w:t>
      </w:r>
      <w:r>
        <w:rPr>
          <w:rStyle w:val="35"/>
          <w:rFonts w:hint="eastAsia" w:ascii="仿宋_GB2312"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持续推进</w:t>
      </w:r>
      <w:r>
        <w:rPr>
          <w:rStyle w:val="35"/>
          <w:rFonts w:hint="eastAsia" w:ascii="仿宋_GB2312"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10个</w:t>
      </w:r>
      <w:r>
        <w:rPr>
          <w:rStyle w:val="35"/>
          <w:rFonts w:hint="eastAsia" w:ascii="仿宋_GB2312"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教育项目建设，新增学位</w:t>
      </w:r>
      <w:r>
        <w:rPr>
          <w:rStyle w:val="35"/>
          <w:rFonts w:hint="eastAsia" w:ascii="仿宋_GB2312" w:hAnsi="仿宋_GB2312" w:eastAsia="仿宋_GB2312" w:cs="仿宋_GB2312"/>
          <w:b w:val="0"/>
          <w:i w:val="0"/>
          <w:caps w:val="0"/>
          <w:color w:val="000000" w:themeColor="text1"/>
          <w:spacing w:val="0"/>
          <w:w w:val="100"/>
          <w:kern w:val="0"/>
          <w:sz w:val="32"/>
          <w:szCs w:val="32"/>
          <w:u w:val="none"/>
          <w:lang w:val="en-US" w:eastAsia="zh-CN" w:bidi="ar-SA"/>
          <w14:textFill>
            <w14:solidFill>
              <w14:schemeClr w14:val="tx1"/>
            </w14:solidFill>
          </w14:textFill>
        </w:rPr>
        <w:t>8000</w:t>
      </w:r>
      <w:r>
        <w:rPr>
          <w:rStyle w:val="35"/>
          <w:rFonts w:hint="eastAsia" w:ascii="仿宋_GB2312" w:hAnsi="仿宋_GB2312" w:eastAsia="仿宋_GB2312" w:cs="仿宋_GB2312"/>
          <w:b w:val="0"/>
          <w:i w:val="0"/>
          <w:caps w:val="0"/>
          <w:color w:val="000000" w:themeColor="text1"/>
          <w:spacing w:val="0"/>
          <w:w w:val="100"/>
          <w:kern w:val="0"/>
          <w:sz w:val="32"/>
          <w:szCs w:val="32"/>
          <w:lang w:val="en-US" w:eastAsia="zh-CN" w:bidi="ar-SA"/>
          <w14:textFill>
            <w14:solidFill>
              <w14:schemeClr w14:val="tx1"/>
            </w14:solidFill>
          </w14:textFill>
        </w:rPr>
        <w:t>个以上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。推动学前教育普惠优质发展，优质示范园覆盖率占比达45%以上，普惠性幼儿园在园幼儿占比巩固90%以上。推进城乡教育共同体，支持中小学学校达标晋级、标准化创建。</w:t>
      </w:r>
      <w:r>
        <w:rPr>
          <w:rFonts w:hint="eastAsia" w:ascii="仿宋_GB2312" w:eastAsia="仿宋_GB2312" w:cs="Calibri"/>
          <w:color w:val="000000" w:themeColor="text1"/>
          <w:kern w:val="2"/>
          <w:sz w:val="32"/>
          <w:szCs w:val="32"/>
          <w:lang w:val="en-US" w:eastAsia="zh-CN" w:bidi="ar-SA"/>
          <w14:textFill>
            <w14:solidFill>
              <w14:schemeClr w14:val="tx1"/>
            </w14:solidFill>
          </w14:textFill>
        </w:rPr>
        <w:t>支持</w:t>
      </w:r>
      <w:r>
        <w:rPr>
          <w:rFonts w:hint="eastAsia" w:ascii="仿宋_GB2312" w:hAnsi="Calibri" w:eastAsia="仿宋_GB2312" w:cs="Calibri"/>
          <w:color w:val="000000" w:themeColor="text1"/>
          <w:kern w:val="2"/>
          <w:sz w:val="32"/>
          <w:szCs w:val="32"/>
          <w:lang w:val="en-US" w:eastAsia="zh-CN" w:bidi="ar-SA"/>
          <w14:textFill>
            <w14:solidFill>
              <w14:schemeClr w14:val="tx1"/>
            </w14:solidFill>
          </w14:textFill>
        </w:rPr>
        <w:t>泉港职专高起点办学，</w:t>
      </w:r>
      <w:r>
        <w:rPr>
          <w:rStyle w:val="35"/>
          <w:rFonts w:hint="eastAsia" w:ascii="仿宋_GB2312" w:hAnsi="仿宋_GB2312" w:eastAsia="仿宋_GB2312" w:cs="仿宋_GB2312"/>
          <w:b w:val="0"/>
          <w:bCs w:val="0"/>
          <w:i w:val="0"/>
          <w:caps w:val="0"/>
          <w:color w:val="000000" w:themeColor="text1"/>
          <w:spacing w:val="0"/>
          <w:w w:val="100"/>
          <w:kern w:val="0"/>
          <w:sz w:val="32"/>
          <w:szCs w:val="32"/>
          <w:lang w:val="en-US" w:eastAsia="zh-CN" w:bidi="ar-SA"/>
          <w14:textFill>
            <w14:solidFill>
              <w14:schemeClr w14:val="tx1"/>
            </w14:solidFill>
          </w14:textFill>
        </w:rPr>
        <w:t>加强与国家开放大学、福大石化学院、石化园区等机构合作办学，开展企业“订单培养”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建立健全疫情防控和经济社会发展中长期协调机制，全面提升流行病学调查、检测治疗等能力，有序推进新冠病毒疫苗接种。推动公立医院扩容提质，落实分级诊疗，推动解决群众看病难看病贵问题。加快</w:t>
      </w:r>
      <w:r>
        <w:rPr>
          <w:rFonts w:hint="eastAsia" w:ascii="仿宋_GB2312" w:hAnsi="仿宋_GB2312" w:eastAsia="仿宋_GB2312" w:cs="仿宋_GB2312"/>
          <w:color w:val="000000" w:themeColor="text1"/>
          <w:sz w:val="32"/>
          <w:szCs w:val="32"/>
          <w:lang w:eastAsia="zh-CN"/>
          <w14:textFill>
            <w14:solidFill>
              <w14:schemeClr w14:val="tx1"/>
            </w14:solidFill>
          </w14:textFill>
        </w:rPr>
        <w:t>推进泉港传染病楼建设，抓紧完成妇幼保健院迁址重建项目的清算工作，争取尽快复工建设，</w:t>
      </w:r>
      <w:r>
        <w:rPr>
          <w:rFonts w:hint="eastAsia" w:ascii="仿宋_GB2312" w:hAnsi="仿宋_GB2312" w:eastAsia="仿宋_GB2312" w:cs="仿宋_GB2312"/>
          <w:color w:val="000000" w:themeColor="text1"/>
          <w:sz w:val="32"/>
          <w:szCs w:val="32"/>
          <w14:textFill>
            <w14:solidFill>
              <w14:schemeClr w14:val="tx1"/>
            </w14:solidFill>
          </w14:textFill>
        </w:rPr>
        <w:t>启动</w:t>
      </w:r>
      <w:r>
        <w:rPr>
          <w:rFonts w:hint="eastAsia" w:ascii="仿宋_GB2312" w:hAnsi="仿宋_GB2312" w:eastAsia="仿宋_GB2312" w:cs="仿宋_GB2312"/>
          <w:color w:val="000000" w:themeColor="text1"/>
          <w:sz w:val="32"/>
          <w:szCs w:val="32"/>
          <w:lang w:eastAsia="zh-CN"/>
          <w14:textFill>
            <w14:solidFill>
              <w14:schemeClr w14:val="tx1"/>
            </w14:solidFill>
          </w14:textFill>
        </w:rPr>
        <w:t>后龙卫生院、峰尾卫生院选址重建项目。依托</w:t>
      </w:r>
      <w:r>
        <w:rPr>
          <w:rFonts w:hint="eastAsia" w:ascii="仿宋_GB2312" w:hAnsi="仿宋_GB2312" w:eastAsia="仿宋_GB2312" w:cs="仿宋_GB2312"/>
          <w:color w:val="000000" w:themeColor="text1"/>
          <w:sz w:val="32"/>
          <w:szCs w:val="32"/>
          <w14:textFill>
            <w14:solidFill>
              <w14:schemeClr w14:val="tx1"/>
            </w14:solidFill>
          </w14:textFill>
        </w:rPr>
        <w:t>福医大附一医</w:t>
      </w:r>
      <w:r>
        <w:rPr>
          <w:rFonts w:hint="eastAsia" w:ascii="仿宋_GB2312" w:hAnsi="仿宋_GB2312" w:eastAsia="仿宋_GB2312" w:cs="仿宋_GB2312"/>
          <w:color w:val="000000" w:themeColor="text1"/>
          <w:sz w:val="32"/>
          <w:szCs w:val="32"/>
          <w:lang w:eastAsia="zh-CN"/>
          <w14:textFill>
            <w14:solidFill>
              <w14:schemeClr w14:val="tx1"/>
            </w14:solidFill>
          </w14:textFill>
        </w:rPr>
        <w:t>资源</w:t>
      </w:r>
      <w:r>
        <w:rPr>
          <w:rFonts w:hint="eastAsia" w:ascii="仿宋_GB2312" w:hAnsi="仿宋_GB2312" w:eastAsia="仿宋_GB2312" w:cs="仿宋_GB2312"/>
          <w:color w:val="000000" w:themeColor="text1"/>
          <w:sz w:val="32"/>
          <w:szCs w:val="32"/>
          <w14:textFill>
            <w14:solidFill>
              <w14:schemeClr w14:val="tx1"/>
            </w14:solidFill>
          </w14:textFill>
        </w:rPr>
        <w:t>，实施“名医带徒”工程，培养一批本土化技术骨干</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实施文化惠民工程，全面构建公共文化服务网络。</w:t>
      </w:r>
      <w:r>
        <w:rPr>
          <w:rFonts w:hint="eastAsia" w:ascii="仿宋_GB2312" w:eastAsia="仿宋_GB2312"/>
          <w:color w:val="000000" w:themeColor="text1"/>
          <w:sz w:val="32"/>
          <w:szCs w:val="32"/>
          <w:lang w:eastAsia="zh-CN"/>
          <w14:textFill>
            <w14:solidFill>
              <w14:schemeClr w14:val="tx1"/>
            </w14:solidFill>
          </w14:textFill>
        </w:rPr>
        <w:t>完善全民健身设施网络，</w:t>
      </w:r>
      <w:r>
        <w:rPr>
          <w:rStyle w:val="35"/>
          <w:rFonts w:hint="eastAsia" w:ascii="仿宋_GB2312" w:hAnsi="仿宋_GB2312" w:eastAsia="仿宋_GB2312"/>
          <w:color w:val="000000" w:themeColor="text1"/>
          <w:kern w:val="0"/>
          <w:sz w:val="32"/>
          <w:szCs w:val="32"/>
          <w:lang w:val="en-US" w:eastAsia="zh-CN" w:bidi="ar-SA"/>
          <w14:textFill>
            <w14:solidFill>
              <w14:schemeClr w14:val="tx1"/>
            </w14:solidFill>
          </w14:textFill>
        </w:rPr>
        <w:t>举办泉港区第十届全民健身运动会。</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实施社会服务设施兜底线工程。</w:t>
      </w:r>
      <w:r>
        <w:rPr>
          <w:rFonts w:hint="eastAsia" w:ascii="仿宋_GB2312" w:hAnsi="仿宋_GB2312" w:eastAsia="仿宋_GB2312" w:cs="仿宋_GB2312"/>
          <w:caps w:val="0"/>
          <w:smallCaps w:val="0"/>
          <w:color w:val="000000" w:themeColor="text1"/>
          <w:spacing w:val="0"/>
          <w:sz w:val="32"/>
          <w:szCs w:val="32"/>
          <w:u w:val="none"/>
          <w:lang w:eastAsia="zh-CN"/>
          <w14:textFill>
            <w14:solidFill>
              <w14:schemeClr w14:val="tx1"/>
            </w14:solidFill>
          </w14:textFill>
        </w:rPr>
        <w:t>实施全民参保计划，稳步推进精准扩面，全年新增“五险”参保人数</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1.3</w:t>
      </w:r>
      <w:r>
        <w:rPr>
          <w:rFonts w:hint="eastAsia" w:ascii="仿宋_GB2312" w:hAnsi="仿宋_GB2312" w:eastAsia="仿宋_GB2312" w:cs="仿宋_GB2312"/>
          <w:caps w:val="0"/>
          <w:smallCaps w:val="0"/>
          <w:color w:val="000000" w:themeColor="text1"/>
          <w:spacing w:val="0"/>
          <w:sz w:val="32"/>
          <w:szCs w:val="32"/>
          <w:u w:val="none"/>
          <w:lang w:eastAsia="zh-CN"/>
          <w14:textFill>
            <w14:solidFill>
              <w14:schemeClr w14:val="tx1"/>
            </w14:solidFill>
          </w14:textFill>
        </w:rPr>
        <w:t>万人以上。发展普惠型养老服务和互助性养老，新增养老床位</w:t>
      </w:r>
      <w:r>
        <w:rPr>
          <w:rFonts w:hint="eastAsia" w:ascii="仿宋_GB2312" w:hAnsi="仿宋_GB2312" w:eastAsia="仿宋_GB2312" w:cs="仿宋_GB2312"/>
          <w:caps w:val="0"/>
          <w:smallCaps w:val="0"/>
          <w:color w:val="000000" w:themeColor="text1"/>
          <w:spacing w:val="0"/>
          <w:sz w:val="32"/>
          <w:szCs w:val="32"/>
          <w:u w:val="none"/>
          <w:lang w:val="en-US" w:eastAsia="zh-CN"/>
          <w14:textFill>
            <w14:solidFill>
              <w14:schemeClr w14:val="tx1"/>
            </w14:solidFill>
          </w14:textFill>
        </w:rPr>
        <w:t>250</w:t>
      </w:r>
      <w:r>
        <w:rPr>
          <w:rFonts w:hint="eastAsia" w:ascii="仿宋_GB2312" w:hAnsi="仿宋_GB2312" w:eastAsia="仿宋_GB2312" w:cs="仿宋_GB2312"/>
          <w:caps w:val="0"/>
          <w:smallCaps w:val="0"/>
          <w:color w:val="000000" w:themeColor="text1"/>
          <w:spacing w:val="0"/>
          <w:sz w:val="32"/>
          <w:szCs w:val="32"/>
          <w:u w:val="none"/>
          <w:lang w:eastAsia="zh-CN"/>
          <w14:textFill>
            <w14:solidFill>
              <w14:schemeClr w14:val="tx1"/>
            </w14:solidFill>
          </w14:textFill>
        </w:rPr>
        <w:t>张</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。完善三孩生育配套支持措施，千方百计降低生育、养育、教育成本。关爱留守老人儿童，实施新一轮妇女儿童“两纲”。加强社会救助兜底保障，发展好残疾人事业、社会福利慈善事业。</w:t>
      </w:r>
    </w:p>
    <w:p>
      <w:pPr>
        <w:pBdr>
          <w:bottom w:val="single" w:color="FFFFFF" w:sz="4" w:space="25"/>
        </w:pBdr>
        <w:spacing w:line="580" w:lineRule="exact"/>
        <w:ind w:firstLine="643" w:firstLineChars="200"/>
        <w:rPr>
          <w:rFonts w:hint="eastAsia" w:ascii="仿宋_GB2312" w:hAnsi="仿宋_GB2312" w:eastAsia="仿宋_GB2312" w:cs="仿宋_GB2312"/>
          <w:caps w:val="0"/>
          <w:smallCaps w:val="0"/>
          <w:color w:val="000000" w:themeColor="text1"/>
          <w:spacing w:val="0"/>
          <w:kern w:val="0"/>
          <w:sz w:val="32"/>
          <w:szCs w:val="32"/>
          <w:lang w:val="en-US" w:eastAsia="zh-CN"/>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w:t>
      </w:r>
      <w:r>
        <w:rPr>
          <w:rFonts w:hint="eastAsia" w:ascii="方正楷体_GBK" w:hAnsi="方正楷体_GBK" w:eastAsia="方正楷体_GBK" w:cs="方正楷体_GBK"/>
          <w:b/>
          <w:bCs/>
          <w:caps w:val="0"/>
          <w:smallCaps w:val="0"/>
          <w:color w:val="000000" w:themeColor="text1"/>
          <w:spacing w:val="0"/>
          <w:kern w:val="0"/>
          <w:sz w:val="32"/>
          <w:szCs w:val="32"/>
          <w:lang w:val="en-US" w:eastAsia="zh-CN"/>
          <w14:textFill>
            <w14:solidFill>
              <w14:schemeClr w14:val="tx1"/>
            </w14:solidFill>
          </w14:textFill>
        </w:rPr>
        <w:t>五</w:t>
      </w: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w:t>
      </w:r>
      <w:r>
        <w:rPr>
          <w:rFonts w:hint="eastAsia" w:ascii="方正楷体_GBK" w:hAnsi="方正楷体_GBK" w:eastAsia="方正楷体_GBK" w:cs="方正楷体_GBK"/>
          <w:b/>
          <w:bCs/>
          <w:caps w:val="0"/>
          <w:smallCaps w:val="0"/>
          <w:color w:val="000000" w:themeColor="text1"/>
          <w:spacing w:val="0"/>
          <w:kern w:val="0"/>
          <w:sz w:val="32"/>
          <w:szCs w:val="32"/>
          <w:lang w:val="en-US" w:eastAsia="zh-CN"/>
          <w14:textFill>
            <w14:solidFill>
              <w14:schemeClr w14:val="tx1"/>
            </w14:solidFill>
          </w14:textFill>
        </w:rPr>
        <w:t>关于城乡统筹</w:t>
      </w:r>
      <w:r>
        <w:rPr>
          <w:rFonts w:hint="eastAsia" w:ascii="方正楷体_GBK" w:hAnsi="方正楷体_GBK" w:eastAsia="方正楷体_GBK" w:cs="方正楷体_GBK"/>
          <w:b/>
          <w:bCs/>
          <w:caps w:val="0"/>
          <w:smallCaps w:val="0"/>
          <w:color w:val="000000" w:themeColor="text1"/>
          <w:spacing w:val="0"/>
          <w:kern w:val="2"/>
          <w:sz w:val="32"/>
          <w:szCs w:val="32"/>
          <w:lang w:val="en-US" w:eastAsia="zh-CN"/>
          <w14:textFill>
            <w14:solidFill>
              <w14:schemeClr w14:val="tx1"/>
            </w14:solidFill>
          </w14:textFill>
        </w:rPr>
        <w:t>重点任务</w:t>
      </w:r>
      <w:r>
        <w:rPr>
          <w:rFonts w:hint="eastAsia" w:ascii="楷体_GB2312" w:hAnsi="楷体_GB2312" w:eastAsia="楷体_GB2312" w:cs="楷体_GB2312"/>
          <w:b/>
          <w:bCs/>
          <w:caps w:val="0"/>
          <w:smallCaps w:val="0"/>
          <w:color w:val="000000" w:themeColor="text1"/>
          <w:spacing w:val="0"/>
          <w:kern w:val="2"/>
          <w:sz w:val="32"/>
          <w:szCs w:val="32"/>
          <w:lang w:val="en-US" w:eastAsia="zh-CN"/>
          <w14:textFill>
            <w14:solidFill>
              <w14:schemeClr w14:val="tx1"/>
            </w14:solidFill>
          </w14:textFill>
        </w:rPr>
        <w:t>。</w:t>
      </w:r>
      <w:r>
        <w:rPr>
          <w:rFonts w:hint="eastAsia" w:ascii="方正仿宋_GBK" w:hAnsi="方正仿宋_GBK" w:eastAsia="方正仿宋_GBK" w:cs="方正仿宋_GBK"/>
          <w:b/>
          <w:bCs/>
          <w:caps w:val="0"/>
          <w:smallCaps w:val="0"/>
          <w:color w:val="000000" w:themeColor="text1"/>
          <w:spacing w:val="0"/>
          <w:sz w:val="32"/>
          <w:szCs w:val="32"/>
          <w:lang w:val="en-US" w:eastAsia="zh-CN"/>
          <w14:textFill>
            <w14:solidFill>
              <w14:schemeClr w14:val="tx1"/>
            </w14:solidFill>
          </w14:textFill>
        </w:rPr>
        <w:t>一</w:t>
      </w:r>
      <w:r>
        <w:rPr>
          <w:rFonts w:hint="eastAsia" w:ascii="方正仿宋_GBK" w:hAnsi="方正仿宋_GBK" w:eastAsia="方正仿宋_GBK" w:cs="方正仿宋_GBK"/>
          <w:b/>
          <w:bCs/>
          <w:caps w:val="0"/>
          <w:smallCaps w:val="0"/>
          <w:color w:val="000000" w:themeColor="text1"/>
          <w:spacing w:val="0"/>
          <w:sz w:val="32"/>
          <w:szCs w:val="32"/>
          <w:lang w:val="en-US" w:eastAsia="zh-CN"/>
          <w14:textFill>
            <w14:solidFill>
              <w14:schemeClr w14:val="tx1"/>
            </w14:solidFill>
          </w14:textFill>
        </w:rPr>
        <w:t>是</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扩体量</w:t>
      </w:r>
      <w:r>
        <w:rPr>
          <w:rFonts w:hint="eastAsia" w:ascii="仿宋_GB2312" w:eastAsia="仿宋_GB2312"/>
          <w:b/>
          <w:bCs/>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坚持组团式开发、体系化推进、标准化配套，</w:t>
      </w:r>
      <w:r>
        <w:rPr>
          <w:rFonts w:hint="eastAsia" w:ascii="仿宋_GB2312" w:eastAsia="仿宋_GB2312"/>
          <w:bCs/>
          <w:color w:val="000000" w:themeColor="text1"/>
          <w:sz w:val="32"/>
          <w:szCs w:val="32"/>
          <w14:textFill>
            <w14:solidFill>
              <w14:schemeClr w14:val="tx1"/>
            </w14:solidFill>
          </w14:textFill>
        </w:rPr>
        <w:t>推</w:t>
      </w:r>
      <w:r>
        <w:rPr>
          <w:rFonts w:hint="eastAsia" w:ascii="仿宋_GB2312" w:eastAsia="仿宋_GB2312"/>
          <w:bCs/>
          <w:color w:val="000000" w:themeColor="text1"/>
          <w:sz w:val="32"/>
          <w:szCs w:val="32"/>
          <w:lang w:eastAsia="zh-CN"/>
          <w14:textFill>
            <w14:solidFill>
              <w14:schemeClr w14:val="tx1"/>
            </w14:solidFill>
          </w14:textFill>
        </w:rPr>
        <w:t>动</w:t>
      </w:r>
      <w:r>
        <w:rPr>
          <w:rFonts w:hint="eastAsia" w:ascii="仿宋_GB2312" w:eastAsia="仿宋_GB2312"/>
          <w:bCs/>
          <w:color w:val="000000" w:themeColor="text1"/>
          <w:sz w:val="32"/>
          <w:szCs w:val="32"/>
          <w14:textFill>
            <w14:solidFill>
              <w14:schemeClr w14:val="tx1"/>
            </w14:solidFill>
          </w14:textFill>
        </w:rPr>
        <w:t>环锦绣湖500亩（二期）、</w:t>
      </w:r>
      <w:r>
        <w:rPr>
          <w:rFonts w:ascii="仿宋_GB2312" w:hAnsi="宋体" w:eastAsia="仿宋_GB2312" w:cs="仿宋_GB2312"/>
          <w:color w:val="000000" w:themeColor="text1"/>
          <w:kern w:val="0"/>
          <w:sz w:val="31"/>
          <w:szCs w:val="31"/>
          <w:lang w:val="en-US" w:eastAsia="zh-CN" w:bidi="ar"/>
          <w14:textFill>
            <w14:solidFill>
              <w14:schemeClr w14:val="tx1"/>
            </w14:solidFill>
          </w14:textFill>
        </w:rPr>
        <w:t>高铁片区、</w:t>
      </w:r>
      <w:r>
        <w:rPr>
          <w:rFonts w:hint="eastAsia" w:ascii="仿宋_GB2312" w:hAnsi="宋体" w:eastAsia="仿宋_GB2312" w:cs="仿宋_GB2312"/>
          <w:color w:val="000000" w:themeColor="text1"/>
          <w:kern w:val="0"/>
          <w:sz w:val="31"/>
          <w:szCs w:val="31"/>
          <w:lang w:val="en-US" w:eastAsia="zh-CN" w:bidi="ar"/>
          <w14:textFill>
            <w14:solidFill>
              <w14:schemeClr w14:val="tx1"/>
            </w14:solidFill>
          </w14:textFill>
        </w:rPr>
        <w:t>岩山片区等片区开发建设，高标准推动镇区改造和新城建设。启动锦祥安置小区、奎东片区、锦祥片区（二期）等老旧小区改造。加强市政基础建设，</w:t>
      </w:r>
      <w:r>
        <w:rPr>
          <w:rFonts w:hint="eastAsia" w:ascii="仿宋_GB2312" w:hAnsi="仿宋_GB2312" w:eastAsia="仿宋_GB2312" w:cs="仿宋_GB2312"/>
          <w:caps w:val="0"/>
          <w:smallCaps w:val="0"/>
          <w:color w:val="000000" w:themeColor="text1"/>
          <w:spacing w:val="0"/>
          <w:kern w:val="0"/>
          <w:sz w:val="32"/>
          <w:szCs w:val="32"/>
          <w:lang w:val="en-US" w:eastAsia="zh-CN" w:bidi="ar"/>
          <w14:textFill>
            <w14:solidFill>
              <w14:schemeClr w14:val="tx1"/>
            </w14:solidFill>
          </w14:textFill>
        </w:rPr>
        <w:t>启</w:t>
      </w:r>
      <w:r>
        <w:rPr>
          <w:rStyle w:val="35"/>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动国道G228线东张至普安公路、南山北路改建等项目前期，</w:t>
      </w:r>
      <w:r>
        <w:rPr>
          <w:rFonts w:hint="eastAsia" w:ascii="仿宋_GB2312" w:hAnsi="宋体" w:eastAsia="仿宋_GB2312" w:cs="仿宋_GB2312"/>
          <w:color w:val="000000" w:themeColor="text1"/>
          <w:kern w:val="0"/>
          <w:sz w:val="31"/>
          <w:szCs w:val="31"/>
          <w:lang w:val="en-US" w:eastAsia="zh-CN" w:bidi="ar"/>
          <w14:textFill>
            <w14:solidFill>
              <w14:schemeClr w14:val="tx1"/>
            </w14:solidFill>
          </w14:textFill>
        </w:rPr>
        <w:t>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快</w:t>
      </w:r>
      <w:r>
        <w:rPr>
          <w:rStyle w:val="35"/>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峰尾</w:t>
      </w:r>
      <w:r>
        <w:rPr>
          <w:rStyle w:val="35"/>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工业</w:t>
      </w:r>
      <w:r>
        <w:rPr>
          <w:rStyle w:val="35"/>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区道路、龙山社区三旧改造（二期）</w:t>
      </w:r>
      <w:r>
        <w:rPr>
          <w:rFonts w:hint="eastAsia" w:ascii="仿宋_GB2312" w:hAnsi="仿宋_GB2312" w:eastAsia="仿宋_GB2312" w:cs="仿宋_GB2312"/>
          <w:caps w:val="0"/>
          <w:smallCaps w:val="0"/>
          <w:color w:val="000000" w:themeColor="text1"/>
          <w:spacing w:val="0"/>
          <w:kern w:val="0"/>
          <w:sz w:val="32"/>
          <w:szCs w:val="32"/>
          <w14:textFill>
            <w14:solidFill>
              <w14:schemeClr w14:val="tx1"/>
            </w14:solidFill>
          </w14:textFill>
        </w:rPr>
        <w:t>等</w:t>
      </w:r>
      <w:r>
        <w:rPr>
          <w:rStyle w:val="35"/>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市政道路</w:t>
      </w:r>
      <w:r>
        <w:rPr>
          <w:rFonts w:hint="eastAsia" w:ascii="仿宋_GB2312" w:hAnsi="仿宋_GB2312" w:eastAsia="仿宋_GB2312" w:cs="仿宋_GB2312"/>
          <w:caps w:val="0"/>
          <w:smallCaps w:val="0"/>
          <w:color w:val="000000" w:themeColor="text1"/>
          <w:spacing w:val="0"/>
          <w:kern w:val="0"/>
          <w:sz w:val="32"/>
          <w:szCs w:val="32"/>
          <w14:textFill>
            <w14:solidFill>
              <w14:schemeClr w14:val="tx1"/>
            </w14:solidFill>
          </w14:textFill>
        </w:rPr>
        <w:t>项目</w:t>
      </w:r>
      <w:r>
        <w:rPr>
          <w:rFonts w:hint="eastAsia" w:ascii="仿宋_GB2312" w:hAnsi="仿宋_GB2312" w:eastAsia="仿宋_GB2312" w:cs="仿宋_GB2312"/>
          <w:caps w:val="0"/>
          <w:smallCaps w:val="0"/>
          <w:color w:val="000000" w:themeColor="text1"/>
          <w:spacing w:val="0"/>
          <w:kern w:val="0"/>
          <w:sz w:val="32"/>
          <w:szCs w:val="32"/>
          <w:lang w:val="en-US" w:eastAsia="zh-CN"/>
          <w14:textFill>
            <w14:solidFill>
              <w14:schemeClr w14:val="tx1"/>
            </w14:solidFill>
          </w14:textFill>
        </w:rPr>
        <w:t>建设，</w:t>
      </w:r>
      <w:r>
        <w:rPr>
          <w:rStyle w:val="35"/>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完成七镇连通、南部截污管道2#泵站改造、城区电力电缆管沟等项目。</w:t>
      </w:r>
      <w:r>
        <w:rPr>
          <w:rStyle w:val="35"/>
          <w:rFonts w:hint="eastAsia" w:ascii="方正仿宋_GBK" w:hAnsi="方正仿宋_GBK" w:eastAsia="方正仿宋_GBK" w:cs="方正仿宋_GBK"/>
          <w:b/>
          <w:bCs/>
          <w:color w:val="000000" w:themeColor="text1"/>
          <w:spacing w:val="0"/>
          <w:w w:val="100"/>
          <w:sz w:val="32"/>
          <w:szCs w:val="32"/>
          <w:lang w:val="en-US" w:eastAsia="zh-CN"/>
          <w14:textFill>
            <w14:solidFill>
              <w14:schemeClr w14:val="tx1"/>
            </w14:solidFill>
          </w14:textFill>
        </w:rPr>
        <w:t>二</w:t>
      </w:r>
      <w:r>
        <w:rPr>
          <w:rFonts w:hint="eastAsia" w:ascii="方正仿宋_GBK" w:hAnsi="方正仿宋_GBK" w:eastAsia="方正仿宋_GBK" w:cs="方正仿宋_GBK"/>
          <w:b/>
          <w:bCs/>
          <w:caps w:val="0"/>
          <w:smallCaps w:val="0"/>
          <w:color w:val="000000" w:themeColor="text1"/>
          <w:spacing w:val="0"/>
          <w:sz w:val="32"/>
          <w:szCs w:val="32"/>
          <w:lang w:val="en-US" w:eastAsia="zh-CN"/>
          <w14:textFill>
            <w14:solidFill>
              <w14:schemeClr w14:val="tx1"/>
            </w14:solidFill>
          </w14:textFill>
        </w:rPr>
        <w:t>是</w:t>
      </w:r>
      <w:r>
        <w:rPr>
          <w:rStyle w:val="35"/>
          <w:rFonts w:hint="eastAsia" w:ascii="方正仿宋_GBK" w:hAnsi="方正仿宋_GBK" w:eastAsia="方正仿宋_GBK" w:cs="方正仿宋_GBK"/>
          <w:b/>
          <w:bCs/>
          <w:color w:val="000000" w:themeColor="text1"/>
          <w:spacing w:val="0"/>
          <w:w w:val="100"/>
          <w:sz w:val="32"/>
          <w:szCs w:val="32"/>
          <w:lang w:val="en-US" w:eastAsia="zh-CN"/>
          <w14:textFill>
            <w14:solidFill>
              <w14:schemeClr w14:val="tx1"/>
            </w14:solidFill>
          </w14:textFill>
        </w:rPr>
        <w:t>提品质</w:t>
      </w:r>
      <w:r>
        <w:rPr>
          <w:rStyle w:val="35"/>
          <w:rFonts w:hint="eastAsia" w:ascii="仿宋_GB2312" w:hAnsi="仿宋_GB2312" w:eastAsia="仿宋_GB2312" w:cs="仿宋_GB2312"/>
          <w:b/>
          <w:bCs/>
          <w:color w:val="000000" w:themeColor="text1"/>
          <w:spacing w:val="0"/>
          <w:w w:val="100"/>
          <w:sz w:val="32"/>
          <w:szCs w:val="32"/>
          <w:lang w:val="en-US" w:eastAsia="zh-CN"/>
          <w14:textFill>
            <w14:solidFill>
              <w14:schemeClr w14:val="tx1"/>
            </w14:solidFill>
          </w14:textFill>
        </w:rPr>
        <w:t>。</w:t>
      </w:r>
      <w:r>
        <w:rPr>
          <w:rFonts w:ascii="仿宋_GB2312" w:hAnsi="宋体" w:eastAsia="仿宋_GB2312" w:cs="仿宋_GB2312"/>
          <w:color w:val="000000" w:themeColor="text1"/>
          <w:kern w:val="0"/>
          <w:sz w:val="32"/>
          <w:szCs w:val="32"/>
          <w:lang w:val="en-US" w:eastAsia="zh-CN" w:bidi="ar"/>
          <w14:textFill>
            <w14:solidFill>
              <w14:schemeClr w14:val="tx1"/>
            </w14:solidFill>
          </w14:textFill>
        </w:rPr>
        <w:t>实施</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城市街景、绿景、夜景、水景“四景”提升工程，完成国道324溪西段、高速出入口周边环境整治，推进国道228线、渔港路风光互补路灯改造工程，持续推进驿坂高速出口至城区、泉港高速出口至港区、仙游至石化园区、新民街、中兴街等重要通道景观提升，完成植树造林和松林改造1600亩以上。深化宜居环境建设，</w:t>
      </w:r>
      <w:r>
        <w:rPr>
          <w:rFonts w:hint="eastAsia" w:ascii="仿宋_GB2312" w:hAnsi="仿宋" w:eastAsia="仿宋_GB2312"/>
          <w:color w:val="000000" w:themeColor="text1"/>
          <w:sz w:val="32"/>
          <w:szCs w:val="32"/>
          <w14:textFill>
            <w14:solidFill>
              <w14:schemeClr w14:val="tx1"/>
            </w14:solidFill>
          </w14:textFill>
        </w:rPr>
        <w:t>狠抓“一革命四行动”，</w:t>
      </w:r>
      <w:r>
        <w:rPr>
          <w:rFonts w:hint="eastAsia" w:ascii="仿宋_GB2312" w:hAnsi="宋体" w:eastAsia="仿宋_GB2312" w:cs="仿宋_GB2312"/>
          <w:color w:val="000000" w:themeColor="text1"/>
          <w:kern w:val="0"/>
          <w:sz w:val="32"/>
          <w:szCs w:val="32"/>
          <w:lang w:val="en-US" w:eastAsia="zh-CN" w:bidi="ar"/>
          <w14:textFill>
            <w14:solidFill>
              <w14:schemeClr w14:val="tx1"/>
            </w14:solidFill>
          </w14:textFill>
        </w:rPr>
        <w:t>持续抓好“</w:t>
      </w:r>
      <w:r>
        <w:rPr>
          <w:rFonts w:hint="eastAsia" w:ascii="仿宋_GB2312" w:hAnsi="仿宋" w:eastAsia="仿宋_GB2312"/>
          <w:color w:val="000000" w:themeColor="text1"/>
          <w:sz w:val="32"/>
          <w:szCs w:val="32"/>
          <w14:textFill>
            <w14:solidFill>
              <w14:schemeClr w14:val="tx1"/>
            </w14:solidFill>
          </w14:textFill>
        </w:rPr>
        <w:t>四好农路</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建设</w:t>
      </w:r>
      <w:r>
        <w:rPr>
          <w:rFonts w:hint="eastAsia" w:ascii="仿宋_GB2312" w:hAnsi="仿宋" w:eastAsia="仿宋_GB2312"/>
          <w:color w:val="000000" w:themeColor="text1"/>
          <w:sz w:val="32"/>
          <w:szCs w:val="32"/>
          <w:lang w:eastAsia="zh-CN"/>
          <w14:textFill>
            <w14:solidFill>
              <w14:schemeClr w14:val="tx1"/>
            </w14:solidFill>
          </w14:textFill>
        </w:rPr>
        <w:t>。</w:t>
      </w:r>
      <w:r>
        <w:rPr>
          <w:rStyle w:val="35"/>
          <w:rFonts w:hint="eastAsia" w:ascii="方正仿宋_GBK" w:hAnsi="方正仿宋_GBK" w:eastAsia="方正仿宋_GBK" w:cs="方正仿宋_GBK"/>
          <w:b/>
          <w:bCs/>
          <w:color w:val="000000" w:themeColor="text1"/>
          <w:spacing w:val="0"/>
          <w:w w:val="100"/>
          <w:sz w:val="32"/>
          <w:szCs w:val="32"/>
          <w:lang w:val="en-US" w:eastAsia="zh-CN"/>
          <w14:textFill>
            <w14:solidFill>
              <w14:schemeClr w14:val="tx1"/>
            </w14:solidFill>
          </w14:textFill>
        </w:rPr>
        <w:t>三</w:t>
      </w:r>
      <w:r>
        <w:rPr>
          <w:rFonts w:hint="eastAsia" w:ascii="方正仿宋_GBK" w:hAnsi="方正仿宋_GBK" w:eastAsia="方正仿宋_GBK" w:cs="方正仿宋_GBK"/>
          <w:b/>
          <w:bCs/>
          <w:caps w:val="0"/>
          <w:smallCaps w:val="0"/>
          <w:color w:val="000000" w:themeColor="text1"/>
          <w:spacing w:val="0"/>
          <w:sz w:val="32"/>
          <w:szCs w:val="32"/>
          <w:lang w:val="en-US" w:eastAsia="zh-CN"/>
          <w14:textFill>
            <w14:solidFill>
              <w14:schemeClr w14:val="tx1"/>
            </w14:solidFill>
          </w14:textFill>
        </w:rPr>
        <w:t>是</w:t>
      </w:r>
      <w:r>
        <w:rPr>
          <w:rStyle w:val="35"/>
          <w:rFonts w:hint="eastAsia" w:ascii="方正仿宋_GBK" w:hAnsi="方正仿宋_GBK" w:eastAsia="方正仿宋_GBK" w:cs="方正仿宋_GBK"/>
          <w:b/>
          <w:bCs/>
          <w:color w:val="000000" w:themeColor="text1"/>
          <w:spacing w:val="0"/>
          <w:w w:val="100"/>
          <w:sz w:val="32"/>
          <w:szCs w:val="32"/>
          <w:lang w:val="en-US" w:eastAsia="zh-CN"/>
          <w14:textFill>
            <w14:solidFill>
              <w14:schemeClr w14:val="tx1"/>
            </w14:solidFill>
          </w14:textFill>
        </w:rPr>
        <w:t>强管理</w:t>
      </w:r>
      <w:r>
        <w:rPr>
          <w:rFonts w:hint="eastAsia" w:ascii="仿宋_GB2312" w:hAnsi="宋体" w:eastAsia="仿宋_GB2312" w:cs="宋体"/>
          <w:b/>
          <w:bCs/>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加强智慧城市建设，</w:t>
      </w:r>
      <w:r>
        <w:rPr>
          <w:rFonts w:hint="eastAsia" w:ascii="仿宋_GB2312" w:eastAsia="仿宋_GB2312" w:cs="Times New Roman"/>
          <w:color w:val="000000" w:themeColor="text1"/>
          <w:spacing w:val="0"/>
          <w:w w:val="100"/>
          <w:sz w:val="32"/>
          <w:szCs w:val="32"/>
          <w:lang w:val="en-US" w:eastAsia="zh-CN"/>
          <w14:textFill>
            <w14:solidFill>
              <w14:schemeClr w14:val="tx1"/>
            </w14:solidFill>
          </w14:textFill>
        </w:rPr>
        <w:t>加快地下管网地理信息系统建设，</w:t>
      </w:r>
      <w:r>
        <w:rPr>
          <w:rFonts w:hint="eastAsia" w:ascii="仿宋_GB2312" w:hAnsi="宋体" w:eastAsia="仿宋_GB2312" w:cs="宋体"/>
          <w:color w:val="000000" w:themeColor="text1"/>
          <w:kern w:val="0"/>
          <w:sz w:val="32"/>
          <w:szCs w:val="32"/>
          <w:lang w:eastAsia="zh-CN"/>
          <w14:textFill>
            <w14:solidFill>
              <w14:schemeClr w14:val="tx1"/>
            </w14:solidFill>
          </w14:textFill>
        </w:rPr>
        <w:t>推动智慧交通、智慧停车等多平台整合，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提升城市管理智慧化水平。持续开展</w:t>
      </w:r>
      <w:r>
        <w:rPr>
          <w:rFonts w:ascii="仿宋_GB2312" w:hAnsi="宋体" w:eastAsia="仿宋_GB2312" w:cs="仿宋_GB2312"/>
          <w:b w:val="0"/>
          <w:bCs w:val="0"/>
          <w:i w:val="0"/>
          <w:iCs w:val="0"/>
          <w:caps w:val="0"/>
          <w:color w:val="000000" w:themeColor="text1"/>
          <w:spacing w:val="0"/>
          <w:sz w:val="32"/>
          <w:szCs w:val="32"/>
          <w:shd w:val="clear" w:fill="FFFFFF"/>
          <w14:textFill>
            <w14:solidFill>
              <w14:schemeClr w14:val="tx1"/>
            </w14:solidFill>
          </w14:textFill>
        </w:rPr>
        <w:t>物业服务企业</w:t>
      </w:r>
      <w:r>
        <w:rPr>
          <w:rFonts w:hint="eastAsia" w:ascii="仿宋_GB2312" w:hAnsi="宋体"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专项整治，指导推动</w:t>
      </w:r>
      <w:r>
        <w:rPr>
          <w:rFonts w:hint="eastAsia" w:ascii="仿宋_GB2312" w:hAnsi="宋体"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6</w:t>
      </w:r>
      <w:r>
        <w:rPr>
          <w:rFonts w:hint="eastAsia" w:ascii="仿宋_GB2312" w:hAnsi="宋体"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个小区成立</w:t>
      </w:r>
      <w:r>
        <w:rPr>
          <w:rFonts w:hint="eastAsia" w:ascii="仿宋_GB2312" w:eastAsia="仿宋_GB2312"/>
          <w:color w:val="000000" w:themeColor="text1"/>
          <w:sz w:val="32"/>
          <w:szCs w:val="32"/>
          <w14:textFill>
            <w14:solidFill>
              <w14:schemeClr w14:val="tx1"/>
            </w14:solidFill>
          </w14:textFill>
        </w:rPr>
        <w:t>业主委员会，形成属地镇（街道）、业主委员会、物业公司三方治</w:t>
      </w:r>
      <w:r>
        <w:rPr>
          <w:rFonts w:hint="eastAsia" w:ascii="仿宋_GB2312" w:eastAsia="仿宋_GB2312"/>
          <w:color w:val="000000" w:themeColor="text1"/>
          <w:spacing w:val="-5"/>
          <w:sz w:val="32"/>
          <w:szCs w:val="32"/>
          <w14:textFill>
            <w14:solidFill>
              <w14:schemeClr w14:val="tx1"/>
            </w14:solidFill>
          </w14:textFill>
        </w:rPr>
        <w:t>理共同监督的格局。</w:t>
      </w:r>
      <w:r>
        <w:rPr>
          <w:rFonts w:hint="eastAsia" w:ascii="仿宋_GB2312" w:hAnsi="仿宋_GB2312" w:eastAsia="仿宋_GB2312" w:cs="仿宋_GB2312"/>
          <w:caps w:val="0"/>
          <w:smallCaps w:val="0"/>
          <w:color w:val="000000" w:themeColor="text1"/>
          <w:spacing w:val="-5"/>
          <w:kern w:val="0"/>
          <w:sz w:val="32"/>
          <w:szCs w:val="32"/>
          <w:lang w:eastAsia="zh-CN"/>
          <w14:textFill>
            <w14:solidFill>
              <w14:schemeClr w14:val="tx1"/>
            </w14:solidFill>
          </w14:textFill>
        </w:rPr>
        <w:t>深入开展垃圾分类工作，加强分类投放、分类收集、分类运输、分类处置全过程管理，中心城区生活垃圾分类全</w:t>
      </w:r>
      <w:r>
        <w:rPr>
          <w:rFonts w:hint="eastAsia" w:ascii="仿宋_GB2312" w:hAnsi="仿宋_GB2312" w:eastAsia="仿宋_GB2312" w:cs="仿宋_GB2312"/>
          <w:caps w:val="0"/>
          <w:smallCaps w:val="0"/>
          <w:color w:val="000000" w:themeColor="text1"/>
          <w:spacing w:val="0"/>
          <w:kern w:val="0"/>
          <w:sz w:val="32"/>
          <w:szCs w:val="32"/>
          <w:lang w:eastAsia="zh-CN"/>
          <w14:textFill>
            <w14:solidFill>
              <w14:schemeClr w14:val="tx1"/>
            </w14:solidFill>
          </w14:textFill>
        </w:rPr>
        <w:t>覆盖。持续加大重点领域安全整治力度，加大</w:t>
      </w:r>
      <w:r>
        <w:rPr>
          <w:rFonts w:hint="eastAsia" w:ascii="仿宋_GB2312" w:hAnsi="仿宋_GB2312" w:eastAsia="仿宋_GB2312" w:cs="仿宋_GB2312"/>
          <w:caps w:val="0"/>
          <w:smallCaps w:val="0"/>
          <w:color w:val="000000" w:themeColor="text1"/>
          <w:spacing w:val="0"/>
          <w:kern w:val="0"/>
          <w:sz w:val="32"/>
          <w:szCs w:val="32"/>
          <w:lang w:val="en-US" w:eastAsia="zh-CN"/>
          <w14:textFill>
            <w14:solidFill>
              <w14:schemeClr w14:val="tx1"/>
            </w14:solidFill>
          </w14:textFill>
        </w:rPr>
        <w:t>燃气行业“打非治违”，</w:t>
      </w:r>
      <w:r>
        <w:rPr>
          <w:rFonts w:hint="eastAsia" w:ascii="仿宋_GB2312" w:hAnsi="仿宋_GB2312" w:eastAsia="仿宋_GB2312" w:cs="仿宋_GB2312"/>
          <w:color w:val="000000" w:themeColor="text1"/>
          <w:spacing w:val="0"/>
          <w:w w:val="100"/>
          <w:kern w:val="2"/>
          <w:sz w:val="32"/>
          <w:szCs w:val="32"/>
          <w:lang w:val="en-US" w:eastAsia="zh-CN" w:bidi="ar-SA"/>
          <w14:textFill>
            <w14:solidFill>
              <w14:schemeClr w14:val="tx1"/>
            </w14:solidFill>
          </w14:textFill>
        </w:rPr>
        <w:t>开展渣土车安全整治</w:t>
      </w:r>
      <w:r>
        <w:rPr>
          <w:rFonts w:hint="eastAsia" w:ascii="仿宋_GB2312" w:hAnsi="仿宋_GB2312" w:eastAsia="仿宋_GB2312" w:cs="仿宋_GB2312"/>
          <w:caps w:val="0"/>
          <w:smallCaps w:val="0"/>
          <w:color w:val="000000" w:themeColor="text1"/>
          <w:spacing w:val="0"/>
          <w:kern w:val="0"/>
          <w:sz w:val="32"/>
          <w:szCs w:val="32"/>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spacing w:line="556" w:lineRule="exact"/>
        <w:ind w:firstLine="643" w:firstLineChars="200"/>
        <w:textAlignment w:val="auto"/>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2"/>
          <w:sz w:val="32"/>
          <w:szCs w:val="32"/>
          <w:lang w:val="en-US" w:eastAsia="zh-CN"/>
          <w14:textFill>
            <w14:solidFill>
              <w14:schemeClr w14:val="tx1"/>
            </w14:solidFill>
          </w14:textFill>
        </w:rPr>
        <w:t>（六）</w:t>
      </w:r>
      <w:r>
        <w:rPr>
          <w:rFonts w:hint="eastAsia" w:ascii="楷体_GB2312" w:hAnsi="楷体_GB2312" w:eastAsia="楷体_GB2312" w:cs="楷体_GB2312"/>
          <w:b/>
          <w:bCs/>
          <w:caps w:val="0"/>
          <w:smallCaps w:val="0"/>
          <w:color w:val="000000" w:themeColor="text1"/>
          <w:spacing w:val="-9"/>
          <w:kern w:val="2"/>
          <w:sz w:val="32"/>
          <w:szCs w:val="32"/>
          <w:lang w:val="en-US" w:eastAsia="zh-CN"/>
          <w14:textFill>
            <w14:solidFill>
              <w14:schemeClr w14:val="tx1"/>
            </w14:solidFill>
          </w14:textFill>
        </w:rPr>
        <w:t>关于深化改革重点任务。</w:t>
      </w:r>
      <w:r>
        <w:rPr>
          <w:rFonts w:hint="eastAsia" w:ascii="仿宋_GB2312" w:hAnsi="仿宋_GB2312" w:eastAsia="仿宋_GB2312" w:cs="仿宋_GB2312"/>
          <w:b/>
          <w:bCs/>
          <w:caps w:val="0"/>
          <w:smallCaps w:val="0"/>
          <w:color w:val="000000" w:themeColor="text1"/>
          <w:spacing w:val="-9"/>
          <w:kern w:val="2"/>
          <w:sz w:val="32"/>
          <w:szCs w:val="32"/>
          <w:lang w:val="en-US" w:eastAsia="zh-CN"/>
          <w14:textFill>
            <w14:solidFill>
              <w14:schemeClr w14:val="tx1"/>
            </w14:solidFill>
          </w14:textFill>
        </w:rPr>
        <w:t>一是持续深化“放管服”改革。</w:t>
      </w:r>
      <w:r>
        <w:rPr>
          <w:rFonts w:hint="eastAsia" w:ascii="仿宋_GB2312" w:hAnsi="仿宋_GB2312" w:eastAsia="仿宋_GB2312" w:cs="仿宋_GB2312"/>
          <w:bCs w:val="0"/>
          <w:color w:val="000000" w:themeColor="text1"/>
          <w:sz w:val="32"/>
          <w:szCs w:val="32"/>
          <w14:textFill>
            <w14:solidFill>
              <w14:schemeClr w14:val="tx1"/>
            </w14:solidFill>
          </w14:textFill>
        </w:rPr>
        <w:t>实施工建项目</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取消审批事项清单</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豁免办理事项清单</w:t>
      </w:r>
      <w:r>
        <w:rPr>
          <w:rFonts w:hint="eastAsia" w:ascii="仿宋_GB2312" w:hAnsi="仿宋_GB2312" w:eastAsia="仿宋_GB2312" w:cs="仿宋_GB2312"/>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val="0"/>
          <w:color w:val="000000" w:themeColor="text1"/>
          <w:sz w:val="32"/>
          <w:szCs w:val="32"/>
          <w14:textFill>
            <w14:solidFill>
              <w14:schemeClr w14:val="tx1"/>
            </w14:solidFill>
          </w14:textFill>
        </w:rPr>
        <w:t>合并办理事</w:t>
      </w:r>
      <w:r>
        <w:rPr>
          <w:rFonts w:hint="eastAsia" w:ascii="仿宋_GB2312" w:hAnsi="仿宋_GB2312" w:eastAsia="仿宋_GB2312" w:cs="仿宋_GB2312"/>
          <w:bCs/>
          <w:color w:val="000000" w:themeColor="text1"/>
          <w:sz w:val="32"/>
          <w:szCs w:val="32"/>
          <w14:textFill>
            <w14:solidFill>
              <w14:schemeClr w14:val="tx1"/>
            </w14:solidFill>
          </w14:textFill>
        </w:rPr>
        <w:t>项清单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保留审批事项清单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告知承诺事项清单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五张清单管理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，继续取消或下放一批审批权限，</w:t>
      </w:r>
      <w:r>
        <w:rPr>
          <w:rFonts w:hint="eastAsia" w:ascii="仿宋_GB2312" w:hAnsi="仿宋_GB2312" w:eastAsia="仿宋_GB2312" w:cs="仿宋_GB2312"/>
          <w:bCs/>
          <w:color w:val="000000" w:themeColor="text1"/>
          <w:sz w:val="32"/>
          <w:szCs w:val="32"/>
          <w14:textFill>
            <w14:solidFill>
              <w14:schemeClr w14:val="tx1"/>
            </w14:solidFill>
          </w14:textFill>
        </w:rPr>
        <w:t>实现工程建设项目全流程在线审批。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推进“证照分离”改革全覆盖。</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完善“双随机、一公开”监管、“互联网+监管”和以信用为基础的新型监管机制，对重点领域实行重点监管。加快推进企业生产经营和个人服务高频事项“跨省通办”。</w:t>
      </w:r>
      <w:r>
        <w:rPr>
          <w:rFonts w:hint="eastAsia" w:ascii="仿宋_GB2312" w:hAnsi="仿宋_GB2312" w:eastAsia="仿宋_GB2312" w:cs="仿宋_GB2312"/>
          <w:color w:val="000000" w:themeColor="text1"/>
          <w:sz w:val="32"/>
          <w:szCs w:val="32"/>
          <w14:textFill>
            <w14:solidFill>
              <w14:schemeClr w14:val="tx1"/>
            </w14:solidFill>
          </w14:textFill>
        </w:rPr>
        <w:t>建立涉企政策精准推送制度和平台，实现普惠性政策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免申即享</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二是</w:t>
      </w:r>
      <w:r>
        <w:rPr>
          <w:rFonts w:hint="eastAsia" w:ascii="仿宋_GB2312" w:hAnsi="仿宋_GB2312" w:eastAsia="仿宋_GB2312" w:cs="仿宋_GB2312"/>
          <w:b/>
          <w:bCs/>
          <w:caps w:val="0"/>
          <w:smallCaps w:val="0"/>
          <w:color w:val="000000" w:themeColor="text1"/>
          <w:spacing w:val="0"/>
          <w:kern w:val="0"/>
          <w:sz w:val="32"/>
          <w:szCs w:val="32"/>
          <w:lang w:val="en-US" w:eastAsia="zh-CN"/>
          <w14:textFill>
            <w14:solidFill>
              <w14:schemeClr w14:val="tx1"/>
            </w14:solidFill>
          </w14:textFill>
        </w:rPr>
        <w:t>推进金融服务实体经济。</w:t>
      </w:r>
      <w:r>
        <w:rPr>
          <w:rFonts w:hint="eastAsia" w:ascii="仿宋_GB2312" w:hAnsi="仿宋_GB2312" w:eastAsia="仿宋_GB2312" w:cs="仿宋_GB2312"/>
          <w:color w:val="000000" w:themeColor="text1"/>
          <w:sz w:val="32"/>
          <w:szCs w:val="32"/>
          <w14:textFill>
            <w14:solidFill>
              <w14:schemeClr w14:val="tx1"/>
            </w14:solidFill>
          </w14:textFill>
        </w:rPr>
        <w:t>建立银企直通联系机制，持续推动小微金融服务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增量、扩面、降本、提质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。依托核心企业积极开展小微企业应收账款融资。纵深推进上市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育苗成林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，力争新增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1家主板上市企业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稳妥推进信贷风险防控，建立企业债</w:t>
      </w:r>
      <w:r>
        <w:rPr>
          <w:rFonts w:hint="eastAsia" w:ascii="仿宋_GB2312" w:hAnsi="仿宋_GB2312" w:eastAsia="仿宋_GB2312" w:cs="仿宋_GB2312"/>
          <w:b w:val="0"/>
          <w:bCs w:val="0"/>
          <w:caps w:val="0"/>
          <w:smallCaps w:val="0"/>
          <w:color w:val="000000" w:themeColor="text1"/>
          <w:spacing w:val="0"/>
          <w:sz w:val="32"/>
          <w:szCs w:val="32"/>
          <w:lang w:eastAsia="zh-CN"/>
          <w14:textFill>
            <w14:solidFill>
              <w14:schemeClr w14:val="tx1"/>
            </w14:solidFill>
          </w14:textFill>
        </w:rPr>
        <w:t>券</w:t>
      </w:r>
      <w:r>
        <w:rPr>
          <w:rFonts w:hint="eastAsia" w:ascii="仿宋_GB2312" w:hAnsi="仿宋_GB2312" w:eastAsia="仿宋_GB2312" w:cs="仿宋_GB2312"/>
          <w:b w:val="0"/>
          <w:bCs w:val="0"/>
          <w:caps w:val="0"/>
          <w:smallCaps w:val="0"/>
          <w:color w:val="000000" w:themeColor="text1"/>
          <w:spacing w:val="0"/>
          <w:kern w:val="0"/>
          <w:sz w:val="32"/>
          <w:szCs w:val="32"/>
          <w:lang w:val="en-US" w:eastAsia="zh-CN"/>
          <w14:textFill>
            <w14:solidFill>
              <w14:schemeClr w14:val="tx1"/>
            </w14:solidFill>
          </w14:textFill>
        </w:rPr>
        <w:t>违约</w:t>
      </w:r>
      <w:r>
        <w:rPr>
          <w:rFonts w:hint="eastAsia" w:ascii="仿宋_GB2312" w:hAnsi="仿宋_GB2312" w:eastAsia="仿宋_GB2312" w:cs="仿宋_GB2312"/>
          <w:b w:val="0"/>
          <w:bCs w:val="0"/>
          <w:caps w:val="0"/>
          <w:smallCaps w:val="0"/>
          <w:color w:val="000000" w:themeColor="text1"/>
          <w:spacing w:val="0"/>
          <w:sz w:val="32"/>
          <w:szCs w:val="32"/>
          <w:lang w:eastAsia="zh-CN"/>
          <w14:textFill>
            <w14:solidFill>
              <w14:schemeClr w14:val="tx1"/>
            </w14:solidFill>
          </w14:textFill>
        </w:rPr>
        <w:t>预警机制，加大各类金融风险的</w:t>
      </w:r>
      <w:r>
        <w:rPr>
          <w:rFonts w:hint="eastAsia" w:ascii="仿宋_GB2312" w:hAnsi="仿宋_GB2312" w:eastAsia="仿宋_GB2312" w:cs="仿宋_GB2312"/>
          <w:caps w:val="0"/>
          <w:smallCaps w:val="0"/>
          <w:color w:val="000000" w:themeColor="text1"/>
          <w:spacing w:val="0"/>
          <w:sz w:val="32"/>
          <w:szCs w:val="32"/>
          <w:lang w:eastAsia="zh-CN"/>
          <w14:textFill>
            <w14:solidFill>
              <w14:schemeClr w14:val="tx1"/>
            </w14:solidFill>
          </w14:textFill>
        </w:rPr>
        <w:t>处置化解力度。</w:t>
      </w:r>
      <w:r>
        <w:rPr>
          <w:rFonts w:hint="eastAsia" w:ascii="仿宋_GB2312" w:hAnsi="仿宋_GB2312" w:eastAsia="仿宋_GB2312" w:cs="仿宋_GB2312"/>
          <w:b/>
          <w:bCs/>
          <w:caps w:val="0"/>
          <w:smallCaps w:val="0"/>
          <w:color w:val="000000" w:themeColor="text1"/>
          <w:spacing w:val="0"/>
          <w:sz w:val="32"/>
          <w:szCs w:val="32"/>
          <w:lang w:eastAsia="zh-CN"/>
          <w14:textFill>
            <w14:solidFill>
              <w14:schemeClr w14:val="tx1"/>
            </w14:solidFill>
          </w14:textFill>
        </w:rPr>
        <w:t>三是</w:t>
      </w:r>
      <w:r>
        <w:rPr>
          <w:rFonts w:hint="eastAsia" w:ascii="仿宋_GB2312" w:hAnsi="仿宋_GB2312" w:eastAsia="仿宋_GB2312" w:cs="仿宋_GB2312"/>
          <w:b/>
          <w:bCs/>
          <w:caps w:val="0"/>
          <w:smallCaps w:val="0"/>
          <w:color w:val="000000" w:themeColor="text1"/>
          <w:spacing w:val="0"/>
          <w:kern w:val="0"/>
          <w:sz w:val="32"/>
          <w:szCs w:val="32"/>
          <w:lang w:val="en-US" w:eastAsia="zh-CN"/>
          <w14:textFill>
            <w14:solidFill>
              <w14:schemeClr w14:val="tx1"/>
            </w14:solidFill>
          </w14:textFill>
        </w:rPr>
        <w:t>深化其他重点领域改革。</w:t>
      </w:r>
      <w:r>
        <w:rPr>
          <w:rFonts w:hint="eastAsia" w:ascii="仿宋_GB2312" w:hAnsi="仿宋_GB2312" w:eastAsia="仿宋_GB2312" w:cs="仿宋_GB2312"/>
          <w:color w:val="000000" w:themeColor="text1"/>
          <w:sz w:val="32"/>
          <w:szCs w:val="32"/>
          <w14:textFill>
            <w14:solidFill>
              <w14:schemeClr w14:val="tx1"/>
            </w14:solidFill>
          </w14:textFill>
        </w:rPr>
        <w:t>深化生态文明体制改革，</w:t>
      </w:r>
      <w:r>
        <w:rPr>
          <w:rFonts w:hint="eastAsia" w:ascii="仿宋_GB2312" w:hAnsi="仿宋_GB2312" w:eastAsia="仿宋_GB2312" w:cs="仿宋_GB2312"/>
          <w:color w:val="000000" w:themeColor="text1"/>
          <w:sz w:val="32"/>
          <w:szCs w:val="32"/>
          <w:lang w:eastAsia="zh-CN"/>
          <w14:textFill>
            <w14:solidFill>
              <w14:schemeClr w14:val="tx1"/>
            </w14:solidFill>
          </w14:textFill>
        </w:rPr>
        <w:t>全面贯彻新发展理念做好碳达峰碳中和工作，</w:t>
      </w:r>
      <w:r>
        <w:rPr>
          <w:rFonts w:hint="eastAsia" w:ascii="仿宋_GB2312" w:hAnsi="仿宋_GB2312" w:eastAsia="仿宋_GB2312" w:cs="仿宋_GB2312"/>
          <w:color w:val="000000" w:themeColor="text1"/>
          <w:sz w:val="32"/>
          <w:szCs w:val="32"/>
          <w14:textFill>
            <w14:solidFill>
              <w14:schemeClr w14:val="tx1"/>
            </w14:solidFill>
          </w14:textFill>
        </w:rPr>
        <w:t>加强生态环境保护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深化重点行业污染整治，持续削减工业大气污染物排放。进一步深化预算管理制度改革，积极稳妥推进零基预算改革，改变“基数+增长”的预算编制方式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持续推进区属国企实体化改革，完善国有</w:t>
      </w:r>
      <w:r>
        <w:rPr>
          <w:rFonts w:hint="eastAsia" w:ascii="仿宋_GB2312" w:hAnsi="仿宋_GB2312" w:eastAsia="仿宋_GB2312" w:cs="仿宋_GB2312"/>
          <w:b w:val="0"/>
          <w:bCs w:val="0"/>
          <w:caps w:val="0"/>
          <w:smallCaps w:val="0"/>
          <w:color w:val="000000" w:themeColor="text1"/>
          <w:spacing w:val="0"/>
          <w:kern w:val="0"/>
          <w:sz w:val="32"/>
          <w:szCs w:val="32"/>
          <w:lang w:val="en-US" w:eastAsia="zh-CN"/>
          <w14:textFill>
            <w14:solidFill>
              <w14:schemeClr w14:val="tx1"/>
            </w14:solidFill>
          </w14:textFill>
        </w:rPr>
        <w:t>金融资本</w:t>
      </w:r>
      <w:r>
        <w:rPr>
          <w:rFonts w:hint="eastAsia" w:ascii="仿宋_GB2312" w:hAnsi="仿宋_GB2312" w:eastAsia="仿宋_GB2312" w:cs="仿宋_GB2312"/>
          <w:b w:val="0"/>
          <w:bCs w:val="0"/>
          <w:color w:val="000000" w:themeColor="text1"/>
          <w:sz w:val="32"/>
          <w:szCs w:val="32"/>
          <w14:textFill>
            <w14:solidFill>
              <w14:schemeClr w14:val="tx1"/>
            </w14:solidFill>
          </w14:textFill>
        </w:rPr>
        <w:t>管</w:t>
      </w:r>
      <w:r>
        <w:rPr>
          <w:rFonts w:hint="eastAsia" w:ascii="仿宋_GB2312" w:hAnsi="仿宋_GB2312" w:eastAsia="仿宋_GB2312" w:cs="仿宋_GB2312"/>
          <w:color w:val="000000" w:themeColor="text1"/>
          <w:sz w:val="32"/>
          <w:szCs w:val="32"/>
          <w14:textFill>
            <w14:solidFill>
              <w14:schemeClr w14:val="tx1"/>
            </w14:solidFill>
          </w14:textFill>
        </w:rPr>
        <w:t>理制度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做强做优做大国有资本和国有企业。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推进价格机制改革，落实自来水价格调整方案，扎实推进农业水价综合改革。</w:t>
      </w:r>
      <w:r>
        <w:rPr>
          <w:rFonts w:hint="eastAsia" w:ascii="仿宋_GB2312" w:hAnsi="仿宋_GB2312" w:eastAsia="仿宋_GB2312" w:cs="仿宋_GB2312"/>
          <w:color w:val="000000" w:themeColor="text1"/>
          <w:sz w:val="32"/>
          <w:szCs w:val="32"/>
          <w14:textFill>
            <w14:solidFill>
              <w14:schemeClr w14:val="tx1"/>
            </w14:solidFill>
          </w14:textFill>
        </w:rPr>
        <w:t>探索水利工程管理新机制，创新水库管护“3.0模式”，并逐步推向河道、海堤、水闸，形成“全覆盖”确保水利工程长期良性运行。</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spacing w:line="556"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楷体_GB2312" w:hAnsi="楷体_GB2312" w:eastAsia="楷体_GB2312" w:cs="楷体_GB2312"/>
          <w:b/>
          <w:bCs/>
          <w:caps w:val="0"/>
          <w:smallCaps w:val="0"/>
          <w:color w:val="000000" w:themeColor="text1"/>
          <w:spacing w:val="0"/>
          <w:kern w:val="0"/>
          <w:sz w:val="32"/>
          <w:szCs w:val="32"/>
          <w:lang w:val="en-US" w:eastAsia="zh-CN"/>
          <w14:textFill>
            <w14:solidFill>
              <w14:schemeClr w14:val="tx1"/>
            </w14:solidFill>
          </w14:textFill>
        </w:rPr>
        <w:t>（七）关于2022年重点项目建设计划。</w:t>
      </w:r>
      <w:r>
        <w:rPr>
          <w:rFonts w:hint="eastAsia" w:ascii="仿宋_GB2312" w:hAnsi="仿宋_GB2312" w:eastAsia="仿宋_GB2312" w:cs="仿宋_GB2312"/>
          <w:b w:val="0"/>
          <w:bCs w:val="0"/>
          <w:caps w:val="0"/>
          <w:smallCaps w:val="0"/>
          <w:color w:val="000000" w:themeColor="text1"/>
          <w:spacing w:val="0"/>
          <w:kern w:val="0"/>
          <w:sz w:val="32"/>
          <w:szCs w:val="32"/>
          <w14:textFill>
            <w14:solidFill>
              <w14:schemeClr w14:val="tx1"/>
            </w14:solidFill>
          </w14:textFill>
        </w:rPr>
        <w:t>按照统筹兼顾、量力而行的原则，安排</w:t>
      </w:r>
      <w:r>
        <w:rPr>
          <w:rFonts w:hint="eastAsia" w:ascii="仿宋_GB2312" w:hAnsi="仿宋_GB2312" w:eastAsia="仿宋_GB2312" w:cs="仿宋_GB2312"/>
          <w:b w:val="0"/>
          <w:bCs w:val="0"/>
          <w:caps w:val="0"/>
          <w:smallCaps w:val="0"/>
          <w:color w:val="000000" w:themeColor="text1"/>
          <w:spacing w:val="0"/>
          <w:kern w:val="0"/>
          <w:sz w:val="32"/>
          <w:szCs w:val="32"/>
          <w:u w:val="none"/>
          <w14:textFill>
            <w14:solidFill>
              <w14:schemeClr w14:val="tx1"/>
            </w14:solidFill>
          </w14:textFill>
        </w:rPr>
        <w:t>202</w:t>
      </w:r>
      <w:r>
        <w:rPr>
          <w:rFonts w:hint="eastAsia" w:ascii="仿宋_GB2312" w:hAnsi="仿宋_GB2312" w:eastAsia="仿宋_GB2312" w:cs="仿宋_GB2312"/>
          <w:b w:val="0"/>
          <w:bCs w:val="0"/>
          <w:caps w:val="0"/>
          <w:smallCaps w:val="0"/>
          <w:color w:val="000000" w:themeColor="text1"/>
          <w:spacing w:val="0"/>
          <w:kern w:val="0"/>
          <w:sz w:val="32"/>
          <w:szCs w:val="32"/>
          <w:u w:val="none"/>
          <w:lang w:val="en-US" w:eastAsia="zh-CN"/>
          <w14:textFill>
            <w14:solidFill>
              <w14:schemeClr w14:val="tx1"/>
            </w14:solidFill>
          </w14:textFill>
        </w:rPr>
        <w:t>2</w:t>
      </w:r>
      <w:r>
        <w:rPr>
          <w:rFonts w:hint="eastAsia" w:ascii="仿宋_GB2312" w:hAnsi="仿宋_GB2312" w:eastAsia="仿宋_GB2312" w:cs="仿宋_GB2312"/>
          <w:b w:val="0"/>
          <w:bCs w:val="0"/>
          <w:caps w:val="0"/>
          <w:smallCaps w:val="0"/>
          <w:color w:val="000000" w:themeColor="text1"/>
          <w:spacing w:val="0"/>
          <w:kern w:val="0"/>
          <w:sz w:val="32"/>
          <w:szCs w:val="32"/>
          <w:u w:val="none"/>
          <w14:textFill>
            <w14:solidFill>
              <w14:schemeClr w14:val="tx1"/>
            </w14:solidFill>
          </w14:textFill>
        </w:rPr>
        <w:t>年区级重点项目</w:t>
      </w:r>
      <w:r>
        <w:rPr>
          <w:rFonts w:hint="eastAsia" w:ascii="仿宋_GB2312" w:hAnsi="仿宋_GB2312" w:eastAsia="仿宋_GB2312" w:cs="仿宋_GB2312"/>
          <w:b w:val="0"/>
          <w:bCs w:val="0"/>
          <w:caps w:val="0"/>
          <w:smallCaps w:val="0"/>
          <w:color w:val="000000" w:themeColor="text1"/>
          <w:spacing w:val="0"/>
          <w:kern w:val="0"/>
          <w:sz w:val="32"/>
          <w:szCs w:val="32"/>
          <w:u w:val="none"/>
          <w:lang w:val="en-US" w:eastAsia="zh-CN"/>
          <w14:textFill>
            <w14:solidFill>
              <w14:schemeClr w14:val="tx1"/>
            </w14:solidFill>
          </w14:textFill>
        </w:rPr>
        <w:t>198</w:t>
      </w:r>
      <w:r>
        <w:rPr>
          <w:rFonts w:hint="eastAsia" w:ascii="仿宋_GB2312" w:hAnsi="仿宋_GB2312" w:eastAsia="仿宋_GB2312" w:cs="仿宋_GB2312"/>
          <w:b w:val="0"/>
          <w:bCs w:val="0"/>
          <w:caps w:val="0"/>
          <w:smallCaps w:val="0"/>
          <w:color w:val="000000" w:themeColor="text1"/>
          <w:spacing w:val="0"/>
          <w:kern w:val="0"/>
          <w:sz w:val="32"/>
          <w:szCs w:val="32"/>
          <w:u w:val="none"/>
          <w14:textFill>
            <w14:solidFill>
              <w14:schemeClr w14:val="tx1"/>
            </w14:solidFill>
          </w14:textFill>
        </w:rPr>
        <w:t>个、总投资</w:t>
      </w:r>
      <w:r>
        <w:rPr>
          <w:rFonts w:hint="eastAsia" w:ascii="仿宋_GB2312" w:eastAsia="仿宋_GB2312"/>
          <w:color w:val="000000" w:themeColor="text1"/>
          <w:sz w:val="32"/>
          <w:szCs w:val="32"/>
          <w14:textFill>
            <w14:solidFill>
              <w14:schemeClr w14:val="tx1"/>
            </w14:solidFill>
          </w14:textFill>
        </w:rPr>
        <w:t>15</w:t>
      </w:r>
      <w:r>
        <w:rPr>
          <w:rFonts w:ascii="仿宋_GB2312" w:eastAsia="仿宋_GB2312"/>
          <w:color w:val="000000" w:themeColor="text1"/>
          <w:sz w:val="32"/>
          <w:szCs w:val="32"/>
          <w14:textFill>
            <w14:solidFill>
              <w14:schemeClr w14:val="tx1"/>
            </w14:solidFill>
          </w14:textFill>
        </w:rPr>
        <w:t>97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73</w:t>
      </w:r>
      <w:r>
        <w:rPr>
          <w:rFonts w:hint="eastAsia" w:ascii="仿宋_GB2312" w:hAnsi="仿宋_GB2312" w:eastAsia="仿宋_GB2312" w:cs="仿宋_GB2312"/>
          <w:b w:val="0"/>
          <w:bCs w:val="0"/>
          <w:caps w:val="0"/>
          <w:smallCaps w:val="0"/>
          <w:color w:val="000000" w:themeColor="text1"/>
          <w:spacing w:val="0"/>
          <w:kern w:val="0"/>
          <w:sz w:val="32"/>
          <w:szCs w:val="32"/>
          <w:u w:val="none"/>
          <w14:textFill>
            <w14:solidFill>
              <w14:schemeClr w14:val="tx1"/>
            </w14:solidFill>
          </w14:textFill>
        </w:rPr>
        <w:t>亿元、202</w:t>
      </w:r>
      <w:r>
        <w:rPr>
          <w:rFonts w:hint="eastAsia" w:ascii="仿宋_GB2312" w:hAnsi="仿宋_GB2312" w:eastAsia="仿宋_GB2312" w:cs="仿宋_GB2312"/>
          <w:b w:val="0"/>
          <w:bCs w:val="0"/>
          <w:caps w:val="0"/>
          <w:smallCaps w:val="0"/>
          <w:color w:val="000000" w:themeColor="text1"/>
          <w:spacing w:val="0"/>
          <w:kern w:val="0"/>
          <w:sz w:val="32"/>
          <w:szCs w:val="32"/>
          <w:u w:val="none"/>
          <w:lang w:val="en-US" w:eastAsia="zh-CN"/>
          <w14:textFill>
            <w14:solidFill>
              <w14:schemeClr w14:val="tx1"/>
            </w14:solidFill>
          </w14:textFill>
        </w:rPr>
        <w:t>2</w:t>
      </w:r>
      <w:r>
        <w:rPr>
          <w:rFonts w:hint="eastAsia" w:ascii="仿宋_GB2312" w:hAnsi="仿宋_GB2312" w:eastAsia="仿宋_GB2312" w:cs="仿宋_GB2312"/>
          <w:b w:val="0"/>
          <w:bCs w:val="0"/>
          <w:caps w:val="0"/>
          <w:smallCaps w:val="0"/>
          <w:color w:val="000000" w:themeColor="text1"/>
          <w:spacing w:val="0"/>
          <w:kern w:val="0"/>
          <w:sz w:val="32"/>
          <w:szCs w:val="32"/>
          <w:u w:val="none"/>
          <w14:textFill>
            <w14:solidFill>
              <w14:schemeClr w14:val="tx1"/>
            </w14:solidFill>
          </w14:textFill>
        </w:rPr>
        <w:t>年度计划投资</w:t>
      </w: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90.3</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val="0"/>
          <w:caps w:val="0"/>
          <w:smallCaps w:val="0"/>
          <w:color w:val="000000" w:themeColor="text1"/>
          <w:spacing w:val="0"/>
          <w:kern w:val="0"/>
          <w:sz w:val="32"/>
          <w:szCs w:val="32"/>
          <w:u w:val="none"/>
          <w14:textFill>
            <w14:solidFill>
              <w14:schemeClr w14:val="tx1"/>
            </w14:solidFill>
          </w14:textFill>
        </w:rPr>
        <w:t>亿元。</w:t>
      </w:r>
      <w:r>
        <w:rPr>
          <w:rFonts w:hint="eastAsia" w:ascii="仿宋_GB2312" w:hAnsi="仿宋_GB2312" w:eastAsia="仿宋_GB2312" w:cs="仿宋_GB2312"/>
          <w:b/>
          <w:bCs/>
          <w:caps w:val="0"/>
          <w:smallCaps w:val="0"/>
          <w:color w:val="000000" w:themeColor="text1"/>
          <w:spacing w:val="0"/>
          <w:kern w:val="2"/>
          <w:sz w:val="32"/>
          <w:szCs w:val="32"/>
          <w:u w:val="none"/>
          <w:lang w:val="en-US" w:eastAsia="zh-CN" w:bidi="ar"/>
          <w14:textFill>
            <w14:solidFill>
              <w14:schemeClr w14:val="tx1"/>
            </w14:solidFill>
          </w14:textFill>
        </w:rPr>
        <w:t>1.在建项目：</w:t>
      </w:r>
      <w:r>
        <w:rPr>
          <w:rFonts w:hint="eastAsia" w:ascii="仿宋_GB2312" w:hAnsi="仿宋_GB2312" w:eastAsia="仿宋_GB2312" w:cs="仿宋_GB2312"/>
          <w:b w:val="0"/>
          <w:bCs w:val="0"/>
          <w:caps w:val="0"/>
          <w:smallCaps w:val="0"/>
          <w:color w:val="000000" w:themeColor="text1"/>
          <w:spacing w:val="0"/>
          <w:sz w:val="32"/>
          <w:szCs w:val="32"/>
          <w:u w:val="none"/>
          <w:lang w:val="en-US" w:eastAsia="zh-CN" w:bidi="ar"/>
          <w14:textFill>
            <w14:solidFill>
              <w14:schemeClr w14:val="tx1"/>
            </w14:solidFill>
          </w14:textFill>
        </w:rPr>
        <w:t>共</w:t>
      </w: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31</w:t>
      </w:r>
      <w:r>
        <w:rPr>
          <w:rFonts w:hint="eastAsia" w:ascii="仿宋_GB2312" w:hAnsi="仿宋_GB2312" w:eastAsia="仿宋_GB2312" w:cs="仿宋_GB2312"/>
          <w:b w:val="0"/>
          <w:bCs w:val="0"/>
          <w:caps w:val="0"/>
          <w:smallCaps w:val="0"/>
          <w:color w:val="000000" w:themeColor="text1"/>
          <w:spacing w:val="0"/>
          <w:sz w:val="32"/>
          <w:szCs w:val="32"/>
          <w:u w:val="none"/>
          <w:lang w:val="en-US" w:eastAsia="zh-CN" w:bidi="ar"/>
          <w14:textFill>
            <w14:solidFill>
              <w14:schemeClr w14:val="tx1"/>
            </w14:solidFill>
          </w14:textFill>
        </w:rPr>
        <w:t>个，总投资</w:t>
      </w:r>
      <w:r>
        <w:rPr>
          <w:rFonts w:ascii="仿宋_GB2312" w:eastAsia="仿宋_GB2312"/>
          <w:color w:val="000000" w:themeColor="text1"/>
          <w:sz w:val="32"/>
          <w:szCs w:val="32"/>
          <w14:textFill>
            <w14:solidFill>
              <w14:schemeClr w14:val="tx1"/>
            </w14:solidFill>
          </w14:textFill>
        </w:rPr>
        <w:t>690.11</w:t>
      </w:r>
      <w:r>
        <w:rPr>
          <w:rFonts w:hint="eastAsia" w:ascii="仿宋_GB2312" w:hAnsi="仿宋_GB2312" w:eastAsia="仿宋_GB2312" w:cs="仿宋_GB2312"/>
          <w:b w:val="0"/>
          <w:bCs w:val="0"/>
          <w:caps w:val="0"/>
          <w:smallCaps w:val="0"/>
          <w:color w:val="000000" w:themeColor="text1"/>
          <w:spacing w:val="0"/>
          <w:sz w:val="32"/>
          <w:szCs w:val="32"/>
          <w:u w:val="none"/>
          <w:lang w:val="en-US" w:eastAsia="zh-CN" w:bidi="ar"/>
          <w14:textFill>
            <w14:solidFill>
              <w14:schemeClr w14:val="tx1"/>
            </w14:solidFill>
          </w14:textFill>
        </w:rPr>
        <w:t>亿元，2022年计划投资</w:t>
      </w:r>
      <w:r>
        <w:rPr>
          <w:rFonts w:ascii="仿宋_GB2312" w:eastAsia="仿宋_GB2312"/>
          <w:color w:val="000000" w:themeColor="text1"/>
          <w:sz w:val="32"/>
          <w:szCs w:val="32"/>
          <w14:textFill>
            <w14:solidFill>
              <w14:schemeClr w14:val="tx1"/>
            </w14:solidFill>
          </w14:textFill>
        </w:rPr>
        <w:t>252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05</w:t>
      </w:r>
      <w:r>
        <w:rPr>
          <w:rFonts w:hint="eastAsia" w:ascii="仿宋_GB2312" w:hAnsi="仿宋_GB2312" w:eastAsia="仿宋_GB2312" w:cs="仿宋_GB2312"/>
          <w:b w:val="0"/>
          <w:bCs w:val="0"/>
          <w:caps w:val="0"/>
          <w:smallCaps w:val="0"/>
          <w:color w:val="000000" w:themeColor="text1"/>
          <w:spacing w:val="0"/>
          <w:sz w:val="32"/>
          <w:szCs w:val="32"/>
          <w:u w:val="none"/>
          <w:lang w:val="en-US" w:eastAsia="zh-CN" w:bidi="ar"/>
          <w14:textFill>
            <w14:solidFill>
              <w14:schemeClr w14:val="tx1"/>
            </w14:solidFill>
          </w14:textFill>
        </w:rPr>
        <w:t>亿元。其中：</w:t>
      </w:r>
      <w:r>
        <w:rPr>
          <w:rFonts w:hint="eastAsia" w:ascii="仿宋_GB2312" w:hAnsi="仿宋_GB2312" w:eastAsia="仿宋_GB2312" w:cs="仿宋_GB2312"/>
          <w:b w:val="0"/>
          <w:color w:val="000000" w:themeColor="text1"/>
          <w:kern w:val="0"/>
          <w:sz w:val="32"/>
          <w:szCs w:val="32"/>
          <w14:textFill>
            <w14:solidFill>
              <w14:schemeClr w14:val="tx1"/>
            </w14:solidFill>
          </w14:textFill>
        </w:rPr>
        <w:t>⑴工业项目</w:t>
      </w:r>
      <w:r>
        <w:rPr>
          <w:rFonts w:hint="eastAsia" w:ascii="仿宋_GB2312" w:hAnsi="仿宋_GB2312" w:eastAsia="仿宋_GB2312" w:cs="仿宋_GB2312"/>
          <w:color w:val="000000" w:themeColor="text1"/>
          <w:kern w:val="0"/>
          <w:sz w:val="32"/>
          <w:szCs w:val="32"/>
          <w14:textFill>
            <w14:solidFill>
              <w14:schemeClr w14:val="tx1"/>
            </w14:solidFill>
          </w14:textFill>
        </w:rPr>
        <w:t>37个，总投资325.95亿元，年度计划投资120.36亿元；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⑵交通港航项目</w:t>
      </w:r>
      <w:r>
        <w:rPr>
          <w:rFonts w:hint="eastAsia" w:ascii="仿宋_GB2312" w:hAnsi="仿宋_GB2312" w:eastAsia="仿宋_GB2312" w:cs="仿宋_GB2312"/>
          <w:color w:val="000000" w:themeColor="text1"/>
          <w:kern w:val="0"/>
          <w:sz w:val="32"/>
          <w:szCs w:val="32"/>
          <w14:textFill>
            <w14:solidFill>
              <w14:schemeClr w14:val="tx1"/>
            </w14:solidFill>
          </w14:textFill>
        </w:rPr>
        <w:t>12个，总投资79.10亿元，年度计划投资16亿元；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⑶城建环保项目</w:t>
      </w:r>
      <w:r>
        <w:rPr>
          <w:rFonts w:hint="eastAsia" w:ascii="仿宋_GB2312" w:hAnsi="仿宋_GB2312" w:eastAsia="仿宋_GB2312" w:cs="仿宋_GB2312"/>
          <w:color w:val="000000" w:themeColor="text1"/>
          <w:kern w:val="0"/>
          <w:sz w:val="32"/>
          <w:szCs w:val="32"/>
          <w14:textFill>
            <w14:solidFill>
              <w14:schemeClr w14:val="tx1"/>
            </w14:solidFill>
          </w14:textFill>
        </w:rPr>
        <w:t>39个，总投资111.57亿元，年度计划投资55.84亿元；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⑷商贸物流项目</w:t>
      </w:r>
      <w:r>
        <w:rPr>
          <w:rFonts w:hint="eastAsia" w:ascii="仿宋_GB2312" w:hAnsi="仿宋_GB2312" w:eastAsia="仿宋_GB2312" w:cs="仿宋_GB2312"/>
          <w:color w:val="000000" w:themeColor="text1"/>
          <w:kern w:val="0"/>
          <w:sz w:val="32"/>
          <w:szCs w:val="32"/>
          <w14:textFill>
            <w14:solidFill>
              <w14:schemeClr w14:val="tx1"/>
            </w14:solidFill>
          </w14:textFill>
        </w:rPr>
        <w:t>19个，总投资137.70亿元，年度计划投资42.81亿元；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⑸社会事业项目</w:t>
      </w:r>
      <w:r>
        <w:rPr>
          <w:rFonts w:hint="eastAsia" w:ascii="仿宋_GB2312" w:hAnsi="仿宋_GB2312" w:eastAsia="仿宋_GB2312" w:cs="仿宋_GB2312"/>
          <w:color w:val="000000" w:themeColor="text1"/>
          <w:kern w:val="0"/>
          <w:sz w:val="32"/>
          <w:szCs w:val="32"/>
          <w14:textFill>
            <w14:solidFill>
              <w14:schemeClr w14:val="tx1"/>
            </w14:solidFill>
          </w14:textFill>
        </w:rPr>
        <w:t>13个，总投资12.89亿元，年度计划投资6.18亿元；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⑹农林水项目</w:t>
      </w:r>
      <w:r>
        <w:rPr>
          <w:rFonts w:hint="eastAsia" w:ascii="仿宋_GB2312" w:hAnsi="仿宋_GB2312" w:eastAsia="仿宋_GB2312" w:cs="仿宋_GB2312"/>
          <w:color w:val="000000" w:themeColor="text1"/>
          <w:kern w:val="0"/>
          <w:sz w:val="32"/>
          <w:szCs w:val="32"/>
          <w14:textFill>
            <w14:solidFill>
              <w14:schemeClr w14:val="tx1"/>
            </w14:solidFill>
          </w14:textFill>
        </w:rPr>
        <w:t>11个，总投资22.90亿元，年度计划投资10.86亿元。</w:t>
      </w:r>
      <w:r>
        <w:rPr>
          <w:rFonts w:hint="eastAsia" w:ascii="仿宋_GB2312" w:hAnsi="仿宋_GB2312" w:eastAsia="仿宋_GB2312" w:cs="仿宋_GB2312"/>
          <w:b/>
          <w:bCs/>
          <w:caps w:val="0"/>
          <w:smallCaps w:val="0"/>
          <w:color w:val="000000" w:themeColor="text1"/>
          <w:spacing w:val="0"/>
          <w:kern w:val="0"/>
          <w:sz w:val="32"/>
          <w:szCs w:val="32"/>
          <w:lang w:val="en-US" w:eastAsia="zh-CN" w:bidi="ar"/>
          <w14:textFill>
            <w14:solidFill>
              <w14:schemeClr w14:val="tx1"/>
            </w14:solidFill>
          </w14:textFill>
        </w:rPr>
        <w:t>2.预备项目：</w:t>
      </w:r>
      <w:r>
        <w:rPr>
          <w:rFonts w:hint="eastAsia" w:ascii="仿宋_GB2312" w:hAnsi="仿宋_GB2312" w:eastAsia="仿宋_GB2312" w:cs="仿宋_GB2312"/>
          <w:b w:val="0"/>
          <w:bCs w:val="0"/>
          <w:caps w:val="0"/>
          <w:smallCaps w:val="0"/>
          <w:color w:val="000000" w:themeColor="text1"/>
          <w:spacing w:val="0"/>
          <w:kern w:val="0"/>
          <w:sz w:val="32"/>
          <w:szCs w:val="32"/>
          <w:lang w:val="en-US" w:eastAsia="zh-CN" w:bidi="ar"/>
          <w14:textFill>
            <w14:solidFill>
              <w14:schemeClr w14:val="tx1"/>
            </w14:solidFill>
          </w14:textFill>
        </w:rPr>
        <w:t>共67个，总投资</w:t>
      </w:r>
      <w:r>
        <w:rPr>
          <w:rFonts w:ascii="仿宋_GB2312" w:eastAsia="仿宋_GB2312"/>
          <w:color w:val="000000" w:themeColor="text1"/>
          <w:sz w:val="32"/>
          <w:szCs w:val="32"/>
          <w14:textFill>
            <w14:solidFill>
              <w14:schemeClr w14:val="tx1"/>
            </w14:solidFill>
          </w14:textFill>
        </w:rPr>
        <w:t>907.62</w:t>
      </w:r>
      <w:r>
        <w:rPr>
          <w:rFonts w:hint="eastAsia" w:ascii="仿宋_GB2312" w:hAnsi="仿宋_GB2312" w:eastAsia="仿宋_GB2312" w:cs="仿宋_GB2312"/>
          <w:b w:val="0"/>
          <w:bCs w:val="0"/>
          <w:caps w:val="0"/>
          <w:smallCaps w:val="0"/>
          <w:color w:val="000000" w:themeColor="text1"/>
          <w:spacing w:val="0"/>
          <w:kern w:val="0"/>
          <w:sz w:val="32"/>
          <w:szCs w:val="32"/>
          <w:lang w:val="en-US" w:eastAsia="zh-CN" w:bidi="ar"/>
          <w14:textFill>
            <w14:solidFill>
              <w14:schemeClr w14:val="tx1"/>
            </w14:solidFill>
          </w14:textFill>
        </w:rPr>
        <w:t>亿元，2022年计划投资</w:t>
      </w:r>
      <w:r>
        <w:rPr>
          <w:rFonts w:ascii="仿宋_GB2312" w:eastAsia="仿宋_GB2312"/>
          <w:color w:val="000000" w:themeColor="text1"/>
          <w:sz w:val="32"/>
          <w:szCs w:val="32"/>
          <w14:textFill>
            <w14:solidFill>
              <w14:schemeClr w14:val="tx1"/>
            </w14:solidFill>
          </w14:textFill>
        </w:rPr>
        <w:t>38.32</w:t>
      </w:r>
      <w:r>
        <w:rPr>
          <w:rFonts w:hint="eastAsia" w:ascii="仿宋_GB2312" w:hAnsi="仿宋_GB2312" w:eastAsia="仿宋_GB2312" w:cs="仿宋_GB2312"/>
          <w:b w:val="0"/>
          <w:bCs w:val="0"/>
          <w:caps w:val="0"/>
          <w:smallCaps w:val="0"/>
          <w:color w:val="000000" w:themeColor="text1"/>
          <w:spacing w:val="0"/>
          <w:kern w:val="0"/>
          <w:sz w:val="32"/>
          <w:szCs w:val="32"/>
          <w:lang w:val="en-US" w:eastAsia="zh-CN" w:bidi="ar"/>
          <w14:textFill>
            <w14:solidFill>
              <w14:schemeClr w14:val="tx1"/>
            </w14:solidFill>
          </w14:textFill>
        </w:rPr>
        <w:t>亿元，其中：</w:t>
      </w:r>
      <w:r>
        <w:rPr>
          <w:rFonts w:hint="eastAsia" w:ascii="仿宋_GB2312" w:hAnsi="仿宋_GB2312" w:eastAsia="仿宋_GB2312" w:cs="仿宋_GB2312"/>
          <w:b w:val="0"/>
          <w:color w:val="000000" w:themeColor="text1"/>
          <w:kern w:val="0"/>
          <w:sz w:val="32"/>
          <w:szCs w:val="32"/>
          <w14:textFill>
            <w14:solidFill>
              <w14:schemeClr w14:val="tx1"/>
            </w14:solidFill>
          </w14:textFill>
        </w:rPr>
        <w:t>⑴工业项目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kern w:val="0"/>
          <w:sz w:val="32"/>
          <w:szCs w:val="32"/>
          <w14:textFill>
            <w14:solidFill>
              <w14:schemeClr w14:val="tx1"/>
            </w14:solidFill>
          </w14:textFill>
        </w:rPr>
        <w:t>个，总投资</w:t>
      </w:r>
      <w:r>
        <w:rPr>
          <w:rFonts w:ascii="仿宋_GB2312" w:eastAsia="仿宋_GB2312"/>
          <w:color w:val="000000" w:themeColor="text1"/>
          <w:sz w:val="32"/>
          <w:szCs w:val="32"/>
          <w14:textFill>
            <w14:solidFill>
              <w14:schemeClr w14:val="tx1"/>
            </w14:solidFill>
          </w14:textFill>
        </w:rPr>
        <w:t>569.70</w:t>
      </w:r>
      <w:r>
        <w:rPr>
          <w:rFonts w:hint="eastAsia" w:ascii="仿宋_GB2312" w:hAnsi="仿宋_GB2312" w:eastAsia="仿宋_GB2312" w:cs="仿宋_GB2312"/>
          <w:color w:val="000000" w:themeColor="text1"/>
          <w:kern w:val="0"/>
          <w:sz w:val="32"/>
          <w:szCs w:val="32"/>
          <w14:textFill>
            <w14:solidFill>
              <w14:schemeClr w14:val="tx1"/>
            </w14:solidFill>
          </w14:textFill>
        </w:rPr>
        <w:t>亿元，年度计划投资29.6</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⑵交通港航项目</w:t>
      </w:r>
      <w:r>
        <w:rPr>
          <w:rFonts w:hint="eastAsia" w:ascii="仿宋_GB2312" w:hAnsi="仿宋_GB2312" w:eastAsia="仿宋_GB2312" w:cs="仿宋_GB2312"/>
          <w:color w:val="000000" w:themeColor="text1"/>
          <w:kern w:val="0"/>
          <w:sz w:val="32"/>
          <w:szCs w:val="32"/>
          <w14:textFill>
            <w14:solidFill>
              <w14:schemeClr w14:val="tx1"/>
            </w14:solidFill>
          </w14:textFill>
        </w:rPr>
        <w:t>6个，总投资95.83亿元，年度计划投资0.94亿元；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⑶城建环保项目</w:t>
      </w:r>
      <w:r>
        <w:rPr>
          <w:rFonts w:hint="eastAsia" w:ascii="仿宋_GB2312" w:hAnsi="仿宋_GB2312" w:eastAsia="仿宋_GB2312" w:cs="仿宋_GB2312"/>
          <w:color w:val="000000" w:themeColor="text1"/>
          <w:kern w:val="0"/>
          <w:sz w:val="32"/>
          <w:szCs w:val="32"/>
          <w14:textFill>
            <w14:solidFill>
              <w14:schemeClr w14:val="tx1"/>
            </w14:solidFill>
          </w14:textFill>
        </w:rPr>
        <w:t>17个，总投资97.61亿元，年度计划投资2.78亿元；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⑷商贸物流项目</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个，总投资</w:t>
      </w:r>
      <w:r>
        <w:rPr>
          <w:rFonts w:ascii="仿宋_GB2312" w:eastAsia="仿宋_GB2312"/>
          <w:color w:val="000000" w:themeColor="text1"/>
          <w:sz w:val="32"/>
          <w:szCs w:val="32"/>
          <w14:textFill>
            <w14:solidFill>
              <w14:schemeClr w14:val="tx1"/>
            </w14:solidFill>
          </w14:textFill>
        </w:rPr>
        <w:t>115</w:t>
      </w:r>
      <w:r>
        <w:rPr>
          <w:rFonts w:hint="eastAsia" w:ascii="仿宋_GB2312" w:hAnsi="仿宋_GB2312" w:eastAsia="仿宋_GB2312" w:cs="仿宋_GB2312"/>
          <w:color w:val="000000" w:themeColor="text1"/>
          <w:kern w:val="0"/>
          <w:sz w:val="32"/>
          <w:szCs w:val="32"/>
          <w14:textFill>
            <w14:solidFill>
              <w14:schemeClr w14:val="tx1"/>
            </w14:solidFill>
          </w14:textFill>
        </w:rPr>
        <w:t>亿元，年度计划投资</w:t>
      </w:r>
      <w:r>
        <w:rPr>
          <w:rFonts w:ascii="仿宋_GB2312" w:eastAsia="仿宋_GB2312"/>
          <w:color w:val="000000" w:themeColor="text1"/>
          <w:sz w:val="32"/>
          <w:szCs w:val="32"/>
          <w14:textFill>
            <w14:solidFill>
              <w14:schemeClr w14:val="tx1"/>
            </w14:solidFill>
          </w14:textFill>
        </w:rPr>
        <w:t>2.90</w:t>
      </w:r>
      <w:r>
        <w:rPr>
          <w:rFonts w:hint="eastAsia" w:ascii="仿宋_GB2312" w:hAnsi="仿宋_GB2312" w:eastAsia="仿宋_GB2312" w:cs="仿宋_GB2312"/>
          <w:color w:val="000000" w:themeColor="text1"/>
          <w:kern w:val="0"/>
          <w:sz w:val="32"/>
          <w:szCs w:val="32"/>
          <w14:textFill>
            <w14:solidFill>
              <w14:schemeClr w14:val="tx1"/>
            </w14:solidFill>
          </w14:textFill>
        </w:rPr>
        <w:t>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⑸社会事业项目</w:t>
      </w:r>
      <w:r>
        <w:rPr>
          <w:rFonts w:hint="eastAsia" w:ascii="仿宋_GB2312" w:hAnsi="仿宋_GB2312" w:eastAsia="仿宋_GB2312" w:cs="仿宋_GB2312"/>
          <w:color w:val="000000" w:themeColor="text1"/>
          <w:kern w:val="0"/>
          <w:sz w:val="32"/>
          <w:szCs w:val="32"/>
          <w14:textFill>
            <w14:solidFill>
              <w14:schemeClr w14:val="tx1"/>
            </w14:solidFill>
          </w14:textFill>
        </w:rPr>
        <w:t>7个，总投资8.88亿元，年度计划投资0.65亿元；</w:t>
      </w:r>
      <w:r>
        <w:rPr>
          <w:rFonts w:hint="eastAsia" w:ascii="仿宋_GB2312" w:hAnsi="仿宋_GB2312" w:eastAsia="仿宋_GB2312" w:cs="仿宋_GB2312"/>
          <w:b w:val="0"/>
          <w:color w:val="000000" w:themeColor="text1"/>
          <w:kern w:val="0"/>
          <w:sz w:val="32"/>
          <w:szCs w:val="32"/>
          <w14:textFill>
            <w14:solidFill>
              <w14:schemeClr w14:val="tx1"/>
            </w14:solidFill>
          </w14:textFill>
        </w:rPr>
        <w:t>⑹农林水项目</w:t>
      </w:r>
      <w:r>
        <w:rPr>
          <w:rFonts w:hint="eastAsia" w:ascii="仿宋_GB2312" w:hAnsi="仿宋_GB2312" w:eastAsia="仿宋_GB2312" w:cs="仿宋_GB2312"/>
          <w:color w:val="000000" w:themeColor="text1"/>
          <w:kern w:val="0"/>
          <w:sz w:val="32"/>
          <w:szCs w:val="32"/>
          <w14:textFill>
            <w14:solidFill>
              <w14:schemeClr w14:val="tx1"/>
            </w14:solidFill>
          </w14:textFill>
        </w:rPr>
        <w:t>3个，总投资20.60亿元，年度计划投资1.40亿元。</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spacing w:line="556" w:lineRule="exact"/>
        <w:ind w:firstLine="640"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各位代表，做好20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年经济社会发展各项工作，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圆满完成各项目标任务，任务艰巨、</w:t>
      </w:r>
      <w:r>
        <w:rPr>
          <w:rFonts w:hint="eastAsia" w:ascii="仿宋_GB2312" w:hAnsi="仿宋_GB2312" w:eastAsia="仿宋_GB2312" w:cs="仿宋_GB2312"/>
          <w:color w:val="000000" w:themeColor="text1"/>
          <w:sz w:val="32"/>
          <w:szCs w:val="32"/>
          <w14:textFill>
            <w14:solidFill>
              <w14:schemeClr w14:val="tx1"/>
            </w14:solidFill>
          </w14:textFill>
        </w:rPr>
        <w:t>责任重大。</w:t>
      </w:r>
      <w:r>
        <w:rPr>
          <w:rFonts w:hint="eastAsia" w:ascii="仿宋_GB2312" w:hAnsi="仿宋_GB2312" w:eastAsia="仿宋_GB2312" w:cs="仿宋_GB2312"/>
          <w:color w:val="000000" w:themeColor="text1"/>
          <w:sz w:val="32"/>
          <w:szCs w:val="32"/>
          <w:lang w:eastAsia="zh-CN"/>
          <w14:textFill>
            <w14:solidFill>
              <w14:schemeClr w14:val="tx1"/>
            </w14:solidFill>
          </w14:textFill>
        </w:rPr>
        <w:t>让</w:t>
      </w:r>
      <w:r>
        <w:rPr>
          <w:rFonts w:hint="eastAsia" w:ascii="仿宋_GB2312" w:hAnsi="仿宋_GB2312" w:eastAsia="仿宋_GB2312" w:cs="仿宋_GB2312"/>
          <w:color w:val="000000" w:themeColor="text1"/>
          <w:sz w:val="32"/>
          <w:szCs w:val="32"/>
          <w14:textFill>
            <w14:solidFill>
              <w14:schemeClr w14:val="tx1"/>
            </w14:solidFill>
          </w14:textFill>
        </w:rPr>
        <w:t>我们在区委</w:t>
      </w:r>
      <w:r>
        <w:rPr>
          <w:rFonts w:hint="eastAsia" w:ascii="仿宋_GB2312" w:hAnsi="仿宋_GB2312" w:eastAsia="仿宋_GB2312" w:cs="仿宋_GB2312"/>
          <w:color w:val="000000" w:themeColor="text1"/>
          <w:sz w:val="32"/>
          <w:szCs w:val="32"/>
          <w:lang w:eastAsia="zh-CN"/>
          <w14:textFill>
            <w14:solidFill>
              <w14:schemeClr w14:val="tx1"/>
            </w14:solidFill>
          </w14:textFill>
        </w:rPr>
        <w:t>的坚强</w:t>
      </w:r>
      <w:r>
        <w:rPr>
          <w:rFonts w:hint="eastAsia" w:ascii="仿宋_GB2312" w:hAnsi="仿宋_GB2312" w:eastAsia="仿宋_GB2312" w:cs="仿宋_GB2312"/>
          <w:color w:val="000000" w:themeColor="text1"/>
          <w:sz w:val="32"/>
          <w:szCs w:val="32"/>
          <w14:textFill>
            <w14:solidFill>
              <w14:schemeClr w14:val="tx1"/>
            </w14:solidFill>
          </w14:textFill>
        </w:rPr>
        <w:t>领导下</w:t>
      </w:r>
      <w:r>
        <w:rPr>
          <w:rFonts w:hint="eastAsia" w:ascii="仿宋_GB2312" w:hAnsi="仿宋_GB2312" w:eastAsia="仿宋_GB2312" w:cs="仿宋_GB2312"/>
          <w:color w:val="000000" w:themeColor="text1"/>
          <w:sz w:val="32"/>
          <w:szCs w:val="32"/>
          <w:lang w:eastAsia="zh-CN"/>
          <w14:textFill>
            <w14:solidFill>
              <w14:schemeClr w14:val="tx1"/>
            </w14:solidFill>
          </w14:textFill>
        </w:rPr>
        <w:t>，在区</w:t>
      </w:r>
      <w:r>
        <w:rPr>
          <w:rFonts w:hint="eastAsia" w:ascii="仿宋_GB2312" w:hAnsi="仿宋_GB2312" w:eastAsia="仿宋_GB2312" w:cs="仿宋_GB2312"/>
          <w:color w:val="000000" w:themeColor="text1"/>
          <w:sz w:val="32"/>
          <w:szCs w:val="32"/>
          <w14:textFill>
            <w14:solidFill>
              <w14:schemeClr w14:val="tx1"/>
            </w14:solidFill>
          </w14:textFill>
        </w:rPr>
        <w:t>人大法律监督和工作监督、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政协民主监督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下，凝心聚力、改革创新，真抓实干、攻坚克难，为加快建设“绿色石化名城、现代活力港城、山海宜居美城”而努力奋斗</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pBdr>
          <w:bottom w:val="single" w:color="FFFFFF" w:sz="4" w:space="25"/>
        </w:pBdr>
        <w:kinsoku/>
        <w:wordWrap/>
        <w:overflowPunct/>
        <w:topLinePunct w:val="0"/>
        <w:autoSpaceDE/>
        <w:autoSpaceDN/>
        <w:bidi w:val="0"/>
        <w:adjustRightInd w:val="0"/>
        <w:snapToGrid w:val="0"/>
        <w:spacing w:line="556" w:lineRule="exact"/>
        <w:ind w:firstLine="640" w:firstLineChars="200"/>
        <w:textAlignment w:val="auto"/>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pPr>
    </w:p>
    <w:p>
      <w:pPr>
        <w:keepNext w:val="0"/>
        <w:keepLines w:val="0"/>
        <w:pageBreakBefore w:val="0"/>
        <w:widowControl w:val="0"/>
        <w:pBdr>
          <w:bottom w:val="single" w:color="FFFFFF" w:sz="4" w:space="25"/>
        </w:pBdr>
        <w:kinsoku/>
        <w:wordWrap/>
        <w:overflowPunct/>
        <w:topLinePunct w:val="0"/>
        <w:autoSpaceDE/>
        <w:autoSpaceDN/>
        <w:bidi w:val="0"/>
        <w:adjustRightInd w:val="0"/>
        <w:snapToGrid w:val="0"/>
        <w:spacing w:line="556" w:lineRule="exact"/>
        <w:ind w:firstLine="640" w:firstLineChars="200"/>
        <w:textAlignment w:val="auto"/>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附件：1.20</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21</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年国民经济和社会发展主要指标完成情况及</w:t>
      </w:r>
    </w:p>
    <w:p>
      <w:pPr>
        <w:keepNext w:val="0"/>
        <w:keepLines w:val="0"/>
        <w:pageBreakBefore w:val="0"/>
        <w:widowControl w:val="0"/>
        <w:pBdr>
          <w:bottom w:val="single" w:color="FFFFFF" w:sz="4" w:space="25"/>
        </w:pBdr>
        <w:kinsoku/>
        <w:wordWrap/>
        <w:overflowPunct/>
        <w:topLinePunct w:val="0"/>
        <w:autoSpaceDE/>
        <w:autoSpaceDN/>
        <w:bidi w:val="0"/>
        <w:adjustRightInd w:val="0"/>
        <w:snapToGrid w:val="0"/>
        <w:spacing w:line="556" w:lineRule="exact"/>
        <w:ind w:firstLine="1920" w:firstLineChars="600"/>
        <w:textAlignment w:val="auto"/>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aps w:val="0"/>
          <w:smallCaps w:val="0"/>
          <w:color w:val="000000" w:themeColor="text1"/>
          <w:spacing w:val="0"/>
          <w:sz w:val="32"/>
          <w:szCs w:val="32"/>
          <w14:textFill>
            <w14:solidFill>
              <w14:schemeClr w14:val="tx1"/>
            </w14:solidFill>
          </w14:textFill>
        </w:rPr>
        <w:t>年预期目标表</w:t>
      </w:r>
    </w:p>
    <w:p>
      <w:pPr>
        <w:keepNext w:val="0"/>
        <w:keepLines w:val="0"/>
        <w:pageBreakBefore w:val="0"/>
        <w:widowControl w:val="0"/>
        <w:pBdr>
          <w:bottom w:val="single" w:color="FFFFFF" w:sz="4" w:space="25"/>
        </w:pBdr>
        <w:kinsoku/>
        <w:wordWrap/>
        <w:overflowPunct/>
        <w:topLinePunct w:val="0"/>
        <w:autoSpaceDE/>
        <w:autoSpaceDN/>
        <w:bidi w:val="0"/>
        <w:adjustRightInd w:val="0"/>
        <w:snapToGrid w:val="0"/>
        <w:spacing w:line="556" w:lineRule="exact"/>
        <w:ind w:firstLine="1600" w:firstLineChars="500"/>
        <w:textAlignment w:val="auto"/>
        <w:rPr>
          <w:rFonts w:hint="eastAsia" w:ascii="仿宋_GB2312" w:hAnsi="仿宋_GB2312" w:eastAsia="仿宋_GB2312" w:cs="仿宋_GB2312"/>
          <w:caps w:val="0"/>
          <w:smallCaps w:val="0"/>
          <w:color w:val="000000" w:themeColor="text1"/>
          <w:spacing w:val="0"/>
          <w:kern w:val="2"/>
          <w:sz w:val="32"/>
          <w:szCs w:val="32"/>
          <w14:textFill>
            <w14:solidFill>
              <w14:schemeClr w14:val="tx1"/>
            </w14:solidFill>
          </w14:textFill>
        </w:rPr>
      </w:pPr>
      <w:r>
        <w:rPr>
          <w:rFonts w:hint="eastAsia" w:ascii="仿宋_GB2312" w:hAnsi="仿宋_GB2312" w:eastAsia="仿宋_GB2312" w:cs="仿宋_GB2312"/>
          <w:caps w:val="0"/>
          <w:smallCaps w:val="0"/>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aps w:val="0"/>
          <w:smallCaps w:val="0"/>
          <w:color w:val="000000" w:themeColor="text1"/>
          <w:spacing w:val="0"/>
          <w:kern w:val="2"/>
          <w:sz w:val="32"/>
          <w:szCs w:val="32"/>
          <w14:textFill>
            <w14:solidFill>
              <w14:schemeClr w14:val="tx1"/>
            </w14:solidFill>
          </w14:textFill>
        </w:rPr>
        <w:t>泉港区202</w:t>
      </w:r>
      <w:r>
        <w:rPr>
          <w:rFonts w:hint="eastAsia" w:ascii="仿宋_GB2312" w:hAnsi="仿宋_GB2312" w:eastAsia="仿宋_GB2312" w:cs="仿宋_GB2312"/>
          <w:caps w:val="0"/>
          <w:smallCaps w:val="0"/>
          <w:color w:val="000000" w:themeColor="text1"/>
          <w:spacing w:val="0"/>
          <w:kern w:val="2"/>
          <w:sz w:val="32"/>
          <w:szCs w:val="32"/>
          <w:lang w:val="en-US" w:eastAsia="zh-CN"/>
          <w14:textFill>
            <w14:solidFill>
              <w14:schemeClr w14:val="tx1"/>
            </w14:solidFill>
          </w14:textFill>
        </w:rPr>
        <w:t>2</w:t>
      </w:r>
      <w:r>
        <w:rPr>
          <w:rFonts w:hint="eastAsia" w:ascii="仿宋_GB2312" w:hAnsi="仿宋_GB2312" w:eastAsia="仿宋_GB2312" w:cs="仿宋_GB2312"/>
          <w:caps w:val="0"/>
          <w:smallCaps w:val="0"/>
          <w:color w:val="000000" w:themeColor="text1"/>
          <w:spacing w:val="0"/>
          <w:kern w:val="2"/>
          <w:sz w:val="32"/>
          <w:szCs w:val="32"/>
          <w14:textFill>
            <w14:solidFill>
              <w14:schemeClr w14:val="tx1"/>
            </w14:solidFill>
          </w14:textFill>
        </w:rPr>
        <w:t>年重点项目安排表（另行印发）</w:t>
      </w:r>
    </w:p>
    <w:p>
      <w:pPr>
        <w:keepNext w:val="0"/>
        <w:keepLines w:val="0"/>
        <w:pageBreakBefore w:val="0"/>
        <w:numPr>
          <w:ilvl w:val="0"/>
          <w:numId w:val="0"/>
        </w:numPr>
        <w:pBdr>
          <w:bottom w:val="single" w:color="FFFFFF" w:sz="4" w:space="25"/>
        </w:pBdr>
        <w:kinsoku/>
        <w:wordWrap/>
        <w:overflowPunct/>
        <w:topLinePunct w:val="0"/>
        <w:autoSpaceDE/>
        <w:autoSpaceDN/>
        <w:bidi w:val="0"/>
        <w:adjustRightInd w:val="0"/>
        <w:snapToGrid w:val="0"/>
        <w:spacing w:line="560" w:lineRule="exact"/>
        <w:textAlignment w:val="auto"/>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keepNext w:val="0"/>
        <w:keepLines w:val="0"/>
        <w:pageBreakBefore w:val="0"/>
        <w:numPr>
          <w:ilvl w:val="0"/>
          <w:numId w:val="0"/>
        </w:numPr>
        <w:pBdr>
          <w:bottom w:val="single" w:color="FFFFFF" w:sz="4" w:space="25"/>
        </w:pBdr>
        <w:kinsoku/>
        <w:wordWrap/>
        <w:overflowPunct/>
        <w:topLinePunct w:val="0"/>
        <w:autoSpaceDE/>
        <w:autoSpaceDN/>
        <w:bidi w:val="0"/>
        <w:adjustRightInd w:val="0"/>
        <w:snapToGrid w:val="0"/>
        <w:spacing w:line="560" w:lineRule="exact"/>
        <w:textAlignment w:val="auto"/>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pStyle w:val="4"/>
        <w:rPr>
          <w:rFonts w:hint="eastAsia" w:ascii="黑体" w:hAnsi="宋体" w:eastAsia="黑体" w:cs="黑体"/>
          <w:color w:val="000000" w:themeColor="text1"/>
          <w:kern w:val="2"/>
          <w:sz w:val="32"/>
          <w:szCs w:val="32"/>
          <w:lang w:val="en-US" w:eastAsia="zh-CN" w:bidi="ar"/>
          <w14:textFill>
            <w14:solidFill>
              <w14:schemeClr w14:val="tx1"/>
            </w14:solidFill>
          </w14:textFill>
        </w:rPr>
      </w:pPr>
    </w:p>
    <w:p>
      <w:pPr>
        <w:keepNext w:val="0"/>
        <w:keepLines w:val="0"/>
        <w:pageBreakBefore w:val="0"/>
        <w:numPr>
          <w:ilvl w:val="0"/>
          <w:numId w:val="0"/>
        </w:numPr>
        <w:pBdr>
          <w:bottom w:val="single" w:color="FFFFFF" w:sz="4" w:space="25"/>
        </w:pBdr>
        <w:kinsoku/>
        <w:wordWrap/>
        <w:overflowPunct/>
        <w:topLinePunct w:val="0"/>
        <w:autoSpaceDE/>
        <w:autoSpaceDN/>
        <w:bidi w:val="0"/>
        <w:adjustRightInd w:val="0"/>
        <w:snapToGrid w:val="0"/>
        <w:spacing w:line="560" w:lineRule="exact"/>
        <w:textAlignment w:val="auto"/>
        <w:rPr>
          <w:rFonts w:hint="eastAsia" w:ascii="黑体" w:hAnsi="宋体" w:eastAsia="黑体" w:cs="黑体"/>
          <w:color w:val="000000" w:themeColor="text1"/>
          <w:kern w:val="2"/>
          <w:sz w:val="32"/>
          <w:szCs w:val="32"/>
          <w:lang w:val="en-US" w:eastAsia="zh-CN" w:bidi="ar"/>
          <w14:textFill>
            <w14:solidFill>
              <w14:schemeClr w14:val="tx1"/>
            </w14:solidFill>
          </w14:textFill>
        </w:rPr>
      </w:pPr>
      <w:r>
        <w:rPr>
          <w:rFonts w:hint="eastAsia" w:ascii="黑体" w:hAnsi="宋体" w:eastAsia="黑体" w:cs="黑体"/>
          <w:color w:val="000000" w:themeColor="text1"/>
          <w:kern w:val="2"/>
          <w:sz w:val="32"/>
          <w:szCs w:val="32"/>
          <w:lang w:val="en-US" w:eastAsia="zh-CN" w:bidi="ar"/>
          <w14:textFill>
            <w14:solidFill>
              <w14:schemeClr w14:val="tx1"/>
            </w14:solidFill>
          </w14:textFill>
        </w:rPr>
        <w:t>附件1</w:t>
      </w:r>
    </w:p>
    <w:p>
      <w:pPr>
        <w:keepNext w:val="0"/>
        <w:keepLines w:val="0"/>
        <w:pageBreakBefore w:val="0"/>
        <w:widowControl w:val="0"/>
        <w:numPr>
          <w:ilvl w:val="0"/>
          <w:numId w:val="0"/>
        </w:numPr>
        <w:pBdr>
          <w:bottom w:val="single" w:color="FFFFFF" w:sz="4" w:space="25"/>
        </w:pBdr>
        <w:kinsoku/>
        <w:wordWrap/>
        <w:overflowPunct/>
        <w:topLinePunct w:val="0"/>
        <w:autoSpaceDE/>
        <w:autoSpaceDN/>
        <w:bidi w:val="0"/>
        <w:adjustRightInd w:val="0"/>
        <w:snapToGrid w:val="0"/>
        <w:spacing w:line="200" w:lineRule="exact"/>
        <w:jc w:val="both"/>
        <w:textAlignment w:val="auto"/>
        <w:rPr>
          <w:rFonts w:hint="eastAsia" w:asciiTheme="majorEastAsia" w:hAnsiTheme="majorEastAsia" w:eastAsiaTheme="majorEastAsia" w:cstheme="majorEastAsia"/>
          <w:b/>
          <w:bCs/>
          <w:color w:val="000000" w:themeColor="text1"/>
          <w:spacing w:val="-6"/>
          <w:kern w:val="0"/>
          <w:sz w:val="44"/>
          <w:szCs w:val="44"/>
          <w:lang w:val="en-US" w:eastAsia="zh-CN" w:bidi="ar"/>
          <w14:textFill>
            <w14:solidFill>
              <w14:schemeClr w14:val="tx1"/>
            </w14:solidFill>
          </w14:textFill>
        </w:rPr>
      </w:pPr>
    </w:p>
    <w:p>
      <w:pPr>
        <w:keepNext w:val="0"/>
        <w:keepLines w:val="0"/>
        <w:pageBreakBefore w:val="0"/>
        <w:numPr>
          <w:ilvl w:val="0"/>
          <w:numId w:val="0"/>
        </w:numPr>
        <w:pBdr>
          <w:bottom w:val="single" w:color="FFFFFF" w:sz="4" w:space="25"/>
        </w:pBd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color w:val="000000" w:themeColor="text1"/>
          <w:spacing w:val="0"/>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kern w:val="0"/>
          <w:sz w:val="44"/>
          <w:szCs w:val="44"/>
          <w:lang w:val="en-US" w:eastAsia="zh-CN" w:bidi="ar"/>
          <w14:textFill>
            <w14:solidFill>
              <w14:schemeClr w14:val="tx1"/>
            </w14:solidFill>
          </w14:textFill>
        </w:rPr>
        <w:t>2021年国民经济和社会发展主要指标完成</w:t>
      </w:r>
    </w:p>
    <w:p>
      <w:pPr>
        <w:keepNext w:val="0"/>
        <w:keepLines w:val="0"/>
        <w:pageBreakBefore w:val="0"/>
        <w:numPr>
          <w:ilvl w:val="0"/>
          <w:numId w:val="0"/>
        </w:numPr>
        <w:pBdr>
          <w:bottom w:val="single" w:color="FFFFFF" w:sz="4" w:space="25"/>
        </w:pBdr>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000000" w:themeColor="text1"/>
          <w:kern w:val="0"/>
          <w:sz w:val="44"/>
          <w:szCs w:val="44"/>
          <w:lang w:val="en-US" w:eastAsia="zh-CN" w:bidi="ar"/>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kern w:val="0"/>
          <w:sz w:val="44"/>
          <w:szCs w:val="44"/>
          <w:lang w:val="en-US" w:eastAsia="zh-CN" w:bidi="ar"/>
          <w14:textFill>
            <w14:solidFill>
              <w14:schemeClr w14:val="tx1"/>
            </w14:solidFill>
          </w14:textFill>
        </w:rPr>
        <w:t>情况</w:t>
      </w:r>
      <w:r>
        <w:rPr>
          <w:rFonts w:hint="eastAsia" w:ascii="方正小标宋_GBK" w:hAnsi="方正小标宋_GBK" w:eastAsia="方正小标宋_GBK" w:cs="方正小标宋_GBK"/>
          <w:b w:val="0"/>
          <w:bCs w:val="0"/>
          <w:color w:val="000000" w:themeColor="text1"/>
          <w:kern w:val="0"/>
          <w:sz w:val="44"/>
          <w:szCs w:val="44"/>
          <w:lang w:val="en-US" w:eastAsia="zh-CN" w:bidi="ar"/>
          <w14:textFill>
            <w14:solidFill>
              <w14:schemeClr w14:val="tx1"/>
            </w14:solidFill>
          </w14:textFill>
        </w:rPr>
        <w:t>及2022年预期目标表</w:t>
      </w:r>
    </w:p>
    <w:tbl>
      <w:tblPr>
        <w:tblStyle w:val="14"/>
        <w:tblW w:w="88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749"/>
        <w:gridCol w:w="2243"/>
        <w:gridCol w:w="2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Times New Roman" w:cs="Times New Roman"/>
                <w:color w:val="000000" w:themeColor="text1"/>
                <w:sz w:val="28"/>
                <w:szCs w:val="28"/>
                <w14:textFill>
                  <w14:solidFill>
                    <w14:schemeClr w14:val="tx1"/>
                  </w14:solidFill>
                </w14:textFill>
              </w:rPr>
            </w:pPr>
            <w:r>
              <w:rPr>
                <w:rFonts w:hint="eastAsia" w:ascii="黑体" w:hAnsi="宋体" w:eastAsia="黑体" w:cs="黑体"/>
                <w:color w:val="000000" w:themeColor="text1"/>
                <w:kern w:val="0"/>
                <w:sz w:val="28"/>
                <w:szCs w:val="28"/>
                <w:lang w:val="en-US" w:eastAsia="zh-CN" w:bidi="ar"/>
                <w14:textFill>
                  <w14:solidFill>
                    <w14:schemeClr w14:val="tx1"/>
                  </w14:solidFill>
                </w14:textFill>
              </w:rPr>
              <w:t>指标名称</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宋体" w:eastAsia="黑体" w:cs="Times New Roman"/>
                <w:color w:val="000000" w:themeColor="text1"/>
                <w:kern w:val="0"/>
                <w:sz w:val="28"/>
                <w:szCs w:val="28"/>
                <w:lang w:val="en-US"/>
                <w14:textFill>
                  <w14:solidFill>
                    <w14:schemeClr w14:val="tx1"/>
                  </w14:solidFill>
                </w14:textFill>
              </w:rPr>
            </w:pPr>
            <w:r>
              <w:rPr>
                <w:rFonts w:hint="eastAsia" w:ascii="黑体" w:hAnsi="宋体" w:eastAsia="黑体" w:cs="黑体"/>
                <w:color w:val="000000" w:themeColor="text1"/>
                <w:kern w:val="0"/>
                <w:sz w:val="28"/>
                <w:szCs w:val="28"/>
                <w:lang w:val="en-US" w:eastAsia="zh-CN" w:bidi="ar"/>
                <w14:textFill>
                  <w14:solidFill>
                    <w14:schemeClr w14:val="tx1"/>
                  </w14:solidFill>
                </w14:textFill>
              </w:rPr>
              <w:t>2021年增长（%）</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宋体" w:eastAsia="黑体" w:cs="Times New Roman"/>
                <w:color w:val="000000" w:themeColor="text1"/>
                <w:kern w:val="0"/>
                <w:sz w:val="28"/>
                <w:szCs w:val="28"/>
                <w:lang w:val="en-US"/>
                <w14:textFill>
                  <w14:solidFill>
                    <w14:schemeClr w14:val="tx1"/>
                  </w14:solidFill>
                </w14:textFill>
              </w:rPr>
            </w:pPr>
            <w:r>
              <w:rPr>
                <w:rFonts w:hint="eastAsia" w:ascii="黑体" w:hAnsi="宋体" w:eastAsia="黑体" w:cs="黑体"/>
                <w:color w:val="000000" w:themeColor="text1"/>
                <w:kern w:val="0"/>
                <w:sz w:val="28"/>
                <w:szCs w:val="28"/>
                <w:lang w:val="en-US" w:eastAsia="zh-CN" w:bidi="ar"/>
                <w14:textFill>
                  <w14:solidFill>
                    <w14:schemeClr w14:val="tx1"/>
                  </w14:solidFill>
                </w14:textFill>
              </w:rPr>
              <w:t>2022年计划目标（%）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黑体" w:hAnsi="宋体" w:eastAsia="黑体" w:cs="Times New Roman"/>
                <w:color w:val="000000" w:themeColor="text1"/>
                <w:kern w:val="0"/>
                <w:sz w:val="30"/>
                <w:szCs w:val="30"/>
                <w:lang w:val="en-US"/>
                <w14:textFill>
                  <w14:solidFill>
                    <w14:schemeClr w14:val="tx1"/>
                  </w14:solidFill>
                </w14:textFill>
              </w:rPr>
            </w:pPr>
            <w:r>
              <w:rPr>
                <w:rFonts w:hint="eastAsia" w:ascii="黑体" w:hAnsi="宋体" w:eastAsia="黑体" w:cs="黑体"/>
                <w:color w:val="000000" w:themeColor="text1"/>
                <w:kern w:val="0"/>
                <w:sz w:val="30"/>
                <w:szCs w:val="30"/>
                <w:lang w:val="en-US" w:eastAsia="zh-CN" w:bidi="ar"/>
                <w14:textFill>
                  <w14:solidFill>
                    <w14:schemeClr w14:val="tx1"/>
                  </w14:solidFill>
                </w14:textFill>
              </w:rPr>
              <w:t>一、综合</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1.地区生产总值</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-1.6</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2.农林牧渔总产值</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7.5</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3.工业增加值</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-5.7</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4.建筑业增加值</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3.5</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5.第三产业增加值</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10.6</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6.固定资产投资</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持平</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黑体" w:hAnsi="宋体" w:eastAsia="黑体" w:cs="Times New Roman"/>
                <w:color w:val="000000" w:themeColor="text1"/>
                <w:kern w:val="0"/>
                <w:sz w:val="30"/>
                <w:szCs w:val="30"/>
                <w:lang w:val="en-US"/>
                <w14:textFill>
                  <w14:solidFill>
                    <w14:schemeClr w14:val="tx1"/>
                  </w14:solidFill>
                </w14:textFill>
              </w:rPr>
            </w:pPr>
            <w:r>
              <w:rPr>
                <w:rFonts w:hint="eastAsia" w:ascii="黑体" w:hAnsi="宋体" w:eastAsia="黑体" w:cs="黑体"/>
                <w:color w:val="000000" w:themeColor="text1"/>
                <w:kern w:val="0"/>
                <w:sz w:val="30"/>
                <w:szCs w:val="30"/>
                <w:lang w:val="en-US" w:eastAsia="zh-CN" w:bidi="ar"/>
                <w14:textFill>
                  <w14:solidFill>
                    <w14:schemeClr w14:val="tx1"/>
                  </w14:solidFill>
                </w14:textFill>
              </w:rPr>
              <w:t>二、财政</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1.一般公共预算总收入</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14.1</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2.一般公共预算收入</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9.47</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黑体" w:hAnsi="宋体" w:eastAsia="黑体" w:cs="Times New Roman"/>
                <w:color w:val="000000" w:themeColor="text1"/>
                <w:kern w:val="0"/>
                <w:sz w:val="30"/>
                <w:szCs w:val="30"/>
                <w:lang w:val="en-US"/>
                <w14:textFill>
                  <w14:solidFill>
                    <w14:schemeClr w14:val="tx1"/>
                  </w14:solidFill>
                </w14:textFill>
              </w:rPr>
            </w:pPr>
            <w:r>
              <w:rPr>
                <w:rFonts w:hint="eastAsia" w:ascii="黑体" w:hAnsi="宋体" w:eastAsia="黑体" w:cs="黑体"/>
                <w:color w:val="000000" w:themeColor="text1"/>
                <w:kern w:val="0"/>
                <w:sz w:val="30"/>
                <w:szCs w:val="30"/>
                <w:lang w:val="en-US" w:eastAsia="zh-CN" w:bidi="ar"/>
                <w14:textFill>
                  <w14:solidFill>
                    <w14:schemeClr w14:val="tx1"/>
                  </w14:solidFill>
                </w14:textFill>
              </w:rPr>
              <w:t>三、外资、外贸</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1.实际利用外资（验资口径）</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40.3</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持平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仿宋_GB2312" w:hAnsi="Calibri"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2.出口商品总值</w:t>
            </w:r>
            <w:r>
              <w:rPr>
                <w:rFonts w:hint="eastAsia" w:ascii="仿宋_GB2312" w:eastAsia="仿宋_GB2312" w:cs="仿宋_GB2312"/>
                <w:color w:val="000000" w:themeColor="text1"/>
                <w:kern w:val="0"/>
                <w:sz w:val="24"/>
                <w:szCs w:val="24"/>
                <w:lang w:val="en-US" w:eastAsia="zh-CN" w:bidi="ar"/>
                <w14:textFill>
                  <w14:solidFill>
                    <w14:schemeClr w14:val="tx1"/>
                  </w14:solidFill>
                </w14:textFill>
              </w:rPr>
              <w:t>（海关数）</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hAnsi="Calibri"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eastAsia="仿宋_GB2312" w:cs="仿宋_GB2312"/>
                <w:color w:val="000000" w:themeColor="text1"/>
                <w:kern w:val="0"/>
                <w:sz w:val="24"/>
                <w:szCs w:val="24"/>
                <w:lang w:val="en-US" w:eastAsia="zh-CN" w:bidi="ar"/>
                <w14:textFill>
                  <w14:solidFill>
                    <w14:schemeClr w14:val="tx1"/>
                  </w14:solidFill>
                </w14:textFill>
              </w:rPr>
              <w:t>28</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hAnsi="Calibri" w:eastAsia="仿宋_GB2312" w:cs="仿宋_GB2312"/>
                <w:color w:val="000000" w:themeColor="text1"/>
                <w:kern w:val="0"/>
                <w:sz w:val="24"/>
                <w:szCs w:val="24"/>
                <w:lang w:val="en-US" w:eastAsia="zh-CN" w:bidi="ar"/>
                <w14:textFill>
                  <w14:solidFill>
                    <w14:schemeClr w14:val="tx1"/>
                  </w14:solidFill>
                </w14:textFill>
              </w:rPr>
            </w:pPr>
            <w:r>
              <w:rPr>
                <w:rFonts w:hint="eastAsia" w:ascii="仿宋_GB2312" w:eastAsia="仿宋_GB2312" w:cs="仿宋_GB2312"/>
                <w:color w:val="000000" w:themeColor="text1"/>
                <w:kern w:val="0"/>
                <w:sz w:val="24"/>
                <w:szCs w:val="24"/>
                <w:lang w:val="en-US" w:eastAsia="zh-CN" w:bidi="ar"/>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黑体" w:hAnsi="宋体" w:eastAsia="黑体" w:cs="Times New Roman"/>
                <w:color w:val="000000" w:themeColor="text1"/>
                <w:kern w:val="0"/>
                <w:sz w:val="30"/>
                <w:szCs w:val="30"/>
                <w:lang w:val="en-US"/>
                <w14:textFill>
                  <w14:solidFill>
                    <w14:schemeClr w14:val="tx1"/>
                  </w14:solidFill>
                </w14:textFill>
              </w:rPr>
            </w:pPr>
            <w:r>
              <w:rPr>
                <w:rFonts w:hint="eastAsia" w:ascii="黑体" w:hAnsi="宋体" w:eastAsia="黑体" w:cs="黑体"/>
                <w:color w:val="000000" w:themeColor="text1"/>
                <w:kern w:val="0"/>
                <w:sz w:val="30"/>
                <w:szCs w:val="30"/>
                <w:lang w:val="en-US" w:eastAsia="zh-CN" w:bidi="ar"/>
                <w14:textFill>
                  <w14:solidFill>
                    <w14:schemeClr w14:val="tx1"/>
                  </w14:solidFill>
                </w14:textFill>
              </w:rPr>
              <w:t>四、人民生活</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eastAsia="仿宋_GB2312" w:cs="Times New Roman"/>
                <w:color w:val="000000" w:themeColor="text1"/>
                <w:kern w:val="0"/>
                <w:sz w:val="20"/>
                <w:szCs w:val="20"/>
                <w:lang w:val="en-US"/>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1.社会消费品零售总额</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15</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7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仿宋_GB2312" w:eastAsia="仿宋_GB2312" w:cs="Times New Roman"/>
                <w:color w:val="000000" w:themeColor="text1"/>
                <w:kern w:val="0"/>
                <w:sz w:val="24"/>
                <w:szCs w:val="24"/>
                <w:lang w:val="en-US"/>
                <w14:textFill>
                  <w14:solidFill>
                    <w14:schemeClr w14:val="tx1"/>
                  </w14:solidFill>
                </w14:textFill>
              </w:rPr>
            </w:pPr>
            <w:r>
              <w:rPr>
                <w:rFonts w:hint="eastAsia" w:ascii="仿宋_GB2312" w:hAnsi="Calibri" w:eastAsia="仿宋_GB2312" w:cs="仿宋_GB2312"/>
                <w:color w:val="000000" w:themeColor="text1"/>
                <w:kern w:val="0"/>
                <w:sz w:val="24"/>
                <w:szCs w:val="24"/>
                <w:lang w:val="en-US" w:eastAsia="zh-CN" w:bidi="ar"/>
                <w14:textFill>
                  <w14:solidFill>
                    <w14:schemeClr w14:val="tx1"/>
                  </w14:solidFill>
                </w14:textFill>
              </w:rPr>
              <w:t>2.居民人均可支配收入</w:t>
            </w:r>
          </w:p>
        </w:tc>
        <w:tc>
          <w:tcPr>
            <w:tcW w:w="22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8</w:t>
            </w:r>
          </w:p>
        </w:tc>
        <w:tc>
          <w:tcPr>
            <w:tcW w:w="28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eastAsia="仿宋_GB2312" w:cs="Times New Roman"/>
                <w:color w:val="000000" w:themeColor="text1"/>
                <w:kern w:val="0"/>
                <w:sz w:val="24"/>
                <w:szCs w:val="24"/>
                <w:lang w:val="en-US" w:eastAsia="zh-CN"/>
                <w14:textFill>
                  <w14:solidFill>
                    <w14:schemeClr w14:val="tx1"/>
                  </w14:solidFill>
                </w14:textFill>
              </w:rPr>
            </w:pPr>
            <w:r>
              <w:rPr>
                <w:rFonts w:hint="eastAsia" w:ascii="仿宋_GB2312" w:eastAsia="仿宋_GB2312" w:cs="Times New Roman"/>
                <w:color w:val="000000" w:themeColor="text1"/>
                <w:kern w:val="0"/>
                <w:sz w:val="24"/>
                <w:szCs w:val="24"/>
                <w:lang w:val="en-US" w:eastAsia="zh-CN"/>
                <w14:textFill>
                  <w14:solidFill>
                    <w14:schemeClr w14:val="tx1"/>
                  </w14:solidFill>
                </w14:textFill>
              </w:rPr>
              <w:t>7.5</w:t>
            </w:r>
          </w:p>
        </w:tc>
      </w:tr>
    </w:tbl>
    <w:p>
      <w:pPr>
        <w:pStyle w:val="4"/>
        <w:rPr>
          <w:rFonts w:hint="eastAsia"/>
          <w:color w:val="000000" w:themeColor="text1"/>
          <w:lang w:val="en-US" w:eastAsia="zh-CN"/>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pStyle w:val="4"/>
        <w:spacing w:line="240" w:lineRule="exact"/>
        <w:rPr>
          <w:rFonts w:hint="eastAsia"/>
          <w:color w:val="000000" w:themeColor="text1"/>
          <w:lang w:val="en-US" w:eastAsia="zh-CN"/>
          <w14:textFill>
            <w14:solidFill>
              <w14:schemeClr w14:val="tx1"/>
            </w14:solidFill>
          </w14:textFill>
        </w:rPr>
      </w:pPr>
    </w:p>
    <w:p>
      <w:pPr>
        <w:pStyle w:val="4"/>
        <w:spacing w:line="20" w:lineRule="exact"/>
        <w:rPr>
          <w:rFonts w:hint="eastAsia"/>
          <w:color w:val="000000" w:themeColor="text1"/>
          <w:lang w:val="en-US" w:eastAsia="zh-CN"/>
          <w14:textFill>
            <w14:solidFill>
              <w14:schemeClr w14:val="tx1"/>
            </w14:solidFill>
          </w14:textFill>
        </w:rPr>
      </w:pPr>
    </w:p>
    <w:sectPr>
      <w:footerReference r:id="rId3" w:type="default"/>
      <w:pgSz w:w="11906" w:h="16838"/>
      <w:pgMar w:top="2098" w:right="1531" w:bottom="1871" w:left="1531" w:header="851" w:footer="1417"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ranklin Gothic Medium">
    <w:panose1 w:val="020B0603020102020204"/>
    <w:charset w:val="00"/>
    <w:family w:val="swiss"/>
    <w:pitch w:val="default"/>
    <w:sig w:usb0="00000287" w:usb1="00000000" w:usb2="00000000" w:usb3="00000000" w:csb0="2000009F" w:csb1="DFD7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-36195</wp:posOffset>
              </wp:positionV>
              <wp:extent cx="100711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071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val="en-US" w:eastAsia="zh-CN"/>
                            </w:rPr>
                            <w:t xml:space="preserve"> —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5pt;height:144pt;width:79.3pt;mso-position-horizontal:outside;mso-position-horizontal-relative:margin;z-index:251659264;mso-width-relative:page;mso-height-relative:page;" filled="f" stroked="f" coordsize="21600,21600" o:gfxdata="UEsDBAoAAAAAAIdO4kAAAAAAAAAAAAAAAAAEAAAAZHJzL1BLAwQUAAAACACHTuJAa2F+JNcAAAAH&#10;AQAADwAAAGRycy9kb3ducmV2LnhtbE2PwU7DMBBE70j8g7VI3FqnQS1RGqcHBD3AiRQhjtt4E6fE&#10;6yh208LX457ocTU7M2+Kzdn2YqLRd44VLOYJCOLa6Y5bBR+7l1kGwgdkjb1jUvBDHjbl7U2BuXYn&#10;fqepCq2IIexzVGBCGHIpfW3Iop+7gThqjRsthniOrdQjnmK47WWaJCtpsePYYHCgJ0P1d3W0EePz&#10;LbHb38Z82VdsfGV20/b5oNT93SJZgwh0Dv/PcMGPHigj094dWXvRK4hDgoLZ8hHERV1mKxB7BWmW&#10;PoAsC3nNX/4BUEsDBBQAAAAIAIdO4kAtnp4LNQIAAGMEAAAOAAAAZHJzL2Uyb0RvYy54bWytVMuO&#10;0zAU3SPxD5b3NOkghqpqOipTFSFVzEgFsXYdp4nkF7bbpHwA/AErNuz5rn4Hx07aQQOLWbBxT3yf&#10;59zrzm46JclBON8YXdDxKKdEaG7KRu8K+vHD6sWEEh+YLpk0WhT0KDy9mT9/NmvtVFyZ2shSOIIk&#10;2k9bW9A6BDvNMs9roZgfGSs0jJVxigV8ul1WOtYiu5LZVZ5fZ61xpXWGC+9xu+yNdMjonpLQVFXD&#10;xdLwvRI69FmdkCyAkq8b6+k8dVtVgoe7qvIiEFlQMA3pRBHgbTyz+YxNd47ZuuFDC+wpLTzipFij&#10;UfSSaskCI3vX/JVKNdwZb6ow4kZlPZGkCFiM80fabGpmReICqb29iO7/X1r+/nDvSFNiEyjRTGHg&#10;p+/fTj9+nX5+JeMoT2v9FF4bC7/QvTFddB3uPS4j665yKv6CD4Ed4h4v4oouEB6D8vz1eAwTh208&#10;uZpM8iR/9hBunQ9vhVEkgoI6TC+Jyg5rH1ASrmeXWE2bVSNlmqDUpC3o9ctXeQq4WBAhNQIjib7Z&#10;iEK37QYGW1MeQcyZfjO85asGxdfMh3vmsApoGI8l3OGopEERMyBKauO+/Os++mNCsFLSYrUK6j/v&#10;mROUyHcas0PKcAbuDLZnoPfq1mBbMQ90kyACXJBnWDmjPuENLWIVmJjmqFXQcIa3oV9wvEEuFovk&#10;tLeu2dV9ADbPsrDWG8tjmSilt4t9gJxJ5ShRr8ugHHYviT+8k7jcf34nr4f/h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2F+JNcAAAAHAQAADwAAAAAAAAABACAAAAAiAAAAZHJzL2Rvd25yZXYu&#10;eG1sUEsBAhQAFAAAAAgAh07iQC2engs1AgAAYwQAAA4AAAAAAAAAAQAgAAAAJgEAAGRycy9lMm9E&#10;b2MueG1sUEsFBgAAAAAGAAYAWQEAAM0FAAAAAA==&#10;">
              <v:fill on="f" focussize="0,0"/>
              <v:stroke on="f" weight="0.5pt"/>
              <v:imagedata o:title=""/>
              <o:lock v:ext="edit" aspectratio="f"/>
              <v:textbox inset="0mm,0mm,0mm,0mm" style="mso-fit-shape-to-text:t;">
                <w:txbxContent>
                  <w:p>
                    <w:pPr>
                      <w:pStyle w:val="9"/>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4758B"/>
    <w:rsid w:val="000974DF"/>
    <w:rsid w:val="0018099E"/>
    <w:rsid w:val="00290EA3"/>
    <w:rsid w:val="003B62C7"/>
    <w:rsid w:val="006C7569"/>
    <w:rsid w:val="00956BEE"/>
    <w:rsid w:val="00A72F78"/>
    <w:rsid w:val="00C57EBB"/>
    <w:rsid w:val="00F93CCE"/>
    <w:rsid w:val="01253AED"/>
    <w:rsid w:val="016F283F"/>
    <w:rsid w:val="01771664"/>
    <w:rsid w:val="018629F3"/>
    <w:rsid w:val="01F74970"/>
    <w:rsid w:val="021618D3"/>
    <w:rsid w:val="02253411"/>
    <w:rsid w:val="02447828"/>
    <w:rsid w:val="02866093"/>
    <w:rsid w:val="02E35293"/>
    <w:rsid w:val="02E91C83"/>
    <w:rsid w:val="02F76F90"/>
    <w:rsid w:val="03D0274A"/>
    <w:rsid w:val="040655C3"/>
    <w:rsid w:val="044959C1"/>
    <w:rsid w:val="0453559B"/>
    <w:rsid w:val="046248DD"/>
    <w:rsid w:val="047F2D99"/>
    <w:rsid w:val="04FC6AE0"/>
    <w:rsid w:val="05A65FB3"/>
    <w:rsid w:val="05E05ABA"/>
    <w:rsid w:val="06DC1973"/>
    <w:rsid w:val="07283BBC"/>
    <w:rsid w:val="0777619C"/>
    <w:rsid w:val="07BE58E7"/>
    <w:rsid w:val="0807540B"/>
    <w:rsid w:val="08987AC4"/>
    <w:rsid w:val="091B1C46"/>
    <w:rsid w:val="09242161"/>
    <w:rsid w:val="09322D7D"/>
    <w:rsid w:val="093C40FC"/>
    <w:rsid w:val="09673238"/>
    <w:rsid w:val="09CD78D8"/>
    <w:rsid w:val="09E41D36"/>
    <w:rsid w:val="0A224737"/>
    <w:rsid w:val="0A466107"/>
    <w:rsid w:val="0AB523FC"/>
    <w:rsid w:val="0ABE62F5"/>
    <w:rsid w:val="0B0137EB"/>
    <w:rsid w:val="0B731DB9"/>
    <w:rsid w:val="0B732219"/>
    <w:rsid w:val="0B8364B2"/>
    <w:rsid w:val="0BCA30C9"/>
    <w:rsid w:val="0C3C3C66"/>
    <w:rsid w:val="0CA75D02"/>
    <w:rsid w:val="0D1D75F3"/>
    <w:rsid w:val="0D247867"/>
    <w:rsid w:val="0D2C29CB"/>
    <w:rsid w:val="0D3369D5"/>
    <w:rsid w:val="0D6141F1"/>
    <w:rsid w:val="0D8933C0"/>
    <w:rsid w:val="0DDE0AE1"/>
    <w:rsid w:val="0E724B6A"/>
    <w:rsid w:val="0F5E1A21"/>
    <w:rsid w:val="0FA0738E"/>
    <w:rsid w:val="100B1AE7"/>
    <w:rsid w:val="105E064F"/>
    <w:rsid w:val="10B10E70"/>
    <w:rsid w:val="10DC3AFF"/>
    <w:rsid w:val="11315C57"/>
    <w:rsid w:val="114C1172"/>
    <w:rsid w:val="115229A5"/>
    <w:rsid w:val="116C4086"/>
    <w:rsid w:val="11A23D21"/>
    <w:rsid w:val="11B25104"/>
    <w:rsid w:val="11E97902"/>
    <w:rsid w:val="11FF54DE"/>
    <w:rsid w:val="1263768A"/>
    <w:rsid w:val="127D2695"/>
    <w:rsid w:val="128E142A"/>
    <w:rsid w:val="138676EA"/>
    <w:rsid w:val="13893748"/>
    <w:rsid w:val="13984FC3"/>
    <w:rsid w:val="139B0F39"/>
    <w:rsid w:val="13B30E63"/>
    <w:rsid w:val="13CF3BFF"/>
    <w:rsid w:val="14563B59"/>
    <w:rsid w:val="154E3CBB"/>
    <w:rsid w:val="15B8610B"/>
    <w:rsid w:val="166C1888"/>
    <w:rsid w:val="16FB7223"/>
    <w:rsid w:val="172D0CF2"/>
    <w:rsid w:val="172D0D7B"/>
    <w:rsid w:val="175E3EB2"/>
    <w:rsid w:val="17A759D2"/>
    <w:rsid w:val="17AF5BB1"/>
    <w:rsid w:val="17D71029"/>
    <w:rsid w:val="183822A7"/>
    <w:rsid w:val="18C41964"/>
    <w:rsid w:val="19186CBC"/>
    <w:rsid w:val="19635418"/>
    <w:rsid w:val="19722343"/>
    <w:rsid w:val="199538A0"/>
    <w:rsid w:val="19BE033C"/>
    <w:rsid w:val="1A2B6FAB"/>
    <w:rsid w:val="1A3800AF"/>
    <w:rsid w:val="1A556054"/>
    <w:rsid w:val="1A711864"/>
    <w:rsid w:val="1AA97869"/>
    <w:rsid w:val="1AE16C8F"/>
    <w:rsid w:val="1AEB05C9"/>
    <w:rsid w:val="1AEE46F1"/>
    <w:rsid w:val="1B01632F"/>
    <w:rsid w:val="1BA40D8F"/>
    <w:rsid w:val="1C0D4CD7"/>
    <w:rsid w:val="1C167007"/>
    <w:rsid w:val="1C2D48C4"/>
    <w:rsid w:val="1CED6C8A"/>
    <w:rsid w:val="1CFA2AEF"/>
    <w:rsid w:val="1D024B05"/>
    <w:rsid w:val="1D271486"/>
    <w:rsid w:val="1D27567F"/>
    <w:rsid w:val="1D725739"/>
    <w:rsid w:val="1DCE3855"/>
    <w:rsid w:val="1E12403B"/>
    <w:rsid w:val="1E6F4784"/>
    <w:rsid w:val="1E776DB0"/>
    <w:rsid w:val="1EB214FD"/>
    <w:rsid w:val="1EBE6F18"/>
    <w:rsid w:val="1F29007A"/>
    <w:rsid w:val="1F49398E"/>
    <w:rsid w:val="1F666BD8"/>
    <w:rsid w:val="1F964169"/>
    <w:rsid w:val="1F9B20E5"/>
    <w:rsid w:val="1FA0582A"/>
    <w:rsid w:val="1FB30D56"/>
    <w:rsid w:val="203114D1"/>
    <w:rsid w:val="20853740"/>
    <w:rsid w:val="208D34EB"/>
    <w:rsid w:val="20AE4C0F"/>
    <w:rsid w:val="216609DC"/>
    <w:rsid w:val="217B661B"/>
    <w:rsid w:val="21852D91"/>
    <w:rsid w:val="21A31D15"/>
    <w:rsid w:val="220D15EA"/>
    <w:rsid w:val="22323BD2"/>
    <w:rsid w:val="22BD1F63"/>
    <w:rsid w:val="23816FE0"/>
    <w:rsid w:val="23D22A8E"/>
    <w:rsid w:val="243F7919"/>
    <w:rsid w:val="24982943"/>
    <w:rsid w:val="249A3CB4"/>
    <w:rsid w:val="24A06A19"/>
    <w:rsid w:val="25A27554"/>
    <w:rsid w:val="25E1511F"/>
    <w:rsid w:val="2617057B"/>
    <w:rsid w:val="262B0B7B"/>
    <w:rsid w:val="26582A12"/>
    <w:rsid w:val="26796374"/>
    <w:rsid w:val="26D93EFB"/>
    <w:rsid w:val="27231581"/>
    <w:rsid w:val="27B6356F"/>
    <w:rsid w:val="27D159D5"/>
    <w:rsid w:val="27FB37DE"/>
    <w:rsid w:val="282A314C"/>
    <w:rsid w:val="28545A58"/>
    <w:rsid w:val="287C7332"/>
    <w:rsid w:val="28B33E8A"/>
    <w:rsid w:val="29E15D56"/>
    <w:rsid w:val="2A284EDF"/>
    <w:rsid w:val="2A534086"/>
    <w:rsid w:val="2AAF75EA"/>
    <w:rsid w:val="2ADE7DE2"/>
    <w:rsid w:val="2AE16A0B"/>
    <w:rsid w:val="2AF67C63"/>
    <w:rsid w:val="2B051814"/>
    <w:rsid w:val="2BAC5C55"/>
    <w:rsid w:val="2C5C383D"/>
    <w:rsid w:val="2C7C426C"/>
    <w:rsid w:val="2C825701"/>
    <w:rsid w:val="2CAA3422"/>
    <w:rsid w:val="2D4A7B39"/>
    <w:rsid w:val="2D795D58"/>
    <w:rsid w:val="2DB45D05"/>
    <w:rsid w:val="2DBC0D30"/>
    <w:rsid w:val="2DE41D3C"/>
    <w:rsid w:val="2E2C36E3"/>
    <w:rsid w:val="2E661843"/>
    <w:rsid w:val="2E846B44"/>
    <w:rsid w:val="2EE4758B"/>
    <w:rsid w:val="2EEA1ACF"/>
    <w:rsid w:val="2F104FBD"/>
    <w:rsid w:val="2F221CB1"/>
    <w:rsid w:val="2F9B7654"/>
    <w:rsid w:val="2FA05D9D"/>
    <w:rsid w:val="2FA07EE4"/>
    <w:rsid w:val="2FCF60F2"/>
    <w:rsid w:val="2FCF722D"/>
    <w:rsid w:val="2FE66ADF"/>
    <w:rsid w:val="2FF82286"/>
    <w:rsid w:val="2FFC179F"/>
    <w:rsid w:val="30B006F1"/>
    <w:rsid w:val="30DF7D6C"/>
    <w:rsid w:val="30FC22EF"/>
    <w:rsid w:val="31594E24"/>
    <w:rsid w:val="31A24F51"/>
    <w:rsid w:val="31CA5391"/>
    <w:rsid w:val="31DD71CE"/>
    <w:rsid w:val="31ED1142"/>
    <w:rsid w:val="32573859"/>
    <w:rsid w:val="326B3C9E"/>
    <w:rsid w:val="32FF11AC"/>
    <w:rsid w:val="33107EF0"/>
    <w:rsid w:val="334E0D57"/>
    <w:rsid w:val="33A41A19"/>
    <w:rsid w:val="33CB73E2"/>
    <w:rsid w:val="34F11357"/>
    <w:rsid w:val="350B5E00"/>
    <w:rsid w:val="35192A10"/>
    <w:rsid w:val="35C93281"/>
    <w:rsid w:val="35F24CE7"/>
    <w:rsid w:val="360B29DF"/>
    <w:rsid w:val="36152434"/>
    <w:rsid w:val="364B1B0C"/>
    <w:rsid w:val="365532FC"/>
    <w:rsid w:val="3664773C"/>
    <w:rsid w:val="36803075"/>
    <w:rsid w:val="36DD4FDA"/>
    <w:rsid w:val="371F61E8"/>
    <w:rsid w:val="373A29CC"/>
    <w:rsid w:val="374F3AC0"/>
    <w:rsid w:val="376D3636"/>
    <w:rsid w:val="37960185"/>
    <w:rsid w:val="37D26C8A"/>
    <w:rsid w:val="37E11535"/>
    <w:rsid w:val="38066FC8"/>
    <w:rsid w:val="383F643E"/>
    <w:rsid w:val="385C0C16"/>
    <w:rsid w:val="38A35F7C"/>
    <w:rsid w:val="38B84224"/>
    <w:rsid w:val="38BE6FD9"/>
    <w:rsid w:val="38D868C9"/>
    <w:rsid w:val="39532A8E"/>
    <w:rsid w:val="39556F39"/>
    <w:rsid w:val="39A72E55"/>
    <w:rsid w:val="39AA5BBD"/>
    <w:rsid w:val="39AB6B92"/>
    <w:rsid w:val="39E35AA9"/>
    <w:rsid w:val="3A3E5644"/>
    <w:rsid w:val="3A8D738D"/>
    <w:rsid w:val="3AC23F19"/>
    <w:rsid w:val="3B0808E8"/>
    <w:rsid w:val="3B1E43B3"/>
    <w:rsid w:val="3BC74390"/>
    <w:rsid w:val="3BF15094"/>
    <w:rsid w:val="3C006A8D"/>
    <w:rsid w:val="3C0637C5"/>
    <w:rsid w:val="3C1416F5"/>
    <w:rsid w:val="3C924CD9"/>
    <w:rsid w:val="3DB01C3A"/>
    <w:rsid w:val="3DC079A3"/>
    <w:rsid w:val="3DEE7006"/>
    <w:rsid w:val="3E301B82"/>
    <w:rsid w:val="3E690CE2"/>
    <w:rsid w:val="3E7E629A"/>
    <w:rsid w:val="3E8B6CEA"/>
    <w:rsid w:val="3EC33DBE"/>
    <w:rsid w:val="3F3855BB"/>
    <w:rsid w:val="3FA63508"/>
    <w:rsid w:val="3FBB17FE"/>
    <w:rsid w:val="40222AFA"/>
    <w:rsid w:val="40420F8F"/>
    <w:rsid w:val="407D3C57"/>
    <w:rsid w:val="40983C2C"/>
    <w:rsid w:val="40EA6A4D"/>
    <w:rsid w:val="40F57374"/>
    <w:rsid w:val="41446D09"/>
    <w:rsid w:val="420013B9"/>
    <w:rsid w:val="420A4B20"/>
    <w:rsid w:val="4221632B"/>
    <w:rsid w:val="422622BC"/>
    <w:rsid w:val="424B6CFD"/>
    <w:rsid w:val="42BF4AD0"/>
    <w:rsid w:val="435F7606"/>
    <w:rsid w:val="43632FC4"/>
    <w:rsid w:val="43A34B40"/>
    <w:rsid w:val="43E724A1"/>
    <w:rsid w:val="43E97E0A"/>
    <w:rsid w:val="44370CBF"/>
    <w:rsid w:val="44472FAA"/>
    <w:rsid w:val="448B48E9"/>
    <w:rsid w:val="44991EDC"/>
    <w:rsid w:val="44AE3AA8"/>
    <w:rsid w:val="453636C5"/>
    <w:rsid w:val="45DB3B62"/>
    <w:rsid w:val="46C95B1B"/>
    <w:rsid w:val="46D50F87"/>
    <w:rsid w:val="473F0040"/>
    <w:rsid w:val="474956FF"/>
    <w:rsid w:val="47503010"/>
    <w:rsid w:val="47814C92"/>
    <w:rsid w:val="47BF7C12"/>
    <w:rsid w:val="480664F4"/>
    <w:rsid w:val="48362D3C"/>
    <w:rsid w:val="484347B4"/>
    <w:rsid w:val="48B4272D"/>
    <w:rsid w:val="492B6619"/>
    <w:rsid w:val="49D57A0B"/>
    <w:rsid w:val="49DD5E53"/>
    <w:rsid w:val="49E4596F"/>
    <w:rsid w:val="4AC71C63"/>
    <w:rsid w:val="4AC95E2D"/>
    <w:rsid w:val="4B5D4A84"/>
    <w:rsid w:val="4C002C26"/>
    <w:rsid w:val="4C2B7484"/>
    <w:rsid w:val="4C5B7B62"/>
    <w:rsid w:val="4C995B44"/>
    <w:rsid w:val="4CB00ABC"/>
    <w:rsid w:val="4CF90A08"/>
    <w:rsid w:val="4D4D3044"/>
    <w:rsid w:val="4D8836C2"/>
    <w:rsid w:val="4DCE0477"/>
    <w:rsid w:val="4E102281"/>
    <w:rsid w:val="4E9C16B2"/>
    <w:rsid w:val="4F16065F"/>
    <w:rsid w:val="4F204D88"/>
    <w:rsid w:val="50020290"/>
    <w:rsid w:val="50725BAE"/>
    <w:rsid w:val="509946DA"/>
    <w:rsid w:val="50E2569E"/>
    <w:rsid w:val="50F8052D"/>
    <w:rsid w:val="51062274"/>
    <w:rsid w:val="51551ECC"/>
    <w:rsid w:val="51880C7F"/>
    <w:rsid w:val="51A8152F"/>
    <w:rsid w:val="51D11D27"/>
    <w:rsid w:val="52495D62"/>
    <w:rsid w:val="52902AFA"/>
    <w:rsid w:val="53773CC2"/>
    <w:rsid w:val="539A1525"/>
    <w:rsid w:val="53EB0845"/>
    <w:rsid w:val="543B2510"/>
    <w:rsid w:val="54B21533"/>
    <w:rsid w:val="5577194F"/>
    <w:rsid w:val="567C04B4"/>
    <w:rsid w:val="56A41A0A"/>
    <w:rsid w:val="56A953D8"/>
    <w:rsid w:val="56EF0C96"/>
    <w:rsid w:val="574B56C4"/>
    <w:rsid w:val="57DB62F5"/>
    <w:rsid w:val="591A04E5"/>
    <w:rsid w:val="593F2BBA"/>
    <w:rsid w:val="598C06D8"/>
    <w:rsid w:val="5A3E14C7"/>
    <w:rsid w:val="5A4C19B6"/>
    <w:rsid w:val="5A511214"/>
    <w:rsid w:val="5AB52B34"/>
    <w:rsid w:val="5AEC4EC3"/>
    <w:rsid w:val="5AF119C8"/>
    <w:rsid w:val="5B210BD1"/>
    <w:rsid w:val="5BE0295F"/>
    <w:rsid w:val="5C0A0415"/>
    <w:rsid w:val="5C1C66B3"/>
    <w:rsid w:val="5C2E0F52"/>
    <w:rsid w:val="5CA67C9E"/>
    <w:rsid w:val="5E32268B"/>
    <w:rsid w:val="5E8F1A94"/>
    <w:rsid w:val="5ED8260D"/>
    <w:rsid w:val="5F223C98"/>
    <w:rsid w:val="5F8173AD"/>
    <w:rsid w:val="5F8509A4"/>
    <w:rsid w:val="5F8D47A1"/>
    <w:rsid w:val="60727C43"/>
    <w:rsid w:val="60817A0F"/>
    <w:rsid w:val="60934D78"/>
    <w:rsid w:val="60E95100"/>
    <w:rsid w:val="61464E9D"/>
    <w:rsid w:val="61570FF6"/>
    <w:rsid w:val="62164257"/>
    <w:rsid w:val="62230B1D"/>
    <w:rsid w:val="626525AA"/>
    <w:rsid w:val="627463D2"/>
    <w:rsid w:val="628D3749"/>
    <w:rsid w:val="62CE197F"/>
    <w:rsid w:val="63126A72"/>
    <w:rsid w:val="633F17EF"/>
    <w:rsid w:val="634A110A"/>
    <w:rsid w:val="637B0BDD"/>
    <w:rsid w:val="651151E9"/>
    <w:rsid w:val="65202952"/>
    <w:rsid w:val="6564313E"/>
    <w:rsid w:val="6594007D"/>
    <w:rsid w:val="65E52DAC"/>
    <w:rsid w:val="65F0429F"/>
    <w:rsid w:val="662E0B8E"/>
    <w:rsid w:val="667B1C0F"/>
    <w:rsid w:val="66FB3677"/>
    <w:rsid w:val="672C7E3E"/>
    <w:rsid w:val="6732696D"/>
    <w:rsid w:val="67556DDF"/>
    <w:rsid w:val="675D4EDF"/>
    <w:rsid w:val="6795683A"/>
    <w:rsid w:val="67BE31F9"/>
    <w:rsid w:val="67C47F0C"/>
    <w:rsid w:val="682732A7"/>
    <w:rsid w:val="68A26D27"/>
    <w:rsid w:val="68B1297D"/>
    <w:rsid w:val="68C51714"/>
    <w:rsid w:val="69D84A32"/>
    <w:rsid w:val="69DA1BE5"/>
    <w:rsid w:val="6A321963"/>
    <w:rsid w:val="6A8B2F63"/>
    <w:rsid w:val="6AB30EAB"/>
    <w:rsid w:val="6AEC5036"/>
    <w:rsid w:val="6B5579EE"/>
    <w:rsid w:val="6BB520EA"/>
    <w:rsid w:val="6BFB142C"/>
    <w:rsid w:val="6C262F44"/>
    <w:rsid w:val="6C3541C4"/>
    <w:rsid w:val="6C8F21FC"/>
    <w:rsid w:val="6CB04A1B"/>
    <w:rsid w:val="6CB2154B"/>
    <w:rsid w:val="6CBF7604"/>
    <w:rsid w:val="6CCF263F"/>
    <w:rsid w:val="6CDC35F4"/>
    <w:rsid w:val="6CEA1EDF"/>
    <w:rsid w:val="6D9411D7"/>
    <w:rsid w:val="6DD13127"/>
    <w:rsid w:val="6DD919A5"/>
    <w:rsid w:val="6DDB7D5E"/>
    <w:rsid w:val="6DE62755"/>
    <w:rsid w:val="6E02353D"/>
    <w:rsid w:val="6E0F17B6"/>
    <w:rsid w:val="6E5A5F99"/>
    <w:rsid w:val="6E6C20BC"/>
    <w:rsid w:val="6F3C5D2E"/>
    <w:rsid w:val="6F854876"/>
    <w:rsid w:val="6F924080"/>
    <w:rsid w:val="6FEA4288"/>
    <w:rsid w:val="702F56DF"/>
    <w:rsid w:val="709E4717"/>
    <w:rsid w:val="71081B05"/>
    <w:rsid w:val="717A530C"/>
    <w:rsid w:val="719F68C3"/>
    <w:rsid w:val="71B66B18"/>
    <w:rsid w:val="725B52B3"/>
    <w:rsid w:val="726C67D8"/>
    <w:rsid w:val="72A32D3C"/>
    <w:rsid w:val="72AF2235"/>
    <w:rsid w:val="72C06EEE"/>
    <w:rsid w:val="72E32517"/>
    <w:rsid w:val="737526C0"/>
    <w:rsid w:val="739B28F4"/>
    <w:rsid w:val="73C843FF"/>
    <w:rsid w:val="73FB2AD3"/>
    <w:rsid w:val="74192290"/>
    <w:rsid w:val="744B1B7F"/>
    <w:rsid w:val="753145CD"/>
    <w:rsid w:val="75B641FD"/>
    <w:rsid w:val="75C47227"/>
    <w:rsid w:val="75CB088A"/>
    <w:rsid w:val="762525F5"/>
    <w:rsid w:val="762B389F"/>
    <w:rsid w:val="770D6EED"/>
    <w:rsid w:val="77186082"/>
    <w:rsid w:val="77FC48F0"/>
    <w:rsid w:val="78347E0B"/>
    <w:rsid w:val="783A25E0"/>
    <w:rsid w:val="79654283"/>
    <w:rsid w:val="79AC4C6E"/>
    <w:rsid w:val="79B73603"/>
    <w:rsid w:val="79E03389"/>
    <w:rsid w:val="79F86EDB"/>
    <w:rsid w:val="7A0B306D"/>
    <w:rsid w:val="7A154904"/>
    <w:rsid w:val="7AF84098"/>
    <w:rsid w:val="7B1C70AE"/>
    <w:rsid w:val="7B3D25D4"/>
    <w:rsid w:val="7B425570"/>
    <w:rsid w:val="7B6D2189"/>
    <w:rsid w:val="7BBA7205"/>
    <w:rsid w:val="7C0E1049"/>
    <w:rsid w:val="7C487BB4"/>
    <w:rsid w:val="7C9F2564"/>
    <w:rsid w:val="7CCA6101"/>
    <w:rsid w:val="7CE3715C"/>
    <w:rsid w:val="7D7E0F45"/>
    <w:rsid w:val="7DE654B0"/>
    <w:rsid w:val="7DEC6341"/>
    <w:rsid w:val="7E2337D0"/>
    <w:rsid w:val="7E4F6B11"/>
    <w:rsid w:val="7ED645B8"/>
    <w:rsid w:val="7EDA7383"/>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0"/>
    </w:pPr>
    <w:rPr>
      <w:rFonts w:hAnsi="仿宋_GB2312" w:cs="仿宋_GB2312"/>
      <w:szCs w:val="32"/>
      <w:u w:color="FF0000"/>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99"/>
    <w:pPr>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99"/>
    <w:pPr>
      <w:jc w:val="left"/>
    </w:pPr>
    <w:rPr>
      <w:kern w:val="0"/>
      <w:sz w:val="24"/>
      <w:szCs w:val="24"/>
    </w:rPr>
  </w:style>
  <w:style w:type="paragraph" w:styleId="12">
    <w:name w:val="Title"/>
    <w:basedOn w:val="1"/>
    <w:next w:val="3"/>
    <w:qFormat/>
    <w:uiPriority w:val="10"/>
    <w:pPr>
      <w:spacing w:line="0" w:lineRule="atLeast"/>
      <w:jc w:val="center"/>
    </w:pPr>
    <w:rPr>
      <w:rFonts w:ascii="Arial" w:hAnsi="Arial" w:eastAsia="黑体"/>
      <w:sz w:val="52"/>
    </w:rPr>
  </w:style>
  <w:style w:type="paragraph" w:styleId="13">
    <w:name w:val="Body Text First Indent"/>
    <w:basedOn w:val="6"/>
    <w:qFormat/>
    <w:uiPriority w:val="0"/>
    <w:pPr>
      <w:ind w:firstLine="420" w:firstLineChars="100"/>
    </w:pPr>
    <w:rPr>
      <w:rFonts w:ascii="Calibri" w:hAnsi="Calibri" w:eastAsia="宋体"/>
      <w:kern w:val="0"/>
      <w:sz w:val="20"/>
      <w:szCs w:val="20"/>
    </w:rPr>
  </w:style>
  <w:style w:type="character" w:styleId="16">
    <w:name w:val="FollowedHyperlink"/>
    <w:basedOn w:val="15"/>
    <w:qFormat/>
    <w:uiPriority w:val="0"/>
    <w:rPr>
      <w:color w:val="800080"/>
      <w:u w:val="none"/>
    </w:rPr>
  </w:style>
  <w:style w:type="character" w:styleId="17">
    <w:name w:val="Emphasis"/>
    <w:basedOn w:val="15"/>
    <w:qFormat/>
    <w:uiPriority w:val="0"/>
  </w:style>
  <w:style w:type="character" w:styleId="18">
    <w:name w:val="HTML Definition"/>
    <w:basedOn w:val="15"/>
    <w:qFormat/>
    <w:uiPriority w:val="0"/>
  </w:style>
  <w:style w:type="character" w:styleId="19">
    <w:name w:val="HTML Variable"/>
    <w:basedOn w:val="15"/>
    <w:qFormat/>
    <w:uiPriority w:val="0"/>
  </w:style>
  <w:style w:type="character" w:styleId="20">
    <w:name w:val="Hyperlink"/>
    <w:basedOn w:val="15"/>
    <w:qFormat/>
    <w:uiPriority w:val="0"/>
    <w:rPr>
      <w:color w:val="0000FF"/>
      <w:u w:val="none"/>
    </w:rPr>
  </w:style>
  <w:style w:type="character" w:styleId="21">
    <w:name w:val="HTML Code"/>
    <w:basedOn w:val="15"/>
    <w:qFormat/>
    <w:uiPriority w:val="0"/>
    <w:rPr>
      <w:rFonts w:ascii="Courier New" w:hAnsi="Courier New"/>
      <w:sz w:val="20"/>
    </w:rPr>
  </w:style>
  <w:style w:type="character" w:styleId="22">
    <w:name w:val="HTML Cite"/>
    <w:basedOn w:val="15"/>
    <w:qFormat/>
    <w:uiPriority w:val="0"/>
  </w:style>
  <w:style w:type="paragraph" w:customStyle="1" w:styleId="23">
    <w:name w:val="正文1"/>
    <w:qFormat/>
    <w:uiPriority w:val="0"/>
    <w:pPr>
      <w:widowControl w:val="0"/>
      <w:tabs>
        <w:tab w:val="left" w:pos="567"/>
      </w:tabs>
      <w:adjustRightInd w:val="0"/>
      <w:spacing w:line="360" w:lineRule="atLeast"/>
      <w:ind w:left="567" w:hanging="567"/>
      <w:textAlignment w:val="baseline"/>
    </w:pPr>
    <w:rPr>
      <w:rFonts w:ascii="宋体" w:hAnsi="Times New Roman" w:eastAsia="Times New Roman" w:cs="Times New Roman"/>
      <w:sz w:val="24"/>
      <w:szCs w:val="22"/>
      <w:lang w:val="en-US" w:eastAsia="zh-CN" w:bidi="ar-SA"/>
    </w:rPr>
  </w:style>
  <w:style w:type="paragraph" w:customStyle="1" w:styleId="24">
    <w:name w:val="0"/>
    <w:basedOn w:val="1"/>
    <w:qFormat/>
    <w:uiPriority w:val="99"/>
    <w:pPr>
      <w:widowControl/>
      <w:spacing w:line="365" w:lineRule="atLeast"/>
      <w:ind w:left="1"/>
      <w:textAlignment w:val="bottom"/>
    </w:pPr>
    <w:rPr>
      <w:kern w:val="0"/>
      <w:sz w:val="20"/>
      <w:szCs w:val="20"/>
    </w:rPr>
  </w:style>
  <w:style w:type="character" w:customStyle="1" w:styleId="25">
    <w:name w:val="z2"/>
    <w:basedOn w:val="15"/>
    <w:qFormat/>
    <w:uiPriority w:val="0"/>
    <w:rPr>
      <w:color w:val="DA0000"/>
      <w:shd w:val="clear" w:fill="FFFFFF"/>
    </w:rPr>
  </w:style>
  <w:style w:type="character" w:customStyle="1" w:styleId="26">
    <w:name w:val="jb"/>
    <w:basedOn w:val="15"/>
    <w:qFormat/>
    <w:uiPriority w:val="0"/>
    <w:rPr>
      <w:color w:val="E2A229"/>
      <w:bdr w:val="single" w:color="E2A229" w:sz="6" w:space="0"/>
    </w:rPr>
  </w:style>
  <w:style w:type="character" w:customStyle="1" w:styleId="27">
    <w:name w:val="ts"/>
    <w:basedOn w:val="15"/>
    <w:qFormat/>
    <w:uiPriority w:val="0"/>
    <w:rPr>
      <w:color w:val="C82A3F"/>
      <w:bdr w:val="single" w:color="C82A3F" w:sz="6" w:space="0"/>
    </w:rPr>
  </w:style>
  <w:style w:type="character" w:customStyle="1" w:styleId="28">
    <w:name w:val="zx"/>
    <w:basedOn w:val="15"/>
    <w:qFormat/>
    <w:uiPriority w:val="0"/>
    <w:rPr>
      <w:color w:val="2FB8A0"/>
      <w:bdr w:val="single" w:color="2FB8A0" w:sz="6" w:space="0"/>
    </w:rPr>
  </w:style>
  <w:style w:type="character" w:customStyle="1" w:styleId="29">
    <w:name w:val="act2"/>
    <w:basedOn w:val="15"/>
    <w:qFormat/>
    <w:uiPriority w:val="0"/>
    <w:rPr>
      <w:shd w:val="clear" w:fill="FF9900"/>
    </w:rPr>
  </w:style>
  <w:style w:type="character" w:customStyle="1" w:styleId="30">
    <w:name w:val="act3"/>
    <w:basedOn w:val="15"/>
    <w:qFormat/>
    <w:uiPriority w:val="0"/>
    <w:rPr>
      <w:color w:val="4D87BE"/>
      <w:shd w:val="clear" w:fill="FFFFFF"/>
    </w:rPr>
  </w:style>
  <w:style w:type="character" w:customStyle="1" w:styleId="31">
    <w:name w:val="act4"/>
    <w:basedOn w:val="15"/>
    <w:qFormat/>
    <w:uiPriority w:val="0"/>
    <w:rPr>
      <w:color w:val="4D87BE"/>
      <w:shd w:val="clear" w:fill="FFFFFF"/>
    </w:rPr>
  </w:style>
  <w:style w:type="character" w:customStyle="1" w:styleId="32">
    <w:name w:val="jxz"/>
    <w:basedOn w:val="15"/>
    <w:qFormat/>
    <w:uiPriority w:val="0"/>
    <w:rPr>
      <w:color w:val="C82A3F"/>
      <w:bdr w:val="single" w:color="C82A3F" w:sz="6" w:space="0"/>
    </w:rPr>
  </w:style>
  <w:style w:type="character" w:customStyle="1" w:styleId="33">
    <w:name w:val="act"/>
    <w:basedOn w:val="15"/>
    <w:qFormat/>
    <w:uiPriority w:val="0"/>
    <w:rPr>
      <w:color w:val="4D87BE"/>
      <w:shd w:val="clear" w:fill="FFFFFF"/>
    </w:rPr>
  </w:style>
  <w:style w:type="character" w:customStyle="1" w:styleId="34">
    <w:name w:val="act1"/>
    <w:basedOn w:val="15"/>
    <w:qFormat/>
    <w:uiPriority w:val="0"/>
    <w:rPr>
      <w:shd w:val="clear" w:fill="FF9900"/>
    </w:rPr>
  </w:style>
  <w:style w:type="character" w:customStyle="1" w:styleId="35">
    <w:name w:val="NormalCharacter"/>
    <w:qFormat/>
    <w:uiPriority w:val="0"/>
  </w:style>
  <w:style w:type="paragraph" w:customStyle="1" w:styleId="36">
    <w:name w:val="Acetate"/>
    <w:basedOn w:val="1"/>
    <w:semiHidden/>
    <w:qFormat/>
    <w:uiPriority w:val="0"/>
    <w:pPr>
      <w:widowControl/>
    </w:pPr>
    <w:rPr>
      <w:rFonts w:cs="Times New Roman"/>
      <w:sz w:val="18"/>
      <w:szCs w:val="18"/>
    </w:rPr>
  </w:style>
  <w:style w:type="character" w:customStyle="1" w:styleId="37">
    <w:name w:val="success"/>
    <w:basedOn w:val="15"/>
    <w:qFormat/>
    <w:uiPriority w:val="0"/>
  </w:style>
  <w:style w:type="character" w:customStyle="1" w:styleId="38">
    <w:name w:val="success1"/>
    <w:basedOn w:val="15"/>
    <w:qFormat/>
    <w:uiPriority w:val="0"/>
  </w:style>
  <w:style w:type="character" w:customStyle="1" w:styleId="39">
    <w:name w:val="icon-box"/>
    <w:basedOn w:val="15"/>
    <w:qFormat/>
    <w:uiPriority w:val="0"/>
  </w:style>
  <w:style w:type="character" w:customStyle="1" w:styleId="40">
    <w:name w:val="icon"/>
    <w:basedOn w:val="15"/>
    <w:qFormat/>
    <w:uiPriority w:val="0"/>
    <w:rPr>
      <w:shd w:val="clear" w:fill="FFFFFF"/>
    </w:rPr>
  </w:style>
  <w:style w:type="character" w:customStyle="1" w:styleId="41">
    <w:name w:val="error"/>
    <w:basedOn w:val="15"/>
    <w:qFormat/>
    <w:uiPriority w:val="0"/>
  </w:style>
  <w:style w:type="character" w:customStyle="1" w:styleId="42">
    <w:name w:val="alerts"/>
    <w:basedOn w:val="15"/>
    <w:qFormat/>
    <w:uiPriority w:val="0"/>
  </w:style>
  <w:style w:type="character" w:customStyle="1" w:styleId="43">
    <w:name w:val="r_bor"/>
    <w:basedOn w:val="15"/>
    <w:qFormat/>
    <w:uiPriority w:val="0"/>
  </w:style>
  <w:style w:type="character" w:customStyle="1" w:styleId="44">
    <w:name w:val="copyright3"/>
    <w:basedOn w:val="15"/>
    <w:qFormat/>
    <w:uiPriority w:val="0"/>
  </w:style>
  <w:style w:type="character" w:customStyle="1" w:styleId="45">
    <w:name w:val="text-title"/>
    <w:basedOn w:val="15"/>
    <w:qFormat/>
    <w:uiPriority w:val="0"/>
    <w:rPr>
      <w:color w:val="CCCCCC"/>
      <w:shd w:val="clear" w:fill="FFFFFF"/>
    </w:rPr>
  </w:style>
  <w:style w:type="character" w:customStyle="1" w:styleId="46">
    <w:name w:val="icon-account"/>
    <w:basedOn w:val="15"/>
    <w:qFormat/>
    <w:uiPriority w:val="0"/>
  </w:style>
  <w:style w:type="character" w:customStyle="1" w:styleId="47">
    <w:name w:val="icon-password"/>
    <w:basedOn w:val="15"/>
    <w:qFormat/>
    <w:uiPriority w:val="0"/>
  </w:style>
  <w:style w:type="character" w:customStyle="1" w:styleId="48">
    <w:name w:val="captcha-result"/>
    <w:basedOn w:val="15"/>
    <w:qFormat/>
    <w:uiPriority w:val="0"/>
  </w:style>
  <w:style w:type="character" w:customStyle="1" w:styleId="49">
    <w:name w:val="failed"/>
    <w:basedOn w:val="15"/>
    <w:qFormat/>
    <w:uiPriority w:val="0"/>
  </w:style>
  <w:style w:type="character" w:customStyle="1" w:styleId="50">
    <w:name w:val="rotate-tag"/>
    <w:basedOn w:val="15"/>
    <w:qFormat/>
    <w:uiPriority w:val="0"/>
    <w:rPr>
      <w:shd w:val="clear" w:fill="FFFFFF"/>
    </w:rPr>
  </w:style>
  <w:style w:type="character" w:customStyle="1" w:styleId="51">
    <w:name w:val="copyright4"/>
    <w:basedOn w:val="15"/>
    <w:qFormat/>
    <w:uiPriority w:val="0"/>
  </w:style>
  <w:style w:type="character" w:customStyle="1" w:styleId="52">
    <w:name w:val="icon1"/>
    <w:basedOn w:val="15"/>
    <w:qFormat/>
    <w:uiPriority w:val="0"/>
    <w:rPr>
      <w:shd w:val="clear" w:fill="FFFFFF"/>
    </w:rPr>
  </w:style>
  <w:style w:type="character" w:customStyle="1" w:styleId="53">
    <w:name w:val="icon2"/>
    <w:basedOn w:val="15"/>
    <w:qFormat/>
    <w:uiPriority w:val="0"/>
  </w:style>
  <w:style w:type="character" w:customStyle="1" w:styleId="54">
    <w:name w:val="copyright"/>
    <w:basedOn w:val="15"/>
    <w:qFormat/>
    <w:uiPriority w:val="0"/>
  </w:style>
  <w:style w:type="character" w:customStyle="1" w:styleId="55">
    <w:name w:val="post_wemedia_info1"/>
    <w:basedOn w:val="15"/>
    <w:qFormat/>
    <w:uiPriority w:val="0"/>
  </w:style>
  <w:style w:type="character" w:customStyle="1" w:styleId="56">
    <w:name w:val="c5"/>
    <w:basedOn w:val="15"/>
    <w:qFormat/>
    <w:uiPriority w:val="0"/>
  </w:style>
  <w:style w:type="character" w:customStyle="1" w:styleId="57">
    <w:name w:val="icon014"/>
    <w:basedOn w:val="15"/>
    <w:qFormat/>
    <w:uiPriority w:val="0"/>
    <w:rPr>
      <w:sz w:val="18"/>
      <w:szCs w:val="18"/>
    </w:rPr>
  </w:style>
  <w:style w:type="character" w:customStyle="1" w:styleId="58">
    <w:name w:val="gl_news_sz"/>
    <w:basedOn w:val="15"/>
    <w:qFormat/>
    <w:uiPriority w:val="0"/>
    <w:rPr>
      <w:color w:val="FFFFFF"/>
      <w:shd w:val="clear" w:fill="A32A2A"/>
    </w:rPr>
  </w:style>
  <w:style w:type="character" w:customStyle="1" w:styleId="59">
    <w:name w:val="sjx"/>
    <w:basedOn w:val="15"/>
    <w:qFormat/>
    <w:uiPriority w:val="0"/>
  </w:style>
  <w:style w:type="character" w:customStyle="1" w:styleId="60">
    <w:name w:val="icon024"/>
    <w:basedOn w:val="15"/>
    <w:qFormat/>
    <w:uiPriority w:val="0"/>
    <w:rPr>
      <w:sz w:val="18"/>
      <w:szCs w:val="18"/>
    </w:rPr>
  </w:style>
  <w:style w:type="character" w:customStyle="1" w:styleId="61">
    <w:name w:val="time"/>
    <w:basedOn w:val="15"/>
    <w:qFormat/>
    <w:uiPriority w:val="0"/>
  </w:style>
  <w:style w:type="character" w:customStyle="1" w:styleId="62">
    <w:name w:val="gl_news_sz2"/>
    <w:basedOn w:val="15"/>
    <w:qFormat/>
    <w:uiPriority w:val="0"/>
    <w:rPr>
      <w:color w:val="FFFFFF"/>
      <w:shd w:val="clear" w:fill="A32A2A"/>
    </w:rPr>
  </w:style>
  <w:style w:type="character" w:customStyle="1" w:styleId="63">
    <w:name w:val="icon01"/>
    <w:basedOn w:val="15"/>
    <w:qFormat/>
    <w:uiPriority w:val="0"/>
    <w:rPr>
      <w:sz w:val="18"/>
      <w:szCs w:val="18"/>
    </w:rPr>
  </w:style>
  <w:style w:type="character" w:customStyle="1" w:styleId="64">
    <w:name w:val="icon011"/>
    <w:basedOn w:val="15"/>
    <w:qFormat/>
    <w:uiPriority w:val="0"/>
    <w:rPr>
      <w:sz w:val="18"/>
      <w:szCs w:val="18"/>
    </w:rPr>
  </w:style>
  <w:style w:type="character" w:customStyle="1" w:styleId="65">
    <w:name w:val="icon02"/>
    <w:basedOn w:val="15"/>
    <w:qFormat/>
    <w:uiPriority w:val="0"/>
    <w:rPr>
      <w:sz w:val="18"/>
      <w:szCs w:val="18"/>
    </w:rPr>
  </w:style>
  <w:style w:type="character" w:customStyle="1" w:styleId="66">
    <w:name w:val="more1"/>
    <w:basedOn w:val="15"/>
    <w:qFormat/>
    <w:uiPriority w:val="0"/>
    <w:rPr>
      <w:color w:val="AEAEAE"/>
      <w:bdr w:val="single" w:color="E8E8E8" w:sz="6" w:space="0"/>
    </w:rPr>
  </w:style>
  <w:style w:type="character" w:customStyle="1" w:styleId="67">
    <w:name w:val="nth-child(14)"/>
    <w:basedOn w:val="15"/>
    <w:qFormat/>
    <w:uiPriority w:val="0"/>
  </w:style>
  <w:style w:type="character" w:customStyle="1" w:styleId="68">
    <w:name w:val="nth-child(15)"/>
    <w:basedOn w:val="15"/>
    <w:qFormat/>
    <w:uiPriority w:val="0"/>
  </w:style>
  <w:style w:type="character" w:customStyle="1" w:styleId="69">
    <w:name w:val="nth-child(2)"/>
    <w:basedOn w:val="15"/>
    <w:qFormat/>
    <w:uiPriority w:val="0"/>
  </w:style>
  <w:style w:type="character" w:customStyle="1" w:styleId="70">
    <w:name w:val="share"/>
    <w:basedOn w:val="15"/>
    <w:qFormat/>
    <w:uiPriority w:val="0"/>
  </w:style>
  <w:style w:type="character" w:customStyle="1" w:styleId="71">
    <w:name w:val="share&gt;i"/>
    <w:basedOn w:val="15"/>
    <w:qFormat/>
    <w:uiPriority w:val="0"/>
    <w:rPr>
      <w:sz w:val="24"/>
      <w:szCs w:val="24"/>
    </w:rPr>
  </w:style>
  <w:style w:type="character" w:customStyle="1" w:styleId="72">
    <w:name w:val="on3"/>
    <w:basedOn w:val="15"/>
    <w:qFormat/>
    <w:uiPriority w:val="0"/>
    <w:rPr>
      <w:color w:val="1658A0"/>
    </w:rPr>
  </w:style>
  <w:style w:type="character" w:customStyle="1" w:styleId="73">
    <w:name w:val="del2"/>
    <w:basedOn w:val="15"/>
    <w:qFormat/>
    <w:uiPriority w:val="0"/>
    <w:rPr>
      <w:color w:val="666666"/>
      <w:sz w:val="19"/>
      <w:szCs w:val="19"/>
      <w:shd w:val="clear" w:fill="FFFFFF"/>
    </w:rPr>
  </w:style>
  <w:style w:type="character" w:customStyle="1" w:styleId="74">
    <w:name w:val="nth-child(5)"/>
    <w:basedOn w:val="15"/>
    <w:qFormat/>
    <w:uiPriority w:val="0"/>
  </w:style>
  <w:style w:type="character" w:customStyle="1" w:styleId="75">
    <w:name w:val="cjwt"/>
    <w:basedOn w:val="15"/>
    <w:qFormat/>
    <w:uiPriority w:val="0"/>
  </w:style>
  <w:style w:type="character" w:customStyle="1" w:styleId="76">
    <w:name w:val="nth-child(1)"/>
    <w:basedOn w:val="15"/>
    <w:qFormat/>
    <w:uiPriority w:val="0"/>
  </w:style>
  <w:style w:type="character" w:customStyle="1" w:styleId="77">
    <w:name w:val="sp_btn"/>
    <w:basedOn w:val="15"/>
    <w:qFormat/>
    <w:uiPriority w:val="0"/>
    <w:rPr>
      <w:color w:val="FFFFFF"/>
      <w:sz w:val="24"/>
      <w:szCs w:val="24"/>
      <w:shd w:val="clear" w:fill="BA2B29"/>
    </w:rPr>
  </w:style>
  <w:style w:type="character" w:customStyle="1" w:styleId="78">
    <w:name w:val="layui-this"/>
    <w:basedOn w:val="15"/>
    <w:qFormat/>
    <w:uiPriority w:val="0"/>
    <w:rPr>
      <w:bdr w:val="single" w:color="EEEEEE" w:sz="6" w:space="0"/>
      <w:shd w:val="clear" w:fill="FFFFFF"/>
    </w:rPr>
  </w:style>
  <w:style w:type="character" w:customStyle="1" w:styleId="79">
    <w:name w:val="nth-child(6)"/>
    <w:basedOn w:val="15"/>
    <w:qFormat/>
    <w:uiPriority w:val="0"/>
  </w:style>
  <w:style w:type="character" w:customStyle="1" w:styleId="80">
    <w:name w:val="nth-child(4)"/>
    <w:basedOn w:val="15"/>
    <w:qFormat/>
    <w:uiPriority w:val="0"/>
  </w:style>
  <w:style w:type="character" w:customStyle="1" w:styleId="81">
    <w:name w:val="first-child"/>
    <w:basedOn w:val="15"/>
    <w:qFormat/>
    <w:uiPriority w:val="0"/>
  </w:style>
  <w:style w:type="character" w:customStyle="1" w:styleId="82">
    <w:name w:val="zs"/>
    <w:basedOn w:val="15"/>
    <w:qFormat/>
    <w:uiPriority w:val="0"/>
    <w:rPr>
      <w:color w:val="CCCCCC"/>
      <w:sz w:val="18"/>
      <w:szCs w:val="18"/>
    </w:rPr>
  </w:style>
  <w:style w:type="character" w:customStyle="1" w:styleId="83">
    <w:name w:val="last-child"/>
    <w:basedOn w:val="15"/>
    <w:qFormat/>
    <w:uiPriority w:val="0"/>
  </w:style>
  <w:style w:type="character" w:customStyle="1" w:styleId="84">
    <w:name w:val="tx"/>
    <w:basedOn w:val="15"/>
    <w:qFormat/>
    <w:uiPriority w:val="0"/>
  </w:style>
  <w:style w:type="character" w:customStyle="1" w:styleId="85">
    <w:name w:val="nth-child(12)"/>
    <w:basedOn w:val="15"/>
    <w:qFormat/>
    <w:uiPriority w:val="0"/>
  </w:style>
  <w:style w:type="character" w:customStyle="1" w:styleId="86">
    <w:name w:val="tx_icon"/>
    <w:basedOn w:val="15"/>
    <w:qFormat/>
    <w:uiPriority w:val="0"/>
  </w:style>
  <w:style w:type="character" w:customStyle="1" w:styleId="87">
    <w:name w:val="icon3"/>
    <w:basedOn w:val="15"/>
    <w:qFormat/>
    <w:uiPriority w:val="0"/>
    <w:rPr>
      <w:shd w:val="clear" w:fill="34AAB1"/>
    </w:rPr>
  </w:style>
  <w:style w:type="character" w:customStyle="1" w:styleId="88">
    <w:name w:val="icon31"/>
    <w:basedOn w:val="15"/>
    <w:qFormat/>
    <w:uiPriority w:val="0"/>
    <w:rPr>
      <w:shd w:val="clear" w:fill="FFFFFF"/>
    </w:rPr>
  </w:style>
  <w:style w:type="character" w:customStyle="1" w:styleId="89">
    <w:name w:val="icon32"/>
    <w:basedOn w:val="15"/>
    <w:qFormat/>
    <w:uiPriority w:val="0"/>
    <w:rPr>
      <w:shd w:val="clear" w:fill="FFFFFF"/>
    </w:rPr>
  </w:style>
  <w:style w:type="character" w:customStyle="1" w:styleId="90">
    <w:name w:val="nth-child(8)"/>
    <w:basedOn w:val="15"/>
    <w:qFormat/>
    <w:uiPriority w:val="0"/>
  </w:style>
  <w:style w:type="character" w:customStyle="1" w:styleId="91">
    <w:name w:val="icon12"/>
    <w:basedOn w:val="15"/>
    <w:qFormat/>
    <w:uiPriority w:val="0"/>
  </w:style>
  <w:style w:type="character" w:customStyle="1" w:styleId="92">
    <w:name w:val="icon13"/>
    <w:basedOn w:val="15"/>
    <w:qFormat/>
    <w:uiPriority w:val="0"/>
  </w:style>
  <w:style w:type="character" w:customStyle="1" w:styleId="93">
    <w:name w:val="icon14"/>
    <w:basedOn w:val="15"/>
    <w:qFormat/>
    <w:uiPriority w:val="0"/>
  </w:style>
  <w:style w:type="character" w:customStyle="1" w:styleId="94">
    <w:name w:val="icon21"/>
    <w:basedOn w:val="15"/>
    <w:qFormat/>
    <w:uiPriority w:val="0"/>
    <w:rPr>
      <w:shd w:val="clear" w:fill="FFFFFF"/>
    </w:rPr>
  </w:style>
  <w:style w:type="character" w:customStyle="1" w:styleId="95">
    <w:name w:val="icon22"/>
    <w:basedOn w:val="15"/>
    <w:qFormat/>
    <w:uiPriority w:val="0"/>
    <w:rPr>
      <w:shd w:val="clear" w:fill="FFFFFF"/>
    </w:rPr>
  </w:style>
  <w:style w:type="character" w:customStyle="1" w:styleId="96">
    <w:name w:val="nth-child(13)"/>
    <w:basedOn w:val="15"/>
    <w:qFormat/>
    <w:uiPriority w:val="0"/>
  </w:style>
  <w:style w:type="character" w:customStyle="1" w:styleId="97">
    <w:name w:val="del1"/>
    <w:basedOn w:val="15"/>
    <w:qFormat/>
    <w:uiPriority w:val="0"/>
    <w:rPr>
      <w:color w:val="666666"/>
      <w:sz w:val="19"/>
      <w:szCs w:val="19"/>
    </w:rPr>
  </w:style>
  <w:style w:type="character" w:customStyle="1" w:styleId="98">
    <w:name w:val="none"/>
    <w:basedOn w:val="15"/>
    <w:qFormat/>
    <w:uiPriority w:val="0"/>
  </w:style>
  <w:style w:type="character" w:customStyle="1" w:styleId="99">
    <w:name w:val="nth-child(10)"/>
    <w:basedOn w:val="15"/>
    <w:qFormat/>
    <w:uiPriority w:val="0"/>
  </w:style>
  <w:style w:type="character" w:customStyle="1" w:styleId="100">
    <w:name w:val="nth-child(3)"/>
    <w:basedOn w:val="15"/>
    <w:qFormat/>
    <w:uiPriority w:val="0"/>
  </w:style>
  <w:style w:type="character" w:customStyle="1" w:styleId="101">
    <w:name w:val="nth-child(7)"/>
    <w:basedOn w:val="15"/>
    <w:qFormat/>
    <w:uiPriority w:val="0"/>
  </w:style>
  <w:style w:type="character" w:customStyle="1" w:styleId="102">
    <w:name w:val="nth-child(9)"/>
    <w:basedOn w:val="15"/>
    <w:qFormat/>
    <w:uiPriority w:val="0"/>
  </w:style>
  <w:style w:type="character" w:customStyle="1" w:styleId="103">
    <w:name w:val="nth-child(11)"/>
    <w:basedOn w:val="15"/>
    <w:qFormat/>
    <w:uiPriority w:val="0"/>
  </w:style>
  <w:style w:type="character" w:customStyle="1" w:styleId="104">
    <w:name w:val="hover52"/>
    <w:basedOn w:val="15"/>
    <w:qFormat/>
    <w:uiPriority w:val="0"/>
    <w:rPr>
      <w:color w:val="5FB878"/>
    </w:rPr>
  </w:style>
  <w:style w:type="character" w:customStyle="1" w:styleId="105">
    <w:name w:val="hover53"/>
    <w:basedOn w:val="15"/>
    <w:qFormat/>
    <w:uiPriority w:val="0"/>
    <w:rPr>
      <w:color w:val="5FB878"/>
    </w:rPr>
  </w:style>
  <w:style w:type="character" w:customStyle="1" w:styleId="106">
    <w:name w:val="hover54"/>
    <w:basedOn w:val="15"/>
    <w:qFormat/>
    <w:uiPriority w:val="0"/>
    <w:rPr>
      <w:color w:val="FFFFFF"/>
    </w:rPr>
  </w:style>
  <w:style w:type="character" w:customStyle="1" w:styleId="107">
    <w:name w:val="hover"/>
    <w:basedOn w:val="15"/>
    <w:qFormat/>
    <w:uiPriority w:val="0"/>
    <w:rPr>
      <w:color w:val="5FB878"/>
    </w:rPr>
  </w:style>
  <w:style w:type="character" w:customStyle="1" w:styleId="108">
    <w:name w:val="hover1"/>
    <w:basedOn w:val="15"/>
    <w:qFormat/>
    <w:uiPriority w:val="0"/>
    <w:rPr>
      <w:color w:val="5FB878"/>
    </w:rPr>
  </w:style>
  <w:style w:type="character" w:customStyle="1" w:styleId="109">
    <w:name w:val="hover2"/>
    <w:basedOn w:val="15"/>
    <w:qFormat/>
    <w:uiPriority w:val="0"/>
    <w:rPr>
      <w:color w:val="FFFFFF"/>
    </w:rPr>
  </w:style>
  <w:style w:type="character" w:customStyle="1" w:styleId="110">
    <w:name w:val="last-child1"/>
    <w:basedOn w:val="15"/>
    <w:qFormat/>
    <w:uiPriority w:val="0"/>
  </w:style>
  <w:style w:type="character" w:customStyle="1" w:styleId="111">
    <w:name w:val="layui-this2"/>
    <w:basedOn w:val="15"/>
    <w:qFormat/>
    <w:uiPriority w:val="0"/>
    <w:rPr>
      <w:bdr w:val="single" w:color="EEEEEE" w:sz="6" w:space="0"/>
      <w:shd w:val="clear" w:fill="FFFFFF"/>
    </w:rPr>
  </w:style>
  <w:style w:type="character" w:customStyle="1" w:styleId="112">
    <w:name w:val="active"/>
    <w:basedOn w:val="15"/>
    <w:qFormat/>
    <w:uiPriority w:val="0"/>
    <w:rPr>
      <w:color w:val="333333"/>
    </w:rPr>
  </w:style>
  <w:style w:type="character" w:customStyle="1" w:styleId="113">
    <w:name w:val="calendar-head__next-range-btn"/>
    <w:basedOn w:val="15"/>
    <w:qFormat/>
    <w:uiPriority w:val="0"/>
    <w:rPr>
      <w:vanish/>
    </w:rPr>
  </w:style>
  <w:style w:type="character" w:customStyle="1" w:styleId="114">
    <w:name w:val="calendar-head__next-year-btn"/>
    <w:basedOn w:val="15"/>
    <w:qFormat/>
    <w:uiPriority w:val="0"/>
  </w:style>
  <w:style w:type="character" w:customStyle="1" w:styleId="115">
    <w:name w:val="calendar-head__text-display"/>
    <w:basedOn w:val="15"/>
    <w:qFormat/>
    <w:uiPriority w:val="0"/>
    <w:rPr>
      <w:vanish/>
    </w:rPr>
  </w:style>
  <w:style w:type="character" w:customStyle="1" w:styleId="116">
    <w:name w:val="calendar-head__year-range"/>
    <w:basedOn w:val="15"/>
    <w:qFormat/>
    <w:uiPriority w:val="0"/>
    <w:rPr>
      <w:vanish/>
    </w:rPr>
  </w:style>
  <w:style w:type="character" w:customStyle="1" w:styleId="117">
    <w:name w:val="calendar-head__prev-range-btn"/>
    <w:basedOn w:val="15"/>
    <w:qFormat/>
    <w:uiPriority w:val="0"/>
    <w:rPr>
      <w:vanish/>
    </w:rPr>
  </w:style>
  <w:style w:type="character" w:customStyle="1" w:styleId="118">
    <w:name w:val="calendar-head__next-month-btn"/>
    <w:basedOn w:val="15"/>
    <w:qFormat/>
    <w:uiPriority w:val="0"/>
  </w:style>
  <w:style w:type="character" w:customStyle="1" w:styleId="119">
    <w:name w:val="icon11"/>
    <w:basedOn w:val="15"/>
    <w:qFormat/>
    <w:uiPriority w:val="0"/>
  </w:style>
  <w:style w:type="paragraph" w:customStyle="1" w:styleId="120">
    <w:name w:val="*正文"/>
    <w:basedOn w:val="1"/>
    <w:qFormat/>
    <w:uiPriority w:val="0"/>
    <w:pPr>
      <w:spacing w:line="360" w:lineRule="auto"/>
      <w:ind w:firstLine="480"/>
    </w:pPr>
    <w:rPr>
      <w:rFonts w:hAnsi="宋体" w:eastAsia="宋体" w:cs="仿宋_GB2312"/>
      <w:color w:val="000000"/>
      <w:sz w:val="24"/>
    </w:rPr>
  </w:style>
  <w:style w:type="character" w:customStyle="1" w:styleId="121">
    <w:name w:val="on"/>
    <w:basedOn w:val="15"/>
    <w:qFormat/>
    <w:uiPriority w:val="0"/>
    <w:rPr>
      <w:color w:val="1658A0"/>
    </w:rPr>
  </w:style>
  <w:style w:type="character" w:customStyle="1" w:styleId="122">
    <w:name w:val="hover51"/>
    <w:basedOn w:val="15"/>
    <w:qFormat/>
    <w:uiPriority w:val="0"/>
    <w:rPr>
      <w:color w:val="5FB878"/>
    </w:rPr>
  </w:style>
  <w:style w:type="paragraph" w:styleId="123">
    <w:name w:val="List Paragraph"/>
    <w:basedOn w:val="1"/>
    <w:qFormat/>
    <w:uiPriority w:val="1"/>
    <w:pPr>
      <w:autoSpaceDE w:val="0"/>
      <w:autoSpaceDN w:val="0"/>
      <w:spacing w:before="190"/>
      <w:ind w:left="217" w:firstLine="638"/>
      <w:jc w:val="left"/>
    </w:pPr>
    <w:rPr>
      <w:rFonts w:ascii="仿宋" w:hAnsi="仿宋" w:eastAsia="仿宋" w:cs="仿宋"/>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11014</Words>
  <Characters>11694</Characters>
  <Lines>0</Lines>
  <Paragraphs>0</Paragraphs>
  <TotalTime>21</TotalTime>
  <ScaleCrop>false</ScaleCrop>
  <LinksUpToDate>false</LinksUpToDate>
  <CharactersWithSpaces>11707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2020-12-16T02:48:00Z</dcterms:created>
  <dc:creator>Administrator</dc:creator>
  <cp:lastModifiedBy>随缘自在</cp:lastModifiedBy>
  <cp:lastPrinted>2021-12-19T04:47:00Z</cp:lastPrinted>
  <dcterms:modified xsi:type="dcterms:W3CDTF">2022-01-28T01:04:14Z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FD445EE1382044E3AD3D3C4CDD880FF7</vt:lpwstr>
  </property>
</Properties>
</file>